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الکفایة من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91067_1280447820">
            <w:r>
              <w:rPr>
                <w:webHidden/>
                <w:rStyle w:val="IndexLink"/>
                <w:rtl w:val="true"/>
              </w:rPr>
              <w:t>هویة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1691069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691071_1280447820">
            <w:r>
              <w:rPr>
                <w:webHidden/>
                <w:rStyle w:val="IndexLink"/>
                <w:rtl w:val="true"/>
              </w:rPr>
              <w:t>المقصد الثاني في النواهي</w:t>
            </w:r>
            <w:r>
              <w:rPr>
                <w:rStyle w:val="IndexLink"/>
                <w:rtl w:val="true"/>
              </w:rPr>
              <w:tab/>
            </w:r>
            <w:r>
              <w:rPr>
                <w:rStyle w:val="IndexLink"/>
              </w:rPr>
              <w:t>11</w:t>
            </w:r>
          </w:hyperlink>
        </w:p>
        <w:p>
          <w:pPr>
            <w:pStyle w:val="Contents2"/>
            <w:tabs>
              <w:tab w:val="clear" w:pos="8743"/>
              <w:tab w:val="right" w:pos="9026" w:leader="dot"/>
            </w:tabs>
            <w:rPr/>
          </w:pPr>
          <w:hyperlink w:anchor="__RefHeading___Toc11691073_1280447820">
            <w:r>
              <w:rPr>
                <w:webHidden/>
                <w:rStyle w:val="IndexLink"/>
                <w:rtl w:val="true"/>
              </w:rPr>
              <w:t>الفصل الأوّل في مادّة النهي و صيغته</w:t>
            </w:r>
            <w:r>
              <w:rPr>
                <w:rStyle w:val="IndexLink"/>
                <w:rtl w:val="true"/>
              </w:rPr>
              <w:tab/>
            </w:r>
            <w:r>
              <w:rPr>
                <w:rStyle w:val="IndexLink"/>
              </w:rPr>
              <w:t>11</w:t>
            </w:r>
          </w:hyperlink>
        </w:p>
        <w:p>
          <w:pPr>
            <w:pStyle w:val="Contents2"/>
            <w:tabs>
              <w:tab w:val="clear" w:pos="8743"/>
              <w:tab w:val="right" w:pos="9026" w:leader="dot"/>
            </w:tabs>
            <w:rPr/>
          </w:pPr>
          <w:hyperlink w:anchor="__RefHeading___Toc11691075_1280447820">
            <w:r>
              <w:rPr>
                <w:webHidden/>
                <w:rStyle w:val="IndexLink"/>
                <w:rtl w:val="true"/>
              </w:rPr>
              <w:t>مفاد هيئة النهي</w:t>
            </w:r>
            <w:r>
              <w:rPr>
                <w:rStyle w:val="IndexLink"/>
                <w:rtl w:val="true"/>
              </w:rPr>
              <w:tab/>
            </w:r>
            <w:r>
              <w:rPr>
                <w:rStyle w:val="IndexLink"/>
              </w:rPr>
              <w:t>11</w:t>
            </w:r>
          </w:hyperlink>
        </w:p>
        <w:p>
          <w:pPr>
            <w:pStyle w:val="Contents2"/>
            <w:tabs>
              <w:tab w:val="clear" w:pos="8743"/>
              <w:tab w:val="right" w:pos="9026" w:leader="dot"/>
            </w:tabs>
            <w:rPr/>
          </w:pPr>
          <w:hyperlink w:anchor="__RefHeading___Toc11691077_1280447820">
            <w:r>
              <w:rPr>
                <w:webHidden/>
                <w:rStyle w:val="IndexLink"/>
                <w:rtl w:val="true"/>
              </w:rPr>
              <w:t>ما هو متعلّق النهي؟</w:t>
            </w:r>
            <w:r>
              <w:rPr>
                <w:rStyle w:val="IndexLink"/>
                <w:rtl w:val="true"/>
              </w:rPr>
              <w:tab/>
            </w:r>
            <w:r>
              <w:rPr>
                <w:rStyle w:val="IndexLink"/>
              </w:rPr>
              <w:t>13</w:t>
            </w:r>
          </w:hyperlink>
        </w:p>
        <w:p>
          <w:pPr>
            <w:pStyle w:val="Contents2"/>
            <w:tabs>
              <w:tab w:val="clear" w:pos="8743"/>
              <w:tab w:val="right" w:pos="9026" w:leader="dot"/>
            </w:tabs>
            <w:rPr/>
          </w:pPr>
          <w:hyperlink w:anchor="__RefHeading___Toc11691079_1280447820">
            <w:r>
              <w:rPr>
                <w:webHidden/>
                <w:rStyle w:val="IndexLink"/>
                <w:rtl w:val="true"/>
              </w:rPr>
              <w:t>عدم دلالتها على الدوام</w:t>
            </w:r>
            <w:r>
              <w:rPr>
                <w:rStyle w:val="IndexLink"/>
                <w:rtl w:val="true"/>
              </w:rPr>
              <w:tab/>
            </w:r>
            <w:r>
              <w:rPr>
                <w:rStyle w:val="IndexLink"/>
              </w:rPr>
              <w:t>13</w:t>
            </w:r>
          </w:hyperlink>
        </w:p>
        <w:p>
          <w:pPr>
            <w:pStyle w:val="Contents2"/>
            <w:tabs>
              <w:tab w:val="clear" w:pos="8743"/>
              <w:tab w:val="right" w:pos="9026" w:leader="dot"/>
            </w:tabs>
            <w:rPr/>
          </w:pPr>
          <w:hyperlink w:anchor="__RefHeading___Toc11691081_1280447820">
            <w:r>
              <w:rPr>
                <w:webHidden/>
                <w:rStyle w:val="IndexLink"/>
                <w:rtl w:val="true"/>
              </w:rPr>
              <w:t>حکم مخالفة النهي</w:t>
            </w:r>
            <w:r>
              <w:rPr>
                <w:rStyle w:val="IndexLink"/>
                <w:rtl w:val="true"/>
              </w:rPr>
              <w:tab/>
            </w:r>
            <w:r>
              <w:rPr>
                <w:rStyle w:val="IndexLink"/>
              </w:rPr>
              <w:t>14</w:t>
            </w:r>
          </w:hyperlink>
        </w:p>
        <w:p>
          <w:pPr>
            <w:pStyle w:val="Contents2"/>
            <w:tabs>
              <w:tab w:val="clear" w:pos="8743"/>
              <w:tab w:val="right" w:pos="9026" w:leader="dot"/>
            </w:tabs>
            <w:rPr/>
          </w:pPr>
          <w:hyperlink w:anchor="__RefHeading___Toc11691083_1280447820">
            <w:r>
              <w:rPr>
                <w:webHidden/>
                <w:rStyle w:val="IndexLink"/>
                <w:rtl w:val="true"/>
              </w:rPr>
              <w:t>الفصل الثاني في اجتماع الأمر و النهي في شي‌ء واحد باعتبار عنوانين</w:t>
            </w:r>
            <w:r>
              <w:rPr>
                <w:rStyle w:val="IndexLink"/>
                <w:rtl w:val="true"/>
              </w:rPr>
              <w:tab/>
            </w:r>
            <w:r>
              <w:rPr>
                <w:rStyle w:val="IndexLink"/>
              </w:rPr>
              <w:t>15</w:t>
            </w:r>
          </w:hyperlink>
        </w:p>
        <w:p>
          <w:pPr>
            <w:pStyle w:val="Contents2"/>
            <w:tabs>
              <w:tab w:val="clear" w:pos="8743"/>
              <w:tab w:val="right" w:pos="9026" w:leader="dot"/>
            </w:tabs>
            <w:rPr/>
          </w:pPr>
          <w:hyperlink w:anchor="__RefHeading___Toc11691085_1280447820">
            <w:r>
              <w:rPr>
                <w:webHidden/>
                <w:rStyle w:val="IndexLink"/>
                <w:rtl w:val="true"/>
              </w:rPr>
              <w:t>الأول</w:t>
            </w:r>
            <w:r>
              <w:rPr>
                <w:rStyle w:val="IndexLink"/>
                <w:rtl w:val="true"/>
              </w:rPr>
              <w:t xml:space="preserve">: </w:t>
            </w:r>
            <w:r>
              <w:rPr>
                <w:rStyle w:val="IndexLink"/>
                <w:rtl w:val="true"/>
              </w:rPr>
              <w:t>في بيان المراد بالواحد الذي تعلق به الأمر و النهي</w:t>
            </w:r>
            <w:r>
              <w:rPr>
                <w:rStyle w:val="IndexLink"/>
                <w:rtl w:val="true"/>
              </w:rPr>
              <w:tab/>
            </w:r>
            <w:r>
              <w:rPr>
                <w:rStyle w:val="IndexLink"/>
              </w:rPr>
              <w:t>15</w:t>
            </w:r>
          </w:hyperlink>
        </w:p>
        <w:p>
          <w:pPr>
            <w:pStyle w:val="Contents2"/>
            <w:tabs>
              <w:tab w:val="clear" w:pos="8743"/>
              <w:tab w:val="right" w:pos="9026" w:leader="dot"/>
            </w:tabs>
            <w:rPr/>
          </w:pPr>
          <w:hyperlink w:anchor="__RefHeading___Toc11691087_1280447820">
            <w:r>
              <w:rPr>
                <w:webHidden/>
                <w:rStyle w:val="IndexLink"/>
                <w:rtl w:val="true"/>
              </w:rPr>
              <w:t>الثاني الفرق بين هذه المسألة و مسألة النهي في العبادة</w:t>
            </w:r>
            <w:r>
              <w:rPr>
                <w:rStyle w:val="IndexLink"/>
                <w:rtl w:val="true"/>
              </w:rPr>
              <w:tab/>
            </w:r>
            <w:r>
              <w:rPr>
                <w:rStyle w:val="IndexLink"/>
              </w:rPr>
              <w:t>17</w:t>
            </w:r>
          </w:hyperlink>
        </w:p>
        <w:p>
          <w:pPr>
            <w:pStyle w:val="Contents2"/>
            <w:tabs>
              <w:tab w:val="clear" w:pos="8743"/>
              <w:tab w:val="right" w:pos="9026" w:leader="dot"/>
            </w:tabs>
            <w:rPr/>
          </w:pPr>
          <w:hyperlink w:anchor="__RefHeading___Toc11691089_1280447820">
            <w:r>
              <w:rPr>
                <w:webHidden/>
                <w:rStyle w:val="IndexLink"/>
                <w:rtl w:val="true"/>
              </w:rPr>
              <w:t>تغاير جهة البحث فيهما</w:t>
            </w:r>
            <w:r>
              <w:rPr>
                <w:rStyle w:val="IndexLink"/>
                <w:rtl w:val="true"/>
              </w:rPr>
              <w:tab/>
            </w:r>
            <w:r>
              <w:rPr>
                <w:rStyle w:val="IndexLink"/>
              </w:rPr>
              <w:t>17</w:t>
            </w:r>
          </w:hyperlink>
        </w:p>
        <w:p>
          <w:pPr>
            <w:pStyle w:val="Contents2"/>
            <w:tabs>
              <w:tab w:val="clear" w:pos="8743"/>
              <w:tab w:val="right" w:pos="9026" w:leader="dot"/>
            </w:tabs>
            <w:rPr/>
          </w:pPr>
          <w:hyperlink w:anchor="__RefHeading___Toc11691091_1280447820">
            <w:r>
              <w:rPr>
                <w:webHidden/>
                <w:rStyle w:val="IndexLink"/>
                <w:rtl w:val="true"/>
              </w:rPr>
              <w:t>هل النزاع صغروي أو كبرويّ؟</w:t>
            </w:r>
            <w:r>
              <w:rPr>
                <w:rStyle w:val="IndexLink"/>
                <w:rtl w:val="true"/>
              </w:rPr>
              <w:tab/>
            </w:r>
            <w:r>
              <w:rPr>
                <w:rStyle w:val="IndexLink"/>
              </w:rPr>
              <w:t>18</w:t>
            </w:r>
          </w:hyperlink>
        </w:p>
        <w:p>
          <w:pPr>
            <w:pStyle w:val="Contents2"/>
            <w:tabs>
              <w:tab w:val="clear" w:pos="8743"/>
              <w:tab w:val="right" w:pos="9026" w:leader="dot"/>
            </w:tabs>
            <w:rPr/>
          </w:pPr>
          <w:hyperlink w:anchor="__RefHeading___Toc11691093_1280447820">
            <w:r>
              <w:rPr>
                <w:webHidden/>
                <w:rStyle w:val="IndexLink"/>
                <w:rtl w:val="true"/>
              </w:rPr>
              <w:t>التمييز بالموضوع</w:t>
            </w:r>
            <w:r>
              <w:rPr>
                <w:rStyle w:val="IndexLink"/>
                <w:rtl w:val="true"/>
              </w:rPr>
              <w:tab/>
            </w:r>
            <w:r>
              <w:rPr>
                <w:rStyle w:val="IndexLink"/>
              </w:rPr>
              <w:t>19</w:t>
            </w:r>
          </w:hyperlink>
        </w:p>
        <w:p>
          <w:pPr>
            <w:pStyle w:val="Contents2"/>
            <w:tabs>
              <w:tab w:val="clear" w:pos="8743"/>
              <w:tab w:val="right" w:pos="9026" w:leader="dot"/>
            </w:tabs>
            <w:rPr/>
          </w:pPr>
          <w:hyperlink w:anchor="__RefHeading___Toc11691095_1280447820">
            <w:r>
              <w:rPr>
                <w:webHidden/>
                <w:rStyle w:val="IndexLink"/>
                <w:rtl w:val="true"/>
              </w:rPr>
              <w:t>التمييز بالموضوع و المحمول</w:t>
            </w:r>
            <w:r>
              <w:rPr>
                <w:rStyle w:val="IndexLink"/>
                <w:rtl w:val="true"/>
              </w:rPr>
              <w:tab/>
            </w:r>
            <w:r>
              <w:rPr>
                <w:rStyle w:val="IndexLink"/>
              </w:rPr>
              <w:t>20</w:t>
            </w:r>
          </w:hyperlink>
        </w:p>
        <w:p>
          <w:pPr>
            <w:pStyle w:val="Contents2"/>
            <w:tabs>
              <w:tab w:val="clear" w:pos="8743"/>
              <w:tab w:val="right" w:pos="9026" w:leader="dot"/>
            </w:tabs>
            <w:rPr/>
          </w:pPr>
          <w:hyperlink w:anchor="__RefHeading___Toc11691097_1280447820">
            <w:r>
              <w:rPr>
                <w:webHidden/>
                <w:rStyle w:val="IndexLink"/>
                <w:rtl w:val="true"/>
              </w:rPr>
              <w:t>التمييز بكون البحث عقلياً</w:t>
            </w:r>
            <w:r>
              <w:rPr>
                <w:rStyle w:val="IndexLink"/>
                <w:rtl w:val="true"/>
              </w:rPr>
              <w:tab/>
            </w:r>
            <w:r>
              <w:rPr>
                <w:rStyle w:val="IndexLink"/>
              </w:rPr>
              <w:t>21</w:t>
            </w:r>
          </w:hyperlink>
        </w:p>
        <w:p>
          <w:pPr>
            <w:pStyle w:val="Contents2"/>
            <w:tabs>
              <w:tab w:val="clear" w:pos="8743"/>
              <w:tab w:val="right" w:pos="9026" w:leader="dot"/>
            </w:tabs>
            <w:rPr/>
          </w:pPr>
          <w:hyperlink w:anchor="__RefHeading___Toc11691099_1280447820">
            <w:r>
              <w:rPr>
                <w:webHidden/>
                <w:rStyle w:val="IndexLink"/>
                <w:rtl w:val="true"/>
              </w:rPr>
              <w:t>اقوال اخر</w:t>
            </w:r>
            <w:r>
              <w:rPr>
                <w:rStyle w:val="IndexLink"/>
                <w:rtl w:val="true"/>
              </w:rPr>
              <w:tab/>
            </w:r>
            <w:r>
              <w:rPr>
                <w:rStyle w:val="IndexLink"/>
              </w:rPr>
              <w:t>21</w:t>
            </w:r>
          </w:hyperlink>
        </w:p>
        <w:p>
          <w:pPr>
            <w:pStyle w:val="Contents2"/>
            <w:tabs>
              <w:tab w:val="clear" w:pos="8743"/>
              <w:tab w:val="right" w:pos="9026" w:leader="dot"/>
            </w:tabs>
            <w:rPr/>
          </w:pPr>
          <w:hyperlink w:anchor="__RefHeading___Toc11691101_1280447820">
            <w:r>
              <w:rPr>
                <w:webHidden/>
                <w:rStyle w:val="IndexLink"/>
                <w:rtl w:val="true"/>
              </w:rPr>
              <w:t>الثالث</w:t>
            </w:r>
            <w:r>
              <w:rPr>
                <w:rStyle w:val="IndexLink"/>
                <w:rtl w:val="true"/>
              </w:rPr>
              <w:t xml:space="preserve">: </w:t>
            </w:r>
            <w:r>
              <w:rPr>
                <w:rStyle w:val="IndexLink"/>
                <w:rtl w:val="true"/>
              </w:rPr>
              <w:t>المسألة أُصولية</w:t>
            </w:r>
            <w:r>
              <w:rPr>
                <w:rStyle w:val="IndexLink"/>
                <w:rtl w:val="true"/>
              </w:rPr>
              <w:tab/>
            </w:r>
            <w:r>
              <w:rPr>
                <w:rStyle w:val="IndexLink"/>
              </w:rPr>
              <w:t>22</w:t>
            </w:r>
          </w:hyperlink>
        </w:p>
        <w:p>
          <w:pPr>
            <w:pStyle w:val="Contents2"/>
            <w:tabs>
              <w:tab w:val="clear" w:pos="8743"/>
              <w:tab w:val="right" w:pos="9026" w:leader="dot"/>
            </w:tabs>
            <w:rPr/>
          </w:pPr>
          <w:hyperlink w:anchor="__RefHeading___Toc11691103_1280447820">
            <w:r>
              <w:rPr>
                <w:webHidden/>
                <w:rStyle w:val="IndexLink"/>
                <w:rtl w:val="true"/>
              </w:rPr>
              <w:t>الرابع</w:t>
            </w:r>
            <w:r>
              <w:rPr>
                <w:rStyle w:val="IndexLink"/>
                <w:rtl w:val="true"/>
              </w:rPr>
              <w:t xml:space="preserve">: </w:t>
            </w:r>
            <w:r>
              <w:rPr>
                <w:rStyle w:val="IndexLink"/>
                <w:rtl w:val="true"/>
              </w:rPr>
              <w:t>في كون المسألة عقلية لا لفظية</w:t>
            </w:r>
            <w:r>
              <w:rPr>
                <w:rStyle w:val="IndexLink"/>
                <w:rtl w:val="true"/>
              </w:rPr>
              <w:tab/>
            </w:r>
            <w:r>
              <w:rPr>
                <w:rStyle w:val="IndexLink"/>
              </w:rPr>
              <w:t>22</w:t>
            </w:r>
          </w:hyperlink>
        </w:p>
        <w:p>
          <w:pPr>
            <w:pStyle w:val="Contents2"/>
            <w:tabs>
              <w:tab w:val="clear" w:pos="8743"/>
              <w:tab w:val="right" w:pos="9026" w:leader="dot"/>
            </w:tabs>
            <w:rPr/>
          </w:pPr>
          <w:hyperlink w:anchor="__RefHeading___Toc11691105_1280447820">
            <w:r>
              <w:rPr>
                <w:webHidden/>
                <w:rStyle w:val="IndexLink"/>
                <w:rtl w:val="true"/>
              </w:rPr>
              <w:t>الخامس</w:t>
            </w:r>
            <w:r>
              <w:rPr>
                <w:rStyle w:val="IndexLink"/>
                <w:rtl w:val="true"/>
              </w:rPr>
              <w:t xml:space="preserve">: </w:t>
            </w:r>
            <w:r>
              <w:rPr>
                <w:rStyle w:val="IndexLink"/>
                <w:rtl w:val="true"/>
              </w:rPr>
              <w:t>شمول النزاع في مسألة الاجتماع لأنواع الإيجاب و التحريم</w:t>
            </w:r>
            <w:r>
              <w:rPr>
                <w:rStyle w:val="IndexLink"/>
                <w:rtl w:val="true"/>
              </w:rPr>
              <w:tab/>
            </w:r>
            <w:r>
              <w:rPr>
                <w:rStyle w:val="IndexLink"/>
              </w:rPr>
              <w:t>23</w:t>
            </w:r>
          </w:hyperlink>
        </w:p>
        <w:p>
          <w:pPr>
            <w:pStyle w:val="Contents2"/>
            <w:tabs>
              <w:tab w:val="clear" w:pos="8743"/>
              <w:tab w:val="right" w:pos="9026" w:leader="dot"/>
            </w:tabs>
            <w:rPr/>
          </w:pPr>
          <w:hyperlink w:anchor="__RefHeading___Toc11691107_1280447820">
            <w:r>
              <w:rPr>
                <w:webHidden/>
                <w:rStyle w:val="IndexLink"/>
                <w:rtl w:val="true"/>
              </w:rPr>
              <w:t>السادس</w:t>
            </w:r>
            <w:r>
              <w:rPr>
                <w:rStyle w:val="IndexLink"/>
                <w:rtl w:val="true"/>
              </w:rPr>
              <w:t xml:space="preserve">: </w:t>
            </w:r>
            <w:r>
              <w:rPr>
                <w:rStyle w:val="IndexLink"/>
                <w:rtl w:val="true"/>
              </w:rPr>
              <w:t>في لزوم أخذ عنوان المندوحة في النزاع و عدمه</w:t>
            </w:r>
            <w:r>
              <w:rPr>
                <w:rStyle w:val="IndexLink"/>
                <w:rtl w:val="true"/>
              </w:rPr>
              <w:tab/>
            </w:r>
            <w:r>
              <w:rPr>
                <w:rStyle w:val="IndexLink"/>
              </w:rPr>
              <w:t>24</w:t>
            </w:r>
          </w:hyperlink>
        </w:p>
        <w:p>
          <w:pPr>
            <w:pStyle w:val="Contents2"/>
            <w:tabs>
              <w:tab w:val="clear" w:pos="8743"/>
              <w:tab w:val="right" w:pos="9026" w:leader="dot"/>
            </w:tabs>
            <w:rPr/>
          </w:pPr>
          <w:hyperlink w:anchor="__RefHeading___Toc11691109_1280447820">
            <w:r>
              <w:rPr>
                <w:webHidden/>
                <w:rStyle w:val="IndexLink"/>
                <w:rtl w:val="true"/>
              </w:rPr>
              <w:t>السابع</w:t>
            </w:r>
            <w:r>
              <w:rPr>
                <w:rStyle w:val="IndexLink"/>
                <w:rtl w:val="true"/>
              </w:rPr>
              <w:t xml:space="preserve">: </w:t>
            </w:r>
            <w:r>
              <w:rPr>
                <w:rStyle w:val="IndexLink"/>
                <w:rtl w:val="true"/>
              </w:rPr>
              <w:t>في صحّة النزاع على كلا الرأيين في متعلّق الأحكام</w:t>
            </w:r>
            <w:r>
              <w:rPr>
                <w:rStyle w:val="IndexLink"/>
                <w:rtl w:val="true"/>
              </w:rPr>
              <w:tab/>
            </w:r>
            <w:r>
              <w:rPr>
                <w:rStyle w:val="IndexLink"/>
              </w:rPr>
              <w:t>27</w:t>
            </w:r>
          </w:hyperlink>
        </w:p>
        <w:p>
          <w:pPr>
            <w:pStyle w:val="Contents2"/>
            <w:tabs>
              <w:tab w:val="clear" w:pos="8743"/>
              <w:tab w:val="right" w:pos="9026" w:leader="dot"/>
            </w:tabs>
            <w:rPr/>
          </w:pPr>
          <w:hyperlink w:anchor="__RefHeading___Toc11691111_1280447820">
            <w:r>
              <w:rPr>
                <w:webHidden/>
                <w:rStyle w:val="IndexLink"/>
                <w:rtl w:val="true"/>
              </w:rPr>
              <w:t>الثامن</w:t>
            </w:r>
            <w:r>
              <w:rPr>
                <w:rStyle w:val="IndexLink"/>
                <w:rtl w:val="true"/>
              </w:rPr>
              <w:t xml:space="preserve">: </w:t>
            </w:r>
            <w:r>
              <w:rPr>
                <w:rStyle w:val="IndexLink"/>
                <w:rtl w:val="true"/>
              </w:rPr>
              <w:t>الفرق بين التعارض و التزاحم</w:t>
            </w:r>
            <w:r>
              <w:rPr>
                <w:rStyle w:val="IndexLink"/>
                <w:rtl w:val="true"/>
              </w:rPr>
              <w:tab/>
            </w:r>
            <w:r>
              <w:rPr>
                <w:rStyle w:val="IndexLink"/>
              </w:rPr>
              <w:t>31</w:t>
            </w:r>
          </w:hyperlink>
        </w:p>
        <w:p>
          <w:pPr>
            <w:pStyle w:val="Contents2"/>
            <w:tabs>
              <w:tab w:val="clear" w:pos="8743"/>
              <w:tab w:val="right" w:pos="9026" w:leader="dot"/>
            </w:tabs>
            <w:rPr/>
          </w:pPr>
          <w:hyperlink w:anchor="__RefHeading___Toc11691113_1280447820">
            <w:r>
              <w:rPr>
                <w:webHidden/>
                <w:rStyle w:val="IndexLink"/>
                <w:rtl w:val="true"/>
              </w:rPr>
              <w:t>جواب المحقّق البروجردي</w:t>
            </w:r>
            <w:r>
              <w:rPr>
                <w:rStyle w:val="IndexLink"/>
                <w:rtl w:val="true"/>
              </w:rPr>
              <w:tab/>
            </w:r>
            <w:r>
              <w:rPr>
                <w:rStyle w:val="IndexLink"/>
              </w:rPr>
              <w:t>35</w:t>
            </w:r>
          </w:hyperlink>
        </w:p>
        <w:p>
          <w:pPr>
            <w:pStyle w:val="Contents2"/>
            <w:tabs>
              <w:tab w:val="clear" w:pos="8743"/>
              <w:tab w:val="right" w:pos="9026" w:leader="dot"/>
            </w:tabs>
            <w:rPr/>
          </w:pPr>
          <w:hyperlink w:anchor="__RefHeading___Toc11691115_1280447820">
            <w:r>
              <w:rPr>
                <w:webHidden/>
                <w:rStyle w:val="IndexLink"/>
                <w:rtl w:val="true"/>
              </w:rPr>
              <w:t>نظرية المحقّق النائيني</w:t>
            </w:r>
            <w:r>
              <w:rPr>
                <w:rStyle w:val="IndexLink"/>
                <w:rtl w:val="true"/>
              </w:rPr>
              <w:tab/>
            </w:r>
            <w:r>
              <w:rPr>
                <w:rStyle w:val="IndexLink"/>
              </w:rPr>
              <w:t>38</w:t>
            </w:r>
          </w:hyperlink>
        </w:p>
        <w:p>
          <w:pPr>
            <w:pStyle w:val="Contents2"/>
            <w:tabs>
              <w:tab w:val="clear" w:pos="8743"/>
              <w:tab w:val="right" w:pos="9026" w:leader="dot"/>
            </w:tabs>
            <w:rPr/>
          </w:pPr>
          <w:hyperlink w:anchor="__RefHeading___Toc11691117_1280447820">
            <w:r>
              <w:rPr>
                <w:webHidden/>
                <w:rStyle w:val="IndexLink"/>
                <w:rtl w:val="true"/>
              </w:rPr>
              <w:t>التاسع</w:t>
            </w:r>
            <w:r>
              <w:rPr>
                <w:rStyle w:val="IndexLink"/>
                <w:rtl w:val="true"/>
              </w:rPr>
              <w:t xml:space="preserve">: </w:t>
            </w:r>
            <w:r>
              <w:rPr>
                <w:rStyle w:val="IndexLink"/>
                <w:rtl w:val="true"/>
              </w:rPr>
              <w:t>في ثمرات القولين</w:t>
            </w:r>
            <w:r>
              <w:rPr>
                <w:rStyle w:val="IndexLink"/>
                <w:rtl w:val="true"/>
              </w:rPr>
              <w:tab/>
            </w:r>
            <w:r>
              <w:rPr>
                <w:rStyle w:val="IndexLink"/>
              </w:rPr>
              <w:t>39</w:t>
            </w:r>
          </w:hyperlink>
        </w:p>
        <w:p>
          <w:pPr>
            <w:pStyle w:val="Contents2"/>
            <w:tabs>
              <w:tab w:val="clear" w:pos="8743"/>
              <w:tab w:val="right" w:pos="9026" w:leader="dot"/>
            </w:tabs>
            <w:rPr/>
          </w:pPr>
          <w:hyperlink w:anchor="__RefHeading___Toc11691119_1280447820">
            <w:r>
              <w:rPr>
                <w:webHidden/>
                <w:rStyle w:val="IndexLink"/>
                <w:rtl w:val="true"/>
              </w:rPr>
              <w:t>الصورة الأُولى</w:t>
            </w:r>
            <w:r>
              <w:rPr>
                <w:rStyle w:val="IndexLink"/>
                <w:rtl w:val="true"/>
              </w:rPr>
              <w:t>:</w:t>
              <w:tab/>
            </w:r>
            <w:r>
              <w:rPr>
                <w:rStyle w:val="IndexLink"/>
              </w:rPr>
              <w:t>40</w:t>
            </w:r>
          </w:hyperlink>
        </w:p>
        <w:p>
          <w:pPr>
            <w:pStyle w:val="Contents2"/>
            <w:tabs>
              <w:tab w:val="clear" w:pos="8743"/>
              <w:tab w:val="right" w:pos="9026" w:leader="dot"/>
            </w:tabs>
            <w:rPr/>
          </w:pPr>
          <w:hyperlink w:anchor="__RefHeading___Toc11691121_1280447820">
            <w:r>
              <w:rPr>
                <w:webHidden/>
                <w:rStyle w:val="IndexLink"/>
                <w:rtl w:val="true"/>
              </w:rPr>
              <w:t>بيان المحقّق البروجردي</w:t>
            </w:r>
            <w:r>
              <w:rPr>
                <w:rStyle w:val="IndexLink"/>
                <w:rtl w:val="true"/>
              </w:rPr>
              <w:tab/>
            </w:r>
            <w:r>
              <w:rPr>
                <w:rStyle w:val="IndexLink"/>
              </w:rPr>
              <w:t>40</w:t>
            </w:r>
          </w:hyperlink>
        </w:p>
        <w:p>
          <w:pPr>
            <w:pStyle w:val="Contents2"/>
            <w:tabs>
              <w:tab w:val="clear" w:pos="8743"/>
              <w:tab w:val="right" w:pos="9026" w:leader="dot"/>
            </w:tabs>
            <w:rPr/>
          </w:pPr>
          <w:hyperlink w:anchor="__RefHeading___Toc11691123_1280447820">
            <w:r>
              <w:rPr>
                <w:webHidden/>
                <w:rStyle w:val="IndexLink"/>
                <w:rtl w:val="true"/>
              </w:rPr>
              <w:t>بيان المحقّق النائيني</w:t>
            </w:r>
            <w:r>
              <w:rPr>
                <w:rStyle w:val="IndexLink"/>
                <w:rtl w:val="true"/>
              </w:rPr>
              <w:tab/>
            </w:r>
            <w:r>
              <w:rPr>
                <w:rStyle w:val="IndexLink"/>
              </w:rPr>
              <w:t>41</w:t>
            </w:r>
          </w:hyperlink>
        </w:p>
        <w:p>
          <w:pPr>
            <w:pStyle w:val="Contents2"/>
            <w:tabs>
              <w:tab w:val="clear" w:pos="8743"/>
              <w:tab w:val="right" w:pos="9026" w:leader="dot"/>
            </w:tabs>
            <w:rPr/>
          </w:pPr>
          <w:hyperlink w:anchor="__RefHeading___Toc11691125_1280447820">
            <w:r>
              <w:rPr>
                <w:webHidden/>
                <w:rStyle w:val="IndexLink"/>
                <w:rtl w:val="true"/>
              </w:rPr>
              <w:t>الصورة الثانية</w:t>
            </w:r>
            <w:r>
              <w:rPr>
                <w:rStyle w:val="IndexLink"/>
                <w:rtl w:val="true"/>
              </w:rPr>
              <w:t>:</w:t>
              <w:tab/>
            </w:r>
            <w:r>
              <w:rPr>
                <w:rStyle w:val="IndexLink"/>
              </w:rPr>
              <w:t>42</w:t>
            </w:r>
          </w:hyperlink>
        </w:p>
        <w:p>
          <w:pPr>
            <w:pStyle w:val="Contents2"/>
            <w:tabs>
              <w:tab w:val="clear" w:pos="8743"/>
              <w:tab w:val="right" w:pos="9026" w:leader="dot"/>
            </w:tabs>
            <w:rPr/>
          </w:pPr>
          <w:hyperlink w:anchor="__RefHeading___Toc11691127_1280447820">
            <w:r>
              <w:rPr>
                <w:webHidden/>
                <w:rStyle w:val="IndexLink"/>
                <w:rtl w:val="true"/>
              </w:rPr>
              <w:t>الصورة الثالثة</w:t>
            </w:r>
            <w:r>
              <w:rPr>
                <w:rStyle w:val="IndexLink"/>
                <w:rtl w:val="true"/>
              </w:rPr>
              <w:t>:</w:t>
              <w:tab/>
            </w:r>
            <w:r>
              <w:rPr>
                <w:rStyle w:val="IndexLink"/>
              </w:rPr>
              <w:t>43</w:t>
            </w:r>
          </w:hyperlink>
        </w:p>
        <w:p>
          <w:pPr>
            <w:pStyle w:val="Contents2"/>
            <w:tabs>
              <w:tab w:val="clear" w:pos="8743"/>
              <w:tab w:val="right" w:pos="9026" w:leader="dot"/>
            </w:tabs>
            <w:rPr/>
          </w:pPr>
          <w:hyperlink w:anchor="__RefHeading___Toc11691129_1280447820">
            <w:r>
              <w:rPr>
                <w:webHidden/>
                <w:rStyle w:val="IndexLink"/>
                <w:rtl w:val="true"/>
              </w:rPr>
              <w:t>الصورة الرابعة</w:t>
            </w:r>
            <w:r>
              <w:rPr>
                <w:rStyle w:val="IndexLink"/>
                <w:rtl w:val="true"/>
              </w:rPr>
              <w:t>:</w:t>
              <w:tab/>
            </w:r>
            <w:r>
              <w:rPr>
                <w:rStyle w:val="IndexLink"/>
              </w:rPr>
              <w:t>43</w:t>
            </w:r>
          </w:hyperlink>
        </w:p>
        <w:p>
          <w:pPr>
            <w:pStyle w:val="Contents2"/>
            <w:tabs>
              <w:tab w:val="clear" w:pos="8743"/>
              <w:tab w:val="right" w:pos="9026" w:leader="dot"/>
            </w:tabs>
            <w:rPr/>
          </w:pPr>
          <w:hyperlink w:anchor="__RefHeading___Toc11691131_1280447820">
            <w:r>
              <w:rPr>
                <w:webHidden/>
                <w:rStyle w:val="IndexLink"/>
                <w:rtl w:val="true"/>
              </w:rPr>
              <w:t>الصورة الخامسة</w:t>
            </w:r>
            <w:r>
              <w:rPr>
                <w:rStyle w:val="IndexLink"/>
                <w:rtl w:val="true"/>
              </w:rPr>
              <w:t>:</w:t>
              <w:tab/>
            </w:r>
            <w:r>
              <w:rPr>
                <w:rStyle w:val="IndexLink"/>
              </w:rPr>
              <w:t>44</w:t>
            </w:r>
          </w:hyperlink>
        </w:p>
        <w:p>
          <w:pPr>
            <w:pStyle w:val="Contents2"/>
            <w:tabs>
              <w:tab w:val="clear" w:pos="8743"/>
              <w:tab w:val="right" w:pos="9026" w:leader="dot"/>
            </w:tabs>
            <w:rPr/>
          </w:pPr>
          <w:hyperlink w:anchor="__RefHeading___Toc11691133_1280447820">
            <w:r>
              <w:rPr>
                <w:webHidden/>
                <w:rStyle w:val="IndexLink"/>
                <w:rtl w:val="true"/>
              </w:rPr>
              <w:t>الوجه الأول</w:t>
            </w:r>
            <w:r>
              <w:rPr>
                <w:rStyle w:val="IndexLink"/>
                <w:rtl w:val="true"/>
              </w:rPr>
              <w:t>:</w:t>
              <w:tab/>
            </w:r>
            <w:r>
              <w:rPr>
                <w:rStyle w:val="IndexLink"/>
              </w:rPr>
              <w:t>45</w:t>
            </w:r>
          </w:hyperlink>
        </w:p>
        <w:p>
          <w:pPr>
            <w:pStyle w:val="Contents2"/>
            <w:tabs>
              <w:tab w:val="clear" w:pos="8743"/>
              <w:tab w:val="right" w:pos="9026" w:leader="dot"/>
            </w:tabs>
            <w:rPr/>
          </w:pPr>
          <w:hyperlink w:anchor="__RefHeading___Toc11691135_1280447820">
            <w:r>
              <w:rPr>
                <w:webHidden/>
                <w:rStyle w:val="IndexLink"/>
                <w:rtl w:val="true"/>
              </w:rPr>
              <w:t>الوجه الثاني</w:t>
            </w:r>
            <w:r>
              <w:rPr>
                <w:rStyle w:val="IndexLink"/>
                <w:rtl w:val="true"/>
              </w:rPr>
              <w:t>:</w:t>
              <w:tab/>
            </w:r>
            <w:r>
              <w:rPr>
                <w:rStyle w:val="IndexLink"/>
              </w:rPr>
              <w:t>46</w:t>
            </w:r>
          </w:hyperlink>
        </w:p>
        <w:p>
          <w:pPr>
            <w:pStyle w:val="Contents2"/>
            <w:tabs>
              <w:tab w:val="clear" w:pos="8743"/>
              <w:tab w:val="right" w:pos="9026" w:leader="dot"/>
            </w:tabs>
            <w:rPr/>
          </w:pPr>
          <w:hyperlink w:anchor="__RefHeading___Toc11691137_1280447820">
            <w:r>
              <w:rPr>
                <w:webHidden/>
                <w:rStyle w:val="IndexLink"/>
                <w:rtl w:val="true"/>
              </w:rPr>
              <w:t>ادلة القائلين بامتناع اجتماع الأمر و النهي</w:t>
            </w:r>
            <w:r>
              <w:rPr>
                <w:rStyle w:val="IndexLink"/>
                <w:rtl w:val="true"/>
              </w:rPr>
              <w:tab/>
            </w:r>
            <w:r>
              <w:rPr>
                <w:rStyle w:val="IndexLink"/>
              </w:rPr>
              <w:t>47</w:t>
            </w:r>
          </w:hyperlink>
        </w:p>
        <w:p>
          <w:pPr>
            <w:pStyle w:val="Contents2"/>
            <w:tabs>
              <w:tab w:val="clear" w:pos="8743"/>
              <w:tab w:val="right" w:pos="9026" w:leader="dot"/>
            </w:tabs>
            <w:rPr/>
          </w:pPr>
          <w:hyperlink w:anchor="__RefHeading___Toc11691139_1280447820">
            <w:r>
              <w:rPr>
                <w:webHidden/>
                <w:rStyle w:val="IndexLink"/>
                <w:rtl w:val="true"/>
              </w:rPr>
              <w:t>جواب المحقق البروجردي</w:t>
            </w:r>
            <w:r>
              <w:rPr>
                <w:rStyle w:val="IndexLink"/>
                <w:rtl w:val="true"/>
              </w:rPr>
              <w:tab/>
            </w:r>
            <w:r>
              <w:rPr>
                <w:rStyle w:val="IndexLink"/>
              </w:rPr>
              <w:t>48</w:t>
            </w:r>
          </w:hyperlink>
        </w:p>
        <w:p>
          <w:pPr>
            <w:pStyle w:val="Contents2"/>
            <w:tabs>
              <w:tab w:val="clear" w:pos="8743"/>
              <w:tab w:val="right" w:pos="9026" w:leader="dot"/>
            </w:tabs>
            <w:rPr/>
          </w:pPr>
          <w:hyperlink w:anchor="__RefHeading___Toc11691141_1280447820">
            <w:r>
              <w:rPr>
                <w:webHidden/>
                <w:rStyle w:val="IndexLink"/>
                <w:rtl w:val="true"/>
              </w:rPr>
              <w:t>ادلة المجوزين</w:t>
            </w:r>
            <w:r>
              <w:rPr>
                <w:rStyle w:val="IndexLink"/>
                <w:rtl w:val="true"/>
              </w:rPr>
              <w:tab/>
            </w:r>
            <w:r>
              <w:rPr>
                <w:rStyle w:val="IndexLink"/>
              </w:rPr>
              <w:t>55</w:t>
            </w:r>
          </w:hyperlink>
        </w:p>
        <w:p>
          <w:pPr>
            <w:pStyle w:val="Contents2"/>
            <w:tabs>
              <w:tab w:val="clear" w:pos="8743"/>
              <w:tab w:val="right" w:pos="9026" w:leader="dot"/>
            </w:tabs>
            <w:rPr/>
          </w:pPr>
          <w:hyperlink w:anchor="__RefHeading___Toc11691143_1280447820">
            <w:r>
              <w:rPr>
                <w:webHidden/>
                <w:rStyle w:val="IndexLink"/>
                <w:rtl w:val="true"/>
              </w:rPr>
              <w:t>الأول</w:t>
            </w:r>
            <w:r>
              <w:rPr>
                <w:rStyle w:val="IndexLink"/>
                <w:rtl w:val="true"/>
              </w:rPr>
              <w:t xml:space="preserve">: </w:t>
            </w:r>
            <w:r>
              <w:rPr>
                <w:rStyle w:val="IndexLink"/>
                <w:rtl w:val="true"/>
              </w:rPr>
              <w:t>دليل قدماء الأُصوليّين</w:t>
            </w:r>
            <w:r>
              <w:rPr>
                <w:rStyle w:val="IndexLink"/>
                <w:rtl w:val="true"/>
              </w:rPr>
              <w:tab/>
            </w:r>
            <w:r>
              <w:rPr>
                <w:rStyle w:val="IndexLink"/>
              </w:rPr>
              <w:t>55</w:t>
            </w:r>
          </w:hyperlink>
        </w:p>
        <w:p>
          <w:pPr>
            <w:pStyle w:val="Contents2"/>
            <w:tabs>
              <w:tab w:val="clear" w:pos="8743"/>
              <w:tab w:val="right" w:pos="9026" w:leader="dot"/>
            </w:tabs>
            <w:rPr/>
          </w:pPr>
          <w:hyperlink w:anchor="__RefHeading___Toc11691145_1280447820">
            <w:r>
              <w:rPr>
                <w:webHidden/>
                <w:rStyle w:val="IndexLink"/>
                <w:rtl w:val="true"/>
              </w:rPr>
              <w:t>الثاني</w:t>
            </w:r>
            <w:r>
              <w:rPr>
                <w:rStyle w:val="IndexLink"/>
                <w:rtl w:val="true"/>
              </w:rPr>
              <w:t xml:space="preserve">: </w:t>
            </w:r>
            <w:r>
              <w:rPr>
                <w:rStyle w:val="IndexLink"/>
                <w:rtl w:val="true"/>
              </w:rPr>
              <w:t>دليل المحقّق القمّي</w:t>
            </w:r>
            <w:r>
              <w:rPr>
                <w:rStyle w:val="IndexLink"/>
                <w:rtl w:val="true"/>
              </w:rPr>
              <w:tab/>
            </w:r>
            <w:r>
              <w:rPr>
                <w:rStyle w:val="IndexLink"/>
              </w:rPr>
              <w:t>55</w:t>
            </w:r>
          </w:hyperlink>
        </w:p>
        <w:p>
          <w:pPr>
            <w:pStyle w:val="Contents2"/>
            <w:tabs>
              <w:tab w:val="clear" w:pos="8743"/>
              <w:tab w:val="right" w:pos="9026" w:leader="dot"/>
            </w:tabs>
            <w:rPr/>
          </w:pPr>
          <w:hyperlink w:anchor="__RefHeading___Toc11691147_1280447820">
            <w:r>
              <w:rPr>
                <w:webHidden/>
                <w:rStyle w:val="IndexLink"/>
                <w:rtl w:val="true"/>
              </w:rPr>
              <w:t>الثالث</w:t>
            </w:r>
            <w:r>
              <w:rPr>
                <w:rStyle w:val="IndexLink"/>
                <w:rtl w:val="true"/>
              </w:rPr>
              <w:t xml:space="preserve">: </w:t>
            </w:r>
            <w:r>
              <w:rPr>
                <w:rStyle w:val="IndexLink"/>
                <w:rtl w:val="true"/>
              </w:rPr>
              <w:t>دليل المحقّق النائيني</w:t>
            </w:r>
            <w:r>
              <w:rPr>
                <w:rStyle w:val="IndexLink"/>
                <w:rtl w:val="true"/>
              </w:rPr>
              <w:tab/>
            </w:r>
            <w:r>
              <w:rPr>
                <w:rStyle w:val="IndexLink"/>
              </w:rPr>
              <w:t>58</w:t>
            </w:r>
          </w:hyperlink>
        </w:p>
        <w:p>
          <w:pPr>
            <w:pStyle w:val="Contents2"/>
            <w:tabs>
              <w:tab w:val="clear" w:pos="8743"/>
              <w:tab w:val="right" w:pos="9026" w:leader="dot"/>
            </w:tabs>
            <w:rPr/>
          </w:pPr>
          <w:hyperlink w:anchor="__RefHeading___Toc11691149_1280447820">
            <w:r>
              <w:rPr>
                <w:webHidden/>
                <w:rStyle w:val="IndexLink"/>
                <w:rtl w:val="true"/>
              </w:rPr>
              <w:t>الوجه الرابع</w:t>
            </w:r>
            <w:r>
              <w:rPr>
                <w:rStyle w:val="IndexLink"/>
                <w:rtl w:val="true"/>
              </w:rPr>
              <w:tab/>
            </w:r>
            <w:r>
              <w:rPr>
                <w:rStyle w:val="IndexLink"/>
              </w:rPr>
              <w:t>61</w:t>
            </w:r>
          </w:hyperlink>
        </w:p>
        <w:p>
          <w:pPr>
            <w:pStyle w:val="Contents2"/>
            <w:tabs>
              <w:tab w:val="clear" w:pos="8743"/>
              <w:tab w:val="right" w:pos="9026" w:leader="dot"/>
            </w:tabs>
            <w:rPr/>
          </w:pPr>
          <w:hyperlink w:anchor="__RefHeading___Toc11691151_1280447820">
            <w:r>
              <w:rPr>
                <w:webHidden/>
                <w:rStyle w:val="IndexLink"/>
                <w:rtl w:val="true"/>
              </w:rPr>
              <w:t>الوجه الخامس للمحقّق البروجردي</w:t>
            </w:r>
            <w:r>
              <w:rPr>
                <w:rStyle w:val="IndexLink"/>
                <w:rtl w:val="true"/>
              </w:rPr>
              <w:tab/>
            </w:r>
            <w:r>
              <w:rPr>
                <w:rStyle w:val="IndexLink"/>
              </w:rPr>
              <w:t>62</w:t>
            </w:r>
          </w:hyperlink>
        </w:p>
        <w:p>
          <w:pPr>
            <w:pStyle w:val="Contents2"/>
            <w:tabs>
              <w:tab w:val="clear" w:pos="8743"/>
              <w:tab w:val="right" w:pos="9026" w:leader="dot"/>
            </w:tabs>
            <w:rPr/>
          </w:pPr>
          <w:hyperlink w:anchor="__RefHeading___Toc11691153_1280447820">
            <w:r>
              <w:rPr>
                <w:webHidden/>
                <w:rStyle w:val="IndexLink"/>
                <w:rtl w:val="true"/>
              </w:rPr>
              <w:t>المقام الأوّل</w:t>
            </w:r>
            <w:r>
              <w:rPr>
                <w:rStyle w:val="IndexLink"/>
                <w:rtl w:val="true"/>
              </w:rPr>
              <w:t xml:space="preserve">: </w:t>
            </w:r>
            <w:r>
              <w:rPr>
                <w:rStyle w:val="IndexLink"/>
                <w:rtl w:val="true"/>
              </w:rPr>
              <w:t>في إيضاح النظرية بذكر ما تبتني عليه</w:t>
            </w:r>
            <w:r>
              <w:rPr>
                <w:rStyle w:val="IndexLink"/>
                <w:rtl w:val="true"/>
              </w:rPr>
              <w:tab/>
            </w:r>
            <w:r>
              <w:rPr>
                <w:rStyle w:val="IndexLink"/>
              </w:rPr>
              <w:t>63</w:t>
            </w:r>
          </w:hyperlink>
        </w:p>
        <w:p>
          <w:pPr>
            <w:pStyle w:val="Contents2"/>
            <w:tabs>
              <w:tab w:val="clear" w:pos="8743"/>
              <w:tab w:val="right" w:pos="9026" w:leader="dot"/>
            </w:tabs>
            <w:rPr/>
          </w:pPr>
          <w:hyperlink w:anchor="__RefHeading___Toc11691155_1280447820">
            <w:r>
              <w:rPr>
                <w:webHidden/>
                <w:rStyle w:val="IndexLink"/>
                <w:rtl w:val="true"/>
              </w:rPr>
              <w:t>المقام الثاني</w:t>
            </w:r>
            <w:r>
              <w:rPr>
                <w:rStyle w:val="IndexLink"/>
                <w:rtl w:val="true"/>
              </w:rPr>
              <w:t xml:space="preserve">: </w:t>
            </w:r>
            <w:r>
              <w:rPr>
                <w:rStyle w:val="IndexLink"/>
                <w:rtl w:val="true"/>
              </w:rPr>
              <w:t>دفع المحاذير</w:t>
            </w:r>
            <w:r>
              <w:rPr>
                <w:rStyle w:val="IndexLink"/>
                <w:rtl w:val="true"/>
              </w:rPr>
              <w:tab/>
            </w:r>
            <w:r>
              <w:rPr>
                <w:rStyle w:val="IndexLink"/>
              </w:rPr>
              <w:t>65</w:t>
            </w:r>
          </w:hyperlink>
        </w:p>
        <w:p>
          <w:pPr>
            <w:pStyle w:val="Contents2"/>
            <w:tabs>
              <w:tab w:val="clear" w:pos="8743"/>
              <w:tab w:val="right" w:pos="9026" w:leader="dot"/>
            </w:tabs>
            <w:rPr/>
          </w:pPr>
          <w:hyperlink w:anchor="__RefHeading___Toc11691157_1280447820">
            <w:r>
              <w:rPr>
                <w:webHidden/>
                <w:rStyle w:val="IndexLink"/>
                <w:rtl w:val="true"/>
              </w:rPr>
              <w:t>الاول</w:t>
            </w:r>
            <w:r>
              <w:rPr>
                <w:rStyle w:val="IndexLink"/>
                <w:rtl w:val="true"/>
              </w:rPr>
              <w:t xml:space="preserve">: </w:t>
            </w:r>
            <w:r>
              <w:rPr>
                <w:rStyle w:val="IndexLink"/>
                <w:rtl w:val="true"/>
              </w:rPr>
              <w:t>عدم المحذور في مقام الجعل</w:t>
            </w:r>
            <w:r>
              <w:rPr>
                <w:rStyle w:val="IndexLink"/>
                <w:rtl w:val="true"/>
              </w:rPr>
              <w:tab/>
            </w:r>
            <w:r>
              <w:rPr>
                <w:rStyle w:val="IndexLink"/>
              </w:rPr>
              <w:t>65</w:t>
            </w:r>
          </w:hyperlink>
        </w:p>
        <w:p>
          <w:pPr>
            <w:pStyle w:val="Contents2"/>
            <w:tabs>
              <w:tab w:val="clear" w:pos="8743"/>
              <w:tab w:val="right" w:pos="9026" w:leader="dot"/>
            </w:tabs>
            <w:rPr/>
          </w:pPr>
          <w:hyperlink w:anchor="__RefHeading___Toc11691159_1280447820">
            <w:r>
              <w:rPr>
                <w:webHidden/>
                <w:rStyle w:val="IndexLink"/>
                <w:rtl w:val="true"/>
              </w:rPr>
              <w:t>الثاني</w:t>
            </w:r>
            <w:r>
              <w:rPr>
                <w:rStyle w:val="IndexLink"/>
                <w:rtl w:val="true"/>
              </w:rPr>
              <w:t xml:space="preserve">: </w:t>
            </w:r>
            <w:r>
              <w:rPr>
                <w:rStyle w:val="IndexLink"/>
                <w:rtl w:val="true"/>
              </w:rPr>
              <w:t>عدم المحذور في مبادئ الأحكام</w:t>
            </w:r>
            <w:r>
              <w:rPr>
                <w:rStyle w:val="IndexLink"/>
                <w:rtl w:val="true"/>
              </w:rPr>
              <w:tab/>
            </w:r>
            <w:r>
              <w:rPr>
                <w:rStyle w:val="IndexLink"/>
              </w:rPr>
              <w:t>66</w:t>
            </w:r>
          </w:hyperlink>
        </w:p>
        <w:p>
          <w:pPr>
            <w:pStyle w:val="Contents2"/>
            <w:tabs>
              <w:tab w:val="clear" w:pos="8743"/>
              <w:tab w:val="right" w:pos="9026" w:leader="dot"/>
            </w:tabs>
            <w:rPr/>
          </w:pPr>
          <w:hyperlink w:anchor="__RefHeading___Toc11691161_1280447820">
            <w:r>
              <w:rPr>
                <w:webHidden/>
                <w:rStyle w:val="IndexLink"/>
                <w:rtl w:val="true"/>
              </w:rPr>
              <w:t>الثالث</w:t>
            </w:r>
            <w:r>
              <w:rPr>
                <w:rStyle w:val="IndexLink"/>
                <w:rtl w:val="true"/>
              </w:rPr>
              <w:t xml:space="preserve">: </w:t>
            </w:r>
            <w:r>
              <w:rPr>
                <w:rStyle w:val="IndexLink"/>
                <w:rtl w:val="true"/>
              </w:rPr>
              <w:t>عدم المحذور في مقام الامتثال</w:t>
            </w:r>
            <w:r>
              <w:rPr>
                <w:rStyle w:val="IndexLink"/>
                <w:rtl w:val="true"/>
              </w:rPr>
              <w:tab/>
            </w:r>
            <w:r>
              <w:rPr>
                <w:rStyle w:val="IndexLink"/>
              </w:rPr>
              <w:t>67</w:t>
            </w:r>
          </w:hyperlink>
        </w:p>
        <w:p>
          <w:pPr>
            <w:pStyle w:val="Contents2"/>
            <w:tabs>
              <w:tab w:val="clear" w:pos="8743"/>
              <w:tab w:val="right" w:pos="9026" w:leader="dot"/>
            </w:tabs>
            <w:rPr/>
          </w:pPr>
          <w:hyperlink w:anchor="__RefHeading___Toc11691163_1280447820">
            <w:r>
              <w:rPr>
                <w:webHidden/>
                <w:rStyle w:val="IndexLink"/>
                <w:rtl w:val="true"/>
              </w:rPr>
              <w:t>الوجه السادس</w:t>
            </w:r>
            <w:r>
              <w:rPr>
                <w:rStyle w:val="IndexLink"/>
                <w:rtl w:val="true"/>
              </w:rPr>
              <w:t xml:space="preserve">: </w:t>
            </w:r>
            <w:r>
              <w:rPr>
                <w:rStyle w:val="IndexLink"/>
                <w:rtl w:val="true"/>
              </w:rPr>
              <w:t>استكشاف جواز الاجتماع من عدم ورود النص</w:t>
            </w:r>
            <w:r>
              <w:rPr>
                <w:rStyle w:val="IndexLink"/>
                <w:rtl w:val="true"/>
              </w:rPr>
              <w:tab/>
            </w:r>
            <w:r>
              <w:rPr>
                <w:rStyle w:val="IndexLink"/>
              </w:rPr>
              <w:t>70</w:t>
            </w:r>
          </w:hyperlink>
        </w:p>
        <w:p>
          <w:pPr>
            <w:pStyle w:val="Contents2"/>
            <w:tabs>
              <w:tab w:val="clear" w:pos="8743"/>
              <w:tab w:val="right" w:pos="9026" w:leader="dot"/>
            </w:tabs>
            <w:rPr/>
          </w:pPr>
          <w:hyperlink w:anchor="__RefHeading___Toc11691165_1280447820">
            <w:r>
              <w:rPr>
                <w:webHidden/>
                <w:rStyle w:val="IndexLink"/>
                <w:rtl w:val="true"/>
              </w:rPr>
              <w:t>الوجه السابع</w:t>
            </w:r>
            <w:r>
              <w:rPr>
                <w:rStyle w:val="IndexLink"/>
                <w:rtl w:val="true"/>
              </w:rPr>
              <w:t xml:space="preserve">: </w:t>
            </w:r>
            <w:r>
              <w:rPr>
                <w:rStyle w:val="IndexLink"/>
                <w:rtl w:val="true"/>
              </w:rPr>
              <w:t>الاستدلال بالعبادات المكروهة</w:t>
            </w:r>
            <w:r>
              <w:rPr>
                <w:rStyle w:val="IndexLink"/>
                <w:rtl w:val="true"/>
              </w:rPr>
              <w:tab/>
            </w:r>
            <w:r>
              <w:rPr>
                <w:rStyle w:val="IndexLink"/>
              </w:rPr>
              <w:t>71</w:t>
            </w:r>
          </w:hyperlink>
        </w:p>
        <w:p>
          <w:pPr>
            <w:pStyle w:val="Contents2"/>
            <w:tabs>
              <w:tab w:val="clear" w:pos="8743"/>
              <w:tab w:val="right" w:pos="9026" w:leader="dot"/>
            </w:tabs>
            <w:rPr/>
          </w:pPr>
          <w:hyperlink w:anchor="__RefHeading___Toc11691167_1280447820">
            <w:r>
              <w:rPr>
                <w:webHidden/>
                <w:rStyle w:val="IndexLink"/>
                <w:rtl w:val="true"/>
              </w:rPr>
              <w:t>جواب المحقّق الخراساني الاجمالي</w:t>
            </w:r>
            <w:r>
              <w:rPr>
                <w:rStyle w:val="IndexLink"/>
                <w:rtl w:val="true"/>
              </w:rPr>
              <w:tab/>
            </w:r>
            <w:r>
              <w:rPr>
                <w:rStyle w:val="IndexLink"/>
              </w:rPr>
              <w:t>71</w:t>
            </w:r>
          </w:hyperlink>
        </w:p>
        <w:p>
          <w:pPr>
            <w:pStyle w:val="Contents2"/>
            <w:tabs>
              <w:tab w:val="clear" w:pos="8743"/>
              <w:tab w:val="right" w:pos="9026" w:leader="dot"/>
            </w:tabs>
            <w:rPr/>
          </w:pPr>
          <w:hyperlink w:anchor="__RefHeading___Toc11691169_1280447820">
            <w:r>
              <w:rPr>
                <w:webHidden/>
                <w:rStyle w:val="IndexLink"/>
                <w:rtl w:val="true"/>
              </w:rPr>
              <w:t>جواب المحقق الخراساني التفصيلي</w:t>
            </w:r>
            <w:r>
              <w:rPr>
                <w:rStyle w:val="IndexLink"/>
                <w:rtl w:val="true"/>
              </w:rPr>
              <w:tab/>
            </w:r>
            <w:r>
              <w:rPr>
                <w:rStyle w:val="IndexLink"/>
              </w:rPr>
              <w:t>74</w:t>
            </w:r>
          </w:hyperlink>
        </w:p>
        <w:p>
          <w:pPr>
            <w:pStyle w:val="Contents2"/>
            <w:tabs>
              <w:tab w:val="clear" w:pos="8743"/>
              <w:tab w:val="right" w:pos="9026" w:leader="dot"/>
            </w:tabs>
            <w:rPr/>
          </w:pPr>
          <w:hyperlink w:anchor="__RefHeading___Toc11691171_1280447820">
            <w:r>
              <w:rPr>
                <w:webHidden/>
                <w:rStyle w:val="IndexLink"/>
                <w:rtl w:val="true"/>
              </w:rPr>
              <w:t>تقسيم العبادات المكروهة على أقسام ثلاثة</w:t>
            </w:r>
            <w:r>
              <w:rPr>
                <w:rStyle w:val="IndexLink"/>
                <w:rtl w:val="true"/>
              </w:rPr>
              <w:tab/>
            </w:r>
            <w:r>
              <w:rPr>
                <w:rStyle w:val="IndexLink"/>
              </w:rPr>
              <w:t>74</w:t>
            </w:r>
          </w:hyperlink>
        </w:p>
        <w:p>
          <w:pPr>
            <w:pStyle w:val="Contents2"/>
            <w:tabs>
              <w:tab w:val="clear" w:pos="8743"/>
              <w:tab w:val="right" w:pos="9026" w:leader="dot"/>
            </w:tabs>
            <w:rPr/>
          </w:pPr>
          <w:hyperlink w:anchor="__RefHeading___Toc11691173_1280447820">
            <w:r>
              <w:rPr>
                <w:webHidden/>
                <w:rStyle w:val="IndexLink"/>
                <w:rtl w:val="true"/>
              </w:rPr>
              <w:t>اجابة المحقق الخراساني عن القسم الاول</w:t>
            </w:r>
            <w:r>
              <w:rPr>
                <w:rStyle w:val="IndexLink"/>
                <w:rtl w:val="true"/>
              </w:rPr>
              <w:tab/>
            </w:r>
            <w:r>
              <w:rPr>
                <w:rStyle w:val="IndexLink"/>
              </w:rPr>
              <w:t>75</w:t>
            </w:r>
          </w:hyperlink>
        </w:p>
        <w:p>
          <w:pPr>
            <w:pStyle w:val="Contents2"/>
            <w:tabs>
              <w:tab w:val="clear" w:pos="8743"/>
              <w:tab w:val="right" w:pos="9026" w:leader="dot"/>
            </w:tabs>
            <w:rPr/>
          </w:pPr>
          <w:hyperlink w:anchor="__RefHeading___Toc11691175_1280447820">
            <w:r>
              <w:rPr>
                <w:webHidden/>
                <w:rStyle w:val="IndexLink"/>
                <w:rtl w:val="true"/>
              </w:rPr>
              <w:t>إجابة المحقّق الخراساني عن القسم الثاني و الثالث</w:t>
            </w:r>
            <w:r>
              <w:rPr>
                <w:rStyle w:val="IndexLink"/>
                <w:rtl w:val="true"/>
              </w:rPr>
              <w:tab/>
            </w:r>
            <w:r>
              <w:rPr>
                <w:rStyle w:val="IndexLink"/>
              </w:rPr>
              <w:t>77</w:t>
            </w:r>
          </w:hyperlink>
        </w:p>
        <w:p>
          <w:pPr>
            <w:pStyle w:val="Contents2"/>
            <w:tabs>
              <w:tab w:val="clear" w:pos="8743"/>
              <w:tab w:val="right" w:pos="9026" w:leader="dot"/>
            </w:tabs>
            <w:rPr/>
          </w:pPr>
          <w:hyperlink w:anchor="__RefHeading___Toc11691177_1280447820">
            <w:r>
              <w:rPr>
                <w:webHidden/>
                <w:rStyle w:val="IndexLink"/>
                <w:rtl w:val="true"/>
              </w:rPr>
              <w:t>في مناط الاضطرار الرافع للحرمة</w:t>
            </w:r>
            <w:r>
              <w:rPr>
                <w:rStyle w:val="IndexLink"/>
                <w:rtl w:val="true"/>
              </w:rPr>
              <w:tab/>
            </w:r>
            <w:r>
              <w:rPr>
                <w:rStyle w:val="IndexLink"/>
              </w:rPr>
              <w:t>78</w:t>
            </w:r>
          </w:hyperlink>
        </w:p>
        <w:p>
          <w:pPr>
            <w:pStyle w:val="Contents2"/>
            <w:tabs>
              <w:tab w:val="clear" w:pos="8743"/>
              <w:tab w:val="right" w:pos="9026" w:leader="dot"/>
            </w:tabs>
            <w:rPr/>
          </w:pPr>
          <w:hyperlink w:anchor="__RefHeading___Toc11691179_1280447820">
            <w:r>
              <w:rPr>
                <w:webHidden/>
                <w:rStyle w:val="IndexLink"/>
                <w:rtl w:val="true"/>
              </w:rPr>
              <w:t>استدلال المحقق السيد البروجردي</w:t>
            </w:r>
            <w:r>
              <w:rPr>
                <w:rStyle w:val="IndexLink"/>
                <w:rtl w:val="true"/>
              </w:rPr>
              <w:tab/>
            </w:r>
            <w:r>
              <w:rPr>
                <w:rStyle w:val="IndexLink"/>
              </w:rPr>
              <w:t>80</w:t>
            </w:r>
          </w:hyperlink>
        </w:p>
        <w:p>
          <w:pPr>
            <w:pStyle w:val="Contents2"/>
            <w:tabs>
              <w:tab w:val="clear" w:pos="8743"/>
              <w:tab w:val="right" w:pos="9026" w:leader="dot"/>
            </w:tabs>
            <w:rPr/>
          </w:pPr>
          <w:hyperlink w:anchor="__RefHeading___Toc11691181_1280447820">
            <w:r>
              <w:rPr>
                <w:webHidden/>
                <w:rStyle w:val="IndexLink"/>
                <w:rtl w:val="true"/>
              </w:rPr>
              <w:t>حكم الاضطرار بسوء الاختيار</w:t>
            </w:r>
            <w:r>
              <w:rPr>
                <w:rStyle w:val="IndexLink"/>
                <w:rtl w:val="true"/>
              </w:rPr>
              <w:tab/>
            </w:r>
            <w:r>
              <w:rPr>
                <w:rStyle w:val="IndexLink"/>
              </w:rPr>
              <w:t>80</w:t>
            </w:r>
          </w:hyperlink>
        </w:p>
        <w:p>
          <w:pPr>
            <w:pStyle w:val="Contents2"/>
            <w:tabs>
              <w:tab w:val="clear" w:pos="8743"/>
              <w:tab w:val="right" w:pos="9026" w:leader="dot"/>
            </w:tabs>
            <w:rPr/>
          </w:pPr>
          <w:hyperlink w:anchor="__RefHeading___Toc11691183_1280447820">
            <w:r>
              <w:rPr>
                <w:webHidden/>
                <w:rStyle w:val="IndexLink"/>
                <w:rtl w:val="true"/>
              </w:rPr>
              <w:t>حكم الخروج تكليفاً</w:t>
            </w:r>
            <w:r>
              <w:rPr>
                <w:rStyle w:val="IndexLink"/>
                <w:rtl w:val="true"/>
              </w:rPr>
              <w:tab/>
            </w:r>
            <w:r>
              <w:rPr>
                <w:rStyle w:val="IndexLink"/>
              </w:rPr>
              <w:t>81</w:t>
            </w:r>
          </w:hyperlink>
        </w:p>
        <w:p>
          <w:pPr>
            <w:pStyle w:val="Contents2"/>
            <w:tabs>
              <w:tab w:val="clear" w:pos="8743"/>
              <w:tab w:val="right" w:pos="9026" w:leader="dot"/>
            </w:tabs>
            <w:rPr/>
          </w:pPr>
          <w:hyperlink w:anchor="__RefHeading___Toc11691185_1280447820">
            <w:r>
              <w:rPr>
                <w:webHidden/>
                <w:rStyle w:val="IndexLink"/>
                <w:rtl w:val="true"/>
              </w:rPr>
              <w:t>القول الاول</w:t>
            </w:r>
            <w:r>
              <w:rPr>
                <w:rStyle w:val="IndexLink"/>
                <w:rtl w:val="true"/>
              </w:rPr>
              <w:t xml:space="preserve">: </w:t>
            </w:r>
            <w:r>
              <w:rPr>
                <w:rStyle w:val="IndexLink"/>
                <w:rtl w:val="true"/>
              </w:rPr>
              <w:t>انّه مأمور به و منهيّ عنه</w:t>
            </w:r>
            <w:r>
              <w:rPr>
                <w:rStyle w:val="IndexLink"/>
                <w:rtl w:val="true"/>
              </w:rPr>
              <w:tab/>
            </w:r>
            <w:r>
              <w:rPr>
                <w:rStyle w:val="IndexLink"/>
              </w:rPr>
              <w:t>85</w:t>
            </w:r>
          </w:hyperlink>
        </w:p>
        <w:p>
          <w:pPr>
            <w:pStyle w:val="Contents2"/>
            <w:tabs>
              <w:tab w:val="clear" w:pos="8743"/>
              <w:tab w:val="right" w:pos="9026" w:leader="dot"/>
            </w:tabs>
            <w:rPr/>
          </w:pPr>
          <w:hyperlink w:anchor="__RefHeading___Toc11691187_1280447820">
            <w:r>
              <w:rPr>
                <w:webHidden/>
                <w:rStyle w:val="IndexLink"/>
                <w:rtl w:val="true"/>
              </w:rPr>
              <w:t>القول الثاني</w:t>
            </w:r>
            <w:r>
              <w:rPr>
                <w:rStyle w:val="IndexLink"/>
                <w:rtl w:val="true"/>
              </w:rPr>
              <w:t xml:space="preserve">: </w:t>
            </w:r>
            <w:r>
              <w:rPr>
                <w:rStyle w:val="IndexLink"/>
                <w:rtl w:val="true"/>
              </w:rPr>
              <w:t>الخروج واجب شرعاً</w:t>
            </w:r>
            <w:r>
              <w:rPr>
                <w:rStyle w:val="IndexLink"/>
                <w:rtl w:val="true"/>
              </w:rPr>
              <w:tab/>
            </w:r>
            <w:r>
              <w:rPr>
                <w:rStyle w:val="IndexLink"/>
              </w:rPr>
              <w:t>87</w:t>
            </w:r>
          </w:hyperlink>
        </w:p>
        <w:p>
          <w:pPr>
            <w:pStyle w:val="Contents2"/>
            <w:tabs>
              <w:tab w:val="clear" w:pos="8743"/>
              <w:tab w:val="right" w:pos="9026" w:leader="dot"/>
            </w:tabs>
            <w:rPr/>
          </w:pPr>
          <w:hyperlink w:anchor="__RefHeading___Toc11691189_1280447820">
            <w:r>
              <w:rPr>
                <w:webHidden/>
                <w:rStyle w:val="IndexLink"/>
                <w:rtl w:val="true"/>
              </w:rPr>
              <w:t>القول الثالث</w:t>
            </w:r>
            <w:r>
              <w:rPr>
                <w:rStyle w:val="IndexLink"/>
                <w:rtl w:val="true"/>
              </w:rPr>
              <w:t xml:space="preserve">: </w:t>
            </w:r>
            <w:r>
              <w:rPr>
                <w:rStyle w:val="IndexLink"/>
                <w:rtl w:val="true"/>
              </w:rPr>
              <w:t>مأمور به، و منهي بالنهي الساقط</w:t>
            </w:r>
            <w:r>
              <w:rPr>
                <w:rStyle w:val="IndexLink"/>
                <w:rtl w:val="true"/>
              </w:rPr>
              <w:tab/>
            </w:r>
            <w:r>
              <w:rPr>
                <w:rStyle w:val="IndexLink"/>
              </w:rPr>
              <w:t>92</w:t>
            </w:r>
          </w:hyperlink>
        </w:p>
        <w:p>
          <w:pPr>
            <w:pStyle w:val="Contents2"/>
            <w:tabs>
              <w:tab w:val="clear" w:pos="8743"/>
              <w:tab w:val="right" w:pos="9026" w:leader="dot"/>
            </w:tabs>
            <w:rPr/>
          </w:pPr>
          <w:hyperlink w:anchor="__RefHeading___Toc11691191_1280447820">
            <w:r>
              <w:rPr>
                <w:webHidden/>
                <w:rStyle w:val="IndexLink"/>
                <w:rtl w:val="true"/>
              </w:rPr>
              <w:t>الرابع</w:t>
            </w:r>
            <w:r>
              <w:rPr>
                <w:rStyle w:val="IndexLink"/>
                <w:rtl w:val="true"/>
              </w:rPr>
              <w:t xml:space="preserve">: </w:t>
            </w:r>
            <w:r>
              <w:rPr>
                <w:rStyle w:val="IndexLink"/>
                <w:rtl w:val="true"/>
              </w:rPr>
              <w:t>الخروج منهي عنه بالنهي الفعلي فقط</w:t>
            </w:r>
            <w:r>
              <w:rPr>
                <w:rStyle w:val="IndexLink"/>
                <w:rtl w:val="true"/>
              </w:rPr>
              <w:tab/>
            </w:r>
            <w:r>
              <w:rPr>
                <w:rStyle w:val="IndexLink"/>
              </w:rPr>
              <w:t>93</w:t>
            </w:r>
          </w:hyperlink>
        </w:p>
        <w:p>
          <w:pPr>
            <w:pStyle w:val="Contents2"/>
            <w:tabs>
              <w:tab w:val="clear" w:pos="8743"/>
              <w:tab w:val="right" w:pos="9026" w:leader="dot"/>
            </w:tabs>
            <w:rPr/>
          </w:pPr>
          <w:hyperlink w:anchor="__RefHeading___Toc11691193_1280447820">
            <w:r>
              <w:rPr>
                <w:webHidden/>
                <w:rStyle w:val="IndexLink"/>
                <w:rtl w:val="true"/>
              </w:rPr>
              <w:t>القول الخامس</w:t>
            </w:r>
            <w:r>
              <w:rPr>
                <w:rStyle w:val="IndexLink"/>
                <w:rtl w:val="true"/>
              </w:rPr>
              <w:t xml:space="preserve">: </w:t>
            </w:r>
            <w:r>
              <w:rPr>
                <w:rStyle w:val="IndexLink"/>
                <w:rtl w:val="true"/>
              </w:rPr>
              <w:t>انّه منهي عنه و مأمور به بالترتّب</w:t>
            </w:r>
            <w:r>
              <w:rPr>
                <w:rStyle w:val="IndexLink"/>
                <w:rtl w:val="true"/>
              </w:rPr>
              <w:tab/>
            </w:r>
            <w:r>
              <w:rPr>
                <w:rStyle w:val="IndexLink"/>
              </w:rPr>
              <w:t>94</w:t>
            </w:r>
          </w:hyperlink>
        </w:p>
        <w:p>
          <w:pPr>
            <w:pStyle w:val="Contents2"/>
            <w:tabs>
              <w:tab w:val="clear" w:pos="8743"/>
              <w:tab w:val="right" w:pos="9026" w:leader="dot"/>
            </w:tabs>
            <w:rPr/>
          </w:pPr>
          <w:hyperlink w:anchor="__RefHeading___Toc11691195_1280447820">
            <w:r>
              <w:rPr>
                <w:webHidden/>
                <w:rStyle w:val="IndexLink"/>
                <w:rtl w:val="true"/>
              </w:rPr>
              <w:t>القول السادس</w:t>
            </w:r>
            <w:r>
              <w:rPr>
                <w:rStyle w:val="IndexLink"/>
                <w:rtl w:val="true"/>
              </w:rPr>
              <w:t xml:space="preserve">: </w:t>
            </w:r>
            <w:r>
              <w:rPr>
                <w:rStyle w:val="IndexLink"/>
                <w:rtl w:val="true"/>
              </w:rPr>
              <w:t>ليس محكوماً بحكم فعلًا مع جريان المعصية</w:t>
            </w:r>
            <w:r>
              <w:rPr>
                <w:rStyle w:val="IndexLink"/>
                <w:rtl w:val="true"/>
              </w:rPr>
              <w:tab/>
            </w:r>
            <w:r>
              <w:rPr>
                <w:rStyle w:val="IndexLink"/>
              </w:rPr>
              <w:t>94</w:t>
            </w:r>
          </w:hyperlink>
        </w:p>
        <w:p>
          <w:pPr>
            <w:pStyle w:val="Contents2"/>
            <w:tabs>
              <w:tab w:val="clear" w:pos="8743"/>
              <w:tab w:val="right" w:pos="9026" w:leader="dot"/>
            </w:tabs>
            <w:rPr/>
          </w:pPr>
          <w:hyperlink w:anchor="__RefHeading___Toc11691197_1280447820">
            <w:r>
              <w:rPr>
                <w:webHidden/>
                <w:rStyle w:val="IndexLink"/>
                <w:rtl w:val="true"/>
              </w:rPr>
              <w:t>حكم العبادة حين الخروج</w:t>
            </w:r>
            <w:r>
              <w:rPr>
                <w:rStyle w:val="IndexLink"/>
                <w:rtl w:val="true"/>
              </w:rPr>
              <w:tab/>
            </w:r>
            <w:r>
              <w:rPr>
                <w:rStyle w:val="IndexLink"/>
              </w:rPr>
              <w:t>95</w:t>
            </w:r>
          </w:hyperlink>
        </w:p>
        <w:p>
          <w:pPr>
            <w:pStyle w:val="Contents2"/>
            <w:tabs>
              <w:tab w:val="clear" w:pos="8743"/>
              <w:tab w:val="right" w:pos="9026" w:leader="dot"/>
            </w:tabs>
            <w:rPr/>
          </w:pPr>
          <w:hyperlink w:anchor="__RefHeading___Toc11691199_1280447820">
            <w:r>
              <w:rPr>
                <w:webHidden/>
                <w:rStyle w:val="IndexLink"/>
                <w:rtl w:val="true"/>
              </w:rPr>
              <w:t>حكم الخروج إذا تاب بعد الدخول</w:t>
            </w:r>
            <w:r>
              <w:rPr>
                <w:rStyle w:val="IndexLink"/>
                <w:rtl w:val="true"/>
              </w:rPr>
              <w:tab/>
            </w:r>
            <w:r>
              <w:rPr>
                <w:rStyle w:val="IndexLink"/>
              </w:rPr>
              <w:t>98</w:t>
            </w:r>
          </w:hyperlink>
        </w:p>
        <w:p>
          <w:pPr>
            <w:pStyle w:val="Contents2"/>
            <w:tabs>
              <w:tab w:val="clear" w:pos="8743"/>
              <w:tab w:val="right" w:pos="9026" w:leader="dot"/>
            </w:tabs>
            <w:rPr/>
          </w:pPr>
          <w:hyperlink w:anchor="__RefHeading___Toc11691201_1280447820">
            <w:r>
              <w:rPr>
                <w:webHidden/>
                <w:rStyle w:val="IndexLink"/>
                <w:rtl w:val="true"/>
              </w:rPr>
              <w:t>حکم ما إذا اضطرّ إلى ارتكاب الحرام لكن لا بسوء الاختيار</w:t>
            </w:r>
            <w:r>
              <w:rPr>
                <w:rStyle w:val="IndexLink"/>
                <w:rtl w:val="true"/>
              </w:rPr>
              <w:tab/>
            </w:r>
            <w:r>
              <w:rPr>
                <w:rStyle w:val="IndexLink"/>
              </w:rPr>
              <w:t>98</w:t>
            </w:r>
          </w:hyperlink>
        </w:p>
        <w:p>
          <w:pPr>
            <w:pStyle w:val="Contents2"/>
            <w:tabs>
              <w:tab w:val="clear" w:pos="8743"/>
              <w:tab w:val="right" w:pos="9026" w:leader="dot"/>
            </w:tabs>
            <w:rPr/>
          </w:pPr>
          <w:hyperlink w:anchor="__RefHeading___Toc11691203_1280447820">
            <w:r>
              <w:rPr>
                <w:webHidden/>
                <w:rStyle w:val="IndexLink"/>
                <w:rtl w:val="true"/>
              </w:rPr>
              <w:t>وجوه تقديم النهي علی الامر</w:t>
            </w:r>
            <w:r>
              <w:rPr>
                <w:rStyle w:val="IndexLink"/>
                <w:rtl w:val="true"/>
              </w:rPr>
              <w:tab/>
            </w:r>
            <w:r>
              <w:rPr>
                <w:rStyle w:val="IndexLink"/>
              </w:rPr>
              <w:t>99</w:t>
            </w:r>
          </w:hyperlink>
        </w:p>
        <w:p>
          <w:pPr>
            <w:pStyle w:val="Contents2"/>
            <w:tabs>
              <w:tab w:val="clear" w:pos="8743"/>
              <w:tab w:val="right" w:pos="9026" w:leader="dot"/>
            </w:tabs>
            <w:rPr/>
          </w:pPr>
          <w:hyperlink w:anchor="__RefHeading___Toc11691205_1280447820">
            <w:r>
              <w:rPr>
                <w:webHidden/>
                <w:rStyle w:val="IndexLink"/>
                <w:rtl w:val="true"/>
              </w:rPr>
              <w:t>الاول</w:t>
            </w:r>
            <w:r>
              <w:rPr>
                <w:rStyle w:val="IndexLink"/>
                <w:rtl w:val="true"/>
              </w:rPr>
              <w:t xml:space="preserve">: </w:t>
            </w:r>
            <w:r>
              <w:rPr>
                <w:rStyle w:val="IndexLink"/>
                <w:rtl w:val="true"/>
              </w:rPr>
              <w:t>أن النهي أقوى دلالة من الامر</w:t>
            </w:r>
            <w:r>
              <w:rPr>
                <w:rStyle w:val="IndexLink"/>
                <w:rtl w:val="true"/>
              </w:rPr>
              <w:tab/>
            </w:r>
            <w:r>
              <w:rPr>
                <w:rStyle w:val="IndexLink"/>
              </w:rPr>
              <w:t>99</w:t>
            </w:r>
          </w:hyperlink>
        </w:p>
        <w:p>
          <w:pPr>
            <w:pStyle w:val="Contents2"/>
            <w:tabs>
              <w:tab w:val="clear" w:pos="8743"/>
              <w:tab w:val="right" w:pos="9026" w:leader="dot"/>
            </w:tabs>
            <w:rPr/>
          </w:pPr>
          <w:hyperlink w:anchor="__RefHeading___Toc11691207_1280447820">
            <w:r>
              <w:rPr>
                <w:webHidden/>
                <w:rStyle w:val="IndexLink"/>
                <w:rtl w:val="true"/>
              </w:rPr>
              <w:t>الثاني</w:t>
            </w:r>
            <w:r>
              <w:rPr>
                <w:rStyle w:val="IndexLink"/>
                <w:rtl w:val="true"/>
              </w:rPr>
              <w:t xml:space="preserve">: </w:t>
            </w:r>
            <w:r>
              <w:rPr>
                <w:rStyle w:val="IndexLink"/>
                <w:rtl w:val="true"/>
              </w:rPr>
              <w:t>دفع المفسدة أولى من جلب المنفعة</w:t>
            </w:r>
            <w:r>
              <w:rPr>
                <w:rStyle w:val="IndexLink"/>
                <w:rtl w:val="true"/>
              </w:rPr>
              <w:tab/>
            </w:r>
            <w:r>
              <w:rPr>
                <w:rStyle w:val="IndexLink"/>
              </w:rPr>
              <w:t>102</w:t>
            </w:r>
          </w:hyperlink>
        </w:p>
        <w:p>
          <w:pPr>
            <w:pStyle w:val="Contents2"/>
            <w:tabs>
              <w:tab w:val="clear" w:pos="8743"/>
              <w:tab w:val="right" w:pos="9026" w:leader="dot"/>
            </w:tabs>
            <w:rPr/>
          </w:pPr>
          <w:hyperlink w:anchor="__RefHeading___Toc11691209_1280447820">
            <w:r>
              <w:rPr>
                <w:webHidden/>
                <w:rStyle w:val="IndexLink"/>
                <w:rtl w:val="true"/>
              </w:rPr>
              <w:t>الثالث</w:t>
            </w:r>
            <w:r>
              <w:rPr>
                <w:rStyle w:val="IndexLink"/>
                <w:rtl w:val="true"/>
              </w:rPr>
              <w:t xml:space="preserve">: </w:t>
            </w:r>
            <w:r>
              <w:rPr>
                <w:rStyle w:val="IndexLink"/>
                <w:rtl w:val="true"/>
              </w:rPr>
              <w:t>الاستقراء</w:t>
            </w:r>
            <w:r>
              <w:rPr>
                <w:rStyle w:val="IndexLink"/>
                <w:rtl w:val="true"/>
              </w:rPr>
              <w:tab/>
            </w:r>
            <w:r>
              <w:rPr>
                <w:rStyle w:val="IndexLink"/>
              </w:rPr>
              <w:t>108</w:t>
            </w:r>
          </w:hyperlink>
        </w:p>
        <w:p>
          <w:pPr>
            <w:pStyle w:val="Contents2"/>
            <w:tabs>
              <w:tab w:val="clear" w:pos="8743"/>
              <w:tab w:val="right" w:pos="9026" w:leader="dot"/>
            </w:tabs>
            <w:rPr/>
          </w:pPr>
          <w:hyperlink w:anchor="__RefHeading___Toc11691211_1280447820">
            <w:r>
              <w:rPr>
                <w:webHidden/>
                <w:rStyle w:val="IndexLink"/>
                <w:rtl w:val="true"/>
              </w:rPr>
              <w:t>احکام التوضّؤ بماءين مشتبهين</w:t>
            </w:r>
            <w:r>
              <w:rPr>
                <w:rStyle w:val="IndexLink"/>
                <w:rtl w:val="true"/>
              </w:rPr>
              <w:tab/>
            </w:r>
            <w:r>
              <w:rPr>
                <w:rStyle w:val="IndexLink"/>
              </w:rPr>
              <w:t>110</w:t>
            </w:r>
          </w:hyperlink>
        </w:p>
        <w:p>
          <w:pPr>
            <w:pStyle w:val="Contents2"/>
            <w:tabs>
              <w:tab w:val="clear" w:pos="8743"/>
              <w:tab w:val="right" w:pos="9026" w:leader="dot"/>
            </w:tabs>
            <w:rPr/>
          </w:pPr>
          <w:hyperlink w:anchor="__RefHeading___Toc11691213_1280447820">
            <w:r>
              <w:rPr>
                <w:webHidden/>
                <w:rStyle w:val="IndexLink"/>
                <w:rtl w:val="true"/>
              </w:rPr>
              <w:t>الفصل الثالث في کاشفية النهي عن الفساد</w:t>
            </w:r>
            <w:r>
              <w:rPr>
                <w:rStyle w:val="IndexLink"/>
                <w:rtl w:val="true"/>
              </w:rPr>
              <w:tab/>
            </w:r>
            <w:r>
              <w:rPr>
                <w:rStyle w:val="IndexLink"/>
              </w:rPr>
              <w:t>114</w:t>
            </w:r>
          </w:hyperlink>
        </w:p>
        <w:p>
          <w:pPr>
            <w:pStyle w:val="Contents2"/>
            <w:tabs>
              <w:tab w:val="clear" w:pos="8743"/>
              <w:tab w:val="right" w:pos="9026" w:leader="dot"/>
            </w:tabs>
            <w:rPr/>
          </w:pPr>
          <w:hyperlink w:anchor="__RefHeading___Toc11691215_1280447820">
            <w:r>
              <w:rPr>
                <w:webHidden/>
                <w:rStyle w:val="IndexLink"/>
                <w:rtl w:val="true"/>
              </w:rPr>
              <w:t>الاول</w:t>
            </w:r>
            <w:r>
              <w:rPr>
                <w:rStyle w:val="IndexLink"/>
                <w:rtl w:val="true"/>
              </w:rPr>
              <w:t xml:space="preserve">: </w:t>
            </w:r>
            <w:r>
              <w:rPr>
                <w:rStyle w:val="IndexLink"/>
                <w:rtl w:val="true"/>
              </w:rPr>
              <w:t>في الفرق بين هذه المسألة و مبحث الاجتماع</w:t>
            </w:r>
            <w:r>
              <w:rPr>
                <w:rStyle w:val="IndexLink"/>
                <w:rtl w:val="true"/>
              </w:rPr>
              <w:tab/>
            </w:r>
            <w:r>
              <w:rPr>
                <w:rStyle w:val="IndexLink"/>
              </w:rPr>
              <w:t>114</w:t>
            </w:r>
          </w:hyperlink>
        </w:p>
        <w:p>
          <w:pPr>
            <w:pStyle w:val="Contents2"/>
            <w:tabs>
              <w:tab w:val="clear" w:pos="8743"/>
              <w:tab w:val="right" w:pos="9026" w:leader="dot"/>
            </w:tabs>
            <w:rPr/>
          </w:pPr>
          <w:hyperlink w:anchor="__RefHeading___Toc11691217_1280447820">
            <w:r>
              <w:rPr>
                <w:webHidden/>
                <w:rStyle w:val="IndexLink"/>
                <w:rtl w:val="true"/>
              </w:rPr>
              <w:t>الثاني</w:t>
            </w:r>
            <w:r>
              <w:rPr>
                <w:rStyle w:val="IndexLink"/>
                <w:rtl w:val="true"/>
              </w:rPr>
              <w:t xml:space="preserve">: </w:t>
            </w:r>
            <w:r>
              <w:rPr>
                <w:rStyle w:val="IndexLink"/>
                <w:rtl w:val="true"/>
              </w:rPr>
              <w:t>هل المسألة عقلية ام لفظية</w:t>
            </w:r>
            <w:r>
              <w:rPr>
                <w:rStyle w:val="IndexLink"/>
                <w:rtl w:val="true"/>
              </w:rPr>
              <w:tab/>
            </w:r>
            <w:r>
              <w:rPr>
                <w:rStyle w:val="IndexLink"/>
              </w:rPr>
              <w:t>115</w:t>
            </w:r>
          </w:hyperlink>
        </w:p>
        <w:p>
          <w:pPr>
            <w:pStyle w:val="Contents2"/>
            <w:tabs>
              <w:tab w:val="clear" w:pos="8743"/>
              <w:tab w:val="right" w:pos="9026" w:leader="dot"/>
            </w:tabs>
            <w:rPr/>
          </w:pPr>
          <w:hyperlink w:anchor="__RefHeading___Toc11691219_1280447820">
            <w:r>
              <w:rPr>
                <w:webHidden/>
                <w:rStyle w:val="IndexLink"/>
                <w:rtl w:val="true"/>
              </w:rPr>
              <w:t>الثالث</w:t>
            </w:r>
            <w:r>
              <w:rPr>
                <w:rStyle w:val="IndexLink"/>
                <w:rtl w:val="true"/>
              </w:rPr>
              <w:t xml:space="preserve">: </w:t>
            </w:r>
            <w:r>
              <w:rPr>
                <w:rStyle w:val="IndexLink"/>
                <w:rtl w:val="true"/>
              </w:rPr>
              <w:t>المسألة أُصولية</w:t>
            </w:r>
            <w:r>
              <w:rPr>
                <w:rStyle w:val="IndexLink"/>
                <w:rtl w:val="true"/>
              </w:rPr>
              <w:tab/>
            </w:r>
            <w:r>
              <w:rPr>
                <w:rStyle w:val="IndexLink"/>
              </w:rPr>
              <w:t>116</w:t>
            </w:r>
          </w:hyperlink>
        </w:p>
        <w:p>
          <w:pPr>
            <w:pStyle w:val="Contents2"/>
            <w:tabs>
              <w:tab w:val="clear" w:pos="8743"/>
              <w:tab w:val="right" w:pos="9026" w:leader="dot"/>
            </w:tabs>
            <w:rPr/>
          </w:pPr>
          <w:hyperlink w:anchor="__RefHeading___Toc11691221_1280447820">
            <w:r>
              <w:rPr>
                <w:webHidden/>
                <w:rStyle w:val="IndexLink"/>
                <w:rtl w:val="true"/>
              </w:rPr>
              <w:t>الرابع</w:t>
            </w:r>
            <w:r>
              <w:rPr>
                <w:rStyle w:val="IndexLink"/>
                <w:rtl w:val="true"/>
              </w:rPr>
              <w:t xml:space="preserve">: </w:t>
            </w:r>
            <w:r>
              <w:rPr>
                <w:rStyle w:val="IndexLink"/>
                <w:rtl w:val="true"/>
              </w:rPr>
              <w:t>في شمول ملاك البحث للنهي التنزيهي و التبعي</w:t>
            </w:r>
            <w:r>
              <w:rPr>
                <w:rStyle w:val="IndexLink"/>
                <w:rtl w:val="true"/>
              </w:rPr>
              <w:tab/>
            </w:r>
            <w:r>
              <w:rPr>
                <w:rStyle w:val="IndexLink"/>
              </w:rPr>
              <w:t>116</w:t>
            </w:r>
          </w:hyperlink>
        </w:p>
        <w:p>
          <w:pPr>
            <w:pStyle w:val="Contents2"/>
            <w:tabs>
              <w:tab w:val="clear" w:pos="8743"/>
              <w:tab w:val="right" w:pos="9026" w:leader="dot"/>
            </w:tabs>
            <w:rPr/>
          </w:pPr>
          <w:hyperlink w:anchor="__RefHeading___Toc11691223_1280447820">
            <w:r>
              <w:rPr>
                <w:webHidden/>
                <w:rStyle w:val="IndexLink"/>
                <w:rtl w:val="true"/>
              </w:rPr>
              <w:t>جواب المحقّق النائيني</w:t>
            </w:r>
            <w:r>
              <w:rPr>
                <w:rStyle w:val="IndexLink"/>
                <w:rtl w:val="true"/>
              </w:rPr>
              <w:tab/>
            </w:r>
            <w:r>
              <w:rPr>
                <w:rStyle w:val="IndexLink"/>
              </w:rPr>
              <w:t>118</w:t>
            </w:r>
          </w:hyperlink>
        </w:p>
        <w:p>
          <w:pPr>
            <w:pStyle w:val="Contents2"/>
            <w:tabs>
              <w:tab w:val="clear" w:pos="8743"/>
              <w:tab w:val="right" w:pos="9026" w:leader="dot"/>
            </w:tabs>
            <w:rPr/>
          </w:pPr>
          <w:hyperlink w:anchor="__RefHeading___Toc11691225_1280447820">
            <w:r>
              <w:rPr>
                <w:webHidden/>
                <w:rStyle w:val="IndexLink"/>
                <w:rtl w:val="true"/>
              </w:rPr>
              <w:t>حکم النهي الإرشادي و التشريعي و التخييري</w:t>
            </w:r>
            <w:r>
              <w:rPr>
                <w:rStyle w:val="IndexLink"/>
                <w:rtl w:val="true"/>
              </w:rPr>
              <w:tab/>
            </w:r>
            <w:r>
              <w:rPr>
                <w:rStyle w:val="IndexLink"/>
              </w:rPr>
              <w:t>120</w:t>
            </w:r>
          </w:hyperlink>
        </w:p>
        <w:p>
          <w:pPr>
            <w:pStyle w:val="Contents2"/>
            <w:tabs>
              <w:tab w:val="clear" w:pos="8743"/>
              <w:tab w:val="right" w:pos="9026" w:leader="dot"/>
            </w:tabs>
            <w:rPr/>
          </w:pPr>
          <w:hyperlink w:anchor="__RefHeading___Toc11691227_1280447820">
            <w:r>
              <w:rPr>
                <w:webHidden/>
                <w:rStyle w:val="IndexLink"/>
                <w:rtl w:val="true"/>
              </w:rPr>
              <w:t>الخامس</w:t>
            </w:r>
            <w:r>
              <w:rPr>
                <w:rStyle w:val="IndexLink"/>
                <w:rtl w:val="true"/>
              </w:rPr>
              <w:t xml:space="preserve">: </w:t>
            </w:r>
            <w:r>
              <w:rPr>
                <w:rStyle w:val="IndexLink"/>
                <w:rtl w:val="true"/>
              </w:rPr>
              <w:t>في تعيين المراد من العبادة و المعاملة في المسألة</w:t>
            </w:r>
            <w:r>
              <w:rPr>
                <w:rStyle w:val="IndexLink"/>
                <w:rtl w:val="true"/>
              </w:rPr>
              <w:tab/>
            </w:r>
            <w:r>
              <w:rPr>
                <w:rStyle w:val="IndexLink"/>
              </w:rPr>
              <w:t>121</w:t>
            </w:r>
          </w:hyperlink>
        </w:p>
        <w:p>
          <w:pPr>
            <w:pStyle w:val="Contents2"/>
            <w:tabs>
              <w:tab w:val="clear" w:pos="8743"/>
              <w:tab w:val="right" w:pos="9026" w:leader="dot"/>
            </w:tabs>
            <w:rPr/>
          </w:pPr>
          <w:hyperlink w:anchor="__RefHeading___Toc11691229_1280447820">
            <w:r>
              <w:rPr>
                <w:webHidden/>
                <w:rStyle w:val="IndexLink"/>
                <w:rtl w:val="true"/>
              </w:rPr>
              <w:t>السادس</w:t>
            </w:r>
            <w:r>
              <w:rPr>
                <w:rStyle w:val="IndexLink"/>
                <w:rtl w:val="true"/>
              </w:rPr>
              <w:t xml:space="preserve">: </w:t>
            </w:r>
            <w:r>
              <w:rPr>
                <w:rStyle w:val="IndexLink"/>
                <w:rtl w:val="true"/>
              </w:rPr>
              <w:t>في معنى الصحّة و الفساد</w:t>
            </w:r>
            <w:r>
              <w:rPr>
                <w:rStyle w:val="IndexLink"/>
                <w:rtl w:val="true"/>
              </w:rPr>
              <w:tab/>
            </w:r>
            <w:r>
              <w:rPr>
                <w:rStyle w:val="IndexLink"/>
              </w:rPr>
              <w:t>124</w:t>
            </w:r>
          </w:hyperlink>
        </w:p>
        <w:p>
          <w:pPr>
            <w:pStyle w:val="Contents2"/>
            <w:tabs>
              <w:tab w:val="clear" w:pos="8743"/>
              <w:tab w:val="right" w:pos="9026" w:leader="dot"/>
            </w:tabs>
            <w:rPr/>
          </w:pPr>
          <w:hyperlink w:anchor="__RefHeading___Toc11691231_1280447820">
            <w:r>
              <w:rPr>
                <w:webHidden/>
                <w:rStyle w:val="IndexLink"/>
                <w:rtl w:val="true"/>
              </w:rPr>
              <w:t>السابع</w:t>
            </w:r>
            <w:r>
              <w:rPr>
                <w:rStyle w:val="IndexLink"/>
                <w:rtl w:val="true"/>
              </w:rPr>
              <w:t xml:space="preserve">: </w:t>
            </w:r>
            <w:r>
              <w:rPr>
                <w:rStyle w:val="IndexLink"/>
                <w:rtl w:val="true"/>
              </w:rPr>
              <w:t>هل الصحّة و الفساد مجعولان؟</w:t>
            </w:r>
            <w:r>
              <w:rPr>
                <w:rStyle w:val="IndexLink"/>
                <w:rtl w:val="true"/>
              </w:rPr>
              <w:tab/>
            </w:r>
            <w:r>
              <w:rPr>
                <w:rStyle w:val="IndexLink"/>
              </w:rPr>
              <w:t>125</w:t>
            </w:r>
          </w:hyperlink>
        </w:p>
        <w:p>
          <w:pPr>
            <w:pStyle w:val="Contents2"/>
            <w:tabs>
              <w:tab w:val="clear" w:pos="8743"/>
              <w:tab w:val="right" w:pos="9026" w:leader="dot"/>
            </w:tabs>
            <w:rPr/>
          </w:pPr>
          <w:hyperlink w:anchor="__RefHeading___Toc11691233_1280447820">
            <w:r>
              <w:rPr>
                <w:webHidden/>
                <w:rStyle w:val="IndexLink"/>
                <w:rtl w:val="true"/>
              </w:rPr>
              <w:t>الصحة في المعاملات</w:t>
            </w:r>
            <w:r>
              <w:rPr>
                <w:rStyle w:val="IndexLink"/>
                <w:rtl w:val="true"/>
              </w:rPr>
              <w:tab/>
            </w:r>
            <w:r>
              <w:rPr>
                <w:rStyle w:val="IndexLink"/>
              </w:rPr>
              <w:t>127</w:t>
            </w:r>
          </w:hyperlink>
        </w:p>
        <w:p>
          <w:pPr>
            <w:pStyle w:val="Contents2"/>
            <w:tabs>
              <w:tab w:val="clear" w:pos="8743"/>
              <w:tab w:val="right" w:pos="9026" w:leader="dot"/>
            </w:tabs>
            <w:rPr/>
          </w:pPr>
          <w:hyperlink w:anchor="__RefHeading___Toc11691235_1280447820">
            <w:r>
              <w:rPr>
                <w:webHidden/>
                <w:rStyle w:val="IndexLink"/>
                <w:rtl w:val="true"/>
              </w:rPr>
              <w:t>الثامن</w:t>
            </w:r>
            <w:r>
              <w:rPr>
                <w:rStyle w:val="IndexLink"/>
                <w:rtl w:val="true"/>
              </w:rPr>
              <w:t xml:space="preserve">: </w:t>
            </w:r>
            <w:r>
              <w:rPr>
                <w:rStyle w:val="IndexLink"/>
                <w:rtl w:val="true"/>
              </w:rPr>
              <w:t>ما هو الأصل المعوّل عليه عند الشكّ؟</w:t>
            </w:r>
            <w:r>
              <w:rPr>
                <w:rStyle w:val="IndexLink"/>
                <w:rtl w:val="true"/>
              </w:rPr>
              <w:tab/>
            </w:r>
            <w:r>
              <w:rPr>
                <w:rStyle w:val="IndexLink"/>
              </w:rPr>
              <w:t>128</w:t>
            </w:r>
          </w:hyperlink>
        </w:p>
        <w:p>
          <w:pPr>
            <w:pStyle w:val="Contents2"/>
            <w:tabs>
              <w:tab w:val="clear" w:pos="8743"/>
              <w:tab w:val="right" w:pos="9026" w:leader="dot"/>
            </w:tabs>
            <w:rPr/>
          </w:pPr>
          <w:hyperlink w:anchor="__RefHeading___Toc11691237_1280447820">
            <w:r>
              <w:rPr>
                <w:webHidden/>
                <w:rStyle w:val="IndexLink"/>
                <w:rtl w:val="true"/>
              </w:rPr>
              <w:t>الاصل في المسألة الاصولية</w:t>
            </w:r>
            <w:r>
              <w:rPr>
                <w:rStyle w:val="IndexLink"/>
                <w:rtl w:val="true"/>
              </w:rPr>
              <w:tab/>
            </w:r>
            <w:r>
              <w:rPr>
                <w:rStyle w:val="IndexLink"/>
              </w:rPr>
              <w:t>129</w:t>
            </w:r>
          </w:hyperlink>
        </w:p>
        <w:p>
          <w:pPr>
            <w:pStyle w:val="Contents2"/>
            <w:tabs>
              <w:tab w:val="clear" w:pos="8743"/>
              <w:tab w:val="right" w:pos="9026" w:leader="dot"/>
            </w:tabs>
            <w:rPr/>
          </w:pPr>
          <w:hyperlink w:anchor="__RefHeading___Toc11691239_1280447820">
            <w:r>
              <w:rPr>
                <w:webHidden/>
                <w:rStyle w:val="IndexLink"/>
                <w:rtl w:val="true"/>
              </w:rPr>
              <w:t>الاصل في المسألة الفقهية</w:t>
            </w:r>
            <w:r>
              <w:rPr>
                <w:rStyle w:val="IndexLink"/>
                <w:rtl w:val="true"/>
              </w:rPr>
              <w:tab/>
            </w:r>
            <w:r>
              <w:rPr>
                <w:rStyle w:val="IndexLink"/>
              </w:rPr>
              <w:t>130</w:t>
            </w:r>
          </w:hyperlink>
        </w:p>
        <w:p>
          <w:pPr>
            <w:pStyle w:val="Contents2"/>
            <w:tabs>
              <w:tab w:val="clear" w:pos="8743"/>
              <w:tab w:val="right" w:pos="9026" w:leader="dot"/>
            </w:tabs>
            <w:rPr/>
          </w:pPr>
          <w:hyperlink w:anchor="__RefHeading___Toc11691241_1280447820">
            <w:r>
              <w:rPr>
                <w:webHidden/>
                <w:rStyle w:val="IndexLink"/>
                <w:rtl w:val="true"/>
              </w:rPr>
              <w:t>كلام المحقّق الأصفهاني</w:t>
            </w:r>
            <w:r>
              <w:rPr>
                <w:rStyle w:val="IndexLink"/>
                <w:rtl w:val="true"/>
              </w:rPr>
              <w:tab/>
            </w:r>
            <w:r>
              <w:rPr>
                <w:rStyle w:val="IndexLink"/>
              </w:rPr>
              <w:t>131</w:t>
            </w:r>
          </w:hyperlink>
        </w:p>
        <w:p>
          <w:pPr>
            <w:pStyle w:val="Contents2"/>
            <w:tabs>
              <w:tab w:val="clear" w:pos="8743"/>
              <w:tab w:val="right" w:pos="9026" w:leader="dot"/>
            </w:tabs>
            <w:rPr/>
          </w:pPr>
          <w:hyperlink w:anchor="__RefHeading___Toc11691243_1280447820">
            <w:r>
              <w:rPr>
                <w:webHidden/>
                <w:rStyle w:val="IndexLink"/>
                <w:rtl w:val="true"/>
              </w:rPr>
              <w:t>كلام المحقّق النائيني</w:t>
            </w:r>
            <w:r>
              <w:rPr>
                <w:rStyle w:val="IndexLink"/>
                <w:rtl w:val="true"/>
              </w:rPr>
              <w:tab/>
            </w:r>
            <w:r>
              <w:rPr>
                <w:rStyle w:val="IndexLink"/>
              </w:rPr>
              <w:t>132</w:t>
            </w:r>
          </w:hyperlink>
        </w:p>
        <w:p>
          <w:pPr>
            <w:pStyle w:val="Contents2"/>
            <w:tabs>
              <w:tab w:val="clear" w:pos="8743"/>
              <w:tab w:val="right" w:pos="9026" w:leader="dot"/>
            </w:tabs>
            <w:rPr/>
          </w:pPr>
          <w:hyperlink w:anchor="__RefHeading___Toc11691245_1280447820">
            <w:r>
              <w:rPr>
                <w:webHidden/>
                <w:rStyle w:val="IndexLink"/>
                <w:rtl w:val="true"/>
              </w:rPr>
              <w:t>كلام للمحقّق الحائري</w:t>
            </w:r>
            <w:r>
              <w:rPr>
                <w:rStyle w:val="IndexLink"/>
                <w:rtl w:val="true"/>
              </w:rPr>
              <w:tab/>
            </w:r>
            <w:r>
              <w:rPr>
                <w:rStyle w:val="IndexLink"/>
              </w:rPr>
              <w:t>133</w:t>
            </w:r>
          </w:hyperlink>
        </w:p>
        <w:p>
          <w:pPr>
            <w:pStyle w:val="Contents2"/>
            <w:tabs>
              <w:tab w:val="clear" w:pos="8743"/>
              <w:tab w:val="right" w:pos="9026" w:leader="dot"/>
            </w:tabs>
            <w:rPr/>
          </w:pPr>
          <w:hyperlink w:anchor="__RefHeading___Toc11691247_1280447820">
            <w:r>
              <w:rPr>
                <w:webHidden/>
                <w:rStyle w:val="IndexLink"/>
                <w:rtl w:val="true"/>
              </w:rPr>
              <w:t>التاسع</w:t>
            </w:r>
            <w:r>
              <w:rPr>
                <w:rStyle w:val="IndexLink"/>
                <w:rtl w:val="true"/>
              </w:rPr>
              <w:t xml:space="preserve">: </w:t>
            </w:r>
            <w:r>
              <w:rPr>
                <w:rStyle w:val="IndexLink"/>
                <w:rtl w:val="true"/>
              </w:rPr>
              <w:t>في أقسام تعلّق النهي بالعبادة</w:t>
            </w:r>
            <w:r>
              <w:rPr>
                <w:rStyle w:val="IndexLink"/>
                <w:rtl w:val="true"/>
              </w:rPr>
              <w:tab/>
            </w:r>
            <w:r>
              <w:rPr>
                <w:rStyle w:val="IndexLink"/>
              </w:rPr>
              <w:t>134</w:t>
            </w:r>
          </w:hyperlink>
        </w:p>
        <w:p>
          <w:pPr>
            <w:pStyle w:val="Contents2"/>
            <w:tabs>
              <w:tab w:val="clear" w:pos="8743"/>
              <w:tab w:val="right" w:pos="9026" w:leader="dot"/>
            </w:tabs>
            <w:rPr/>
          </w:pPr>
          <w:hyperlink w:anchor="__RefHeading___Toc11691249_1280447820">
            <w:r>
              <w:rPr>
                <w:webHidden/>
                <w:rStyle w:val="IndexLink"/>
                <w:rtl w:val="true"/>
              </w:rPr>
              <w:t>حکم تعلّق النهي بالجزء</w:t>
            </w:r>
            <w:r>
              <w:rPr>
                <w:rStyle w:val="IndexLink"/>
                <w:rtl w:val="true"/>
              </w:rPr>
              <w:tab/>
            </w:r>
            <w:r>
              <w:rPr>
                <w:rStyle w:val="IndexLink"/>
              </w:rPr>
              <w:t>134</w:t>
            </w:r>
          </w:hyperlink>
        </w:p>
        <w:p>
          <w:pPr>
            <w:pStyle w:val="Contents2"/>
            <w:tabs>
              <w:tab w:val="clear" w:pos="8743"/>
              <w:tab w:val="right" w:pos="9026" w:leader="dot"/>
            </w:tabs>
            <w:rPr/>
          </w:pPr>
          <w:hyperlink w:anchor="__RefHeading___Toc11691251_1280447820">
            <w:r>
              <w:rPr>
                <w:webHidden/>
                <w:rStyle w:val="IndexLink"/>
                <w:rtl w:val="true"/>
              </w:rPr>
              <w:t>ايراد المحقق النائيني</w:t>
            </w:r>
            <w:r>
              <w:rPr>
                <w:rStyle w:val="IndexLink"/>
                <w:rtl w:val="true"/>
              </w:rPr>
              <w:tab/>
            </w:r>
            <w:r>
              <w:rPr>
                <w:rStyle w:val="IndexLink"/>
              </w:rPr>
              <w:t>135</w:t>
            </w:r>
          </w:hyperlink>
        </w:p>
        <w:p>
          <w:pPr>
            <w:pStyle w:val="Contents2"/>
            <w:tabs>
              <w:tab w:val="clear" w:pos="8743"/>
              <w:tab w:val="right" w:pos="9026" w:leader="dot"/>
            </w:tabs>
            <w:rPr/>
          </w:pPr>
          <w:hyperlink w:anchor="__RefHeading___Toc11691253_1280447820">
            <w:r>
              <w:rPr>
                <w:webHidden/>
                <w:rStyle w:val="IndexLink"/>
                <w:rtl w:val="true"/>
              </w:rPr>
              <w:t>حکم تعلّق النهي بالشرط</w:t>
            </w:r>
            <w:r>
              <w:rPr>
                <w:rStyle w:val="IndexLink"/>
                <w:rtl w:val="true"/>
              </w:rPr>
              <w:tab/>
            </w:r>
            <w:r>
              <w:rPr>
                <w:rStyle w:val="IndexLink"/>
              </w:rPr>
              <w:t>138</w:t>
            </w:r>
          </w:hyperlink>
        </w:p>
        <w:p>
          <w:pPr>
            <w:pStyle w:val="Contents2"/>
            <w:tabs>
              <w:tab w:val="clear" w:pos="8743"/>
              <w:tab w:val="right" w:pos="9026" w:leader="dot"/>
            </w:tabs>
            <w:rPr/>
          </w:pPr>
          <w:hyperlink w:anchor="__RefHeading___Toc11691255_1280447820">
            <w:r>
              <w:rPr>
                <w:webHidden/>
                <w:rStyle w:val="IndexLink"/>
                <w:rtl w:val="true"/>
              </w:rPr>
              <w:t>حکم تعلّق النهي بالوصف اللازم</w:t>
            </w:r>
            <w:r>
              <w:rPr>
                <w:rStyle w:val="IndexLink"/>
                <w:rtl w:val="true"/>
              </w:rPr>
              <w:tab/>
            </w:r>
            <w:r>
              <w:rPr>
                <w:rStyle w:val="IndexLink"/>
              </w:rPr>
              <w:t>140</w:t>
            </w:r>
          </w:hyperlink>
        </w:p>
        <w:p>
          <w:pPr>
            <w:pStyle w:val="Contents2"/>
            <w:tabs>
              <w:tab w:val="clear" w:pos="8743"/>
              <w:tab w:val="right" w:pos="9026" w:leader="dot"/>
            </w:tabs>
            <w:rPr/>
          </w:pPr>
          <w:hyperlink w:anchor="__RefHeading___Toc11691257_1280447820">
            <w:r>
              <w:rPr>
                <w:webHidden/>
                <w:rStyle w:val="IndexLink"/>
                <w:rtl w:val="true"/>
              </w:rPr>
              <w:t>حکم تعلّق النهي بالوصف المفارق</w:t>
            </w:r>
            <w:r>
              <w:rPr>
                <w:rStyle w:val="IndexLink"/>
                <w:rtl w:val="true"/>
              </w:rPr>
              <w:tab/>
            </w:r>
            <w:r>
              <w:rPr>
                <w:rStyle w:val="IndexLink"/>
              </w:rPr>
              <w:t>142</w:t>
            </w:r>
          </w:hyperlink>
        </w:p>
        <w:p>
          <w:pPr>
            <w:pStyle w:val="Contents2"/>
            <w:tabs>
              <w:tab w:val="clear" w:pos="8743"/>
              <w:tab w:val="right" w:pos="9026" w:leader="dot"/>
            </w:tabs>
            <w:rPr/>
          </w:pPr>
          <w:hyperlink w:anchor="__RefHeading___Toc11691259_1280447820">
            <w:r>
              <w:rPr>
                <w:webHidden/>
                <w:rStyle w:val="IndexLink"/>
                <w:rtl w:val="true"/>
              </w:rPr>
              <w:t>حکم النهي عن العبادة لأجل أحد الأمور المتقدمة</w:t>
            </w:r>
            <w:r>
              <w:rPr>
                <w:rStyle w:val="IndexLink"/>
                <w:rtl w:val="true"/>
              </w:rPr>
              <w:tab/>
            </w:r>
            <w:r>
              <w:rPr>
                <w:rStyle w:val="IndexLink"/>
              </w:rPr>
              <w:t>142</w:t>
            </w:r>
          </w:hyperlink>
        </w:p>
        <w:p>
          <w:pPr>
            <w:pStyle w:val="Contents2"/>
            <w:tabs>
              <w:tab w:val="clear" w:pos="8743"/>
              <w:tab w:val="right" w:pos="9026" w:leader="dot"/>
            </w:tabs>
            <w:rPr/>
          </w:pPr>
          <w:hyperlink w:anchor="__RefHeading___Toc11691261_1280447820">
            <w:r>
              <w:rPr>
                <w:webHidden/>
                <w:rStyle w:val="IndexLink"/>
                <w:rtl w:val="true"/>
              </w:rPr>
              <w:t>المقام الأوّل</w:t>
            </w:r>
            <w:r>
              <w:rPr>
                <w:rStyle w:val="IndexLink"/>
                <w:rtl w:val="true"/>
              </w:rPr>
              <w:t xml:space="preserve">: </w:t>
            </w:r>
            <w:r>
              <w:rPr>
                <w:rStyle w:val="IndexLink"/>
                <w:rtl w:val="true"/>
              </w:rPr>
              <w:t>حکم تعلّق النهي بالعبادة</w:t>
            </w:r>
            <w:r>
              <w:rPr>
                <w:rStyle w:val="IndexLink"/>
                <w:rtl w:val="true"/>
              </w:rPr>
              <w:tab/>
            </w:r>
            <w:r>
              <w:rPr>
                <w:rStyle w:val="IndexLink"/>
              </w:rPr>
              <w:t>144</w:t>
            </w:r>
          </w:hyperlink>
        </w:p>
        <w:p>
          <w:pPr>
            <w:pStyle w:val="Contents2"/>
            <w:tabs>
              <w:tab w:val="clear" w:pos="8743"/>
              <w:tab w:val="right" w:pos="9026" w:leader="dot"/>
            </w:tabs>
            <w:rPr/>
          </w:pPr>
          <w:hyperlink w:anchor="__RefHeading___Toc11691263_1280447820">
            <w:r>
              <w:rPr>
                <w:webHidden/>
                <w:rStyle w:val="IndexLink"/>
                <w:rtl w:val="true"/>
              </w:rPr>
              <w:t>الأول</w:t>
            </w:r>
            <w:r>
              <w:rPr>
                <w:rStyle w:val="IndexLink"/>
                <w:rtl w:val="true"/>
              </w:rPr>
              <w:t xml:space="preserve">: </w:t>
            </w:r>
            <w:r>
              <w:rPr>
                <w:rStyle w:val="IndexLink"/>
                <w:rtl w:val="true"/>
              </w:rPr>
              <w:t>النهي التحريمي المولوي الذاتي</w:t>
            </w:r>
            <w:r>
              <w:rPr>
                <w:rStyle w:val="IndexLink"/>
                <w:rtl w:val="true"/>
              </w:rPr>
              <w:tab/>
            </w:r>
            <w:r>
              <w:rPr>
                <w:rStyle w:val="IndexLink"/>
              </w:rPr>
              <w:t>144</w:t>
            </w:r>
          </w:hyperlink>
        </w:p>
        <w:p>
          <w:pPr>
            <w:pStyle w:val="Contents2"/>
            <w:tabs>
              <w:tab w:val="clear" w:pos="8743"/>
              <w:tab w:val="right" w:pos="9026" w:leader="dot"/>
            </w:tabs>
            <w:rPr/>
          </w:pPr>
          <w:hyperlink w:anchor="__RefHeading___Toc11691265_1280447820">
            <w:r>
              <w:rPr>
                <w:webHidden/>
                <w:rStyle w:val="IndexLink"/>
                <w:rtl w:val="true"/>
              </w:rPr>
              <w:t>جواب المحقّق الخراساني</w:t>
            </w:r>
            <w:r>
              <w:rPr>
                <w:rStyle w:val="IndexLink"/>
                <w:rtl w:val="true"/>
              </w:rPr>
              <w:tab/>
            </w:r>
            <w:r>
              <w:rPr>
                <w:rStyle w:val="IndexLink"/>
              </w:rPr>
              <w:t>147</w:t>
            </w:r>
          </w:hyperlink>
        </w:p>
        <w:p>
          <w:pPr>
            <w:pStyle w:val="Contents2"/>
            <w:tabs>
              <w:tab w:val="clear" w:pos="8743"/>
              <w:tab w:val="right" w:pos="9026" w:leader="dot"/>
            </w:tabs>
            <w:rPr/>
          </w:pPr>
          <w:hyperlink w:anchor="__RefHeading___Toc11691267_1280447820">
            <w:r>
              <w:rPr>
                <w:webHidden/>
                <w:rStyle w:val="IndexLink"/>
                <w:rtl w:val="true"/>
              </w:rPr>
              <w:t>الثاني</w:t>
            </w:r>
            <w:r>
              <w:rPr>
                <w:rStyle w:val="IndexLink"/>
                <w:rtl w:val="true"/>
              </w:rPr>
              <w:t xml:space="preserve">: </w:t>
            </w:r>
            <w:r>
              <w:rPr>
                <w:rStyle w:val="IndexLink"/>
                <w:rtl w:val="true"/>
              </w:rPr>
              <w:t>النهي المولوي التشريعي</w:t>
            </w:r>
            <w:r>
              <w:rPr>
                <w:rStyle w:val="IndexLink"/>
                <w:rtl w:val="true"/>
              </w:rPr>
              <w:tab/>
            </w:r>
            <w:r>
              <w:rPr>
                <w:rStyle w:val="IndexLink"/>
              </w:rPr>
              <w:t>149</w:t>
            </w:r>
          </w:hyperlink>
        </w:p>
        <w:p>
          <w:pPr>
            <w:pStyle w:val="Contents2"/>
            <w:tabs>
              <w:tab w:val="clear" w:pos="8743"/>
              <w:tab w:val="right" w:pos="9026" w:leader="dot"/>
            </w:tabs>
            <w:rPr/>
          </w:pPr>
          <w:hyperlink w:anchor="__RefHeading___Toc11691269_1280447820">
            <w:r>
              <w:rPr>
                <w:webHidden/>
                <w:rStyle w:val="IndexLink"/>
                <w:rtl w:val="true"/>
              </w:rPr>
              <w:t>الثالث</w:t>
            </w:r>
            <w:r>
              <w:rPr>
                <w:rStyle w:val="IndexLink"/>
                <w:rtl w:val="true"/>
              </w:rPr>
              <w:t xml:space="preserve">: </w:t>
            </w:r>
            <w:r>
              <w:rPr>
                <w:rStyle w:val="IndexLink"/>
                <w:rtl w:val="true"/>
              </w:rPr>
              <w:t>النهي الإرشادي</w:t>
            </w:r>
            <w:r>
              <w:rPr>
                <w:rStyle w:val="IndexLink"/>
                <w:rtl w:val="true"/>
              </w:rPr>
              <w:tab/>
            </w:r>
            <w:r>
              <w:rPr>
                <w:rStyle w:val="IndexLink"/>
              </w:rPr>
              <w:t>150</w:t>
            </w:r>
          </w:hyperlink>
        </w:p>
        <w:p>
          <w:pPr>
            <w:pStyle w:val="Contents2"/>
            <w:tabs>
              <w:tab w:val="clear" w:pos="8743"/>
              <w:tab w:val="right" w:pos="9026" w:leader="dot"/>
            </w:tabs>
            <w:rPr/>
          </w:pPr>
          <w:hyperlink w:anchor="__RefHeading___Toc11691271_1280447820">
            <w:r>
              <w:rPr>
                <w:webHidden/>
                <w:rStyle w:val="IndexLink"/>
                <w:rtl w:val="true"/>
              </w:rPr>
              <w:t>تبصرة</w:t>
            </w:r>
            <w:r>
              <w:rPr>
                <w:rStyle w:val="IndexLink"/>
                <w:rtl w:val="true"/>
              </w:rPr>
              <w:tab/>
            </w:r>
            <w:r>
              <w:rPr>
                <w:rStyle w:val="IndexLink"/>
              </w:rPr>
              <w:t>150</w:t>
            </w:r>
          </w:hyperlink>
        </w:p>
        <w:p>
          <w:pPr>
            <w:pStyle w:val="Contents2"/>
            <w:tabs>
              <w:tab w:val="clear" w:pos="8743"/>
              <w:tab w:val="right" w:pos="9026" w:leader="dot"/>
            </w:tabs>
            <w:rPr/>
          </w:pPr>
          <w:hyperlink w:anchor="__RefHeading___Toc11691273_1280447820">
            <w:r>
              <w:rPr>
                <w:webHidden/>
                <w:rStyle w:val="IndexLink"/>
                <w:rtl w:val="true"/>
              </w:rPr>
              <w:t>المقام الثاني</w:t>
            </w:r>
            <w:r>
              <w:rPr>
                <w:rStyle w:val="IndexLink"/>
                <w:rtl w:val="true"/>
              </w:rPr>
              <w:t xml:space="preserve">: </w:t>
            </w:r>
            <w:r>
              <w:rPr>
                <w:rStyle w:val="IndexLink"/>
                <w:rtl w:val="true"/>
              </w:rPr>
              <w:t>حکم تعلق النهي في المعاملات</w:t>
            </w:r>
            <w:r>
              <w:rPr>
                <w:rStyle w:val="IndexLink"/>
                <w:rtl w:val="true"/>
              </w:rPr>
              <w:tab/>
            </w:r>
            <w:r>
              <w:rPr>
                <w:rStyle w:val="IndexLink"/>
              </w:rPr>
              <w:t>151</w:t>
            </w:r>
          </w:hyperlink>
        </w:p>
        <w:p>
          <w:pPr>
            <w:pStyle w:val="Contents2"/>
            <w:tabs>
              <w:tab w:val="clear" w:pos="8743"/>
              <w:tab w:val="right" w:pos="9026" w:leader="dot"/>
            </w:tabs>
            <w:rPr/>
          </w:pPr>
          <w:hyperlink w:anchor="__RefHeading___Toc11691275_1280447820">
            <w:r>
              <w:rPr>
                <w:webHidden/>
                <w:rStyle w:val="IndexLink"/>
                <w:rtl w:val="true"/>
              </w:rPr>
              <w:t>الاستدلال على اقتضاء الحرمة للفساد بالأخبار</w:t>
            </w:r>
            <w:r>
              <w:rPr>
                <w:rStyle w:val="IndexLink"/>
                <w:rtl w:val="true"/>
              </w:rPr>
              <w:tab/>
            </w:r>
            <w:r>
              <w:rPr>
                <w:rStyle w:val="IndexLink"/>
              </w:rPr>
              <w:t>156</w:t>
            </w:r>
          </w:hyperlink>
        </w:p>
        <w:p>
          <w:pPr>
            <w:pStyle w:val="Contents2"/>
            <w:tabs>
              <w:tab w:val="clear" w:pos="8743"/>
              <w:tab w:val="right" w:pos="9026" w:leader="dot"/>
            </w:tabs>
            <w:rPr/>
          </w:pPr>
          <w:hyperlink w:anchor="__RefHeading___Toc11691277_1280447820">
            <w:r>
              <w:rPr>
                <w:webHidden/>
                <w:rStyle w:val="IndexLink"/>
                <w:rtl w:val="true"/>
              </w:rPr>
              <w:t>تذنيب</w:t>
            </w:r>
            <w:r>
              <w:rPr>
                <w:rStyle w:val="IndexLink"/>
                <w:rtl w:val="true"/>
              </w:rPr>
              <w:t xml:space="preserve">: </w:t>
            </w:r>
            <w:r>
              <w:rPr>
                <w:rStyle w:val="IndexLink"/>
                <w:rtl w:val="true"/>
              </w:rPr>
              <w:t>في ملازمة النهي للصحّة</w:t>
            </w:r>
            <w:r>
              <w:rPr>
                <w:rStyle w:val="IndexLink"/>
                <w:rtl w:val="true"/>
              </w:rPr>
              <w:tab/>
            </w:r>
            <w:r>
              <w:rPr>
                <w:rStyle w:val="IndexLink"/>
              </w:rPr>
              <w:t>159</w:t>
            </w:r>
          </w:hyperlink>
        </w:p>
        <w:p>
          <w:pPr>
            <w:pStyle w:val="Contents2"/>
            <w:tabs>
              <w:tab w:val="clear" w:pos="8743"/>
              <w:tab w:val="right" w:pos="9026" w:leader="dot"/>
            </w:tabs>
            <w:rPr/>
          </w:pPr>
          <w:hyperlink w:anchor="__RefHeading___Toc11691279_1280447820">
            <w:r>
              <w:rPr>
                <w:webHidden/>
                <w:rStyle w:val="IndexLink"/>
                <w:rtl w:val="true"/>
              </w:rPr>
              <w:t>إجابة المحقّق الخراساني في مورد العبادات</w:t>
            </w:r>
            <w:r>
              <w:rPr>
                <w:rStyle w:val="IndexLink"/>
                <w:rtl w:val="true"/>
              </w:rPr>
              <w:tab/>
            </w:r>
            <w:r>
              <w:rPr>
                <w:rStyle w:val="IndexLink"/>
              </w:rPr>
              <w:t>160</w:t>
            </w:r>
          </w:hyperlink>
        </w:p>
        <w:p>
          <w:pPr>
            <w:pStyle w:val="Contents2"/>
            <w:tabs>
              <w:tab w:val="clear" w:pos="8743"/>
              <w:tab w:val="right" w:pos="9026" w:leader="dot"/>
            </w:tabs>
            <w:rPr/>
          </w:pPr>
          <w:hyperlink w:anchor="__RefHeading___Toc11691281_1280447820">
            <w:r>
              <w:rPr>
                <w:webHidden/>
                <w:rStyle w:val="IndexLink"/>
                <w:rtl w:val="true"/>
              </w:rPr>
              <w:t>إجابة المحقّق الخراساني في مورد المعاملات</w:t>
            </w:r>
            <w:r>
              <w:rPr>
                <w:rStyle w:val="IndexLink"/>
                <w:rtl w:val="true"/>
              </w:rPr>
              <w:tab/>
            </w:r>
            <w:r>
              <w:rPr>
                <w:rStyle w:val="IndexLink"/>
              </w:rPr>
              <w:t>161</w:t>
            </w:r>
          </w:hyperlink>
        </w:p>
        <w:p>
          <w:pPr>
            <w:pStyle w:val="Contents2"/>
            <w:tabs>
              <w:tab w:val="clear" w:pos="8743"/>
              <w:tab w:val="right" w:pos="9026" w:leader="dot"/>
            </w:tabs>
            <w:rPr/>
          </w:pPr>
          <w:hyperlink w:anchor="__RefHeading___Toc11691283_1280447820">
            <w:r>
              <w:rPr>
                <w:webHidden/>
                <w:rStyle w:val="IndexLink"/>
                <w:rtl w:val="true"/>
              </w:rPr>
              <w:t>تطبيقات</w:t>
            </w:r>
            <w:r>
              <w:rPr>
                <w:rStyle w:val="IndexLink"/>
                <w:rtl w:val="true"/>
              </w:rPr>
              <w:tab/>
            </w:r>
            <w:r>
              <w:rPr>
                <w:rStyle w:val="IndexLink"/>
              </w:rPr>
              <w:t>162</w:t>
            </w:r>
          </w:hyperlink>
        </w:p>
        <w:p>
          <w:pPr>
            <w:pStyle w:val="Contents2"/>
            <w:tabs>
              <w:tab w:val="clear" w:pos="8743"/>
              <w:tab w:val="right" w:pos="9026" w:leader="dot"/>
            </w:tabs>
            <w:rPr/>
          </w:pPr>
          <w:hyperlink w:anchor="__RefHeading___Toc11691285_1280447820">
            <w:r>
              <w:rPr>
                <w:webHidden/>
                <w:rStyle w:val="IndexLink"/>
                <w:rtl w:val="true"/>
              </w:rPr>
              <w:t>المقصد الثالث المفاهيم</w:t>
            </w:r>
            <w:r>
              <w:rPr>
                <w:rStyle w:val="IndexLink"/>
                <w:rtl w:val="true"/>
              </w:rPr>
              <w:tab/>
            </w:r>
            <w:r>
              <w:rPr>
                <w:rStyle w:val="IndexLink"/>
              </w:rPr>
              <w:t>163</w:t>
            </w:r>
          </w:hyperlink>
        </w:p>
        <w:p>
          <w:pPr>
            <w:pStyle w:val="Contents2"/>
            <w:tabs>
              <w:tab w:val="clear" w:pos="8743"/>
              <w:tab w:val="right" w:pos="9026" w:leader="dot"/>
            </w:tabs>
            <w:rPr/>
          </w:pPr>
          <w:hyperlink w:anchor="__RefHeading___Toc11691287_1280447820">
            <w:r>
              <w:rPr>
                <w:webHidden/>
                <w:rStyle w:val="IndexLink"/>
                <w:rtl w:val="true"/>
              </w:rPr>
              <w:t>تمهيد</w:t>
            </w:r>
            <w:r>
              <w:rPr>
                <w:rStyle w:val="IndexLink"/>
                <w:rtl w:val="true"/>
              </w:rPr>
              <w:tab/>
            </w:r>
            <w:r>
              <w:rPr>
                <w:rStyle w:val="IndexLink"/>
              </w:rPr>
              <w:t>163</w:t>
            </w:r>
          </w:hyperlink>
        </w:p>
        <w:p>
          <w:pPr>
            <w:pStyle w:val="Contents2"/>
            <w:tabs>
              <w:tab w:val="clear" w:pos="8743"/>
              <w:tab w:val="right" w:pos="9026" w:leader="dot"/>
            </w:tabs>
            <w:rPr/>
          </w:pPr>
          <w:hyperlink w:anchor="__RefHeading___Toc11691289_1280447820">
            <w:r>
              <w:rPr>
                <w:webHidden/>
                <w:rStyle w:val="IndexLink"/>
                <w:rtl w:val="true"/>
              </w:rPr>
              <w:t>الاول</w:t>
            </w:r>
            <w:r>
              <w:rPr>
                <w:rStyle w:val="IndexLink"/>
                <w:rtl w:val="true"/>
              </w:rPr>
              <w:t xml:space="preserve">: </w:t>
            </w:r>
            <w:r>
              <w:rPr>
                <w:rStyle w:val="IndexLink"/>
                <w:rtl w:val="true"/>
              </w:rPr>
              <w:t>في تعريف المفهوم</w:t>
            </w:r>
            <w:r>
              <w:rPr>
                <w:rStyle w:val="IndexLink"/>
                <w:rtl w:val="true"/>
              </w:rPr>
              <w:tab/>
            </w:r>
            <w:r>
              <w:rPr>
                <w:rStyle w:val="IndexLink"/>
              </w:rPr>
              <w:t>163</w:t>
            </w:r>
          </w:hyperlink>
        </w:p>
        <w:p>
          <w:pPr>
            <w:pStyle w:val="Contents2"/>
            <w:tabs>
              <w:tab w:val="clear" w:pos="8743"/>
              <w:tab w:val="right" w:pos="9026" w:leader="dot"/>
            </w:tabs>
            <w:rPr/>
          </w:pPr>
          <w:hyperlink w:anchor="__RefHeading___Toc11691291_1280447820">
            <w:r>
              <w:rPr>
                <w:webHidden/>
                <w:rStyle w:val="IndexLink"/>
                <w:rtl w:val="true"/>
              </w:rPr>
              <w:t>موقع المداليل السياقية</w:t>
            </w:r>
            <w:r>
              <w:rPr>
                <w:rStyle w:val="IndexLink"/>
                <w:rtl w:val="true"/>
              </w:rPr>
              <w:tab/>
            </w:r>
            <w:r>
              <w:rPr>
                <w:rStyle w:val="IndexLink"/>
              </w:rPr>
              <w:t>166</w:t>
            </w:r>
          </w:hyperlink>
        </w:p>
        <w:p>
          <w:pPr>
            <w:pStyle w:val="Contents2"/>
            <w:tabs>
              <w:tab w:val="clear" w:pos="8743"/>
              <w:tab w:val="right" w:pos="9026" w:leader="dot"/>
            </w:tabs>
            <w:rPr/>
          </w:pPr>
          <w:hyperlink w:anchor="__RefHeading___Toc11691293_1280447820">
            <w:r>
              <w:rPr>
                <w:webHidden/>
                <w:rStyle w:val="IndexLink"/>
                <w:rtl w:val="true"/>
              </w:rPr>
              <w:t>الثاني</w:t>
            </w:r>
            <w:r>
              <w:rPr>
                <w:rStyle w:val="IndexLink"/>
                <w:rtl w:val="true"/>
              </w:rPr>
              <w:t xml:space="preserve">: </w:t>
            </w:r>
            <w:r>
              <w:rPr>
                <w:rStyle w:val="IndexLink"/>
                <w:rtl w:val="true"/>
              </w:rPr>
              <w:t>النزاع في حجّيّة المفهوم</w:t>
            </w:r>
            <w:r>
              <w:rPr>
                <w:rStyle w:val="IndexLink"/>
                <w:rtl w:val="true"/>
              </w:rPr>
              <w:tab/>
            </w:r>
            <w:r>
              <w:rPr>
                <w:rStyle w:val="IndexLink"/>
              </w:rPr>
              <w:t>167</w:t>
            </w:r>
          </w:hyperlink>
        </w:p>
        <w:p>
          <w:pPr>
            <w:pStyle w:val="Contents2"/>
            <w:tabs>
              <w:tab w:val="clear" w:pos="8743"/>
              <w:tab w:val="right" w:pos="9026" w:leader="dot"/>
            </w:tabs>
            <w:rPr/>
          </w:pPr>
          <w:hyperlink w:anchor="__RefHeading___Toc11691295_1280447820">
            <w:r>
              <w:rPr>
                <w:webHidden/>
                <w:rStyle w:val="IndexLink"/>
                <w:rtl w:val="true"/>
              </w:rPr>
              <w:t>الثالث</w:t>
            </w:r>
            <w:r>
              <w:rPr>
                <w:rStyle w:val="IndexLink"/>
                <w:rtl w:val="true"/>
              </w:rPr>
              <w:t xml:space="preserve">: </w:t>
            </w:r>
            <w:r>
              <w:rPr>
                <w:rStyle w:val="IndexLink"/>
                <w:rtl w:val="true"/>
              </w:rPr>
              <w:t>في أقسام المفهوم</w:t>
            </w:r>
            <w:r>
              <w:rPr>
                <w:rStyle w:val="IndexLink"/>
                <w:rtl w:val="true"/>
              </w:rPr>
              <w:tab/>
            </w:r>
            <w:r>
              <w:rPr>
                <w:rStyle w:val="IndexLink"/>
              </w:rPr>
              <w:t>169</w:t>
            </w:r>
          </w:hyperlink>
        </w:p>
        <w:p>
          <w:pPr>
            <w:pStyle w:val="Contents2"/>
            <w:tabs>
              <w:tab w:val="clear" w:pos="8743"/>
              <w:tab w:val="right" w:pos="9026" w:leader="dot"/>
            </w:tabs>
            <w:rPr/>
          </w:pPr>
          <w:hyperlink w:anchor="__RefHeading___Toc11691297_1280447820">
            <w:r>
              <w:rPr>
                <w:webHidden/>
                <w:rStyle w:val="IndexLink"/>
                <w:rtl w:val="true"/>
              </w:rPr>
              <w:t>الفصل الأوّل في مفهوم الشرط</w:t>
            </w:r>
            <w:r>
              <w:rPr>
                <w:rStyle w:val="IndexLink"/>
                <w:rtl w:val="true"/>
              </w:rPr>
              <w:tab/>
            </w:r>
            <w:r>
              <w:rPr>
                <w:rStyle w:val="IndexLink"/>
              </w:rPr>
              <w:t>171</w:t>
            </w:r>
          </w:hyperlink>
        </w:p>
        <w:p>
          <w:pPr>
            <w:pStyle w:val="Contents2"/>
            <w:tabs>
              <w:tab w:val="clear" w:pos="8743"/>
              <w:tab w:val="right" w:pos="9026" w:leader="dot"/>
            </w:tabs>
            <w:rPr/>
          </w:pPr>
          <w:hyperlink w:anchor="__RefHeading___Toc11691299_1280447820">
            <w:r>
              <w:rPr>
                <w:webHidden/>
                <w:rStyle w:val="IndexLink"/>
                <w:rtl w:val="true"/>
              </w:rPr>
              <w:t>نظرية المحقق البروجردي</w:t>
            </w:r>
            <w:r>
              <w:rPr>
                <w:rStyle w:val="IndexLink"/>
                <w:rtl w:val="true"/>
              </w:rPr>
              <w:tab/>
            </w:r>
            <w:r>
              <w:rPr>
                <w:rStyle w:val="IndexLink"/>
              </w:rPr>
              <w:t>174</w:t>
            </w:r>
          </w:hyperlink>
        </w:p>
        <w:p>
          <w:pPr>
            <w:pStyle w:val="Contents2"/>
            <w:tabs>
              <w:tab w:val="clear" w:pos="8743"/>
              <w:tab w:val="right" w:pos="9026" w:leader="dot"/>
            </w:tabs>
            <w:rPr/>
          </w:pPr>
          <w:hyperlink w:anchor="__RefHeading___Toc11691301_1280447820">
            <w:r>
              <w:rPr>
                <w:webHidden/>
                <w:rStyle w:val="IndexLink"/>
                <w:rtl w:val="true"/>
              </w:rPr>
              <w:t>اثبات حجية مفهوم الشرط</w:t>
            </w:r>
            <w:r>
              <w:rPr>
                <w:rStyle w:val="IndexLink"/>
                <w:rtl w:val="true"/>
              </w:rPr>
              <w:tab/>
            </w:r>
            <w:r>
              <w:rPr>
                <w:rStyle w:val="IndexLink"/>
              </w:rPr>
              <w:t>175</w:t>
            </w:r>
          </w:hyperlink>
        </w:p>
        <w:p>
          <w:pPr>
            <w:pStyle w:val="Contents2"/>
            <w:tabs>
              <w:tab w:val="clear" w:pos="8743"/>
              <w:tab w:val="right" w:pos="9026" w:leader="dot"/>
            </w:tabs>
            <w:rPr/>
          </w:pPr>
          <w:hyperlink w:anchor="__RefHeading___Toc11691303_1280447820">
            <w:r>
              <w:rPr>
                <w:webHidden/>
                <w:rStyle w:val="IndexLink"/>
                <w:rtl w:val="true"/>
              </w:rPr>
              <w:t>دلالة الجملة الشرطية علی السببية</w:t>
            </w:r>
            <w:r>
              <w:rPr>
                <w:rStyle w:val="IndexLink"/>
                <w:rtl w:val="true"/>
              </w:rPr>
              <w:tab/>
            </w:r>
            <w:r>
              <w:rPr>
                <w:rStyle w:val="IndexLink"/>
              </w:rPr>
              <w:t>177</w:t>
            </w:r>
          </w:hyperlink>
        </w:p>
        <w:p>
          <w:pPr>
            <w:pStyle w:val="Contents2"/>
            <w:tabs>
              <w:tab w:val="clear" w:pos="8743"/>
              <w:tab w:val="right" w:pos="9026" w:leader="dot"/>
            </w:tabs>
            <w:rPr/>
          </w:pPr>
          <w:hyperlink w:anchor="__RefHeading___Toc11691305_1280447820">
            <w:r>
              <w:rPr>
                <w:webHidden/>
                <w:rStyle w:val="IndexLink"/>
                <w:rtl w:val="true"/>
              </w:rPr>
              <w:t>دلالة الجملة الشرطية علی الترتب</w:t>
            </w:r>
            <w:r>
              <w:rPr>
                <w:rStyle w:val="IndexLink"/>
                <w:rtl w:val="true"/>
              </w:rPr>
              <w:tab/>
            </w:r>
            <w:r>
              <w:rPr>
                <w:rStyle w:val="IndexLink"/>
              </w:rPr>
              <w:t>177</w:t>
            </w:r>
          </w:hyperlink>
        </w:p>
        <w:p>
          <w:pPr>
            <w:pStyle w:val="Contents2"/>
            <w:tabs>
              <w:tab w:val="clear" w:pos="8743"/>
              <w:tab w:val="right" w:pos="9026" w:leader="dot"/>
            </w:tabs>
            <w:rPr/>
          </w:pPr>
          <w:hyperlink w:anchor="__RefHeading___Toc11691307_1280447820">
            <w:r>
              <w:rPr>
                <w:webHidden/>
                <w:rStyle w:val="IndexLink"/>
                <w:rtl w:val="true"/>
              </w:rPr>
              <w:t>دلالة الجملة الشرطية علی الانحصار</w:t>
            </w:r>
            <w:r>
              <w:rPr>
                <w:rStyle w:val="IndexLink"/>
                <w:rtl w:val="true"/>
              </w:rPr>
              <w:tab/>
            </w:r>
            <w:r>
              <w:rPr>
                <w:rStyle w:val="IndexLink"/>
              </w:rPr>
              <w:t>178</w:t>
            </w:r>
          </w:hyperlink>
        </w:p>
        <w:p>
          <w:pPr>
            <w:pStyle w:val="Contents2"/>
            <w:tabs>
              <w:tab w:val="clear" w:pos="8743"/>
              <w:tab w:val="right" w:pos="9026" w:leader="dot"/>
            </w:tabs>
            <w:rPr/>
          </w:pPr>
          <w:hyperlink w:anchor="__RefHeading___Toc11691309_1280447820">
            <w:r>
              <w:rPr>
                <w:webHidden/>
                <w:rStyle w:val="IndexLink"/>
                <w:rtl w:val="true"/>
              </w:rPr>
              <w:t>الوجه الأوّل</w:t>
            </w:r>
            <w:r>
              <w:rPr>
                <w:rStyle w:val="IndexLink"/>
                <w:rtl w:val="true"/>
              </w:rPr>
              <w:t xml:space="preserve">: </w:t>
            </w:r>
            <w:r>
              <w:rPr>
                <w:rStyle w:val="IndexLink"/>
                <w:rtl w:val="true"/>
              </w:rPr>
              <w:t>التبادر</w:t>
            </w:r>
            <w:r>
              <w:rPr>
                <w:rStyle w:val="IndexLink"/>
                <w:rtl w:val="true"/>
              </w:rPr>
              <w:tab/>
            </w:r>
            <w:r>
              <w:rPr>
                <w:rStyle w:val="IndexLink"/>
              </w:rPr>
              <w:t>179</w:t>
            </w:r>
          </w:hyperlink>
        </w:p>
        <w:p>
          <w:pPr>
            <w:pStyle w:val="Contents2"/>
            <w:tabs>
              <w:tab w:val="clear" w:pos="8743"/>
              <w:tab w:val="right" w:pos="9026" w:leader="dot"/>
            </w:tabs>
            <w:rPr/>
          </w:pPr>
          <w:hyperlink w:anchor="__RefHeading___Toc11691311_1280447820">
            <w:r>
              <w:rPr>
                <w:webHidden/>
                <w:rStyle w:val="IndexLink"/>
                <w:rtl w:val="true"/>
              </w:rPr>
              <w:t>الوجه الثاني</w:t>
            </w:r>
            <w:r>
              <w:rPr>
                <w:rStyle w:val="IndexLink"/>
                <w:rtl w:val="true"/>
              </w:rPr>
              <w:t xml:space="preserve">: </w:t>
            </w:r>
            <w:r>
              <w:rPr>
                <w:rStyle w:val="IndexLink"/>
                <w:rtl w:val="true"/>
              </w:rPr>
              <w:t>الانصراف</w:t>
            </w:r>
            <w:r>
              <w:rPr>
                <w:rStyle w:val="IndexLink"/>
                <w:rtl w:val="true"/>
              </w:rPr>
              <w:tab/>
            </w:r>
            <w:r>
              <w:rPr>
                <w:rStyle w:val="IndexLink"/>
              </w:rPr>
              <w:t>180</w:t>
            </w:r>
          </w:hyperlink>
        </w:p>
        <w:p>
          <w:pPr>
            <w:pStyle w:val="Contents2"/>
            <w:tabs>
              <w:tab w:val="clear" w:pos="8743"/>
              <w:tab w:val="right" w:pos="9026" w:leader="dot"/>
            </w:tabs>
            <w:rPr/>
          </w:pPr>
          <w:hyperlink w:anchor="__RefHeading___Toc11691313_1280447820">
            <w:r>
              <w:rPr>
                <w:webHidden/>
                <w:rStyle w:val="IndexLink"/>
                <w:rtl w:val="true"/>
              </w:rPr>
              <w:t>التمسّك بالإطلاق</w:t>
            </w:r>
            <w:r>
              <w:rPr>
                <w:rStyle w:val="IndexLink"/>
                <w:rtl w:val="true"/>
              </w:rPr>
              <w:tab/>
            </w:r>
            <w:r>
              <w:rPr>
                <w:rStyle w:val="IndexLink"/>
              </w:rPr>
              <w:t>180</w:t>
            </w:r>
          </w:hyperlink>
        </w:p>
        <w:p>
          <w:pPr>
            <w:pStyle w:val="Contents2"/>
            <w:tabs>
              <w:tab w:val="clear" w:pos="8743"/>
              <w:tab w:val="right" w:pos="9026" w:leader="dot"/>
            </w:tabs>
            <w:rPr/>
          </w:pPr>
          <w:hyperlink w:anchor="__RefHeading___Toc11691315_1280447820">
            <w:r>
              <w:rPr>
                <w:webHidden/>
                <w:rStyle w:val="IndexLink"/>
                <w:rtl w:val="true"/>
              </w:rPr>
              <w:t>الوجه الثالث</w:t>
            </w:r>
            <w:r>
              <w:rPr>
                <w:rStyle w:val="IndexLink"/>
                <w:rtl w:val="true"/>
              </w:rPr>
              <w:t xml:space="preserve">: </w:t>
            </w:r>
            <w:r>
              <w:rPr>
                <w:rStyle w:val="IndexLink"/>
                <w:rtl w:val="true"/>
              </w:rPr>
              <w:t>الانحصار مقتضى إطلاق أداة الشرط</w:t>
            </w:r>
            <w:r>
              <w:rPr>
                <w:rStyle w:val="IndexLink"/>
                <w:rtl w:val="true"/>
              </w:rPr>
              <w:tab/>
            </w:r>
            <w:r>
              <w:rPr>
                <w:rStyle w:val="IndexLink"/>
              </w:rPr>
              <w:t>181</w:t>
            </w:r>
          </w:hyperlink>
        </w:p>
        <w:p>
          <w:pPr>
            <w:pStyle w:val="Contents2"/>
            <w:tabs>
              <w:tab w:val="clear" w:pos="8743"/>
              <w:tab w:val="right" w:pos="9026" w:leader="dot"/>
            </w:tabs>
            <w:rPr/>
          </w:pPr>
          <w:hyperlink w:anchor="__RefHeading___Toc11691317_1280447820">
            <w:r>
              <w:rPr>
                <w:webHidden/>
                <w:rStyle w:val="IndexLink"/>
                <w:rtl w:val="true"/>
              </w:rPr>
              <w:t>الوجه الرابع</w:t>
            </w:r>
            <w:r>
              <w:rPr>
                <w:rStyle w:val="IndexLink"/>
                <w:rtl w:val="true"/>
              </w:rPr>
              <w:t xml:space="preserve">: </w:t>
            </w:r>
            <w:r>
              <w:rPr>
                <w:rStyle w:val="IndexLink"/>
                <w:rtl w:val="true"/>
              </w:rPr>
              <w:t>الانحصار مقتضى إطلاق فعل الشرط</w:t>
            </w:r>
            <w:r>
              <w:rPr>
                <w:rStyle w:val="IndexLink"/>
                <w:rtl w:val="true"/>
              </w:rPr>
              <w:tab/>
            </w:r>
            <w:r>
              <w:rPr>
                <w:rStyle w:val="IndexLink"/>
              </w:rPr>
              <w:t>184</w:t>
            </w:r>
          </w:hyperlink>
        </w:p>
        <w:p>
          <w:pPr>
            <w:pStyle w:val="Contents2"/>
            <w:tabs>
              <w:tab w:val="clear" w:pos="8743"/>
              <w:tab w:val="right" w:pos="9026" w:leader="dot"/>
            </w:tabs>
            <w:rPr/>
          </w:pPr>
          <w:hyperlink w:anchor="__RefHeading___Toc11691319_1280447820">
            <w:r>
              <w:rPr>
                <w:webHidden/>
                <w:rStyle w:val="IndexLink"/>
                <w:rtl w:val="true"/>
              </w:rPr>
              <w:t>الوجه الخامس</w:t>
            </w:r>
            <w:r>
              <w:rPr>
                <w:rStyle w:val="IndexLink"/>
                <w:rtl w:val="true"/>
              </w:rPr>
              <w:t xml:space="preserve">: </w:t>
            </w:r>
            <w:r>
              <w:rPr>
                <w:rStyle w:val="IndexLink"/>
                <w:rtl w:val="true"/>
              </w:rPr>
              <w:t>التمسّك بإطلاق الشرط</w:t>
            </w:r>
            <w:r>
              <w:rPr>
                <w:rStyle w:val="IndexLink"/>
                <w:rtl w:val="true"/>
              </w:rPr>
              <w:tab/>
            </w:r>
            <w:r>
              <w:rPr>
                <w:rStyle w:val="IndexLink"/>
              </w:rPr>
              <w:t>185</w:t>
            </w:r>
          </w:hyperlink>
        </w:p>
        <w:p>
          <w:pPr>
            <w:pStyle w:val="Contents2"/>
            <w:tabs>
              <w:tab w:val="clear" w:pos="8743"/>
              <w:tab w:val="right" w:pos="9026" w:leader="dot"/>
            </w:tabs>
            <w:rPr/>
          </w:pPr>
          <w:hyperlink w:anchor="__RefHeading___Toc11691321_1280447820">
            <w:r>
              <w:rPr>
                <w:webHidden/>
                <w:rStyle w:val="IndexLink"/>
                <w:rtl w:val="true"/>
              </w:rPr>
              <w:t>الوجه السادس</w:t>
            </w:r>
            <w:r>
              <w:rPr>
                <w:rStyle w:val="IndexLink"/>
                <w:rtl w:val="true"/>
              </w:rPr>
              <w:t xml:space="preserve">: </w:t>
            </w:r>
            <w:r>
              <w:rPr>
                <w:rStyle w:val="IndexLink"/>
                <w:rtl w:val="true"/>
              </w:rPr>
              <w:t>ما عن السيد المحقّق البروجردي</w:t>
            </w:r>
            <w:r>
              <w:rPr>
                <w:rStyle w:val="IndexLink"/>
                <w:rtl w:val="true"/>
              </w:rPr>
              <w:tab/>
            </w:r>
            <w:r>
              <w:rPr>
                <w:rStyle w:val="IndexLink"/>
              </w:rPr>
              <w:t>187</w:t>
            </w:r>
          </w:hyperlink>
        </w:p>
        <w:p>
          <w:pPr>
            <w:pStyle w:val="Contents2"/>
            <w:tabs>
              <w:tab w:val="clear" w:pos="8743"/>
              <w:tab w:val="right" w:pos="9026" w:leader="dot"/>
            </w:tabs>
            <w:rPr/>
          </w:pPr>
          <w:hyperlink w:anchor="__RefHeading___Toc11691323_1280447820">
            <w:r>
              <w:rPr>
                <w:webHidden/>
                <w:rStyle w:val="IndexLink"/>
                <w:rtl w:val="true"/>
              </w:rPr>
              <w:t>الوجه السابع</w:t>
            </w:r>
            <w:r>
              <w:rPr>
                <w:rStyle w:val="IndexLink"/>
                <w:rtl w:val="true"/>
              </w:rPr>
              <w:t xml:space="preserve">: </w:t>
            </w:r>
            <w:r>
              <w:rPr>
                <w:rStyle w:val="IndexLink"/>
                <w:rtl w:val="true"/>
              </w:rPr>
              <w:t>ما ذكره المحقّق النائيني</w:t>
            </w:r>
            <w:r>
              <w:rPr>
                <w:rStyle w:val="IndexLink"/>
                <w:rtl w:val="true"/>
              </w:rPr>
              <w:tab/>
            </w:r>
            <w:r>
              <w:rPr>
                <w:rStyle w:val="IndexLink"/>
              </w:rPr>
              <w:t>188</w:t>
            </w:r>
          </w:hyperlink>
        </w:p>
        <w:p>
          <w:pPr>
            <w:pStyle w:val="Contents2"/>
            <w:tabs>
              <w:tab w:val="clear" w:pos="8743"/>
              <w:tab w:val="right" w:pos="9026" w:leader="dot"/>
            </w:tabs>
            <w:rPr/>
          </w:pPr>
          <w:hyperlink w:anchor="__RefHeading___Toc11691325_1280447820">
            <w:r>
              <w:rPr>
                <w:webHidden/>
                <w:rStyle w:val="IndexLink"/>
                <w:rtl w:val="true"/>
              </w:rPr>
              <w:t>الوجه الثامن الاستدلال بالاخبار</w:t>
            </w:r>
            <w:r>
              <w:rPr>
                <w:rStyle w:val="IndexLink"/>
                <w:rtl w:val="true"/>
              </w:rPr>
              <w:tab/>
            </w:r>
            <w:r>
              <w:rPr>
                <w:rStyle w:val="IndexLink"/>
              </w:rPr>
              <w:t>189</w:t>
            </w:r>
          </w:hyperlink>
        </w:p>
        <w:p>
          <w:pPr>
            <w:pStyle w:val="Contents2"/>
            <w:tabs>
              <w:tab w:val="clear" w:pos="8743"/>
              <w:tab w:val="right" w:pos="9026" w:leader="dot"/>
            </w:tabs>
            <w:rPr/>
          </w:pPr>
          <w:hyperlink w:anchor="__RefHeading___Toc11691327_1280447820">
            <w:r>
              <w:rPr>
                <w:webHidden/>
                <w:rStyle w:val="IndexLink"/>
                <w:rtl w:val="true"/>
              </w:rPr>
              <w:t>استدلال المنكرين للمفهوم</w:t>
            </w:r>
            <w:r>
              <w:rPr>
                <w:rStyle w:val="IndexLink"/>
                <w:rtl w:val="true"/>
              </w:rPr>
              <w:tab/>
            </w:r>
            <w:r>
              <w:rPr>
                <w:rStyle w:val="IndexLink"/>
              </w:rPr>
              <w:t>191</w:t>
            </w:r>
          </w:hyperlink>
        </w:p>
        <w:p>
          <w:pPr>
            <w:pStyle w:val="Contents2"/>
            <w:tabs>
              <w:tab w:val="clear" w:pos="8743"/>
              <w:tab w:val="right" w:pos="9026" w:leader="dot"/>
            </w:tabs>
            <w:rPr/>
          </w:pPr>
          <w:hyperlink w:anchor="__RefHeading___Toc11691329_1280447820">
            <w:r>
              <w:rPr>
                <w:webHidden/>
                <w:rStyle w:val="IndexLink"/>
                <w:rtl w:val="true"/>
              </w:rPr>
              <w:t>دفع و وهم</w:t>
            </w:r>
            <w:r>
              <w:rPr>
                <w:rStyle w:val="IndexLink"/>
                <w:rtl w:val="true"/>
              </w:rPr>
              <w:tab/>
            </w:r>
            <w:r>
              <w:rPr>
                <w:rStyle w:val="IndexLink"/>
              </w:rPr>
              <w:t>193</w:t>
            </w:r>
          </w:hyperlink>
        </w:p>
        <w:p>
          <w:pPr>
            <w:pStyle w:val="Contents2"/>
            <w:tabs>
              <w:tab w:val="clear" w:pos="8743"/>
              <w:tab w:val="right" w:pos="9026" w:leader="dot"/>
            </w:tabs>
            <w:rPr/>
          </w:pPr>
          <w:hyperlink w:anchor="__RefHeading___Toc11691331_1280447820">
            <w:r>
              <w:rPr>
                <w:webHidden/>
                <w:rStyle w:val="IndexLink"/>
                <w:rtl w:val="true"/>
              </w:rPr>
              <w:t>جواب صاحب الکفاية</w:t>
            </w:r>
            <w:r>
              <w:rPr>
                <w:rStyle w:val="IndexLink"/>
                <w:rtl w:val="true"/>
              </w:rPr>
              <w:tab/>
            </w:r>
            <w:r>
              <w:rPr>
                <w:rStyle w:val="IndexLink"/>
              </w:rPr>
              <w:t>195</w:t>
            </w:r>
          </w:hyperlink>
        </w:p>
        <w:p>
          <w:pPr>
            <w:pStyle w:val="Contents2"/>
            <w:tabs>
              <w:tab w:val="clear" w:pos="8743"/>
              <w:tab w:val="right" w:pos="9026" w:leader="dot"/>
            </w:tabs>
            <w:rPr/>
          </w:pPr>
          <w:hyperlink w:anchor="__RefHeading___Toc11691333_1280447820">
            <w:r>
              <w:rPr>
                <w:webHidden/>
                <w:rStyle w:val="IndexLink"/>
                <w:rtl w:val="true"/>
              </w:rPr>
              <w:t>تنبيهات</w:t>
            </w:r>
            <w:r>
              <w:rPr>
                <w:rStyle w:val="IndexLink"/>
                <w:rtl w:val="true"/>
              </w:rPr>
              <w:t>:</w:t>
              <w:tab/>
            </w:r>
            <w:r>
              <w:rPr>
                <w:rStyle w:val="IndexLink"/>
              </w:rPr>
              <w:t>196</w:t>
            </w:r>
          </w:hyperlink>
        </w:p>
        <w:p>
          <w:pPr>
            <w:pStyle w:val="Contents2"/>
            <w:tabs>
              <w:tab w:val="clear" w:pos="8743"/>
              <w:tab w:val="right" w:pos="9026" w:leader="dot"/>
            </w:tabs>
            <w:rPr/>
          </w:pPr>
          <w:hyperlink w:anchor="__RefHeading___Toc11691335_1280447820">
            <w:r>
              <w:rPr>
                <w:webHidden/>
                <w:rStyle w:val="IndexLink"/>
                <w:rtl w:val="true"/>
              </w:rPr>
              <w:t>التنبيه الاول إذا تعدّد الشرط و اتّحد الجزاء</w:t>
            </w:r>
            <w:r>
              <w:rPr>
                <w:rStyle w:val="IndexLink"/>
                <w:rtl w:val="true"/>
              </w:rPr>
              <w:tab/>
            </w:r>
            <w:r>
              <w:rPr>
                <w:rStyle w:val="IndexLink"/>
              </w:rPr>
              <w:t>196</w:t>
            </w:r>
          </w:hyperlink>
        </w:p>
        <w:p>
          <w:pPr>
            <w:pStyle w:val="Contents2"/>
            <w:tabs>
              <w:tab w:val="clear" w:pos="8743"/>
              <w:tab w:val="right" w:pos="9026" w:leader="dot"/>
            </w:tabs>
            <w:rPr/>
          </w:pPr>
          <w:hyperlink w:anchor="__RefHeading___Toc11691337_1280447820">
            <w:r>
              <w:rPr>
                <w:webHidden/>
                <w:rStyle w:val="IndexLink"/>
                <w:rtl w:val="true"/>
              </w:rPr>
              <w:t>وجوه لرفع التعارض بين مفهوم إحدى القضيتين مع منطوق الأخرى</w:t>
            </w:r>
            <w:r>
              <w:rPr>
                <w:rStyle w:val="IndexLink"/>
                <w:rtl w:val="true"/>
              </w:rPr>
              <w:tab/>
            </w:r>
            <w:r>
              <w:rPr>
                <w:rStyle w:val="IndexLink"/>
              </w:rPr>
              <w:t>197</w:t>
            </w:r>
          </w:hyperlink>
        </w:p>
        <w:p>
          <w:pPr>
            <w:pStyle w:val="Contents2"/>
            <w:tabs>
              <w:tab w:val="clear" w:pos="8743"/>
              <w:tab w:val="right" w:pos="9026" w:leader="dot"/>
            </w:tabs>
            <w:rPr/>
          </w:pPr>
          <w:hyperlink w:anchor="__RefHeading___Toc11691339_1280447820">
            <w:r>
              <w:rPr>
                <w:webHidden/>
                <w:rStyle w:val="IndexLink"/>
                <w:rtl w:val="true"/>
              </w:rPr>
              <w:t>تخصيص مفهوم كلّ بمنطوق الآخر</w:t>
            </w:r>
            <w:r>
              <w:rPr>
                <w:rStyle w:val="IndexLink"/>
                <w:rtl w:val="true"/>
              </w:rPr>
              <w:tab/>
            </w:r>
            <w:r>
              <w:rPr>
                <w:rStyle w:val="IndexLink"/>
              </w:rPr>
              <w:t>197</w:t>
            </w:r>
          </w:hyperlink>
        </w:p>
        <w:p>
          <w:pPr>
            <w:pStyle w:val="Contents2"/>
            <w:tabs>
              <w:tab w:val="clear" w:pos="8743"/>
              <w:tab w:val="right" w:pos="9026" w:leader="dot"/>
            </w:tabs>
            <w:rPr/>
          </w:pPr>
          <w:hyperlink w:anchor="__RefHeading___Toc11691341_1280447820">
            <w:r>
              <w:rPr>
                <w:webHidden/>
                <w:rStyle w:val="IndexLink"/>
                <w:rtl w:val="true"/>
              </w:rPr>
              <w:t>تقييد منطوق كلّ بالآخر</w:t>
            </w:r>
            <w:r>
              <w:rPr>
                <w:rStyle w:val="IndexLink"/>
                <w:rtl w:val="true"/>
              </w:rPr>
              <w:tab/>
            </w:r>
            <w:r>
              <w:rPr>
                <w:rStyle w:val="IndexLink"/>
              </w:rPr>
              <w:t>198</w:t>
            </w:r>
          </w:hyperlink>
        </w:p>
        <w:p>
          <w:pPr>
            <w:pStyle w:val="Contents2"/>
            <w:tabs>
              <w:tab w:val="clear" w:pos="8743"/>
              <w:tab w:val="right" w:pos="9026" w:leader="dot"/>
            </w:tabs>
            <w:rPr/>
          </w:pPr>
          <w:hyperlink w:anchor="__RefHeading___Toc11691343_1280447820">
            <w:r>
              <w:rPr>
                <w:webHidden/>
                <w:rStyle w:val="IndexLink"/>
                <w:rtl w:val="true"/>
              </w:rPr>
              <w:t>دوران الأمر بين الوجهين</w:t>
            </w:r>
            <w:r>
              <w:rPr>
                <w:rStyle w:val="IndexLink"/>
                <w:rtl w:val="true"/>
              </w:rPr>
              <w:tab/>
            </w:r>
            <w:r>
              <w:rPr>
                <w:rStyle w:val="IndexLink"/>
              </w:rPr>
              <w:t>198</w:t>
            </w:r>
          </w:hyperlink>
        </w:p>
        <w:p>
          <w:pPr>
            <w:pStyle w:val="Contents2"/>
            <w:tabs>
              <w:tab w:val="clear" w:pos="8743"/>
              <w:tab w:val="right" w:pos="9026" w:leader="dot"/>
            </w:tabs>
            <w:rPr/>
          </w:pPr>
          <w:hyperlink w:anchor="__RefHeading___Toc11691345_1280447820">
            <w:r>
              <w:rPr>
                <w:webHidden/>
                <w:rStyle w:val="IndexLink"/>
                <w:rtl w:val="true"/>
              </w:rPr>
              <w:t>رأي المحقّق النائيني</w:t>
            </w:r>
            <w:r>
              <w:rPr>
                <w:rStyle w:val="IndexLink"/>
                <w:rtl w:val="true"/>
              </w:rPr>
              <w:tab/>
            </w:r>
            <w:r>
              <w:rPr>
                <w:rStyle w:val="IndexLink"/>
              </w:rPr>
              <w:t>199</w:t>
            </w:r>
          </w:hyperlink>
        </w:p>
        <w:p>
          <w:pPr>
            <w:pStyle w:val="Contents2"/>
            <w:tabs>
              <w:tab w:val="clear" w:pos="8743"/>
              <w:tab w:val="right" w:pos="9026" w:leader="dot"/>
            </w:tabs>
            <w:rPr/>
          </w:pPr>
          <w:hyperlink w:anchor="__RefHeading___Toc11691347_1280447820">
            <w:r>
              <w:rPr>
                <w:webHidden/>
                <w:rStyle w:val="IndexLink"/>
                <w:rtl w:val="true"/>
              </w:rPr>
              <w:t>الوجه الثالث</w:t>
            </w:r>
            <w:r>
              <w:rPr>
                <w:rStyle w:val="IndexLink"/>
                <w:rtl w:val="true"/>
              </w:rPr>
              <w:t xml:space="preserve">: </w:t>
            </w:r>
            <w:r>
              <w:rPr>
                <w:rStyle w:val="IndexLink"/>
                <w:rtl w:val="true"/>
              </w:rPr>
              <w:t>رفع اليد عن المفهوم منهما</w:t>
            </w:r>
            <w:r>
              <w:rPr>
                <w:rStyle w:val="IndexLink"/>
                <w:rtl w:val="true"/>
              </w:rPr>
              <w:tab/>
            </w:r>
            <w:r>
              <w:rPr>
                <w:rStyle w:val="IndexLink"/>
              </w:rPr>
              <w:t>201</w:t>
            </w:r>
          </w:hyperlink>
        </w:p>
        <w:p>
          <w:pPr>
            <w:pStyle w:val="Contents2"/>
            <w:tabs>
              <w:tab w:val="clear" w:pos="8743"/>
              <w:tab w:val="right" w:pos="9026" w:leader="dot"/>
            </w:tabs>
            <w:rPr/>
          </w:pPr>
          <w:hyperlink w:anchor="__RefHeading___Toc11691349_1280447820">
            <w:r>
              <w:rPr>
                <w:webHidden/>
                <w:rStyle w:val="IndexLink"/>
                <w:rtl w:val="true"/>
              </w:rPr>
              <w:t>الوجه الرابع</w:t>
            </w:r>
            <w:r>
              <w:rPr>
                <w:rStyle w:val="IndexLink"/>
                <w:rtl w:val="true"/>
              </w:rPr>
              <w:t xml:space="preserve">: </w:t>
            </w:r>
            <w:r>
              <w:rPr>
                <w:rStyle w:val="IndexLink"/>
                <w:rtl w:val="true"/>
              </w:rPr>
              <w:t>جعل الشرط هو القدر المشترك</w:t>
            </w:r>
            <w:r>
              <w:rPr>
                <w:rStyle w:val="IndexLink"/>
                <w:rtl w:val="true"/>
              </w:rPr>
              <w:tab/>
            </w:r>
            <w:r>
              <w:rPr>
                <w:rStyle w:val="IndexLink"/>
              </w:rPr>
              <w:t>202</w:t>
            </w:r>
          </w:hyperlink>
        </w:p>
        <w:p>
          <w:pPr>
            <w:pStyle w:val="Contents2"/>
            <w:tabs>
              <w:tab w:val="clear" w:pos="8743"/>
              <w:tab w:val="right" w:pos="9026" w:leader="dot"/>
            </w:tabs>
            <w:rPr/>
          </w:pPr>
          <w:hyperlink w:anchor="__RefHeading___Toc11691351_1280447820">
            <w:r>
              <w:rPr>
                <w:webHidden/>
                <w:rStyle w:val="IndexLink"/>
                <w:rtl w:val="true"/>
              </w:rPr>
              <w:t>بطلان قاعدة الواحد</w:t>
            </w:r>
            <w:r>
              <w:rPr>
                <w:rStyle w:val="IndexLink"/>
                <w:rtl w:val="true"/>
              </w:rPr>
              <w:tab/>
            </w:r>
            <w:r>
              <w:rPr>
                <w:rStyle w:val="IndexLink"/>
              </w:rPr>
              <w:t>202</w:t>
            </w:r>
          </w:hyperlink>
        </w:p>
        <w:p>
          <w:pPr>
            <w:pStyle w:val="Contents2"/>
            <w:tabs>
              <w:tab w:val="clear" w:pos="8743"/>
              <w:tab w:val="right" w:pos="9026" w:leader="dot"/>
            </w:tabs>
            <w:rPr/>
          </w:pPr>
          <w:hyperlink w:anchor="__RefHeading___Toc11691353_1280447820">
            <w:r>
              <w:rPr>
                <w:webHidden/>
                <w:rStyle w:val="IndexLink"/>
                <w:rtl w:val="true"/>
              </w:rPr>
              <w:t>الوجه الخامس</w:t>
            </w:r>
            <w:r>
              <w:rPr>
                <w:rStyle w:val="IndexLink"/>
                <w:rtl w:val="true"/>
              </w:rPr>
              <w:t xml:space="preserve">: </w:t>
            </w:r>
            <w:r>
              <w:rPr>
                <w:rStyle w:val="IndexLink"/>
                <w:rtl w:val="true"/>
              </w:rPr>
              <w:t>رفع اليد عن مفهوم إحدى القضيتين</w:t>
            </w:r>
            <w:r>
              <w:rPr>
                <w:rStyle w:val="IndexLink"/>
                <w:rtl w:val="true"/>
              </w:rPr>
              <w:tab/>
            </w:r>
            <w:r>
              <w:rPr>
                <w:rStyle w:val="IndexLink"/>
              </w:rPr>
              <w:t>206</w:t>
            </w:r>
          </w:hyperlink>
        </w:p>
        <w:p>
          <w:pPr>
            <w:pStyle w:val="Contents2"/>
            <w:tabs>
              <w:tab w:val="clear" w:pos="8743"/>
              <w:tab w:val="right" w:pos="9026" w:leader="dot"/>
            </w:tabs>
            <w:rPr/>
          </w:pPr>
          <w:hyperlink w:anchor="__RefHeading___Toc11691355_1280447820">
            <w:r>
              <w:rPr>
                <w:webHidden/>
                <w:rStyle w:val="IndexLink"/>
                <w:rtl w:val="true"/>
              </w:rPr>
              <w:t>التنبيه الثاني في تداخل الأسباب و عدمه</w:t>
            </w:r>
            <w:r>
              <w:rPr>
                <w:rStyle w:val="IndexLink"/>
                <w:rtl w:val="true"/>
              </w:rPr>
              <w:tab/>
            </w:r>
            <w:r>
              <w:rPr>
                <w:rStyle w:val="IndexLink"/>
              </w:rPr>
              <w:t>207</w:t>
            </w:r>
          </w:hyperlink>
        </w:p>
        <w:p>
          <w:pPr>
            <w:pStyle w:val="Contents2"/>
            <w:tabs>
              <w:tab w:val="clear" w:pos="8743"/>
              <w:tab w:val="right" w:pos="9026" w:leader="dot"/>
            </w:tabs>
            <w:rPr/>
          </w:pPr>
          <w:hyperlink w:anchor="__RefHeading___Toc11691357_1280447820">
            <w:r>
              <w:rPr>
                <w:webHidden/>
                <w:rStyle w:val="IndexLink"/>
                <w:rtl w:val="true"/>
              </w:rPr>
              <w:t>الاول</w:t>
            </w:r>
            <w:r>
              <w:rPr>
                <w:rStyle w:val="IndexLink"/>
                <w:rtl w:val="true"/>
              </w:rPr>
              <w:t xml:space="preserve">: </w:t>
            </w:r>
            <w:r>
              <w:rPr>
                <w:rStyle w:val="IndexLink"/>
                <w:rtl w:val="true"/>
              </w:rPr>
              <w:t>القول بعدم التداخل في الأسباب</w:t>
            </w:r>
            <w:r>
              <w:rPr>
                <w:rStyle w:val="IndexLink"/>
                <w:rtl w:val="true"/>
              </w:rPr>
              <w:tab/>
            </w:r>
            <w:r>
              <w:rPr>
                <w:rStyle w:val="IndexLink"/>
              </w:rPr>
              <w:t>209</w:t>
            </w:r>
          </w:hyperlink>
        </w:p>
        <w:p>
          <w:pPr>
            <w:pStyle w:val="Contents2"/>
            <w:tabs>
              <w:tab w:val="clear" w:pos="8743"/>
              <w:tab w:val="right" w:pos="9026" w:leader="dot"/>
            </w:tabs>
            <w:rPr/>
          </w:pPr>
          <w:hyperlink w:anchor="__RefHeading___Toc11691359_1280447820">
            <w:r>
              <w:rPr>
                <w:webHidden/>
                <w:rStyle w:val="IndexLink"/>
                <w:rtl w:val="true"/>
              </w:rPr>
              <w:t>الوجه الاول</w:t>
            </w:r>
            <w:r>
              <w:rPr>
                <w:rStyle w:val="IndexLink"/>
                <w:rtl w:val="true"/>
              </w:rPr>
              <w:t>:</w:t>
              <w:tab/>
            </w:r>
            <w:r>
              <w:rPr>
                <w:rStyle w:val="IndexLink"/>
              </w:rPr>
              <w:t>210</w:t>
            </w:r>
          </w:hyperlink>
        </w:p>
        <w:p>
          <w:pPr>
            <w:pStyle w:val="Contents2"/>
            <w:tabs>
              <w:tab w:val="clear" w:pos="8743"/>
              <w:tab w:val="right" w:pos="9026" w:leader="dot"/>
            </w:tabs>
            <w:rPr/>
          </w:pPr>
          <w:hyperlink w:anchor="__RefHeading___Toc11691361_1280447820">
            <w:r>
              <w:rPr>
                <w:webHidden/>
                <w:rStyle w:val="IndexLink"/>
                <w:rtl w:val="true"/>
              </w:rPr>
              <w:t>الوجه الثاني</w:t>
            </w:r>
            <w:r>
              <w:rPr>
                <w:rStyle w:val="IndexLink"/>
                <w:rtl w:val="true"/>
              </w:rPr>
              <w:t>:</w:t>
              <w:tab/>
            </w:r>
            <w:r>
              <w:rPr>
                <w:rStyle w:val="IndexLink"/>
              </w:rPr>
              <w:t>212</w:t>
            </w:r>
          </w:hyperlink>
        </w:p>
        <w:p>
          <w:pPr>
            <w:pStyle w:val="Contents2"/>
            <w:tabs>
              <w:tab w:val="clear" w:pos="8743"/>
              <w:tab w:val="right" w:pos="9026" w:leader="dot"/>
            </w:tabs>
            <w:rPr/>
          </w:pPr>
          <w:hyperlink w:anchor="__RefHeading___Toc11691363_1280447820">
            <w:r>
              <w:rPr>
                <w:webHidden/>
                <w:rStyle w:val="IndexLink"/>
                <w:rtl w:val="true"/>
              </w:rPr>
              <w:t>الوجه الثالث</w:t>
            </w:r>
            <w:r>
              <w:rPr>
                <w:rStyle w:val="IndexLink"/>
                <w:rtl w:val="true"/>
              </w:rPr>
              <w:t>:</w:t>
              <w:tab/>
            </w:r>
            <w:r>
              <w:rPr>
                <w:rStyle w:val="IndexLink"/>
              </w:rPr>
              <w:t>213</w:t>
            </w:r>
          </w:hyperlink>
        </w:p>
        <w:p>
          <w:pPr>
            <w:pStyle w:val="Contents2"/>
            <w:tabs>
              <w:tab w:val="clear" w:pos="8743"/>
              <w:tab w:val="right" w:pos="9026" w:leader="dot"/>
            </w:tabs>
            <w:rPr/>
          </w:pPr>
          <w:hyperlink w:anchor="__RefHeading___Toc11691365_1280447820">
            <w:r>
              <w:rPr>
                <w:webHidden/>
                <w:rStyle w:val="IndexLink"/>
                <w:rtl w:val="true"/>
              </w:rPr>
              <w:t>الثاني</w:t>
            </w:r>
            <w:r>
              <w:rPr>
                <w:rStyle w:val="IndexLink"/>
                <w:rtl w:val="true"/>
              </w:rPr>
              <w:t xml:space="preserve">: </w:t>
            </w:r>
            <w:r>
              <w:rPr>
                <w:rStyle w:val="IndexLink"/>
                <w:rtl w:val="true"/>
              </w:rPr>
              <w:t>القول بالتداخل</w:t>
            </w:r>
            <w:r>
              <w:rPr>
                <w:rStyle w:val="IndexLink"/>
                <w:rtl w:val="true"/>
              </w:rPr>
              <w:tab/>
            </w:r>
            <w:r>
              <w:rPr>
                <w:rStyle w:val="IndexLink"/>
              </w:rPr>
              <w:t>214</w:t>
            </w:r>
          </w:hyperlink>
        </w:p>
        <w:p>
          <w:pPr>
            <w:pStyle w:val="Contents2"/>
            <w:tabs>
              <w:tab w:val="clear" w:pos="8743"/>
              <w:tab w:val="right" w:pos="9026" w:leader="dot"/>
            </w:tabs>
            <w:rPr/>
          </w:pPr>
          <w:hyperlink w:anchor="__RefHeading___Toc11691367_1280447820">
            <w:r>
              <w:rPr>
                <w:webHidden/>
                <w:rStyle w:val="IndexLink"/>
                <w:rtl w:val="true"/>
              </w:rPr>
              <w:t>رأي المحقّق البروجردي</w:t>
            </w:r>
            <w:r>
              <w:rPr>
                <w:rStyle w:val="IndexLink"/>
                <w:rtl w:val="true"/>
              </w:rPr>
              <w:tab/>
            </w:r>
            <w:r>
              <w:rPr>
                <w:rStyle w:val="IndexLink"/>
              </w:rPr>
              <w:t>215</w:t>
            </w:r>
          </w:hyperlink>
        </w:p>
        <w:p>
          <w:pPr>
            <w:pStyle w:val="Contents2"/>
            <w:tabs>
              <w:tab w:val="clear" w:pos="8743"/>
              <w:tab w:val="right" w:pos="9026" w:leader="dot"/>
            </w:tabs>
            <w:rPr/>
          </w:pPr>
          <w:hyperlink w:anchor="__RefHeading___Toc11691369_1280447820">
            <w:r>
              <w:rPr>
                <w:webHidden/>
                <w:rStyle w:val="IndexLink"/>
                <w:rtl w:val="true"/>
              </w:rPr>
              <w:t>الثالث</w:t>
            </w:r>
            <w:r>
              <w:rPr>
                <w:rStyle w:val="IndexLink"/>
                <w:rtl w:val="true"/>
              </w:rPr>
              <w:t xml:space="preserve">: </w:t>
            </w:r>
            <w:r>
              <w:rPr>
                <w:rStyle w:val="IndexLink"/>
                <w:rtl w:val="true"/>
              </w:rPr>
              <w:t>التفصيل بين وحدة الأسباب جنساً و عدمها</w:t>
            </w:r>
            <w:r>
              <w:rPr>
                <w:rStyle w:val="IndexLink"/>
                <w:rtl w:val="true"/>
              </w:rPr>
              <w:tab/>
            </w:r>
            <w:r>
              <w:rPr>
                <w:rStyle w:val="IndexLink"/>
              </w:rPr>
              <w:t>216</w:t>
            </w:r>
          </w:hyperlink>
        </w:p>
        <w:p>
          <w:pPr>
            <w:pStyle w:val="Contents2"/>
            <w:tabs>
              <w:tab w:val="clear" w:pos="8743"/>
              <w:tab w:val="right" w:pos="9026" w:leader="dot"/>
            </w:tabs>
            <w:rPr/>
          </w:pPr>
          <w:hyperlink w:anchor="__RefHeading___Toc11691371_1280447820">
            <w:r>
              <w:rPr>
                <w:webHidden/>
                <w:rStyle w:val="IndexLink"/>
                <w:rtl w:val="true"/>
              </w:rPr>
              <w:t>التفصيل بين كون الأسباب معرفات أو مؤثّرات</w:t>
            </w:r>
            <w:r>
              <w:rPr>
                <w:rStyle w:val="IndexLink"/>
                <w:rtl w:val="true"/>
              </w:rPr>
              <w:tab/>
            </w:r>
            <w:r>
              <w:rPr>
                <w:rStyle w:val="IndexLink"/>
              </w:rPr>
              <w:t>218</w:t>
            </w:r>
          </w:hyperlink>
        </w:p>
        <w:p>
          <w:pPr>
            <w:pStyle w:val="Contents2"/>
            <w:tabs>
              <w:tab w:val="clear" w:pos="8743"/>
              <w:tab w:val="right" w:pos="9026" w:leader="dot"/>
            </w:tabs>
            <w:rPr/>
          </w:pPr>
          <w:hyperlink w:anchor="__RefHeading___Toc11691373_1280447820">
            <w:r>
              <w:rPr>
                <w:webHidden/>
                <w:rStyle w:val="IndexLink"/>
                <w:rtl w:val="true"/>
              </w:rPr>
              <w:t>التنبيه الثالث في تداخل المسببات و عدمه</w:t>
            </w:r>
            <w:r>
              <w:rPr>
                <w:rStyle w:val="IndexLink"/>
                <w:rtl w:val="true"/>
              </w:rPr>
              <w:tab/>
            </w:r>
            <w:r>
              <w:rPr>
                <w:rStyle w:val="IndexLink"/>
              </w:rPr>
              <w:t>220</w:t>
            </w:r>
          </w:hyperlink>
        </w:p>
        <w:p>
          <w:pPr>
            <w:pStyle w:val="Contents2"/>
            <w:tabs>
              <w:tab w:val="clear" w:pos="8743"/>
              <w:tab w:val="right" w:pos="9026" w:leader="dot"/>
            </w:tabs>
            <w:rPr/>
          </w:pPr>
          <w:hyperlink w:anchor="__RefHeading___Toc11691375_1280447820">
            <w:r>
              <w:rPr>
                <w:webHidden/>
                <w:rStyle w:val="IndexLink"/>
                <w:rtl w:val="true"/>
              </w:rPr>
              <w:t>حجّة القول بعدم التداخل</w:t>
            </w:r>
            <w:r>
              <w:rPr>
                <w:rStyle w:val="IndexLink"/>
                <w:rtl w:val="true"/>
              </w:rPr>
              <w:tab/>
            </w:r>
            <w:r>
              <w:rPr>
                <w:rStyle w:val="IndexLink"/>
              </w:rPr>
              <w:t>221</w:t>
            </w:r>
          </w:hyperlink>
        </w:p>
        <w:p>
          <w:pPr>
            <w:pStyle w:val="Contents2"/>
            <w:tabs>
              <w:tab w:val="clear" w:pos="8743"/>
              <w:tab w:val="right" w:pos="9026" w:leader="dot"/>
            </w:tabs>
            <w:rPr/>
          </w:pPr>
          <w:hyperlink w:anchor="__RefHeading___Toc11691377_1280447820">
            <w:r>
              <w:rPr>
                <w:webHidden/>
                <w:rStyle w:val="IndexLink"/>
                <w:rtl w:val="true"/>
              </w:rPr>
              <w:t>الأوّل</w:t>
            </w:r>
            <w:r>
              <w:rPr>
                <w:rStyle w:val="IndexLink"/>
                <w:rtl w:val="true"/>
              </w:rPr>
              <w:t xml:space="preserve">: </w:t>
            </w:r>
            <w:r>
              <w:rPr>
                <w:rStyle w:val="IndexLink"/>
                <w:rtl w:val="true"/>
              </w:rPr>
              <w:t>ما استدلّ به الشيخ الاعظم</w:t>
            </w:r>
            <w:r>
              <w:rPr>
                <w:rStyle w:val="IndexLink"/>
                <w:rtl w:val="true"/>
              </w:rPr>
              <w:tab/>
            </w:r>
            <w:r>
              <w:rPr>
                <w:rStyle w:val="IndexLink"/>
              </w:rPr>
              <w:t>222</w:t>
            </w:r>
          </w:hyperlink>
        </w:p>
        <w:p>
          <w:pPr>
            <w:pStyle w:val="Contents2"/>
            <w:tabs>
              <w:tab w:val="clear" w:pos="8743"/>
              <w:tab w:val="right" w:pos="9026" w:leader="dot"/>
            </w:tabs>
            <w:rPr/>
          </w:pPr>
          <w:hyperlink w:anchor="__RefHeading___Toc11691379_1280447820">
            <w:r>
              <w:rPr>
                <w:webHidden/>
                <w:rStyle w:val="IndexLink"/>
                <w:rtl w:val="true"/>
              </w:rPr>
              <w:t>الثاني</w:t>
            </w:r>
            <w:r>
              <w:rPr>
                <w:rStyle w:val="IndexLink"/>
                <w:rtl w:val="true"/>
              </w:rPr>
              <w:t xml:space="preserve">: </w:t>
            </w:r>
            <w:r>
              <w:rPr>
                <w:rStyle w:val="IndexLink"/>
                <w:rtl w:val="true"/>
              </w:rPr>
              <w:t>ما استدلّ به المحقّق النائيني</w:t>
            </w:r>
            <w:r>
              <w:rPr>
                <w:rStyle w:val="IndexLink"/>
                <w:rtl w:val="true"/>
              </w:rPr>
              <w:tab/>
            </w:r>
            <w:r>
              <w:rPr>
                <w:rStyle w:val="IndexLink"/>
              </w:rPr>
              <w:t>223</w:t>
            </w:r>
          </w:hyperlink>
        </w:p>
        <w:p>
          <w:pPr>
            <w:pStyle w:val="Contents2"/>
            <w:tabs>
              <w:tab w:val="clear" w:pos="8743"/>
              <w:tab w:val="right" w:pos="9026" w:leader="dot"/>
            </w:tabs>
            <w:rPr/>
          </w:pPr>
          <w:hyperlink w:anchor="__RefHeading___Toc11691381_1280447820">
            <w:r>
              <w:rPr>
                <w:webHidden/>
                <w:rStyle w:val="IndexLink"/>
                <w:rtl w:val="true"/>
              </w:rPr>
              <w:t>حجّة القول بالتداخل</w:t>
            </w:r>
            <w:r>
              <w:rPr>
                <w:rStyle w:val="IndexLink"/>
                <w:rtl w:val="true"/>
              </w:rPr>
              <w:tab/>
            </w:r>
            <w:r>
              <w:rPr>
                <w:rStyle w:val="IndexLink"/>
              </w:rPr>
              <w:t>224</w:t>
            </w:r>
          </w:hyperlink>
        </w:p>
        <w:p>
          <w:pPr>
            <w:pStyle w:val="Contents2"/>
            <w:tabs>
              <w:tab w:val="clear" w:pos="8743"/>
              <w:tab w:val="right" w:pos="9026" w:leader="dot"/>
            </w:tabs>
            <w:rPr/>
          </w:pPr>
          <w:hyperlink w:anchor="__RefHeading___Toc11691383_1280447820">
            <w:r>
              <w:rPr>
                <w:webHidden/>
                <w:rStyle w:val="IndexLink"/>
                <w:rtl w:val="true"/>
              </w:rPr>
              <w:t>الأصل العمليّ في المسألتين</w:t>
            </w:r>
            <w:r>
              <w:rPr>
                <w:rStyle w:val="IndexLink"/>
                <w:rtl w:val="true"/>
              </w:rPr>
              <w:tab/>
            </w:r>
            <w:r>
              <w:rPr>
                <w:rStyle w:val="IndexLink"/>
              </w:rPr>
              <w:t>225</w:t>
            </w:r>
          </w:hyperlink>
        </w:p>
        <w:p>
          <w:pPr>
            <w:pStyle w:val="Contents2"/>
            <w:tabs>
              <w:tab w:val="clear" w:pos="8743"/>
              <w:tab w:val="right" w:pos="9026" w:leader="dot"/>
            </w:tabs>
            <w:rPr/>
          </w:pPr>
          <w:hyperlink w:anchor="__RefHeading___Toc11691385_1280447820">
            <w:r>
              <w:rPr>
                <w:webHidden/>
                <w:rStyle w:val="IndexLink"/>
                <w:rtl w:val="true"/>
              </w:rPr>
              <w:t>تطبيقات</w:t>
            </w:r>
            <w:r>
              <w:rPr>
                <w:rStyle w:val="IndexLink"/>
                <w:rtl w:val="true"/>
              </w:rPr>
              <w:tab/>
            </w:r>
            <w:r>
              <w:rPr>
                <w:rStyle w:val="IndexLink"/>
              </w:rPr>
              <w:t>225</w:t>
            </w:r>
          </w:hyperlink>
        </w:p>
        <w:p>
          <w:pPr>
            <w:pStyle w:val="Contents2"/>
            <w:tabs>
              <w:tab w:val="clear" w:pos="8743"/>
              <w:tab w:val="right" w:pos="9026" w:leader="dot"/>
            </w:tabs>
            <w:rPr/>
          </w:pPr>
          <w:hyperlink w:anchor="__RefHeading___Toc11691387_1280447820">
            <w:r>
              <w:rPr>
                <w:webHidden/>
                <w:rStyle w:val="IndexLink"/>
                <w:rtl w:val="true"/>
              </w:rPr>
              <w:t>السالبة الكلية و مفهومها</w:t>
            </w:r>
            <w:r>
              <w:rPr>
                <w:rStyle w:val="IndexLink"/>
                <w:rtl w:val="true"/>
              </w:rPr>
              <w:tab/>
            </w:r>
            <w:r>
              <w:rPr>
                <w:rStyle w:val="IndexLink"/>
              </w:rPr>
              <w:t>227</w:t>
            </w:r>
          </w:hyperlink>
        </w:p>
        <w:p>
          <w:pPr>
            <w:pStyle w:val="Contents2"/>
            <w:tabs>
              <w:tab w:val="clear" w:pos="8743"/>
              <w:tab w:val="right" w:pos="9026" w:leader="dot"/>
            </w:tabs>
            <w:rPr/>
          </w:pPr>
          <w:hyperlink w:anchor="__RefHeading___Toc11691389_1280447820">
            <w:r>
              <w:rPr>
                <w:webHidden/>
                <w:rStyle w:val="IndexLink"/>
                <w:rtl w:val="true"/>
              </w:rPr>
              <w:t>الفصل الثاني في مفهوم الوصف</w:t>
            </w:r>
            <w:r>
              <w:rPr>
                <w:rStyle w:val="IndexLink"/>
                <w:rtl w:val="true"/>
              </w:rPr>
              <w:tab/>
            </w:r>
            <w:r>
              <w:rPr>
                <w:rStyle w:val="IndexLink"/>
              </w:rPr>
              <w:t>230</w:t>
            </w:r>
          </w:hyperlink>
        </w:p>
        <w:p>
          <w:pPr>
            <w:pStyle w:val="Contents2"/>
            <w:tabs>
              <w:tab w:val="clear" w:pos="8743"/>
              <w:tab w:val="right" w:pos="9026" w:leader="dot"/>
            </w:tabs>
            <w:rPr/>
          </w:pPr>
          <w:hyperlink w:anchor="__RefHeading___Toc11691391_1280447820">
            <w:r>
              <w:rPr>
                <w:webHidden/>
                <w:rStyle w:val="IndexLink"/>
                <w:rtl w:val="true"/>
              </w:rPr>
              <w:t>موضوع البحث</w:t>
            </w:r>
            <w:r>
              <w:rPr>
                <w:rStyle w:val="IndexLink"/>
                <w:rtl w:val="true"/>
              </w:rPr>
              <w:tab/>
            </w:r>
            <w:r>
              <w:rPr>
                <w:rStyle w:val="IndexLink"/>
              </w:rPr>
              <w:t>230</w:t>
            </w:r>
          </w:hyperlink>
        </w:p>
        <w:p>
          <w:pPr>
            <w:pStyle w:val="Contents2"/>
            <w:tabs>
              <w:tab w:val="clear" w:pos="8743"/>
              <w:tab w:val="right" w:pos="9026" w:leader="dot"/>
            </w:tabs>
            <w:rPr/>
          </w:pPr>
          <w:hyperlink w:anchor="__RefHeading___Toc11691393_1280447820">
            <w:r>
              <w:rPr>
                <w:webHidden/>
                <w:rStyle w:val="IndexLink"/>
                <w:rtl w:val="true"/>
              </w:rPr>
              <w:t>أقسام الوصف</w:t>
            </w:r>
            <w:r>
              <w:rPr>
                <w:rStyle w:val="IndexLink"/>
                <w:rtl w:val="true"/>
              </w:rPr>
              <w:tab/>
            </w:r>
            <w:r>
              <w:rPr>
                <w:rStyle w:val="IndexLink"/>
              </w:rPr>
              <w:t>232</w:t>
            </w:r>
          </w:hyperlink>
        </w:p>
        <w:p>
          <w:pPr>
            <w:pStyle w:val="Contents2"/>
            <w:tabs>
              <w:tab w:val="clear" w:pos="8743"/>
              <w:tab w:val="right" w:pos="9026" w:leader="dot"/>
            </w:tabs>
            <w:rPr/>
          </w:pPr>
          <w:hyperlink w:anchor="__RefHeading___Toc11691395_1280447820">
            <w:r>
              <w:rPr>
                <w:webHidden/>
                <w:rStyle w:val="IndexLink"/>
                <w:rtl w:val="true"/>
              </w:rPr>
              <w:t>هل مفهوم الوصف حجة؟</w:t>
            </w:r>
            <w:r>
              <w:rPr>
                <w:rStyle w:val="IndexLink"/>
                <w:rtl w:val="true"/>
              </w:rPr>
              <w:tab/>
            </w:r>
            <w:r>
              <w:rPr>
                <w:rStyle w:val="IndexLink"/>
              </w:rPr>
              <w:t>234</w:t>
            </w:r>
          </w:hyperlink>
        </w:p>
        <w:p>
          <w:pPr>
            <w:pStyle w:val="Contents2"/>
            <w:tabs>
              <w:tab w:val="clear" w:pos="8743"/>
              <w:tab w:val="right" w:pos="9026" w:leader="dot"/>
            </w:tabs>
            <w:rPr/>
          </w:pPr>
          <w:hyperlink w:anchor="__RefHeading___Toc11691397_1280447820">
            <w:r>
              <w:rPr>
                <w:webHidden/>
                <w:rStyle w:val="IndexLink"/>
                <w:rtl w:val="true"/>
              </w:rPr>
              <w:t>ادلة القول بالحجية</w:t>
            </w:r>
            <w:r>
              <w:rPr>
                <w:rStyle w:val="IndexLink"/>
                <w:rtl w:val="true"/>
              </w:rPr>
              <w:tab/>
            </w:r>
            <w:r>
              <w:rPr>
                <w:rStyle w:val="IndexLink"/>
              </w:rPr>
              <w:t>235</w:t>
            </w:r>
          </w:hyperlink>
        </w:p>
        <w:p>
          <w:pPr>
            <w:pStyle w:val="Contents2"/>
            <w:tabs>
              <w:tab w:val="clear" w:pos="8743"/>
              <w:tab w:val="right" w:pos="9026" w:leader="dot"/>
            </w:tabs>
            <w:rPr/>
          </w:pPr>
          <w:hyperlink w:anchor="__RefHeading___Toc11691399_1280447820">
            <w:r>
              <w:rPr>
                <w:webHidden/>
                <w:rStyle w:val="IndexLink"/>
                <w:rtl w:val="true"/>
              </w:rPr>
              <w:t>الاول</w:t>
            </w:r>
            <w:r>
              <w:rPr>
                <w:rStyle w:val="IndexLink"/>
                <w:rtl w:val="true"/>
              </w:rPr>
              <w:t xml:space="preserve">: </w:t>
            </w:r>
            <w:r>
              <w:rPr>
                <w:rStyle w:val="IndexLink"/>
                <w:rtl w:val="true"/>
              </w:rPr>
              <w:t>التبادر</w:t>
            </w:r>
            <w:r>
              <w:rPr>
                <w:rStyle w:val="IndexLink"/>
                <w:rtl w:val="true"/>
              </w:rPr>
              <w:tab/>
            </w:r>
            <w:r>
              <w:rPr>
                <w:rStyle w:val="IndexLink"/>
              </w:rPr>
              <w:t>235</w:t>
            </w:r>
          </w:hyperlink>
        </w:p>
        <w:p>
          <w:pPr>
            <w:pStyle w:val="Contents2"/>
            <w:tabs>
              <w:tab w:val="clear" w:pos="8743"/>
              <w:tab w:val="right" w:pos="9026" w:leader="dot"/>
            </w:tabs>
            <w:rPr/>
          </w:pPr>
          <w:hyperlink w:anchor="__RefHeading___Toc11691401_1280447820">
            <w:r>
              <w:rPr>
                <w:webHidden/>
                <w:rStyle w:val="IndexLink"/>
                <w:rtl w:val="true"/>
              </w:rPr>
              <w:t>الثاني</w:t>
            </w:r>
            <w:r>
              <w:rPr>
                <w:rStyle w:val="IndexLink"/>
                <w:rtl w:val="true"/>
              </w:rPr>
              <w:t xml:space="preserve">: </w:t>
            </w:r>
            <w:r>
              <w:rPr>
                <w:rStyle w:val="IndexLink"/>
                <w:rtl w:val="true"/>
              </w:rPr>
              <w:t>لزوم اللغوية</w:t>
            </w:r>
            <w:r>
              <w:rPr>
                <w:rStyle w:val="IndexLink"/>
                <w:rtl w:val="true"/>
              </w:rPr>
              <w:tab/>
            </w:r>
            <w:r>
              <w:rPr>
                <w:rStyle w:val="IndexLink"/>
              </w:rPr>
              <w:t>235</w:t>
            </w:r>
          </w:hyperlink>
        </w:p>
        <w:p>
          <w:pPr>
            <w:pStyle w:val="Contents2"/>
            <w:tabs>
              <w:tab w:val="clear" w:pos="8743"/>
              <w:tab w:val="right" w:pos="9026" w:leader="dot"/>
            </w:tabs>
            <w:rPr/>
          </w:pPr>
          <w:hyperlink w:anchor="__RefHeading___Toc11691403_1280447820">
            <w:r>
              <w:rPr>
                <w:webHidden/>
                <w:rStyle w:val="IndexLink"/>
                <w:rtl w:val="true"/>
              </w:rPr>
              <w:t>الثالث</w:t>
            </w:r>
            <w:r>
              <w:rPr>
                <w:rStyle w:val="IndexLink"/>
                <w:rtl w:val="true"/>
              </w:rPr>
              <w:t xml:space="preserve">: </w:t>
            </w:r>
            <w:r>
              <w:rPr>
                <w:rStyle w:val="IndexLink"/>
                <w:rtl w:val="true"/>
              </w:rPr>
              <w:t>الأصل في القيود أنها احترازية</w:t>
            </w:r>
            <w:r>
              <w:rPr>
                <w:rStyle w:val="IndexLink"/>
                <w:rtl w:val="true"/>
              </w:rPr>
              <w:tab/>
            </w:r>
            <w:r>
              <w:rPr>
                <w:rStyle w:val="IndexLink"/>
              </w:rPr>
              <w:t>236</w:t>
            </w:r>
          </w:hyperlink>
        </w:p>
        <w:p>
          <w:pPr>
            <w:pStyle w:val="Contents2"/>
            <w:tabs>
              <w:tab w:val="clear" w:pos="8743"/>
              <w:tab w:val="right" w:pos="9026" w:leader="dot"/>
            </w:tabs>
            <w:rPr/>
          </w:pPr>
          <w:hyperlink w:anchor="__RefHeading___Toc11691405_1280447820">
            <w:r>
              <w:rPr>
                <w:webHidden/>
                <w:rStyle w:val="IndexLink"/>
                <w:rtl w:val="true"/>
              </w:rPr>
              <w:t>الرابع</w:t>
            </w:r>
            <w:r>
              <w:rPr>
                <w:rStyle w:val="IndexLink"/>
                <w:rtl w:val="true"/>
              </w:rPr>
              <w:t xml:space="preserve">: </w:t>
            </w:r>
            <w:r>
              <w:rPr>
                <w:rStyle w:val="IndexLink"/>
                <w:rtl w:val="true"/>
              </w:rPr>
              <w:t>الاستدلال بالجمل الدالة علی المفهوم</w:t>
            </w:r>
            <w:r>
              <w:rPr>
                <w:rStyle w:val="IndexLink"/>
                <w:rtl w:val="true"/>
              </w:rPr>
              <w:tab/>
            </w:r>
            <w:r>
              <w:rPr>
                <w:rStyle w:val="IndexLink"/>
              </w:rPr>
              <w:t>238</w:t>
            </w:r>
          </w:hyperlink>
        </w:p>
        <w:p>
          <w:pPr>
            <w:pStyle w:val="Contents2"/>
            <w:tabs>
              <w:tab w:val="clear" w:pos="8743"/>
              <w:tab w:val="right" w:pos="9026" w:leader="dot"/>
            </w:tabs>
            <w:rPr/>
          </w:pPr>
          <w:hyperlink w:anchor="__RefHeading___Toc11691407_1280447820">
            <w:r>
              <w:rPr>
                <w:webHidden/>
                <w:rStyle w:val="IndexLink"/>
                <w:rtl w:val="true"/>
              </w:rPr>
              <w:t>الخامس</w:t>
            </w:r>
            <w:r>
              <w:rPr>
                <w:rStyle w:val="IndexLink"/>
                <w:rtl w:val="true"/>
              </w:rPr>
              <w:t xml:space="preserve">: </w:t>
            </w:r>
            <w:r>
              <w:rPr>
                <w:rStyle w:val="IndexLink"/>
                <w:rtl w:val="true"/>
              </w:rPr>
              <w:t>فهم أبي عبيدة و هو من أهل اللسان</w:t>
            </w:r>
            <w:r>
              <w:rPr>
                <w:rStyle w:val="IndexLink"/>
                <w:rtl w:val="true"/>
              </w:rPr>
              <w:tab/>
            </w:r>
            <w:r>
              <w:rPr>
                <w:rStyle w:val="IndexLink"/>
              </w:rPr>
              <w:t>239</w:t>
            </w:r>
          </w:hyperlink>
        </w:p>
        <w:p>
          <w:pPr>
            <w:pStyle w:val="Contents2"/>
            <w:tabs>
              <w:tab w:val="clear" w:pos="8743"/>
              <w:tab w:val="right" w:pos="9026" w:leader="dot"/>
            </w:tabs>
            <w:rPr/>
          </w:pPr>
          <w:hyperlink w:anchor="__RefHeading___Toc11691409_1280447820">
            <w:r>
              <w:rPr>
                <w:webHidden/>
                <w:rStyle w:val="IndexLink"/>
                <w:rtl w:val="true"/>
              </w:rPr>
              <w:t>السادس</w:t>
            </w:r>
            <w:r>
              <w:rPr>
                <w:rStyle w:val="IndexLink"/>
                <w:rtl w:val="true"/>
              </w:rPr>
              <w:t xml:space="preserve">: </w:t>
            </w:r>
            <w:r>
              <w:rPr>
                <w:rStyle w:val="IndexLink"/>
                <w:rtl w:val="true"/>
              </w:rPr>
              <w:t>ظهور الجملة في مدخلية الوصف بما هو هو لا بجامعه</w:t>
            </w:r>
            <w:r>
              <w:rPr>
                <w:rStyle w:val="IndexLink"/>
                <w:rtl w:val="true"/>
              </w:rPr>
              <w:tab/>
            </w:r>
            <w:r>
              <w:rPr>
                <w:rStyle w:val="IndexLink"/>
              </w:rPr>
              <w:t>239</w:t>
            </w:r>
          </w:hyperlink>
        </w:p>
        <w:p>
          <w:pPr>
            <w:pStyle w:val="Contents2"/>
            <w:tabs>
              <w:tab w:val="clear" w:pos="8743"/>
              <w:tab w:val="right" w:pos="9026" w:leader="dot"/>
            </w:tabs>
            <w:rPr/>
          </w:pPr>
          <w:hyperlink w:anchor="__RefHeading___Toc11691411_1280447820">
            <w:r>
              <w:rPr>
                <w:webHidden/>
                <w:rStyle w:val="IndexLink"/>
                <w:rtl w:val="true"/>
              </w:rPr>
              <w:t>السابع</w:t>
            </w:r>
            <w:r>
              <w:rPr>
                <w:rStyle w:val="IndexLink"/>
                <w:rtl w:val="true"/>
              </w:rPr>
              <w:t xml:space="preserve">: </w:t>
            </w:r>
            <w:r>
              <w:rPr>
                <w:rStyle w:val="IndexLink"/>
                <w:rtl w:val="true"/>
              </w:rPr>
              <w:t>استدلال الامام الصادق علیه السلام بمفهوم الوصف</w:t>
            </w:r>
            <w:r>
              <w:rPr>
                <w:rStyle w:val="IndexLink"/>
                <w:rtl w:val="true"/>
              </w:rPr>
              <w:tab/>
            </w:r>
            <w:r>
              <w:rPr>
                <w:rStyle w:val="IndexLink"/>
              </w:rPr>
              <w:t>240</w:t>
            </w:r>
          </w:hyperlink>
        </w:p>
        <w:p>
          <w:pPr>
            <w:pStyle w:val="Contents2"/>
            <w:tabs>
              <w:tab w:val="clear" w:pos="8743"/>
              <w:tab w:val="right" w:pos="9026" w:leader="dot"/>
            </w:tabs>
            <w:rPr/>
          </w:pPr>
          <w:hyperlink w:anchor="__RefHeading___Toc11691413_1280447820">
            <w:r>
              <w:rPr>
                <w:webHidden/>
                <w:rStyle w:val="IndexLink"/>
                <w:rtl w:val="true"/>
              </w:rPr>
              <w:t>تفصيل المحقّق النائيني</w:t>
            </w:r>
            <w:r>
              <w:rPr>
                <w:rStyle w:val="IndexLink"/>
                <w:rtl w:val="true"/>
              </w:rPr>
              <w:tab/>
            </w:r>
            <w:r>
              <w:rPr>
                <w:rStyle w:val="IndexLink"/>
              </w:rPr>
              <w:t>242</w:t>
            </w:r>
          </w:hyperlink>
        </w:p>
        <w:p>
          <w:pPr>
            <w:pStyle w:val="Contents2"/>
            <w:tabs>
              <w:tab w:val="clear" w:pos="8743"/>
              <w:tab w:val="right" w:pos="9026" w:leader="dot"/>
            </w:tabs>
            <w:rPr/>
          </w:pPr>
          <w:hyperlink w:anchor="__RefHeading___Toc11691415_1280447820">
            <w:r>
              <w:rPr>
                <w:webHidden/>
                <w:rStyle w:val="IndexLink"/>
                <w:rtl w:val="true"/>
              </w:rPr>
              <w:t>أدلّة النافي للمفهوم</w:t>
            </w:r>
            <w:r>
              <w:rPr>
                <w:rStyle w:val="IndexLink"/>
                <w:rtl w:val="true"/>
              </w:rPr>
              <w:tab/>
            </w:r>
            <w:r>
              <w:rPr>
                <w:rStyle w:val="IndexLink"/>
              </w:rPr>
              <w:t>243</w:t>
            </w:r>
          </w:hyperlink>
        </w:p>
        <w:p>
          <w:pPr>
            <w:pStyle w:val="Contents2"/>
            <w:tabs>
              <w:tab w:val="clear" w:pos="8743"/>
              <w:tab w:val="right" w:pos="9026" w:leader="dot"/>
            </w:tabs>
            <w:rPr/>
          </w:pPr>
          <w:hyperlink w:anchor="__RefHeading___Toc11691417_1280447820">
            <w:r>
              <w:rPr>
                <w:webHidden/>
                <w:rStyle w:val="IndexLink"/>
                <w:rtl w:val="true"/>
              </w:rPr>
              <w:t>الفصل الثالث في مفهوم الغاية</w:t>
            </w:r>
            <w:r>
              <w:rPr>
                <w:rStyle w:val="IndexLink"/>
                <w:rtl w:val="true"/>
              </w:rPr>
              <w:tab/>
            </w:r>
            <w:r>
              <w:rPr>
                <w:rStyle w:val="IndexLink"/>
              </w:rPr>
              <w:t>244</w:t>
            </w:r>
          </w:hyperlink>
        </w:p>
        <w:p>
          <w:pPr>
            <w:pStyle w:val="Contents2"/>
            <w:tabs>
              <w:tab w:val="clear" w:pos="8743"/>
              <w:tab w:val="right" w:pos="9026" w:leader="dot"/>
            </w:tabs>
            <w:rPr/>
          </w:pPr>
          <w:hyperlink w:anchor="__RefHeading___Toc11691419_1280447820">
            <w:r>
              <w:rPr>
                <w:webHidden/>
                <w:rStyle w:val="IndexLink"/>
                <w:rtl w:val="true"/>
              </w:rPr>
              <w:t>الجهة الأولى</w:t>
            </w:r>
            <w:r>
              <w:rPr>
                <w:rStyle w:val="IndexLink"/>
                <w:rtl w:val="true"/>
              </w:rPr>
              <w:t xml:space="preserve">: </w:t>
            </w:r>
            <w:r>
              <w:rPr>
                <w:rStyle w:val="IndexLink"/>
                <w:rtl w:val="true"/>
              </w:rPr>
              <w:t>في دخول الغاية</w:t>
            </w:r>
            <w:r>
              <w:rPr>
                <w:rStyle w:val="IndexLink"/>
                <w:rtl w:val="true"/>
              </w:rPr>
              <w:tab/>
            </w:r>
            <w:r>
              <w:rPr>
                <w:rStyle w:val="IndexLink"/>
              </w:rPr>
              <w:t>244</w:t>
            </w:r>
          </w:hyperlink>
        </w:p>
        <w:p>
          <w:pPr>
            <w:pStyle w:val="Contents2"/>
            <w:tabs>
              <w:tab w:val="clear" w:pos="8743"/>
              <w:tab w:val="right" w:pos="9026" w:leader="dot"/>
            </w:tabs>
            <w:rPr/>
          </w:pPr>
          <w:hyperlink w:anchor="__RefHeading___Toc11691421_1280447820">
            <w:r>
              <w:rPr>
                <w:webHidden/>
                <w:rStyle w:val="IndexLink"/>
                <w:rtl w:val="true"/>
              </w:rPr>
              <w:t>مقتضی الاصل العملي</w:t>
            </w:r>
            <w:r>
              <w:rPr>
                <w:rStyle w:val="IndexLink"/>
                <w:rtl w:val="true"/>
              </w:rPr>
              <w:tab/>
            </w:r>
            <w:r>
              <w:rPr>
                <w:rStyle w:val="IndexLink"/>
              </w:rPr>
              <w:t>249</w:t>
            </w:r>
          </w:hyperlink>
        </w:p>
        <w:p>
          <w:pPr>
            <w:pStyle w:val="Contents2"/>
            <w:tabs>
              <w:tab w:val="clear" w:pos="8743"/>
              <w:tab w:val="right" w:pos="9026" w:leader="dot"/>
            </w:tabs>
            <w:rPr/>
          </w:pPr>
          <w:hyperlink w:anchor="__RefHeading___Toc11691423_1280447820">
            <w:r>
              <w:rPr>
                <w:webHidden/>
                <w:rStyle w:val="IndexLink"/>
                <w:rtl w:val="true"/>
              </w:rPr>
              <w:t>الجهة الثانية</w:t>
            </w:r>
            <w:r>
              <w:rPr>
                <w:rStyle w:val="IndexLink"/>
                <w:rtl w:val="true"/>
              </w:rPr>
              <w:t xml:space="preserve">: </w:t>
            </w:r>
            <w:r>
              <w:rPr>
                <w:rStyle w:val="IndexLink"/>
                <w:rtl w:val="true"/>
              </w:rPr>
              <w:t>في المفهوم</w:t>
            </w:r>
            <w:r>
              <w:rPr>
                <w:rStyle w:val="IndexLink"/>
                <w:rtl w:val="true"/>
              </w:rPr>
              <w:tab/>
            </w:r>
            <w:r>
              <w:rPr>
                <w:rStyle w:val="IndexLink"/>
              </w:rPr>
              <w:t>249</w:t>
            </w:r>
          </w:hyperlink>
        </w:p>
        <w:p>
          <w:pPr>
            <w:pStyle w:val="Contents2"/>
            <w:tabs>
              <w:tab w:val="clear" w:pos="8743"/>
              <w:tab w:val="right" w:pos="9026" w:leader="dot"/>
            </w:tabs>
            <w:rPr/>
          </w:pPr>
          <w:hyperlink w:anchor="__RefHeading___Toc11691425_1280447820">
            <w:r>
              <w:rPr>
                <w:webHidden/>
                <w:rStyle w:val="IndexLink"/>
                <w:rtl w:val="true"/>
              </w:rPr>
              <w:t>تذييل</w:t>
            </w:r>
            <w:r>
              <w:rPr>
                <w:rStyle w:val="IndexLink"/>
                <w:rtl w:val="true"/>
              </w:rPr>
              <w:tab/>
            </w:r>
            <w:r>
              <w:rPr>
                <w:rStyle w:val="IndexLink"/>
              </w:rPr>
              <w:t>252</w:t>
            </w:r>
          </w:hyperlink>
        </w:p>
        <w:p>
          <w:pPr>
            <w:pStyle w:val="Contents2"/>
            <w:tabs>
              <w:tab w:val="clear" w:pos="8743"/>
              <w:tab w:val="right" w:pos="9026" w:leader="dot"/>
            </w:tabs>
            <w:rPr/>
          </w:pPr>
          <w:hyperlink w:anchor="__RefHeading___Toc11691427_1280447820">
            <w:r>
              <w:rPr>
                <w:webHidden/>
                <w:rStyle w:val="IndexLink"/>
                <w:rtl w:val="true"/>
              </w:rPr>
              <w:t>هل هناک ضابطة لتمييز ما يرجع إلى الحكم ؟</w:t>
            </w:r>
            <w:r>
              <w:rPr>
                <w:rStyle w:val="IndexLink"/>
                <w:rtl w:val="true"/>
              </w:rPr>
              <w:tab/>
            </w:r>
            <w:r>
              <w:rPr>
                <w:rStyle w:val="IndexLink"/>
              </w:rPr>
              <w:t>252</w:t>
            </w:r>
          </w:hyperlink>
        </w:p>
        <w:p>
          <w:pPr>
            <w:pStyle w:val="Contents2"/>
            <w:tabs>
              <w:tab w:val="clear" w:pos="8743"/>
              <w:tab w:val="right" w:pos="9026" w:leader="dot"/>
            </w:tabs>
            <w:rPr/>
          </w:pPr>
          <w:hyperlink w:anchor="__RefHeading___Toc11691429_1280447820">
            <w:r>
              <w:rPr>
                <w:webHidden/>
                <w:rStyle w:val="IndexLink"/>
                <w:rtl w:val="true"/>
              </w:rPr>
              <w:t>الفصل الرابع في مفهوم الحصر</w:t>
            </w:r>
            <w:r>
              <w:rPr>
                <w:rStyle w:val="IndexLink"/>
                <w:rtl w:val="true"/>
              </w:rPr>
              <w:tab/>
            </w:r>
            <w:r>
              <w:rPr>
                <w:rStyle w:val="IndexLink"/>
              </w:rPr>
              <w:t>255</w:t>
            </w:r>
          </w:hyperlink>
        </w:p>
        <w:p>
          <w:pPr>
            <w:pStyle w:val="Contents2"/>
            <w:tabs>
              <w:tab w:val="clear" w:pos="8743"/>
              <w:tab w:val="right" w:pos="9026" w:leader="dot"/>
            </w:tabs>
            <w:rPr/>
          </w:pPr>
          <w:hyperlink w:anchor="__RefHeading___Toc11691431_1280447820">
            <w:r>
              <w:rPr>
                <w:webHidden/>
                <w:rStyle w:val="IndexLink"/>
                <w:rtl w:val="true"/>
              </w:rPr>
              <w:t>الاول</w:t>
            </w:r>
            <w:r>
              <w:rPr>
                <w:rStyle w:val="IndexLink"/>
                <w:rtl w:val="true"/>
              </w:rPr>
              <w:t xml:space="preserve">: </w:t>
            </w:r>
            <w:r>
              <w:rPr>
                <w:rStyle w:val="IndexLink"/>
                <w:rtl w:val="true"/>
              </w:rPr>
              <w:t>في الاستثناء</w:t>
            </w:r>
            <w:r>
              <w:rPr>
                <w:rStyle w:val="IndexLink"/>
                <w:rtl w:val="true"/>
              </w:rPr>
              <w:tab/>
            </w:r>
            <w:r>
              <w:rPr>
                <w:rStyle w:val="IndexLink"/>
              </w:rPr>
              <w:t>256</w:t>
            </w:r>
          </w:hyperlink>
        </w:p>
        <w:p>
          <w:pPr>
            <w:pStyle w:val="Contents2"/>
            <w:tabs>
              <w:tab w:val="clear" w:pos="8743"/>
              <w:tab w:val="right" w:pos="9026" w:leader="dot"/>
            </w:tabs>
            <w:rPr/>
          </w:pPr>
          <w:hyperlink w:anchor="__RefHeading___Toc11691433_1280447820">
            <w:r>
              <w:rPr>
                <w:webHidden/>
                <w:rStyle w:val="IndexLink"/>
                <w:rtl w:val="true"/>
              </w:rPr>
              <w:t>فرع</w:t>
            </w:r>
            <w:r>
              <w:rPr>
                <w:rStyle w:val="IndexLink"/>
                <w:rtl w:val="true"/>
              </w:rPr>
              <w:t>:</w:t>
              <w:tab/>
            </w:r>
            <w:r>
              <w:rPr>
                <w:rStyle w:val="IndexLink"/>
              </w:rPr>
              <w:t>260</w:t>
            </w:r>
          </w:hyperlink>
        </w:p>
        <w:p>
          <w:pPr>
            <w:pStyle w:val="Contents2"/>
            <w:tabs>
              <w:tab w:val="clear" w:pos="8743"/>
              <w:tab w:val="right" w:pos="9026" w:leader="dot"/>
            </w:tabs>
            <w:rPr/>
          </w:pPr>
          <w:hyperlink w:anchor="__RefHeading___Toc11691435_1280447820">
            <w:r>
              <w:rPr>
                <w:webHidden/>
                <w:rStyle w:val="IndexLink"/>
                <w:rtl w:val="true"/>
              </w:rPr>
              <w:t>الثاني</w:t>
            </w:r>
            <w:r>
              <w:rPr>
                <w:rStyle w:val="IndexLink"/>
                <w:rtl w:val="true"/>
              </w:rPr>
              <w:t xml:space="preserve">: </w:t>
            </w:r>
            <w:r>
              <w:rPr>
                <w:rStyle w:val="IndexLink"/>
                <w:rtl w:val="true"/>
              </w:rPr>
              <w:t>انما</w:t>
            </w:r>
            <w:r>
              <w:rPr>
                <w:rStyle w:val="IndexLink"/>
                <w:rtl w:val="true"/>
              </w:rPr>
              <w:tab/>
            </w:r>
            <w:r>
              <w:rPr>
                <w:rStyle w:val="IndexLink"/>
              </w:rPr>
              <w:t>260</w:t>
            </w:r>
          </w:hyperlink>
        </w:p>
        <w:p>
          <w:pPr>
            <w:pStyle w:val="Contents2"/>
            <w:tabs>
              <w:tab w:val="clear" w:pos="8743"/>
              <w:tab w:val="right" w:pos="9026" w:leader="dot"/>
            </w:tabs>
            <w:rPr/>
          </w:pPr>
          <w:hyperlink w:anchor="__RefHeading___Toc11691437_1280447820">
            <w:r>
              <w:rPr>
                <w:webHidden/>
                <w:rStyle w:val="IndexLink"/>
                <w:rtl w:val="true"/>
              </w:rPr>
              <w:t>الثالث</w:t>
            </w:r>
            <w:r>
              <w:rPr>
                <w:rStyle w:val="IndexLink"/>
                <w:rtl w:val="true"/>
              </w:rPr>
              <w:t xml:space="preserve">: </w:t>
            </w:r>
            <w:r>
              <w:rPr>
                <w:rStyle w:val="IndexLink"/>
                <w:rtl w:val="true"/>
              </w:rPr>
              <w:t>بل الاضرابية</w:t>
            </w:r>
            <w:r>
              <w:rPr>
                <w:rStyle w:val="IndexLink"/>
                <w:rtl w:val="true"/>
              </w:rPr>
              <w:tab/>
            </w:r>
            <w:r>
              <w:rPr>
                <w:rStyle w:val="IndexLink"/>
              </w:rPr>
              <w:t>264</w:t>
            </w:r>
          </w:hyperlink>
        </w:p>
        <w:p>
          <w:pPr>
            <w:pStyle w:val="Contents2"/>
            <w:tabs>
              <w:tab w:val="clear" w:pos="8743"/>
              <w:tab w:val="right" w:pos="9026" w:leader="dot"/>
            </w:tabs>
            <w:rPr/>
          </w:pPr>
          <w:hyperlink w:anchor="__RefHeading___Toc11691439_1280447820">
            <w:r>
              <w:rPr>
                <w:webHidden/>
                <w:rStyle w:val="IndexLink"/>
                <w:rtl w:val="true"/>
              </w:rPr>
              <w:t>الرابع</w:t>
            </w:r>
            <w:r>
              <w:rPr>
                <w:rStyle w:val="IndexLink"/>
                <w:rtl w:val="true"/>
              </w:rPr>
              <w:t xml:space="preserve">: </w:t>
            </w:r>
            <w:r>
              <w:rPr>
                <w:rStyle w:val="IndexLink"/>
                <w:rtl w:val="true"/>
              </w:rPr>
              <w:t>تقديم ما حقّه التأخير</w:t>
            </w:r>
            <w:r>
              <w:rPr>
                <w:rStyle w:val="IndexLink"/>
                <w:rtl w:val="true"/>
              </w:rPr>
              <w:tab/>
            </w:r>
            <w:r>
              <w:rPr>
                <w:rStyle w:val="IndexLink"/>
              </w:rPr>
              <w:t>266</w:t>
            </w:r>
          </w:hyperlink>
        </w:p>
        <w:p>
          <w:pPr>
            <w:pStyle w:val="Contents2"/>
            <w:tabs>
              <w:tab w:val="clear" w:pos="8743"/>
              <w:tab w:val="right" w:pos="9026" w:leader="dot"/>
            </w:tabs>
            <w:rPr/>
          </w:pPr>
          <w:hyperlink w:anchor="__RefHeading___Toc11691441_1280447820">
            <w:r>
              <w:rPr>
                <w:webHidden/>
                <w:rStyle w:val="IndexLink"/>
                <w:rtl w:val="true"/>
              </w:rPr>
              <w:t>الخامس</w:t>
            </w:r>
            <w:r>
              <w:rPr>
                <w:rStyle w:val="IndexLink"/>
                <w:rtl w:val="true"/>
              </w:rPr>
              <w:t xml:space="preserve">: </w:t>
            </w:r>
            <w:r>
              <w:rPr>
                <w:rStyle w:val="IndexLink"/>
                <w:rtl w:val="true"/>
              </w:rPr>
              <w:t>إفادة المسند إليه المعرف باللام للحصر</w:t>
            </w:r>
            <w:r>
              <w:rPr>
                <w:rStyle w:val="IndexLink"/>
                <w:rtl w:val="true"/>
              </w:rPr>
              <w:tab/>
            </w:r>
            <w:r>
              <w:rPr>
                <w:rStyle w:val="IndexLink"/>
              </w:rPr>
              <w:t>266</w:t>
            </w:r>
          </w:hyperlink>
        </w:p>
        <w:p>
          <w:pPr>
            <w:pStyle w:val="Contents2"/>
            <w:tabs>
              <w:tab w:val="clear" w:pos="8743"/>
              <w:tab w:val="right" w:pos="9026" w:leader="dot"/>
            </w:tabs>
            <w:rPr/>
          </w:pPr>
          <w:hyperlink w:anchor="__RefHeading___Toc11691443_1280447820">
            <w:r>
              <w:rPr>
                <w:webHidden/>
                <w:rStyle w:val="IndexLink"/>
                <w:rtl w:val="true"/>
              </w:rPr>
              <w:t>بعض أدوات الحصر</w:t>
            </w:r>
            <w:r>
              <w:rPr>
                <w:rStyle w:val="IndexLink"/>
                <w:rtl w:val="true"/>
              </w:rPr>
              <w:tab/>
            </w:r>
            <w:r>
              <w:rPr>
                <w:rStyle w:val="IndexLink"/>
              </w:rPr>
              <w:t>269</w:t>
            </w:r>
          </w:hyperlink>
        </w:p>
        <w:p>
          <w:pPr>
            <w:pStyle w:val="Contents2"/>
            <w:tabs>
              <w:tab w:val="clear" w:pos="8743"/>
              <w:tab w:val="right" w:pos="9026" w:leader="dot"/>
            </w:tabs>
            <w:rPr/>
          </w:pPr>
          <w:hyperlink w:anchor="__RefHeading___Toc11691445_1280447820">
            <w:r>
              <w:rPr>
                <w:webHidden/>
                <w:rStyle w:val="IndexLink"/>
                <w:rtl w:val="true"/>
              </w:rPr>
              <w:t>الفصل الخامس مفهوم اللقب</w:t>
            </w:r>
            <w:r>
              <w:rPr>
                <w:rStyle w:val="IndexLink"/>
                <w:rtl w:val="true"/>
              </w:rPr>
              <w:tab/>
            </w:r>
            <w:r>
              <w:rPr>
                <w:rStyle w:val="IndexLink"/>
              </w:rPr>
              <w:t>269</w:t>
            </w:r>
          </w:hyperlink>
        </w:p>
        <w:p>
          <w:pPr>
            <w:pStyle w:val="Contents2"/>
            <w:tabs>
              <w:tab w:val="clear" w:pos="8743"/>
              <w:tab w:val="right" w:pos="9026" w:leader="dot"/>
            </w:tabs>
            <w:rPr/>
          </w:pPr>
          <w:hyperlink w:anchor="__RefHeading___Toc11691447_1280447820">
            <w:r>
              <w:rPr>
                <w:webHidden/>
                <w:rStyle w:val="IndexLink"/>
                <w:rtl w:val="true"/>
              </w:rPr>
              <w:t>الفصل السادس مفهوم العدد</w:t>
            </w:r>
            <w:r>
              <w:rPr>
                <w:rStyle w:val="IndexLink"/>
                <w:rtl w:val="true"/>
              </w:rPr>
              <w:tab/>
            </w:r>
            <w:r>
              <w:rPr>
                <w:rStyle w:val="IndexLink"/>
              </w:rPr>
              <w:t>270</w:t>
            </w:r>
          </w:hyperlink>
        </w:p>
        <w:p>
          <w:pPr>
            <w:pStyle w:val="Contents2"/>
            <w:tabs>
              <w:tab w:val="clear" w:pos="8743"/>
              <w:tab w:val="right" w:pos="9026" w:leader="dot"/>
            </w:tabs>
            <w:rPr/>
          </w:pPr>
          <w:hyperlink w:anchor="__RefHeading___Toc11691449_1280447820">
            <w:r>
              <w:rPr>
                <w:webHidden/>
                <w:rStyle w:val="IndexLink"/>
                <w:rtl w:val="true"/>
              </w:rPr>
              <w:t>تطبيقات</w:t>
            </w:r>
            <w:r>
              <w:rPr>
                <w:rStyle w:val="IndexLink"/>
                <w:rtl w:val="true"/>
              </w:rPr>
              <w:tab/>
            </w:r>
            <w:r>
              <w:rPr>
                <w:rStyle w:val="IndexLink"/>
              </w:rPr>
              <w:t>272</w:t>
            </w:r>
          </w:hyperlink>
        </w:p>
        <w:p>
          <w:pPr>
            <w:pStyle w:val="Contents2"/>
            <w:tabs>
              <w:tab w:val="clear" w:pos="8743"/>
              <w:tab w:val="right" w:pos="9026" w:leader="dot"/>
            </w:tabs>
            <w:rPr/>
          </w:pPr>
          <w:hyperlink w:anchor="__RefHeading___Toc11691451_1280447820">
            <w:r>
              <w:rPr>
                <w:webHidden/>
                <w:rStyle w:val="IndexLink"/>
                <w:rtl w:val="true"/>
              </w:rPr>
              <w:t>خاتمة</w:t>
            </w:r>
            <w:r>
              <w:rPr>
                <w:rStyle w:val="IndexLink"/>
                <w:rtl w:val="true"/>
              </w:rPr>
              <w:t xml:space="preserve">: </w:t>
            </w:r>
            <w:r>
              <w:rPr>
                <w:rStyle w:val="IndexLink"/>
                <w:rtl w:val="true"/>
              </w:rPr>
              <w:t>في دلالة الاقتضاء و التنبيه و الإشارة</w:t>
            </w:r>
            <w:r>
              <w:rPr>
                <w:rStyle w:val="IndexLink"/>
                <w:rtl w:val="true"/>
              </w:rPr>
              <w:tab/>
            </w:r>
            <w:r>
              <w:rPr>
                <w:rStyle w:val="IndexLink"/>
              </w:rPr>
              <w:t>273</w:t>
            </w:r>
          </w:hyperlink>
        </w:p>
        <w:p>
          <w:pPr>
            <w:pStyle w:val="Contents2"/>
            <w:tabs>
              <w:tab w:val="clear" w:pos="8743"/>
              <w:tab w:val="right" w:pos="9026" w:leader="dot"/>
            </w:tabs>
            <w:rPr/>
          </w:pPr>
          <w:hyperlink w:anchor="__RefHeading___Toc11691453_1280447820">
            <w:r>
              <w:rPr>
                <w:webHidden/>
                <w:rStyle w:val="IndexLink"/>
                <w:rtl w:val="true"/>
              </w:rPr>
              <w:t>الجهة الأولى</w:t>
            </w:r>
            <w:r>
              <w:rPr>
                <w:rStyle w:val="IndexLink"/>
                <w:rtl w:val="true"/>
              </w:rPr>
              <w:t xml:space="preserve">: </w:t>
            </w:r>
            <w:r>
              <w:rPr>
                <w:rStyle w:val="IndexLink"/>
                <w:rtl w:val="true"/>
              </w:rPr>
              <w:t>مواقع الدلالات الثلاث</w:t>
            </w:r>
            <w:r>
              <w:rPr>
                <w:rStyle w:val="IndexLink"/>
                <w:rtl w:val="true"/>
              </w:rPr>
              <w:t>:</w:t>
              <w:tab/>
            </w:r>
            <w:r>
              <w:rPr>
                <w:rStyle w:val="IndexLink"/>
              </w:rPr>
              <w:t>273</w:t>
            </w:r>
          </w:hyperlink>
        </w:p>
        <w:p>
          <w:pPr>
            <w:pStyle w:val="Contents2"/>
            <w:tabs>
              <w:tab w:val="clear" w:pos="8743"/>
              <w:tab w:val="right" w:pos="9026" w:leader="dot"/>
            </w:tabs>
            <w:rPr/>
          </w:pPr>
          <w:hyperlink w:anchor="__RefHeading___Toc11691455_1280447820">
            <w:r>
              <w:rPr>
                <w:webHidden/>
                <w:rStyle w:val="IndexLink"/>
                <w:rtl w:val="true"/>
              </w:rPr>
              <w:t>الاولی</w:t>
            </w:r>
            <w:r>
              <w:rPr>
                <w:rStyle w:val="IndexLink"/>
                <w:rtl w:val="true"/>
              </w:rPr>
              <w:t xml:space="preserve">: </w:t>
            </w:r>
            <w:r>
              <w:rPr>
                <w:rStyle w:val="IndexLink"/>
                <w:rtl w:val="true"/>
              </w:rPr>
              <w:t>دلالة الاقتضاء</w:t>
            </w:r>
            <w:r>
              <w:rPr>
                <w:rStyle w:val="IndexLink"/>
                <w:rtl w:val="true"/>
              </w:rPr>
              <w:tab/>
            </w:r>
            <w:r>
              <w:rPr>
                <w:rStyle w:val="IndexLink"/>
              </w:rPr>
              <w:t>275</w:t>
            </w:r>
          </w:hyperlink>
        </w:p>
        <w:p>
          <w:pPr>
            <w:pStyle w:val="Contents2"/>
            <w:tabs>
              <w:tab w:val="clear" w:pos="8743"/>
              <w:tab w:val="right" w:pos="9026" w:leader="dot"/>
            </w:tabs>
            <w:rPr/>
          </w:pPr>
          <w:hyperlink w:anchor="__RefHeading___Toc11691457_1280447820">
            <w:r>
              <w:rPr>
                <w:webHidden/>
                <w:rStyle w:val="IndexLink"/>
                <w:rtl w:val="true"/>
              </w:rPr>
              <w:t>الثانية</w:t>
            </w:r>
            <w:r>
              <w:rPr>
                <w:rStyle w:val="IndexLink"/>
                <w:rtl w:val="true"/>
              </w:rPr>
              <w:t xml:space="preserve">: </w:t>
            </w:r>
            <w:r>
              <w:rPr>
                <w:rStyle w:val="IndexLink"/>
                <w:rtl w:val="true"/>
              </w:rPr>
              <w:t>دلالة التنبيه</w:t>
            </w:r>
            <w:r>
              <w:rPr>
                <w:rStyle w:val="IndexLink"/>
                <w:rtl w:val="true"/>
              </w:rPr>
              <w:tab/>
            </w:r>
            <w:r>
              <w:rPr>
                <w:rStyle w:val="IndexLink"/>
              </w:rPr>
              <w:t>276</w:t>
            </w:r>
          </w:hyperlink>
        </w:p>
        <w:p>
          <w:pPr>
            <w:pStyle w:val="Contents2"/>
            <w:tabs>
              <w:tab w:val="clear" w:pos="8743"/>
              <w:tab w:val="right" w:pos="9026" w:leader="dot"/>
            </w:tabs>
            <w:rPr/>
          </w:pPr>
          <w:hyperlink w:anchor="__RefHeading___Toc11691459_1280447820">
            <w:r>
              <w:rPr>
                <w:webHidden/>
                <w:rStyle w:val="IndexLink"/>
                <w:rtl w:val="true"/>
              </w:rPr>
              <w:t>الثالثة</w:t>
            </w:r>
            <w:r>
              <w:rPr>
                <w:rStyle w:val="IndexLink"/>
                <w:rtl w:val="true"/>
              </w:rPr>
              <w:t xml:space="preserve">: </w:t>
            </w:r>
            <w:r>
              <w:rPr>
                <w:rStyle w:val="IndexLink"/>
                <w:rtl w:val="true"/>
              </w:rPr>
              <w:t>دلالة الإشارة</w:t>
            </w:r>
            <w:r>
              <w:rPr>
                <w:rStyle w:val="IndexLink"/>
                <w:rtl w:val="true"/>
              </w:rPr>
              <w:tab/>
            </w:r>
            <w:r>
              <w:rPr>
                <w:rStyle w:val="IndexLink"/>
              </w:rPr>
              <w:t>278</w:t>
            </w:r>
          </w:hyperlink>
        </w:p>
        <w:p>
          <w:pPr>
            <w:pStyle w:val="Contents2"/>
            <w:tabs>
              <w:tab w:val="clear" w:pos="8743"/>
              <w:tab w:val="right" w:pos="9026" w:leader="dot"/>
            </w:tabs>
            <w:rPr/>
          </w:pPr>
          <w:hyperlink w:anchor="__RefHeading___Toc11691461_1280447820">
            <w:r>
              <w:rPr>
                <w:webHidden/>
                <w:rStyle w:val="IndexLink"/>
                <w:rtl w:val="true"/>
              </w:rPr>
              <w:t>الجهة الثانية</w:t>
            </w:r>
            <w:r>
              <w:rPr>
                <w:rStyle w:val="IndexLink"/>
                <w:rtl w:val="true"/>
              </w:rPr>
              <w:t xml:space="preserve">: </w:t>
            </w:r>
            <w:r>
              <w:rPr>
                <w:rStyle w:val="IndexLink"/>
                <w:rtl w:val="true"/>
              </w:rPr>
              <w:t>حجّيّة هذه الدلالات</w:t>
            </w:r>
            <w:r>
              <w:rPr>
                <w:rStyle w:val="IndexLink"/>
                <w:rtl w:val="true"/>
              </w:rPr>
              <w:tab/>
            </w:r>
            <w:r>
              <w:rPr>
                <w:rStyle w:val="IndexLink"/>
              </w:rPr>
              <w:t>279</w:t>
            </w:r>
          </w:hyperlink>
        </w:p>
        <w:p>
          <w:pPr>
            <w:pStyle w:val="Contents2"/>
            <w:tabs>
              <w:tab w:val="clear" w:pos="8743"/>
              <w:tab w:val="right" w:pos="9026" w:leader="dot"/>
            </w:tabs>
            <w:rPr/>
          </w:pPr>
          <w:hyperlink w:anchor="__RefHeading___Toc11691463_1280447820">
            <w:r>
              <w:rPr>
                <w:webHidden/>
                <w:rStyle w:val="IndexLink"/>
                <w:rtl w:val="true"/>
              </w:rPr>
              <w:t>المقصد الرابع في العام و الخاص</w:t>
            </w:r>
            <w:r>
              <w:rPr>
                <w:rStyle w:val="IndexLink"/>
                <w:rtl w:val="true"/>
              </w:rPr>
              <w:tab/>
            </w:r>
            <w:r>
              <w:rPr>
                <w:rStyle w:val="IndexLink"/>
              </w:rPr>
              <w:t>280</w:t>
            </w:r>
          </w:hyperlink>
        </w:p>
        <w:p>
          <w:pPr>
            <w:pStyle w:val="Contents2"/>
            <w:tabs>
              <w:tab w:val="clear" w:pos="8743"/>
              <w:tab w:val="right" w:pos="9026" w:leader="dot"/>
            </w:tabs>
            <w:rPr/>
          </w:pPr>
          <w:hyperlink w:anchor="__RefHeading___Toc11691465_1280447820">
            <w:r>
              <w:rPr>
                <w:webHidden/>
                <w:rStyle w:val="IndexLink"/>
                <w:rtl w:val="true"/>
              </w:rPr>
              <w:t>الامر الاول</w:t>
            </w:r>
            <w:r>
              <w:rPr>
                <w:rStyle w:val="IndexLink"/>
                <w:rtl w:val="true"/>
              </w:rPr>
              <w:t xml:space="preserve">: </w:t>
            </w:r>
            <w:r>
              <w:rPr>
                <w:rStyle w:val="IndexLink"/>
                <w:rtl w:val="true"/>
              </w:rPr>
              <w:t>تعريف العام</w:t>
            </w:r>
            <w:r>
              <w:rPr>
                <w:rStyle w:val="IndexLink"/>
                <w:rtl w:val="true"/>
              </w:rPr>
              <w:tab/>
            </w:r>
            <w:r>
              <w:rPr>
                <w:rStyle w:val="IndexLink"/>
              </w:rPr>
              <w:t>280</w:t>
            </w:r>
          </w:hyperlink>
        </w:p>
        <w:p>
          <w:pPr>
            <w:pStyle w:val="Contents2"/>
            <w:tabs>
              <w:tab w:val="clear" w:pos="8743"/>
              <w:tab w:val="right" w:pos="9026" w:leader="dot"/>
            </w:tabs>
            <w:rPr/>
          </w:pPr>
          <w:hyperlink w:anchor="__RefHeading___Toc11691467_1280447820">
            <w:r>
              <w:rPr>
                <w:webHidden/>
                <w:rStyle w:val="IndexLink"/>
                <w:rtl w:val="true"/>
              </w:rPr>
              <w:t>الامر الثاني</w:t>
            </w:r>
            <w:r>
              <w:rPr>
                <w:rStyle w:val="IndexLink"/>
                <w:rtl w:val="true"/>
              </w:rPr>
              <w:t xml:space="preserve">: </w:t>
            </w:r>
            <w:r>
              <w:rPr>
                <w:rStyle w:val="IndexLink"/>
                <w:rtl w:val="true"/>
              </w:rPr>
              <w:t>أقسام العام</w:t>
            </w:r>
            <w:r>
              <w:rPr>
                <w:rStyle w:val="IndexLink"/>
                <w:rtl w:val="true"/>
              </w:rPr>
              <w:tab/>
            </w:r>
            <w:r>
              <w:rPr>
                <w:rStyle w:val="IndexLink"/>
              </w:rPr>
              <w:t>281</w:t>
            </w:r>
          </w:hyperlink>
        </w:p>
        <w:p>
          <w:pPr>
            <w:pStyle w:val="Contents2"/>
            <w:tabs>
              <w:tab w:val="clear" w:pos="8743"/>
              <w:tab w:val="right" w:pos="9026" w:leader="dot"/>
            </w:tabs>
            <w:rPr/>
          </w:pPr>
          <w:hyperlink w:anchor="__RefHeading___Toc11691469_1280447820">
            <w:r>
              <w:rPr>
                <w:webHidden/>
                <w:rStyle w:val="IndexLink"/>
                <w:rtl w:val="true"/>
              </w:rPr>
              <w:t>رأي المحقق النائيني</w:t>
            </w:r>
            <w:r>
              <w:rPr>
                <w:rStyle w:val="IndexLink"/>
                <w:rtl w:val="true"/>
              </w:rPr>
              <w:tab/>
            </w:r>
            <w:r>
              <w:rPr>
                <w:rStyle w:val="IndexLink"/>
              </w:rPr>
              <w:t>283</w:t>
            </w:r>
          </w:hyperlink>
        </w:p>
        <w:p>
          <w:pPr>
            <w:pStyle w:val="Contents2"/>
            <w:tabs>
              <w:tab w:val="clear" w:pos="8743"/>
              <w:tab w:val="right" w:pos="9026" w:leader="dot"/>
            </w:tabs>
            <w:rPr/>
          </w:pPr>
          <w:hyperlink w:anchor="__RefHeading___Toc11691471_1280447820">
            <w:r>
              <w:rPr>
                <w:webHidden/>
                <w:rStyle w:val="IndexLink"/>
                <w:rtl w:val="true"/>
              </w:rPr>
              <w:t>الامر الثالث</w:t>
            </w:r>
            <w:r>
              <w:rPr>
                <w:rStyle w:val="IndexLink"/>
                <w:rtl w:val="true"/>
              </w:rPr>
              <w:t xml:space="preserve">: </w:t>
            </w:r>
            <w:r>
              <w:rPr>
                <w:rStyle w:val="IndexLink"/>
                <w:rtl w:val="true"/>
              </w:rPr>
              <w:t>دوران الأمر بين أحد الأقسام الثلاثة</w:t>
            </w:r>
            <w:r>
              <w:rPr>
                <w:rStyle w:val="IndexLink"/>
                <w:rtl w:val="true"/>
              </w:rPr>
              <w:tab/>
            </w:r>
            <w:r>
              <w:rPr>
                <w:rStyle w:val="IndexLink"/>
              </w:rPr>
              <w:t>284</w:t>
            </w:r>
          </w:hyperlink>
        </w:p>
        <w:p>
          <w:pPr>
            <w:pStyle w:val="Contents2"/>
            <w:tabs>
              <w:tab w:val="clear" w:pos="8743"/>
              <w:tab w:val="right" w:pos="9026" w:leader="dot"/>
            </w:tabs>
            <w:rPr/>
          </w:pPr>
          <w:hyperlink w:anchor="__RefHeading___Toc11691473_1280447820">
            <w:r>
              <w:rPr>
                <w:webHidden/>
                <w:rStyle w:val="IndexLink"/>
                <w:rtl w:val="true"/>
              </w:rPr>
              <w:t>الفصل الأوّل في صيغ العموم</w:t>
            </w:r>
            <w:r>
              <w:rPr>
                <w:rStyle w:val="IndexLink"/>
                <w:rtl w:val="true"/>
              </w:rPr>
              <w:tab/>
            </w:r>
            <w:r>
              <w:rPr>
                <w:rStyle w:val="IndexLink"/>
              </w:rPr>
              <w:t>285</w:t>
            </w:r>
          </w:hyperlink>
        </w:p>
        <w:p>
          <w:pPr>
            <w:pStyle w:val="Contents2"/>
            <w:tabs>
              <w:tab w:val="clear" w:pos="8743"/>
              <w:tab w:val="right" w:pos="9026" w:leader="dot"/>
            </w:tabs>
            <w:rPr/>
          </w:pPr>
          <w:hyperlink w:anchor="__RefHeading___Toc11691475_1280447820">
            <w:r>
              <w:rPr>
                <w:webHidden/>
                <w:rStyle w:val="IndexLink"/>
                <w:rtl w:val="true"/>
              </w:rPr>
              <w:t>صيغ العموم</w:t>
            </w:r>
            <w:r>
              <w:rPr>
                <w:rStyle w:val="IndexLink"/>
                <w:rtl w:val="true"/>
              </w:rPr>
              <w:tab/>
            </w:r>
            <w:r>
              <w:rPr>
                <w:rStyle w:val="IndexLink"/>
              </w:rPr>
              <w:t>288</w:t>
            </w:r>
          </w:hyperlink>
        </w:p>
        <w:p>
          <w:pPr>
            <w:pStyle w:val="Contents2"/>
            <w:tabs>
              <w:tab w:val="clear" w:pos="8743"/>
              <w:tab w:val="right" w:pos="9026" w:leader="dot"/>
            </w:tabs>
            <w:rPr/>
          </w:pPr>
          <w:hyperlink w:anchor="__RefHeading___Toc11691477_1280447820">
            <w:r>
              <w:rPr>
                <w:webHidden/>
                <w:rStyle w:val="IndexLink"/>
                <w:rtl w:val="true"/>
              </w:rPr>
              <w:t>الاول</w:t>
            </w:r>
            <w:r>
              <w:rPr>
                <w:rStyle w:val="IndexLink"/>
                <w:rtl w:val="true"/>
              </w:rPr>
              <w:t xml:space="preserve">: </w:t>
            </w:r>
            <w:r>
              <w:rPr>
                <w:rStyle w:val="IndexLink"/>
                <w:rtl w:val="true"/>
              </w:rPr>
              <w:t>وقوع النكرة في سياق النفي أو النهي</w:t>
            </w:r>
            <w:r>
              <w:rPr>
                <w:rStyle w:val="IndexLink"/>
                <w:rtl w:val="true"/>
              </w:rPr>
              <w:tab/>
            </w:r>
            <w:r>
              <w:rPr>
                <w:rStyle w:val="IndexLink"/>
              </w:rPr>
              <w:t>289</w:t>
            </w:r>
          </w:hyperlink>
        </w:p>
        <w:p>
          <w:pPr>
            <w:pStyle w:val="Contents2"/>
            <w:tabs>
              <w:tab w:val="clear" w:pos="8743"/>
              <w:tab w:val="right" w:pos="9026" w:leader="dot"/>
            </w:tabs>
            <w:rPr/>
          </w:pPr>
          <w:hyperlink w:anchor="__RefHeading___Toc11691479_1280447820">
            <w:r>
              <w:rPr>
                <w:webHidden/>
                <w:rStyle w:val="IndexLink"/>
                <w:rtl w:val="true"/>
              </w:rPr>
              <w:t>هل استفادة العموم رهن مقدّمات الحكمة؟</w:t>
            </w:r>
            <w:r>
              <w:rPr>
                <w:rStyle w:val="IndexLink"/>
                <w:rtl w:val="true"/>
              </w:rPr>
              <w:tab/>
            </w:r>
            <w:r>
              <w:rPr>
                <w:rStyle w:val="IndexLink"/>
              </w:rPr>
              <w:t>291</w:t>
            </w:r>
          </w:hyperlink>
        </w:p>
        <w:p>
          <w:pPr>
            <w:pStyle w:val="Contents2"/>
            <w:tabs>
              <w:tab w:val="clear" w:pos="8743"/>
              <w:tab w:val="right" w:pos="9026" w:leader="dot"/>
            </w:tabs>
            <w:rPr/>
          </w:pPr>
          <w:hyperlink w:anchor="__RefHeading___Toc11691481_1280447820">
            <w:r>
              <w:rPr>
                <w:webHidden/>
                <w:rStyle w:val="IndexLink"/>
                <w:rtl w:val="true"/>
              </w:rPr>
              <w:t>الثاني</w:t>
            </w:r>
            <w:r>
              <w:rPr>
                <w:rStyle w:val="IndexLink"/>
                <w:rtl w:val="true"/>
              </w:rPr>
              <w:t xml:space="preserve">: </w:t>
            </w:r>
            <w:r>
              <w:rPr>
                <w:rStyle w:val="IndexLink"/>
                <w:rtl w:val="true"/>
              </w:rPr>
              <w:t>لفظة كل و جميع و ما يعادلهما</w:t>
            </w:r>
            <w:r>
              <w:rPr>
                <w:rStyle w:val="IndexLink"/>
                <w:rtl w:val="true"/>
              </w:rPr>
              <w:tab/>
            </w:r>
            <w:r>
              <w:rPr>
                <w:rStyle w:val="IndexLink"/>
              </w:rPr>
              <w:t>294</w:t>
            </w:r>
          </w:hyperlink>
        </w:p>
        <w:p>
          <w:pPr>
            <w:pStyle w:val="Contents2"/>
            <w:tabs>
              <w:tab w:val="clear" w:pos="8743"/>
              <w:tab w:val="right" w:pos="9026" w:leader="dot"/>
            </w:tabs>
            <w:rPr/>
          </w:pPr>
          <w:hyperlink w:anchor="__RefHeading___Toc11691483_1280447820">
            <w:r>
              <w:rPr>
                <w:webHidden/>
                <w:rStyle w:val="IndexLink"/>
                <w:rtl w:val="true"/>
              </w:rPr>
              <w:t>الثالث</w:t>
            </w:r>
            <w:r>
              <w:rPr>
                <w:rStyle w:val="IndexLink"/>
                <w:rtl w:val="true"/>
              </w:rPr>
              <w:t xml:space="preserve">: </w:t>
            </w:r>
            <w:r>
              <w:rPr>
                <w:rStyle w:val="IndexLink"/>
                <w:rtl w:val="true"/>
              </w:rPr>
              <w:t>الجمع المحلّى باللام</w:t>
            </w:r>
            <w:r>
              <w:rPr>
                <w:rStyle w:val="IndexLink"/>
                <w:rtl w:val="true"/>
              </w:rPr>
              <w:tab/>
            </w:r>
            <w:r>
              <w:rPr>
                <w:rStyle w:val="IndexLink"/>
              </w:rPr>
              <w:t>294</w:t>
            </w:r>
          </w:hyperlink>
        </w:p>
        <w:p>
          <w:pPr>
            <w:pStyle w:val="Contents2"/>
            <w:tabs>
              <w:tab w:val="clear" w:pos="8743"/>
              <w:tab w:val="right" w:pos="9026" w:leader="dot"/>
            </w:tabs>
            <w:rPr/>
          </w:pPr>
          <w:hyperlink w:anchor="__RefHeading___Toc11691485_1280447820">
            <w:r>
              <w:rPr>
                <w:webHidden/>
                <w:rStyle w:val="IndexLink"/>
                <w:rtl w:val="true"/>
              </w:rPr>
              <w:t>وهم و دفع</w:t>
            </w:r>
            <w:r>
              <w:rPr>
                <w:rStyle w:val="IndexLink"/>
                <w:rtl w:val="true"/>
              </w:rPr>
              <w:tab/>
            </w:r>
            <w:r>
              <w:rPr>
                <w:rStyle w:val="IndexLink"/>
              </w:rPr>
              <w:t>296</w:t>
            </w:r>
          </w:hyperlink>
        </w:p>
        <w:p>
          <w:pPr>
            <w:pStyle w:val="Contents2"/>
            <w:tabs>
              <w:tab w:val="clear" w:pos="8743"/>
              <w:tab w:val="right" w:pos="9026" w:leader="dot"/>
            </w:tabs>
            <w:rPr/>
          </w:pPr>
          <w:hyperlink w:anchor="__RefHeading___Toc11691487_1280447820">
            <w:r>
              <w:rPr>
                <w:webHidden/>
                <w:rStyle w:val="IndexLink"/>
                <w:rtl w:val="true"/>
              </w:rPr>
              <w:t>الرابع</w:t>
            </w:r>
            <w:r>
              <w:rPr>
                <w:rStyle w:val="IndexLink"/>
                <w:rtl w:val="true"/>
              </w:rPr>
              <w:t xml:space="preserve">: </w:t>
            </w:r>
            <w:r>
              <w:rPr>
                <w:rStyle w:val="IndexLink"/>
                <w:rtl w:val="true"/>
              </w:rPr>
              <w:t>المفرد المحلّى باللام</w:t>
            </w:r>
            <w:r>
              <w:rPr>
                <w:rStyle w:val="IndexLink"/>
                <w:rtl w:val="true"/>
              </w:rPr>
              <w:tab/>
            </w:r>
            <w:r>
              <w:rPr>
                <w:rStyle w:val="IndexLink"/>
              </w:rPr>
              <w:t>297</w:t>
            </w:r>
          </w:hyperlink>
        </w:p>
        <w:p>
          <w:pPr>
            <w:pStyle w:val="Contents2"/>
            <w:tabs>
              <w:tab w:val="clear" w:pos="8743"/>
              <w:tab w:val="right" w:pos="9026" w:leader="dot"/>
            </w:tabs>
            <w:rPr/>
          </w:pPr>
          <w:hyperlink w:anchor="__RefHeading___Toc11691489_1280447820">
            <w:r>
              <w:rPr>
                <w:webHidden/>
                <w:rStyle w:val="IndexLink"/>
                <w:rtl w:val="true"/>
              </w:rPr>
              <w:t>الخامس</w:t>
            </w:r>
            <w:r>
              <w:rPr>
                <w:rStyle w:val="IndexLink"/>
                <w:rtl w:val="true"/>
              </w:rPr>
              <w:t xml:space="preserve">: </w:t>
            </w:r>
            <w:r>
              <w:rPr>
                <w:rStyle w:val="IndexLink"/>
                <w:rtl w:val="true"/>
              </w:rPr>
              <w:t>الجنس المضاف</w:t>
            </w:r>
            <w:r>
              <w:rPr>
                <w:rStyle w:val="IndexLink"/>
                <w:rtl w:val="true"/>
              </w:rPr>
              <w:tab/>
            </w:r>
            <w:r>
              <w:rPr>
                <w:rStyle w:val="IndexLink"/>
              </w:rPr>
              <w:t>300</w:t>
            </w:r>
          </w:hyperlink>
        </w:p>
        <w:p>
          <w:pPr>
            <w:pStyle w:val="Contents2"/>
            <w:tabs>
              <w:tab w:val="clear" w:pos="8743"/>
              <w:tab w:val="right" w:pos="9026" w:leader="dot"/>
            </w:tabs>
            <w:rPr/>
          </w:pPr>
          <w:hyperlink w:anchor="__RefHeading___Toc11691491_1280447820">
            <w:r>
              <w:rPr>
                <w:webHidden/>
                <w:rStyle w:val="IndexLink"/>
                <w:rtl w:val="true"/>
              </w:rPr>
              <w:t>الفصل الثاني هل العام حجة فيما بقي بعد التخصيص؟</w:t>
            </w:r>
            <w:r>
              <w:rPr>
                <w:rStyle w:val="IndexLink"/>
                <w:rtl w:val="true"/>
              </w:rPr>
              <w:tab/>
            </w:r>
            <w:r>
              <w:rPr>
                <w:rStyle w:val="IndexLink"/>
              </w:rPr>
              <w:t>300</w:t>
            </w:r>
          </w:hyperlink>
        </w:p>
        <w:p>
          <w:pPr>
            <w:pStyle w:val="Contents2"/>
            <w:tabs>
              <w:tab w:val="clear" w:pos="8743"/>
              <w:tab w:val="right" w:pos="9026" w:leader="dot"/>
            </w:tabs>
            <w:rPr/>
          </w:pPr>
          <w:hyperlink w:anchor="__RefHeading___Toc11691493_1280447820">
            <w:r>
              <w:rPr>
                <w:webHidden/>
                <w:rStyle w:val="IndexLink"/>
                <w:rtl w:val="true"/>
              </w:rPr>
              <w:t>دليل القائل بعدم حجّية العام في الباقي</w:t>
            </w:r>
            <w:r>
              <w:rPr>
                <w:rStyle w:val="IndexLink"/>
                <w:rtl w:val="true"/>
              </w:rPr>
              <w:tab/>
            </w:r>
            <w:r>
              <w:rPr>
                <w:rStyle w:val="IndexLink"/>
              </w:rPr>
              <w:t>303</w:t>
            </w:r>
          </w:hyperlink>
        </w:p>
        <w:p>
          <w:pPr>
            <w:pStyle w:val="Contents2"/>
            <w:tabs>
              <w:tab w:val="clear" w:pos="8743"/>
              <w:tab w:val="right" w:pos="9026" w:leader="dot"/>
            </w:tabs>
            <w:rPr/>
          </w:pPr>
          <w:hyperlink w:anchor="__RefHeading___Toc11691495_1280447820">
            <w:r>
              <w:rPr>
                <w:webHidden/>
                <w:rStyle w:val="IndexLink"/>
                <w:rtl w:val="true"/>
              </w:rPr>
              <w:t>الجواب علی الاستدلال</w:t>
            </w:r>
            <w:r>
              <w:rPr>
                <w:rStyle w:val="IndexLink"/>
                <w:rtl w:val="true"/>
              </w:rPr>
              <w:tab/>
            </w:r>
            <w:r>
              <w:rPr>
                <w:rStyle w:val="IndexLink"/>
              </w:rPr>
              <w:t>303</w:t>
            </w:r>
          </w:hyperlink>
        </w:p>
        <w:p>
          <w:pPr>
            <w:pStyle w:val="Contents2"/>
            <w:tabs>
              <w:tab w:val="clear" w:pos="8743"/>
              <w:tab w:val="right" w:pos="9026" w:leader="dot"/>
            </w:tabs>
            <w:rPr/>
          </w:pPr>
          <w:hyperlink w:anchor="__RefHeading___Toc11691497_1280447820">
            <w:r>
              <w:rPr>
                <w:webHidden/>
                <w:rStyle w:val="IndexLink"/>
                <w:rtl w:val="true"/>
              </w:rPr>
              <w:t>الفصل الثالث</w:t>
            </w:r>
            <w:r>
              <w:rPr>
                <w:rStyle w:val="IndexLink"/>
                <w:rtl w:val="true"/>
              </w:rPr>
              <w:t xml:space="preserve">: </w:t>
            </w:r>
            <w:r>
              <w:rPr>
                <w:rStyle w:val="IndexLink"/>
                <w:rtl w:val="true"/>
              </w:rPr>
              <w:t>تخصيص العام لا يوجب المجازية</w:t>
            </w:r>
            <w:r>
              <w:rPr>
                <w:rStyle w:val="IndexLink"/>
                <w:rtl w:val="true"/>
              </w:rPr>
              <w:tab/>
            </w:r>
            <w:r>
              <w:rPr>
                <w:rStyle w:val="IndexLink"/>
              </w:rPr>
              <w:t>306</w:t>
            </w:r>
          </w:hyperlink>
        </w:p>
        <w:p>
          <w:pPr>
            <w:pStyle w:val="Contents2"/>
            <w:tabs>
              <w:tab w:val="clear" w:pos="8743"/>
              <w:tab w:val="right" w:pos="9026" w:leader="dot"/>
            </w:tabs>
            <w:rPr/>
          </w:pPr>
          <w:hyperlink w:anchor="__RefHeading___Toc11691499_1280447820">
            <w:r>
              <w:rPr>
                <w:webHidden/>
                <w:rStyle w:val="IndexLink"/>
                <w:rtl w:val="true"/>
              </w:rPr>
              <w:t>ايراد المحقق النائيني</w:t>
            </w:r>
            <w:r>
              <w:rPr>
                <w:rStyle w:val="IndexLink"/>
                <w:rtl w:val="true"/>
              </w:rPr>
              <w:tab/>
            </w:r>
            <w:r>
              <w:rPr>
                <w:rStyle w:val="IndexLink"/>
              </w:rPr>
              <w:t>308</w:t>
            </w:r>
          </w:hyperlink>
        </w:p>
        <w:p>
          <w:pPr>
            <w:pStyle w:val="Contents2"/>
            <w:tabs>
              <w:tab w:val="clear" w:pos="8743"/>
              <w:tab w:val="right" w:pos="9026" w:leader="dot"/>
            </w:tabs>
            <w:rPr/>
          </w:pPr>
          <w:hyperlink w:anchor="__RefHeading___Toc11691501_1280447820">
            <w:r>
              <w:rPr>
                <w:webHidden/>
                <w:rStyle w:val="IndexLink"/>
                <w:rtl w:val="true"/>
              </w:rPr>
              <w:t>الفصل الرابع</w:t>
            </w:r>
            <w:r>
              <w:rPr>
                <w:rStyle w:val="IndexLink"/>
                <w:rtl w:val="true"/>
              </w:rPr>
              <w:t xml:space="preserve">: </w:t>
            </w:r>
            <w:r>
              <w:rPr>
                <w:rStyle w:val="IndexLink"/>
                <w:rtl w:val="true"/>
              </w:rPr>
              <w:t>في حجّية العام في مورد إجمال المخصص مفهوماً</w:t>
            </w:r>
            <w:r>
              <w:rPr>
                <w:rStyle w:val="IndexLink"/>
                <w:rtl w:val="true"/>
              </w:rPr>
              <w:tab/>
            </w:r>
            <w:r>
              <w:rPr>
                <w:rStyle w:val="IndexLink"/>
              </w:rPr>
              <w:t>312</w:t>
            </w:r>
          </w:hyperlink>
        </w:p>
        <w:p>
          <w:pPr>
            <w:pStyle w:val="Contents2"/>
            <w:tabs>
              <w:tab w:val="clear" w:pos="8743"/>
              <w:tab w:val="right" w:pos="9026" w:leader="dot"/>
            </w:tabs>
            <w:rPr/>
          </w:pPr>
          <w:hyperlink w:anchor="__RefHeading___Toc11691503_1280447820">
            <w:r>
              <w:rPr>
                <w:webHidden/>
                <w:rStyle w:val="IndexLink"/>
                <w:rtl w:val="true"/>
              </w:rPr>
              <w:t>وهم و دفع</w:t>
            </w:r>
            <w:r>
              <w:rPr>
                <w:rStyle w:val="IndexLink"/>
                <w:rtl w:val="true"/>
              </w:rPr>
              <w:tab/>
            </w:r>
            <w:r>
              <w:rPr>
                <w:rStyle w:val="IndexLink"/>
              </w:rPr>
              <w:t>315</w:t>
            </w:r>
          </w:hyperlink>
        </w:p>
        <w:p>
          <w:pPr>
            <w:pStyle w:val="Contents2"/>
            <w:tabs>
              <w:tab w:val="clear" w:pos="8743"/>
              <w:tab w:val="right" w:pos="9026" w:leader="dot"/>
            </w:tabs>
            <w:rPr/>
          </w:pPr>
          <w:hyperlink w:anchor="__RefHeading___Toc11691505_1280447820">
            <w:r>
              <w:rPr>
                <w:webHidden/>
                <w:rStyle w:val="IndexLink"/>
                <w:rtl w:val="true"/>
              </w:rPr>
              <w:t>تقرير الاشکال المتقدم ببيان اخر</w:t>
            </w:r>
            <w:r>
              <w:rPr>
                <w:rStyle w:val="IndexLink"/>
                <w:rtl w:val="true"/>
              </w:rPr>
              <w:tab/>
            </w:r>
            <w:r>
              <w:rPr>
                <w:rStyle w:val="IndexLink"/>
              </w:rPr>
              <w:t>317</w:t>
            </w:r>
          </w:hyperlink>
        </w:p>
        <w:p>
          <w:pPr>
            <w:pStyle w:val="Contents2"/>
            <w:tabs>
              <w:tab w:val="clear" w:pos="8743"/>
              <w:tab w:val="right" w:pos="9026" w:leader="dot"/>
            </w:tabs>
            <w:rPr/>
          </w:pPr>
          <w:hyperlink w:anchor="__RefHeading___Toc11691507_1280447820">
            <w:r>
              <w:rPr>
                <w:webHidden/>
                <w:rStyle w:val="IndexLink"/>
                <w:rtl w:val="true"/>
              </w:rPr>
              <w:t>الفصل الخامس</w:t>
            </w:r>
            <w:r>
              <w:rPr>
                <w:rStyle w:val="IndexLink"/>
                <w:rtl w:val="true"/>
              </w:rPr>
              <w:t xml:space="preserve">: </w:t>
            </w:r>
            <w:r>
              <w:rPr>
                <w:rStyle w:val="IndexLink"/>
                <w:rtl w:val="true"/>
              </w:rPr>
              <w:t>المخصّص اللفظي المجمل مصداقاً</w:t>
            </w:r>
            <w:r>
              <w:rPr>
                <w:rStyle w:val="IndexLink"/>
                <w:rtl w:val="true"/>
              </w:rPr>
              <w:tab/>
            </w:r>
            <w:r>
              <w:rPr>
                <w:rStyle w:val="IndexLink"/>
              </w:rPr>
              <w:t>319</w:t>
            </w:r>
          </w:hyperlink>
        </w:p>
        <w:p>
          <w:pPr>
            <w:pStyle w:val="Contents2"/>
            <w:tabs>
              <w:tab w:val="clear" w:pos="8743"/>
              <w:tab w:val="right" w:pos="9026" w:leader="dot"/>
            </w:tabs>
            <w:rPr/>
          </w:pPr>
          <w:hyperlink w:anchor="__RefHeading___Toc11691509_1280447820">
            <w:r>
              <w:rPr>
                <w:webHidden/>
                <w:rStyle w:val="IndexLink"/>
                <w:rtl w:val="true"/>
              </w:rPr>
              <w:t>أدلة المجوزين</w:t>
            </w:r>
            <w:r>
              <w:rPr>
                <w:rStyle w:val="IndexLink"/>
                <w:rtl w:val="true"/>
              </w:rPr>
              <w:tab/>
            </w:r>
            <w:r>
              <w:rPr>
                <w:rStyle w:val="IndexLink"/>
              </w:rPr>
              <w:t>322</w:t>
            </w:r>
          </w:hyperlink>
        </w:p>
        <w:p>
          <w:pPr>
            <w:pStyle w:val="Contents2"/>
            <w:tabs>
              <w:tab w:val="clear" w:pos="8743"/>
              <w:tab w:val="right" w:pos="9026" w:leader="dot"/>
            </w:tabs>
            <w:rPr/>
          </w:pPr>
          <w:hyperlink w:anchor="__RefHeading___Toc11691511_1280447820">
            <w:r>
              <w:rPr>
                <w:webHidden/>
                <w:rStyle w:val="IndexLink"/>
                <w:rtl w:val="true"/>
              </w:rPr>
              <w:t>المخصّص اللبّي و الشكّ في الشبهة المصداقية</w:t>
            </w:r>
            <w:r>
              <w:rPr>
                <w:rStyle w:val="IndexLink"/>
                <w:rtl w:val="true"/>
              </w:rPr>
              <w:tab/>
            </w:r>
            <w:r>
              <w:rPr>
                <w:rStyle w:val="IndexLink"/>
              </w:rPr>
              <w:t>327</w:t>
            </w:r>
          </w:hyperlink>
        </w:p>
        <w:p>
          <w:pPr>
            <w:pStyle w:val="Contents2"/>
            <w:tabs>
              <w:tab w:val="clear" w:pos="8743"/>
              <w:tab w:val="right" w:pos="9026" w:leader="dot"/>
            </w:tabs>
            <w:rPr/>
          </w:pPr>
          <w:hyperlink w:anchor="__RefHeading___Toc11691513_1280447820">
            <w:r>
              <w:rPr>
                <w:webHidden/>
                <w:rStyle w:val="IndexLink"/>
                <w:rtl w:val="true"/>
              </w:rPr>
              <w:t>التفصيل بين المخصّص الموجب للتنويع وغيره</w:t>
            </w:r>
            <w:r>
              <w:rPr>
                <w:rStyle w:val="IndexLink"/>
                <w:rtl w:val="true"/>
              </w:rPr>
              <w:tab/>
            </w:r>
            <w:r>
              <w:rPr>
                <w:rStyle w:val="IndexLink"/>
              </w:rPr>
              <w:t>331</w:t>
            </w:r>
          </w:hyperlink>
        </w:p>
        <w:p>
          <w:pPr>
            <w:pStyle w:val="Contents2"/>
            <w:tabs>
              <w:tab w:val="clear" w:pos="8743"/>
              <w:tab w:val="right" w:pos="9026" w:leader="dot"/>
            </w:tabs>
            <w:rPr/>
          </w:pPr>
          <w:hyperlink w:anchor="__RefHeading___Toc11691515_1280447820">
            <w:r>
              <w:rPr>
                <w:webHidden/>
                <w:rStyle w:val="IndexLink"/>
                <w:rtl w:val="true"/>
              </w:rPr>
              <w:t>بيان العلامة المظفر</w:t>
            </w:r>
            <w:r>
              <w:rPr>
                <w:rStyle w:val="IndexLink"/>
                <w:rtl w:val="true"/>
              </w:rPr>
              <w:tab/>
            </w:r>
            <w:r>
              <w:rPr>
                <w:rStyle w:val="IndexLink"/>
              </w:rPr>
              <w:t>332</w:t>
            </w:r>
          </w:hyperlink>
        </w:p>
        <w:p>
          <w:pPr>
            <w:pStyle w:val="Contents2"/>
            <w:tabs>
              <w:tab w:val="clear" w:pos="8743"/>
              <w:tab w:val="right" w:pos="9026" w:leader="dot"/>
            </w:tabs>
            <w:rPr/>
          </w:pPr>
          <w:hyperlink w:anchor="__RefHeading___Toc11691517_1280447820">
            <w:r>
              <w:rPr>
                <w:webHidden/>
                <w:rStyle w:val="IndexLink"/>
                <w:rtl w:val="true"/>
              </w:rPr>
              <w:t>رأي المحقّق النائينيّ</w:t>
            </w:r>
            <w:r>
              <w:rPr>
                <w:rStyle w:val="IndexLink"/>
                <w:rtl w:val="true"/>
              </w:rPr>
              <w:tab/>
            </w:r>
            <w:r>
              <w:rPr>
                <w:rStyle w:val="IndexLink"/>
              </w:rPr>
              <w:t>335</w:t>
            </w:r>
          </w:hyperlink>
        </w:p>
        <w:p>
          <w:pPr>
            <w:pStyle w:val="Contents2"/>
            <w:tabs>
              <w:tab w:val="clear" w:pos="8743"/>
              <w:tab w:val="right" w:pos="9026" w:leader="dot"/>
            </w:tabs>
            <w:rPr/>
          </w:pPr>
          <w:hyperlink w:anchor="__RefHeading___Toc11691519_1280447820">
            <w:r>
              <w:rPr>
                <w:webHidden/>
                <w:rStyle w:val="IndexLink"/>
                <w:rtl w:val="true"/>
              </w:rPr>
              <w:t>الفصل السادس</w:t>
            </w:r>
            <w:r>
              <w:rPr>
                <w:rStyle w:val="IndexLink"/>
                <w:rtl w:val="true"/>
              </w:rPr>
              <w:t xml:space="preserve">: </w:t>
            </w:r>
            <w:r>
              <w:rPr>
                <w:rStyle w:val="IndexLink"/>
                <w:rtl w:val="true"/>
              </w:rPr>
              <w:t>إحراز المشتبه بالأصل الموضوعي</w:t>
            </w:r>
            <w:r>
              <w:rPr>
                <w:rStyle w:val="IndexLink"/>
                <w:rtl w:val="true"/>
              </w:rPr>
              <w:tab/>
            </w:r>
            <w:r>
              <w:rPr>
                <w:rStyle w:val="IndexLink"/>
              </w:rPr>
              <w:t>337</w:t>
            </w:r>
          </w:hyperlink>
        </w:p>
        <w:p>
          <w:pPr>
            <w:pStyle w:val="Contents2"/>
            <w:tabs>
              <w:tab w:val="clear" w:pos="8743"/>
              <w:tab w:val="right" w:pos="9026" w:leader="dot"/>
            </w:tabs>
            <w:rPr/>
          </w:pPr>
          <w:hyperlink w:anchor="__RefHeading___Toc11691521_1280447820">
            <w:r>
              <w:rPr>
                <w:webHidden/>
                <w:rStyle w:val="IndexLink"/>
                <w:rtl w:val="true"/>
              </w:rPr>
              <w:t>نظرية المحقّق الخراساني</w:t>
            </w:r>
            <w:r>
              <w:rPr>
                <w:rStyle w:val="IndexLink"/>
                <w:rtl w:val="true"/>
              </w:rPr>
              <w:tab/>
            </w:r>
            <w:r>
              <w:rPr>
                <w:rStyle w:val="IndexLink"/>
              </w:rPr>
              <w:t>337</w:t>
            </w:r>
          </w:hyperlink>
        </w:p>
        <w:p>
          <w:pPr>
            <w:pStyle w:val="Contents2"/>
            <w:tabs>
              <w:tab w:val="clear" w:pos="8743"/>
              <w:tab w:val="right" w:pos="9026" w:leader="dot"/>
            </w:tabs>
            <w:rPr/>
          </w:pPr>
          <w:hyperlink w:anchor="__RefHeading___Toc11691523_1280447820">
            <w:r>
              <w:rPr>
                <w:webHidden/>
                <w:rStyle w:val="IndexLink"/>
                <w:rtl w:val="true"/>
              </w:rPr>
              <w:t>مناقشة نظرية المحقّق الخراساني</w:t>
            </w:r>
            <w:r>
              <w:rPr>
                <w:rStyle w:val="IndexLink"/>
                <w:rtl w:val="true"/>
              </w:rPr>
              <w:tab/>
            </w:r>
            <w:r>
              <w:rPr>
                <w:rStyle w:val="IndexLink"/>
              </w:rPr>
              <w:t>338</w:t>
            </w:r>
          </w:hyperlink>
        </w:p>
        <w:p>
          <w:pPr>
            <w:pStyle w:val="Contents2"/>
            <w:tabs>
              <w:tab w:val="clear" w:pos="8743"/>
              <w:tab w:val="right" w:pos="9026" w:leader="dot"/>
            </w:tabs>
            <w:rPr/>
          </w:pPr>
          <w:hyperlink w:anchor="__RefHeading___Toc11691525_1280447820">
            <w:r>
              <w:rPr>
                <w:webHidden/>
                <w:rStyle w:val="IndexLink"/>
                <w:rtl w:val="true"/>
              </w:rPr>
              <w:t>التفصيل بين القيد المقسِّم و المقارن</w:t>
            </w:r>
            <w:r>
              <w:rPr>
                <w:rStyle w:val="IndexLink"/>
                <w:rtl w:val="true"/>
              </w:rPr>
              <w:tab/>
            </w:r>
            <w:r>
              <w:rPr>
                <w:rStyle w:val="IndexLink"/>
              </w:rPr>
              <w:t>340</w:t>
            </w:r>
          </w:hyperlink>
        </w:p>
        <w:p>
          <w:pPr>
            <w:pStyle w:val="Contents2"/>
            <w:tabs>
              <w:tab w:val="clear" w:pos="8743"/>
              <w:tab w:val="right" w:pos="9026" w:leader="dot"/>
            </w:tabs>
            <w:rPr/>
          </w:pPr>
          <w:hyperlink w:anchor="__RefHeading___Toc11691527_1280447820">
            <w:r>
              <w:rPr>
                <w:webHidden/>
                <w:rStyle w:val="IndexLink"/>
                <w:rtl w:val="true"/>
              </w:rPr>
              <w:t>نظرية المحقّق الخوئي</w:t>
            </w:r>
            <w:r>
              <w:rPr>
                <w:rStyle w:val="IndexLink"/>
                <w:rtl w:val="true"/>
              </w:rPr>
              <w:tab/>
            </w:r>
            <w:r>
              <w:rPr>
                <w:rStyle w:val="IndexLink"/>
              </w:rPr>
              <w:t>342</w:t>
            </w:r>
          </w:hyperlink>
        </w:p>
        <w:p>
          <w:pPr>
            <w:pStyle w:val="Contents2"/>
            <w:tabs>
              <w:tab w:val="clear" w:pos="8743"/>
              <w:tab w:val="right" w:pos="9026" w:leader="dot"/>
            </w:tabs>
            <w:rPr/>
          </w:pPr>
          <w:hyperlink w:anchor="__RefHeading___Toc11691529_1280447820">
            <w:r>
              <w:rPr>
                <w:webHidden/>
                <w:rStyle w:val="IndexLink"/>
                <w:rtl w:val="true"/>
              </w:rPr>
              <w:t>ما هو المرجع إذا لم يكن الأصل العدمي حجّة؟</w:t>
            </w:r>
            <w:r>
              <w:rPr>
                <w:rStyle w:val="IndexLink"/>
                <w:rtl w:val="true"/>
              </w:rPr>
              <w:tab/>
            </w:r>
            <w:r>
              <w:rPr>
                <w:rStyle w:val="IndexLink"/>
              </w:rPr>
              <w:t>345</w:t>
            </w:r>
          </w:hyperlink>
        </w:p>
        <w:p>
          <w:pPr>
            <w:pStyle w:val="Contents2"/>
            <w:tabs>
              <w:tab w:val="clear" w:pos="8743"/>
              <w:tab w:val="right" w:pos="9026" w:leader="dot"/>
            </w:tabs>
            <w:rPr/>
          </w:pPr>
          <w:hyperlink w:anchor="__RefHeading___Toc11691531_1280447820">
            <w:r>
              <w:rPr>
                <w:webHidden/>
                <w:rStyle w:val="IndexLink"/>
                <w:rtl w:val="true"/>
              </w:rPr>
              <w:t>الفصل السابع</w:t>
            </w:r>
            <w:r>
              <w:rPr>
                <w:rStyle w:val="IndexLink"/>
                <w:rtl w:val="true"/>
              </w:rPr>
              <w:t xml:space="preserve">: </w:t>
            </w:r>
            <w:r>
              <w:rPr>
                <w:rStyle w:val="IndexLink"/>
                <w:rtl w:val="true"/>
              </w:rPr>
              <w:t>التمسك بالعام في غير الشك في التخصيص</w:t>
            </w:r>
            <w:r>
              <w:rPr>
                <w:rStyle w:val="IndexLink"/>
                <w:rtl w:val="true"/>
              </w:rPr>
              <w:tab/>
            </w:r>
            <w:r>
              <w:rPr>
                <w:rStyle w:val="IndexLink"/>
              </w:rPr>
              <w:t>346</w:t>
            </w:r>
          </w:hyperlink>
        </w:p>
        <w:p>
          <w:pPr>
            <w:pStyle w:val="Contents2"/>
            <w:tabs>
              <w:tab w:val="clear" w:pos="8743"/>
              <w:tab w:val="right" w:pos="9026" w:leader="dot"/>
            </w:tabs>
            <w:rPr/>
          </w:pPr>
          <w:hyperlink w:anchor="__RefHeading___Toc11691533_1280447820">
            <w:r>
              <w:rPr>
                <w:webHidden/>
                <w:rStyle w:val="IndexLink"/>
                <w:rtl w:val="true"/>
              </w:rPr>
              <w:t>الفصل الثامن</w:t>
            </w:r>
            <w:r>
              <w:rPr>
                <w:rStyle w:val="IndexLink"/>
                <w:rtl w:val="true"/>
              </w:rPr>
              <w:t xml:space="preserve">: </w:t>
            </w:r>
            <w:r>
              <w:rPr>
                <w:rStyle w:val="IndexLink"/>
                <w:rtl w:val="true"/>
              </w:rPr>
              <w:t>إحراز حال الفرد المشتبه بالأصل اللفظي‌</w:t>
            </w:r>
            <w:r>
              <w:rPr>
                <w:rStyle w:val="IndexLink"/>
                <w:rtl w:val="true"/>
              </w:rPr>
              <w:tab/>
            </w:r>
            <w:r>
              <w:rPr>
                <w:rStyle w:val="IndexLink"/>
              </w:rPr>
              <w:t>351</w:t>
            </w:r>
          </w:hyperlink>
        </w:p>
        <w:p>
          <w:pPr>
            <w:pStyle w:val="Contents2"/>
            <w:tabs>
              <w:tab w:val="clear" w:pos="8743"/>
              <w:tab w:val="right" w:pos="9026" w:leader="dot"/>
            </w:tabs>
            <w:rPr/>
          </w:pPr>
          <w:hyperlink w:anchor="__RefHeading___Toc11691535_1280447820">
            <w:r>
              <w:rPr>
                <w:webHidden/>
                <w:rStyle w:val="IndexLink"/>
                <w:rtl w:val="true"/>
              </w:rPr>
              <w:t>الفصل التاسع</w:t>
            </w:r>
            <w:r>
              <w:rPr>
                <w:rStyle w:val="IndexLink"/>
                <w:rtl w:val="true"/>
              </w:rPr>
              <w:t xml:space="preserve">: </w:t>
            </w:r>
            <w:r>
              <w:rPr>
                <w:rStyle w:val="IndexLink"/>
                <w:rtl w:val="true"/>
              </w:rPr>
              <w:t>لزوم الفحص عن المخصّص</w:t>
            </w:r>
            <w:r>
              <w:rPr>
                <w:rStyle w:val="IndexLink"/>
                <w:rtl w:val="true"/>
              </w:rPr>
              <w:tab/>
            </w:r>
            <w:r>
              <w:rPr>
                <w:rStyle w:val="IndexLink"/>
              </w:rPr>
              <w:t>353</w:t>
            </w:r>
          </w:hyperlink>
        </w:p>
        <w:p>
          <w:pPr>
            <w:pStyle w:val="Contents2"/>
            <w:tabs>
              <w:tab w:val="clear" w:pos="8743"/>
              <w:tab w:val="right" w:pos="9026" w:leader="dot"/>
            </w:tabs>
            <w:rPr/>
          </w:pPr>
          <w:hyperlink w:anchor="__RefHeading___Toc11691537_1280447820">
            <w:r>
              <w:rPr>
                <w:webHidden/>
                <w:rStyle w:val="IndexLink"/>
                <w:rtl w:val="true"/>
              </w:rPr>
              <w:t>الأوّل</w:t>
            </w:r>
            <w:r>
              <w:rPr>
                <w:rStyle w:val="IndexLink"/>
                <w:rtl w:val="true"/>
              </w:rPr>
              <w:t xml:space="preserve">: </w:t>
            </w:r>
            <w:r>
              <w:rPr>
                <w:rStyle w:val="IndexLink"/>
                <w:rtl w:val="true"/>
              </w:rPr>
              <w:t>وقوع العام في معرض التخصيص</w:t>
            </w:r>
            <w:r>
              <w:rPr>
                <w:rStyle w:val="IndexLink"/>
                <w:rtl w:val="true"/>
              </w:rPr>
              <w:tab/>
            </w:r>
            <w:r>
              <w:rPr>
                <w:rStyle w:val="IndexLink"/>
              </w:rPr>
              <w:t>355</w:t>
            </w:r>
          </w:hyperlink>
        </w:p>
        <w:p>
          <w:pPr>
            <w:pStyle w:val="Contents2"/>
            <w:tabs>
              <w:tab w:val="clear" w:pos="8743"/>
              <w:tab w:val="right" w:pos="9026" w:leader="dot"/>
            </w:tabs>
            <w:rPr/>
          </w:pPr>
          <w:hyperlink w:anchor="__RefHeading___Toc11691539_1280447820">
            <w:r>
              <w:rPr>
                <w:webHidden/>
                <w:rStyle w:val="IndexLink"/>
                <w:rtl w:val="true"/>
              </w:rPr>
              <w:t>الثاني</w:t>
            </w:r>
            <w:r>
              <w:rPr>
                <w:rStyle w:val="IndexLink"/>
                <w:rtl w:val="true"/>
              </w:rPr>
              <w:t xml:space="preserve">: </w:t>
            </w:r>
            <w:r>
              <w:rPr>
                <w:rStyle w:val="IndexLink"/>
                <w:rtl w:val="true"/>
              </w:rPr>
              <w:t>الظن الشخصي بالتكليف رهن الفحص</w:t>
            </w:r>
            <w:r>
              <w:rPr>
                <w:rStyle w:val="IndexLink"/>
                <w:rtl w:val="true"/>
              </w:rPr>
              <w:tab/>
            </w:r>
            <w:r>
              <w:rPr>
                <w:rStyle w:val="IndexLink"/>
              </w:rPr>
              <w:t>356</w:t>
            </w:r>
          </w:hyperlink>
        </w:p>
        <w:p>
          <w:pPr>
            <w:pStyle w:val="Contents2"/>
            <w:tabs>
              <w:tab w:val="clear" w:pos="8743"/>
              <w:tab w:val="right" w:pos="9026" w:leader="dot"/>
            </w:tabs>
            <w:rPr/>
          </w:pPr>
          <w:hyperlink w:anchor="__RefHeading___Toc11691541_1280447820">
            <w:r>
              <w:rPr>
                <w:webHidden/>
                <w:rStyle w:val="IndexLink"/>
                <w:rtl w:val="true"/>
              </w:rPr>
              <w:t>الثالث</w:t>
            </w:r>
            <w:r>
              <w:rPr>
                <w:rStyle w:val="IndexLink"/>
                <w:rtl w:val="true"/>
              </w:rPr>
              <w:t xml:space="preserve">: </w:t>
            </w:r>
            <w:r>
              <w:rPr>
                <w:rStyle w:val="IndexLink"/>
                <w:rtl w:val="true"/>
              </w:rPr>
              <w:t>وجود العلم الإجمالي بالمخصّص</w:t>
            </w:r>
            <w:r>
              <w:rPr>
                <w:rStyle w:val="IndexLink"/>
                <w:rtl w:val="true"/>
              </w:rPr>
              <w:tab/>
            </w:r>
            <w:r>
              <w:rPr>
                <w:rStyle w:val="IndexLink"/>
              </w:rPr>
              <w:t>357</w:t>
            </w:r>
          </w:hyperlink>
        </w:p>
        <w:p>
          <w:pPr>
            <w:pStyle w:val="Contents2"/>
            <w:tabs>
              <w:tab w:val="clear" w:pos="8743"/>
              <w:tab w:val="right" w:pos="9026" w:leader="dot"/>
            </w:tabs>
            <w:rPr/>
          </w:pPr>
          <w:hyperlink w:anchor="__RefHeading___Toc11691543_1280447820">
            <w:r>
              <w:rPr>
                <w:webHidden/>
                <w:rStyle w:val="IndexLink"/>
                <w:rtl w:val="true"/>
              </w:rPr>
              <w:t>هل الفحص عن المخصّص فحص عن المزاحم أو المتمم للحجّية؟</w:t>
            </w:r>
            <w:r>
              <w:rPr>
                <w:rStyle w:val="IndexLink"/>
                <w:rtl w:val="true"/>
              </w:rPr>
              <w:tab/>
            </w:r>
            <w:r>
              <w:rPr>
                <w:rStyle w:val="IndexLink"/>
              </w:rPr>
              <w:t>361</w:t>
            </w:r>
          </w:hyperlink>
        </w:p>
        <w:p>
          <w:pPr>
            <w:pStyle w:val="Contents2"/>
            <w:tabs>
              <w:tab w:val="clear" w:pos="8743"/>
              <w:tab w:val="right" w:pos="9026" w:leader="dot"/>
            </w:tabs>
            <w:rPr/>
          </w:pPr>
          <w:hyperlink w:anchor="__RefHeading___Toc11691545_1280447820">
            <w:r>
              <w:rPr>
                <w:webHidden/>
                <w:rStyle w:val="IndexLink"/>
                <w:rtl w:val="true"/>
              </w:rPr>
              <w:t>مقدار الفحص</w:t>
            </w:r>
            <w:r>
              <w:rPr>
                <w:rStyle w:val="IndexLink"/>
                <w:rtl w:val="true"/>
              </w:rPr>
              <w:tab/>
            </w:r>
            <w:r>
              <w:rPr>
                <w:rStyle w:val="IndexLink"/>
              </w:rPr>
              <w:t>363</w:t>
            </w:r>
          </w:hyperlink>
        </w:p>
        <w:p>
          <w:pPr>
            <w:pStyle w:val="Contents2"/>
            <w:tabs>
              <w:tab w:val="clear" w:pos="8743"/>
              <w:tab w:val="right" w:pos="9026" w:leader="dot"/>
            </w:tabs>
            <w:rPr/>
          </w:pPr>
          <w:hyperlink w:anchor="__RefHeading___Toc11691547_1280447820">
            <w:r>
              <w:rPr>
                <w:webHidden/>
                <w:rStyle w:val="IndexLink"/>
                <w:rtl w:val="true"/>
              </w:rPr>
              <w:t>الفصل العاشر</w:t>
            </w:r>
            <w:r>
              <w:rPr>
                <w:rStyle w:val="IndexLink"/>
                <w:rtl w:val="true"/>
              </w:rPr>
              <w:t xml:space="preserve">: </w:t>
            </w:r>
            <w:r>
              <w:rPr>
                <w:rStyle w:val="IndexLink"/>
                <w:rtl w:val="true"/>
              </w:rPr>
              <w:t>في الخطابات الشفاهية</w:t>
            </w:r>
            <w:r>
              <w:rPr>
                <w:rStyle w:val="IndexLink"/>
                <w:rtl w:val="true"/>
              </w:rPr>
              <w:tab/>
            </w:r>
            <w:r>
              <w:rPr>
                <w:rStyle w:val="IndexLink"/>
              </w:rPr>
              <w:t>364</w:t>
            </w:r>
          </w:hyperlink>
        </w:p>
        <w:p>
          <w:pPr>
            <w:pStyle w:val="Contents2"/>
            <w:tabs>
              <w:tab w:val="clear" w:pos="8743"/>
              <w:tab w:val="right" w:pos="9026" w:leader="dot"/>
            </w:tabs>
            <w:rPr/>
          </w:pPr>
          <w:hyperlink w:anchor="__RefHeading___Toc11691549_1280447820">
            <w:r>
              <w:rPr>
                <w:webHidden/>
                <w:rStyle w:val="IndexLink"/>
                <w:rtl w:val="true"/>
              </w:rPr>
              <w:t>الجهة الأُولى</w:t>
            </w:r>
            <w:r>
              <w:rPr>
                <w:rStyle w:val="IndexLink"/>
                <w:rtl w:val="true"/>
              </w:rPr>
              <w:t xml:space="preserve">: </w:t>
            </w:r>
            <w:r>
              <w:rPr>
                <w:rStyle w:val="IndexLink"/>
                <w:rtl w:val="true"/>
              </w:rPr>
              <w:t>في صحّة تكليف المعدوم و عدمها</w:t>
            </w:r>
            <w:r>
              <w:rPr>
                <w:rStyle w:val="IndexLink"/>
                <w:rtl w:val="true"/>
              </w:rPr>
              <w:tab/>
            </w:r>
            <w:r>
              <w:rPr>
                <w:rStyle w:val="IndexLink"/>
              </w:rPr>
              <w:t>366</w:t>
            </w:r>
          </w:hyperlink>
        </w:p>
        <w:p>
          <w:pPr>
            <w:pStyle w:val="Contents2"/>
            <w:tabs>
              <w:tab w:val="clear" w:pos="8743"/>
              <w:tab w:val="right" w:pos="9026" w:leader="dot"/>
            </w:tabs>
            <w:rPr/>
          </w:pPr>
          <w:hyperlink w:anchor="__RefHeading___Toc11691551_1280447820">
            <w:r>
              <w:rPr>
                <w:webHidden/>
                <w:rStyle w:val="IndexLink"/>
                <w:rtl w:val="true"/>
              </w:rPr>
              <w:t>الجهة الثانية</w:t>
            </w:r>
            <w:r>
              <w:rPr>
                <w:rStyle w:val="IndexLink"/>
                <w:rtl w:val="true"/>
              </w:rPr>
              <w:t xml:space="preserve">: </w:t>
            </w:r>
            <w:r>
              <w:rPr>
                <w:rStyle w:val="IndexLink"/>
                <w:rtl w:val="true"/>
              </w:rPr>
              <w:t>في إمكان خطاب المعدوم</w:t>
            </w:r>
            <w:r>
              <w:rPr>
                <w:rStyle w:val="IndexLink"/>
                <w:rtl w:val="true"/>
              </w:rPr>
              <w:tab/>
            </w:r>
            <w:r>
              <w:rPr>
                <w:rStyle w:val="IndexLink"/>
              </w:rPr>
              <w:t>370</w:t>
            </w:r>
          </w:hyperlink>
        </w:p>
        <w:p>
          <w:pPr>
            <w:pStyle w:val="Contents2"/>
            <w:tabs>
              <w:tab w:val="clear" w:pos="8743"/>
              <w:tab w:val="right" w:pos="9026" w:leader="dot"/>
            </w:tabs>
            <w:rPr/>
          </w:pPr>
          <w:hyperlink w:anchor="__RefHeading___Toc11691553_1280447820">
            <w:r>
              <w:rPr>
                <w:webHidden/>
                <w:rStyle w:val="IndexLink"/>
                <w:rtl w:val="true"/>
              </w:rPr>
              <w:t>الجهة الثالثة</w:t>
            </w:r>
            <w:r>
              <w:rPr>
                <w:rStyle w:val="IndexLink"/>
                <w:rtl w:val="true"/>
              </w:rPr>
              <w:t xml:space="preserve">: </w:t>
            </w:r>
            <w:r>
              <w:rPr>
                <w:rStyle w:val="IndexLink"/>
                <w:rtl w:val="true"/>
              </w:rPr>
              <w:t>عمومية ما وقع بعد أداة الخطاب</w:t>
            </w:r>
            <w:r>
              <w:rPr>
                <w:rStyle w:val="IndexLink"/>
                <w:rtl w:val="true"/>
              </w:rPr>
              <w:tab/>
            </w:r>
            <w:r>
              <w:rPr>
                <w:rStyle w:val="IndexLink"/>
              </w:rPr>
              <w:t>372</w:t>
            </w:r>
          </w:hyperlink>
        </w:p>
        <w:p>
          <w:pPr>
            <w:pStyle w:val="Contents2"/>
            <w:tabs>
              <w:tab w:val="clear" w:pos="8743"/>
              <w:tab w:val="right" w:pos="9026" w:leader="dot"/>
            </w:tabs>
            <w:rPr/>
          </w:pPr>
          <w:hyperlink w:anchor="__RefHeading___Toc11691555_1280447820">
            <w:r>
              <w:rPr>
                <w:webHidden/>
                <w:rStyle w:val="IndexLink"/>
                <w:rtl w:val="true"/>
              </w:rPr>
              <w:t>ثمرة البحث</w:t>
            </w:r>
            <w:r>
              <w:rPr>
                <w:rStyle w:val="IndexLink"/>
                <w:rtl w:val="true"/>
              </w:rPr>
              <w:tab/>
            </w:r>
            <w:r>
              <w:rPr>
                <w:rStyle w:val="IndexLink"/>
              </w:rPr>
              <w:t>375</w:t>
            </w:r>
          </w:hyperlink>
        </w:p>
        <w:p>
          <w:pPr>
            <w:pStyle w:val="Contents2"/>
            <w:tabs>
              <w:tab w:val="clear" w:pos="8743"/>
              <w:tab w:val="right" w:pos="9026" w:leader="dot"/>
            </w:tabs>
            <w:rPr/>
          </w:pPr>
          <w:hyperlink w:anchor="__RefHeading___Toc11691557_1280447820">
            <w:r>
              <w:rPr>
                <w:webHidden/>
                <w:rStyle w:val="IndexLink"/>
                <w:rtl w:val="true"/>
              </w:rPr>
              <w:t>الثمرة الأُولى</w:t>
            </w:r>
            <w:r>
              <w:rPr>
                <w:rStyle w:val="IndexLink"/>
                <w:rtl w:val="true"/>
              </w:rPr>
              <w:t xml:space="preserve">: </w:t>
            </w:r>
            <w:r>
              <w:rPr>
                <w:rStyle w:val="IndexLink"/>
                <w:rtl w:val="true"/>
              </w:rPr>
              <w:t>حجّية خطابات الكتاب لغير المشافهين و عدمها</w:t>
            </w:r>
            <w:r>
              <w:rPr>
                <w:rStyle w:val="IndexLink"/>
                <w:rtl w:val="true"/>
              </w:rPr>
              <w:tab/>
            </w:r>
            <w:r>
              <w:rPr>
                <w:rStyle w:val="IndexLink"/>
              </w:rPr>
              <w:t>375</w:t>
            </w:r>
          </w:hyperlink>
        </w:p>
        <w:p>
          <w:pPr>
            <w:pStyle w:val="Contents2"/>
            <w:tabs>
              <w:tab w:val="clear" w:pos="8743"/>
              <w:tab w:val="right" w:pos="9026" w:leader="dot"/>
            </w:tabs>
            <w:rPr/>
          </w:pPr>
          <w:hyperlink w:anchor="__RefHeading___Toc11691559_1280447820">
            <w:r>
              <w:rPr>
                <w:webHidden/>
                <w:rStyle w:val="IndexLink"/>
                <w:rtl w:val="true"/>
              </w:rPr>
              <w:t>الثمرة الثانية</w:t>
            </w:r>
            <w:r>
              <w:rPr>
                <w:rStyle w:val="IndexLink"/>
                <w:rtl w:val="true"/>
              </w:rPr>
              <w:t xml:space="preserve">: </w:t>
            </w:r>
            <w:r>
              <w:rPr>
                <w:rStyle w:val="IndexLink"/>
                <w:rtl w:val="true"/>
              </w:rPr>
              <w:t>صحّة التمسّك بالإطلاقات على التعميم</w:t>
            </w:r>
            <w:r>
              <w:rPr>
                <w:rStyle w:val="IndexLink"/>
                <w:rtl w:val="true"/>
              </w:rPr>
              <w:tab/>
            </w:r>
            <w:r>
              <w:rPr>
                <w:rStyle w:val="IndexLink"/>
              </w:rPr>
              <w:t>378</w:t>
            </w:r>
          </w:hyperlink>
        </w:p>
        <w:p>
          <w:pPr>
            <w:pStyle w:val="Contents2"/>
            <w:tabs>
              <w:tab w:val="clear" w:pos="8743"/>
              <w:tab w:val="right" w:pos="9026" w:leader="dot"/>
            </w:tabs>
            <w:rPr/>
          </w:pPr>
          <w:hyperlink w:anchor="__RefHeading___Toc11691561_1280447820">
            <w:r>
              <w:rPr>
                <w:webHidden/>
                <w:rStyle w:val="IndexLink"/>
                <w:rtl w:val="true"/>
              </w:rPr>
              <w:t>جواب المحقق الخراساني</w:t>
            </w:r>
            <w:r>
              <w:rPr>
                <w:rStyle w:val="IndexLink"/>
                <w:rtl w:val="true"/>
              </w:rPr>
              <w:tab/>
            </w:r>
            <w:r>
              <w:rPr>
                <w:rStyle w:val="IndexLink"/>
              </w:rPr>
              <w:t>379</w:t>
            </w:r>
          </w:hyperlink>
        </w:p>
        <w:p>
          <w:pPr>
            <w:pStyle w:val="Contents2"/>
            <w:tabs>
              <w:tab w:val="clear" w:pos="8743"/>
              <w:tab w:val="right" w:pos="9026" w:leader="dot"/>
            </w:tabs>
            <w:rPr/>
          </w:pPr>
          <w:hyperlink w:anchor="__RefHeading___Toc11691563_1280447820">
            <w:r>
              <w:rPr>
                <w:webHidden/>
                <w:rStyle w:val="IndexLink"/>
                <w:rtl w:val="true"/>
              </w:rPr>
              <w:t>وهم و دفع</w:t>
            </w:r>
            <w:r>
              <w:rPr>
                <w:rStyle w:val="IndexLink"/>
                <w:rtl w:val="true"/>
              </w:rPr>
              <w:tab/>
            </w:r>
            <w:r>
              <w:rPr>
                <w:rStyle w:val="IndexLink"/>
              </w:rPr>
              <w:t>380</w:t>
            </w:r>
          </w:hyperlink>
        </w:p>
        <w:p>
          <w:pPr>
            <w:pStyle w:val="Contents2"/>
            <w:tabs>
              <w:tab w:val="clear" w:pos="8743"/>
              <w:tab w:val="right" w:pos="9026" w:leader="dot"/>
            </w:tabs>
            <w:rPr/>
          </w:pPr>
          <w:hyperlink w:anchor="__RefHeading___Toc11691565_1280447820">
            <w:r>
              <w:rPr>
                <w:webHidden/>
                <w:rStyle w:val="IndexLink"/>
                <w:rtl w:val="true"/>
              </w:rPr>
              <w:t>الفصل الحادي عشر تعقب العام بضمير يرجع إلى بعض أفراده</w:t>
            </w:r>
            <w:r>
              <w:rPr>
                <w:rStyle w:val="IndexLink"/>
                <w:rtl w:val="true"/>
              </w:rPr>
              <w:tab/>
            </w:r>
            <w:r>
              <w:rPr>
                <w:rStyle w:val="IndexLink"/>
              </w:rPr>
              <w:t>381</w:t>
            </w:r>
          </w:hyperlink>
        </w:p>
        <w:p>
          <w:pPr>
            <w:pStyle w:val="Contents2"/>
            <w:tabs>
              <w:tab w:val="clear" w:pos="8743"/>
              <w:tab w:val="right" w:pos="9026" w:leader="dot"/>
            </w:tabs>
            <w:rPr/>
          </w:pPr>
          <w:hyperlink w:anchor="__RefHeading___Toc11691567_1280447820">
            <w:r>
              <w:rPr>
                <w:webHidden/>
                <w:rStyle w:val="IndexLink"/>
                <w:rtl w:val="true"/>
              </w:rPr>
              <w:t>الفصل الثاني عشر</w:t>
            </w:r>
            <w:r>
              <w:rPr>
                <w:rStyle w:val="IndexLink"/>
                <w:rtl w:val="true"/>
              </w:rPr>
              <w:t xml:space="preserve">: </w:t>
            </w:r>
            <w:r>
              <w:rPr>
                <w:rStyle w:val="IndexLink"/>
                <w:rtl w:val="true"/>
              </w:rPr>
              <w:t>في تخصيص العام بالمفهوم</w:t>
            </w:r>
            <w:r>
              <w:rPr>
                <w:rStyle w:val="IndexLink"/>
                <w:rtl w:val="true"/>
              </w:rPr>
              <w:tab/>
            </w:r>
            <w:r>
              <w:rPr>
                <w:rStyle w:val="IndexLink"/>
              </w:rPr>
              <w:t>387</w:t>
            </w:r>
          </w:hyperlink>
        </w:p>
        <w:p>
          <w:pPr>
            <w:pStyle w:val="Contents2"/>
            <w:tabs>
              <w:tab w:val="clear" w:pos="8743"/>
              <w:tab w:val="right" w:pos="9026" w:leader="dot"/>
            </w:tabs>
            <w:rPr/>
          </w:pPr>
          <w:hyperlink w:anchor="__RefHeading___Toc11691569_1280447820">
            <w:r>
              <w:rPr>
                <w:webHidden/>
                <w:rStyle w:val="IndexLink"/>
                <w:rtl w:val="true"/>
              </w:rPr>
              <w:t>المقام الأوّل</w:t>
            </w:r>
            <w:r>
              <w:rPr>
                <w:rStyle w:val="IndexLink"/>
                <w:rtl w:val="true"/>
              </w:rPr>
              <w:t xml:space="preserve">: </w:t>
            </w:r>
            <w:r>
              <w:rPr>
                <w:rStyle w:val="IndexLink"/>
                <w:rtl w:val="true"/>
              </w:rPr>
              <w:t>تخصيص العام بالمفهوم الموافق</w:t>
            </w:r>
            <w:r>
              <w:rPr>
                <w:rStyle w:val="IndexLink"/>
                <w:rtl w:val="true"/>
              </w:rPr>
              <w:tab/>
            </w:r>
            <w:r>
              <w:rPr>
                <w:rStyle w:val="IndexLink"/>
              </w:rPr>
              <w:t>388</w:t>
            </w:r>
          </w:hyperlink>
        </w:p>
        <w:p>
          <w:pPr>
            <w:pStyle w:val="Contents2"/>
            <w:tabs>
              <w:tab w:val="clear" w:pos="8743"/>
              <w:tab w:val="right" w:pos="9026" w:leader="dot"/>
            </w:tabs>
            <w:rPr/>
          </w:pPr>
          <w:hyperlink w:anchor="__RefHeading___Toc11691571_1280447820">
            <w:r>
              <w:rPr>
                <w:webHidden/>
                <w:rStyle w:val="IndexLink"/>
                <w:rtl w:val="true"/>
              </w:rPr>
              <w:t>المقام الثاني</w:t>
            </w:r>
            <w:r>
              <w:rPr>
                <w:rStyle w:val="IndexLink"/>
                <w:rtl w:val="true"/>
              </w:rPr>
              <w:t xml:space="preserve">: </w:t>
            </w:r>
            <w:r>
              <w:rPr>
                <w:rStyle w:val="IndexLink"/>
                <w:rtl w:val="true"/>
              </w:rPr>
              <w:t>التخصيص بمفهوم المخالفة</w:t>
            </w:r>
            <w:r>
              <w:rPr>
                <w:rStyle w:val="IndexLink"/>
                <w:rtl w:val="true"/>
              </w:rPr>
              <w:tab/>
            </w:r>
            <w:r>
              <w:rPr>
                <w:rStyle w:val="IndexLink"/>
              </w:rPr>
              <w:t>389</w:t>
            </w:r>
          </w:hyperlink>
        </w:p>
        <w:p>
          <w:pPr>
            <w:pStyle w:val="Contents2"/>
            <w:tabs>
              <w:tab w:val="clear" w:pos="8743"/>
              <w:tab w:val="right" w:pos="9026" w:leader="dot"/>
            </w:tabs>
            <w:rPr/>
          </w:pPr>
          <w:hyperlink w:anchor="__RefHeading___Toc11691573_1280447820">
            <w:r>
              <w:rPr>
                <w:webHidden/>
                <w:rStyle w:val="IndexLink"/>
                <w:rtl w:val="true"/>
              </w:rPr>
              <w:t>نظرية المحقّق البروجردي في المقام</w:t>
            </w:r>
            <w:r>
              <w:rPr>
                <w:rStyle w:val="IndexLink"/>
                <w:rtl w:val="true"/>
              </w:rPr>
              <w:tab/>
            </w:r>
            <w:r>
              <w:rPr>
                <w:rStyle w:val="IndexLink"/>
              </w:rPr>
              <w:t>393</w:t>
            </w:r>
          </w:hyperlink>
        </w:p>
        <w:p>
          <w:pPr>
            <w:pStyle w:val="Contents2"/>
            <w:tabs>
              <w:tab w:val="clear" w:pos="8743"/>
              <w:tab w:val="right" w:pos="9026" w:leader="dot"/>
            </w:tabs>
            <w:rPr/>
          </w:pPr>
          <w:hyperlink w:anchor="__RefHeading___Toc11691575_1280447820">
            <w:r>
              <w:rPr>
                <w:webHidden/>
                <w:rStyle w:val="IndexLink"/>
                <w:rtl w:val="true"/>
              </w:rPr>
              <w:t>الفصل الثالث عشر</w:t>
            </w:r>
            <w:r>
              <w:rPr>
                <w:rStyle w:val="IndexLink"/>
                <w:rtl w:val="true"/>
              </w:rPr>
              <w:t xml:space="preserve">: </w:t>
            </w:r>
            <w:r>
              <w:rPr>
                <w:rStyle w:val="IndexLink"/>
                <w:rtl w:val="true"/>
              </w:rPr>
              <w:t>الاستثناء المتعقِّب للجمل</w:t>
            </w:r>
            <w:r>
              <w:rPr>
                <w:rStyle w:val="IndexLink"/>
                <w:rtl w:val="true"/>
              </w:rPr>
              <w:tab/>
            </w:r>
            <w:r>
              <w:rPr>
                <w:rStyle w:val="IndexLink"/>
              </w:rPr>
              <w:t>394</w:t>
            </w:r>
          </w:hyperlink>
        </w:p>
        <w:p>
          <w:pPr>
            <w:pStyle w:val="Contents2"/>
            <w:tabs>
              <w:tab w:val="clear" w:pos="8743"/>
              <w:tab w:val="right" w:pos="9026" w:leader="dot"/>
            </w:tabs>
            <w:rPr/>
          </w:pPr>
          <w:hyperlink w:anchor="__RefHeading___Toc11691577_1280447820">
            <w:r>
              <w:rPr>
                <w:webHidden/>
                <w:rStyle w:val="IndexLink"/>
                <w:rtl w:val="true"/>
              </w:rPr>
              <w:t>تحرير محل النزاع</w:t>
            </w:r>
            <w:r>
              <w:rPr>
                <w:rStyle w:val="IndexLink"/>
                <w:rtl w:val="true"/>
              </w:rPr>
              <w:tab/>
            </w:r>
            <w:r>
              <w:rPr>
                <w:rStyle w:val="IndexLink"/>
              </w:rPr>
              <w:t>395</w:t>
            </w:r>
          </w:hyperlink>
        </w:p>
        <w:p>
          <w:pPr>
            <w:pStyle w:val="Contents2"/>
            <w:tabs>
              <w:tab w:val="clear" w:pos="8743"/>
              <w:tab w:val="right" w:pos="9026" w:leader="dot"/>
            </w:tabs>
            <w:rPr/>
          </w:pPr>
          <w:hyperlink w:anchor="__RefHeading___Toc11691579_1280447820">
            <w:r>
              <w:rPr>
                <w:webHidden/>
                <w:rStyle w:val="IndexLink"/>
                <w:rtl w:val="true"/>
              </w:rPr>
              <w:t>المقام الأوّل</w:t>
            </w:r>
            <w:r>
              <w:rPr>
                <w:rStyle w:val="IndexLink"/>
                <w:rtl w:val="true"/>
              </w:rPr>
              <w:t xml:space="preserve">: </w:t>
            </w:r>
            <w:r>
              <w:rPr>
                <w:rStyle w:val="IndexLink"/>
                <w:rtl w:val="true"/>
              </w:rPr>
              <w:t>في مقام الثبوت و إمكان الرجوع إلى الجميع</w:t>
            </w:r>
            <w:r>
              <w:rPr>
                <w:rStyle w:val="IndexLink"/>
                <w:rtl w:val="true"/>
              </w:rPr>
              <w:tab/>
            </w:r>
            <w:r>
              <w:rPr>
                <w:rStyle w:val="IndexLink"/>
              </w:rPr>
              <w:t>396</w:t>
            </w:r>
          </w:hyperlink>
        </w:p>
        <w:p>
          <w:pPr>
            <w:pStyle w:val="Contents2"/>
            <w:tabs>
              <w:tab w:val="clear" w:pos="8743"/>
              <w:tab w:val="right" w:pos="9026" w:leader="dot"/>
            </w:tabs>
            <w:rPr/>
          </w:pPr>
          <w:hyperlink w:anchor="__RefHeading___Toc11691581_1280447820">
            <w:r>
              <w:rPr>
                <w:webHidden/>
                <w:rStyle w:val="IndexLink"/>
                <w:rtl w:val="true"/>
              </w:rPr>
              <w:t>المقام الثاني</w:t>
            </w:r>
            <w:r>
              <w:rPr>
                <w:rStyle w:val="IndexLink"/>
                <w:rtl w:val="true"/>
              </w:rPr>
              <w:t xml:space="preserve">: </w:t>
            </w:r>
            <w:r>
              <w:rPr>
                <w:rStyle w:val="IndexLink"/>
                <w:rtl w:val="true"/>
              </w:rPr>
              <w:t>في بيان ما هو ظاهر فيه</w:t>
            </w:r>
            <w:r>
              <w:rPr>
                <w:rStyle w:val="IndexLink"/>
                <w:rtl w:val="true"/>
              </w:rPr>
              <w:tab/>
            </w:r>
            <w:r>
              <w:rPr>
                <w:rStyle w:val="IndexLink"/>
              </w:rPr>
              <w:t>398</w:t>
            </w:r>
          </w:hyperlink>
        </w:p>
        <w:p>
          <w:pPr>
            <w:pStyle w:val="Contents2"/>
            <w:tabs>
              <w:tab w:val="clear" w:pos="8743"/>
              <w:tab w:val="right" w:pos="9026" w:leader="dot"/>
            </w:tabs>
            <w:rPr/>
          </w:pPr>
          <w:hyperlink w:anchor="__RefHeading___Toc11691583_1280447820">
            <w:r>
              <w:rPr>
                <w:webHidden/>
                <w:rStyle w:val="IndexLink"/>
                <w:rtl w:val="true"/>
              </w:rPr>
              <w:t>الفصل الرابع عشر</w:t>
            </w:r>
            <w:r>
              <w:rPr>
                <w:rStyle w:val="IndexLink"/>
                <w:rtl w:val="true"/>
              </w:rPr>
              <w:t xml:space="preserve">: </w:t>
            </w:r>
            <w:r>
              <w:rPr>
                <w:rStyle w:val="IndexLink"/>
                <w:rtl w:val="true"/>
              </w:rPr>
              <w:t>تخصيص الكتاب بالخبر الواحد</w:t>
            </w:r>
            <w:r>
              <w:rPr>
                <w:rStyle w:val="IndexLink"/>
                <w:rtl w:val="true"/>
              </w:rPr>
              <w:tab/>
            </w:r>
            <w:r>
              <w:rPr>
                <w:rStyle w:val="IndexLink"/>
              </w:rPr>
              <w:t>402</w:t>
            </w:r>
          </w:hyperlink>
        </w:p>
        <w:p>
          <w:pPr>
            <w:pStyle w:val="Contents2"/>
            <w:tabs>
              <w:tab w:val="clear" w:pos="8743"/>
              <w:tab w:val="right" w:pos="9026" w:leader="dot"/>
            </w:tabs>
            <w:rPr/>
          </w:pPr>
          <w:hyperlink w:anchor="__RefHeading___Toc11691585_1280447820">
            <w:r>
              <w:rPr>
                <w:webHidden/>
                <w:rStyle w:val="IndexLink"/>
                <w:rtl w:val="true"/>
              </w:rPr>
              <w:t>أدلة المانعين</w:t>
            </w:r>
            <w:r>
              <w:rPr>
                <w:rStyle w:val="IndexLink"/>
                <w:rtl w:val="true"/>
              </w:rPr>
              <w:tab/>
            </w:r>
            <w:r>
              <w:rPr>
                <w:rStyle w:val="IndexLink"/>
              </w:rPr>
              <w:t>406</w:t>
            </w:r>
          </w:hyperlink>
        </w:p>
        <w:p>
          <w:pPr>
            <w:pStyle w:val="Contents2"/>
            <w:tabs>
              <w:tab w:val="clear" w:pos="8743"/>
              <w:tab w:val="right" w:pos="9026" w:leader="dot"/>
            </w:tabs>
            <w:rPr/>
          </w:pPr>
          <w:hyperlink w:anchor="__RefHeading___Toc11691587_1280447820">
            <w:r>
              <w:rPr>
                <w:webHidden/>
                <w:rStyle w:val="IndexLink"/>
                <w:rtl w:val="true"/>
              </w:rPr>
              <w:t>الفصل الخامس عشر</w:t>
            </w:r>
            <w:r>
              <w:rPr>
                <w:rStyle w:val="IndexLink"/>
                <w:rtl w:val="true"/>
              </w:rPr>
              <w:t xml:space="preserve">: </w:t>
            </w:r>
            <w:r>
              <w:rPr>
                <w:rStyle w:val="IndexLink"/>
                <w:rtl w:val="true"/>
              </w:rPr>
              <w:t>في دوران الأمر بين التخصيص و النسخ</w:t>
            </w:r>
            <w:r>
              <w:rPr>
                <w:rStyle w:val="IndexLink"/>
                <w:rtl w:val="true"/>
              </w:rPr>
              <w:tab/>
            </w:r>
            <w:r>
              <w:rPr>
                <w:rStyle w:val="IndexLink"/>
              </w:rPr>
              <w:t>411</w:t>
            </w:r>
          </w:hyperlink>
        </w:p>
        <w:p>
          <w:pPr>
            <w:pStyle w:val="Contents2"/>
            <w:tabs>
              <w:tab w:val="clear" w:pos="8743"/>
              <w:tab w:val="right" w:pos="9026" w:leader="dot"/>
            </w:tabs>
            <w:rPr/>
          </w:pPr>
          <w:hyperlink w:anchor="__RefHeading___Toc11691589_1280447820">
            <w:r>
              <w:rPr>
                <w:webHidden/>
                <w:rStyle w:val="IndexLink"/>
                <w:rtl w:val="true"/>
              </w:rPr>
              <w:t>في النسخ و البداء</w:t>
            </w:r>
            <w:r>
              <w:rPr>
                <w:rStyle w:val="IndexLink"/>
                <w:rtl w:val="true"/>
              </w:rPr>
              <w:tab/>
            </w:r>
            <w:r>
              <w:rPr>
                <w:rStyle w:val="IndexLink"/>
              </w:rPr>
              <w:t>413</w:t>
            </w:r>
          </w:hyperlink>
        </w:p>
        <w:p>
          <w:pPr>
            <w:pStyle w:val="Contents2"/>
            <w:tabs>
              <w:tab w:val="clear" w:pos="8743"/>
              <w:tab w:val="right" w:pos="9026" w:leader="dot"/>
            </w:tabs>
            <w:rPr/>
          </w:pPr>
          <w:hyperlink w:anchor="__RefHeading___Toc11691591_1280447820">
            <w:r>
              <w:rPr>
                <w:webHidden/>
                <w:rStyle w:val="IndexLink"/>
                <w:rtl w:val="true"/>
              </w:rPr>
              <w:t>المقصد الخامس في المطلق و المقيّد و المجمل و المبيّن</w:t>
            </w:r>
            <w:r>
              <w:rPr>
                <w:rStyle w:val="IndexLink"/>
                <w:rtl w:val="true"/>
              </w:rPr>
              <w:tab/>
            </w:r>
            <w:r>
              <w:rPr>
                <w:rStyle w:val="IndexLink"/>
              </w:rPr>
              <w:t>415</w:t>
            </w:r>
          </w:hyperlink>
        </w:p>
        <w:p>
          <w:pPr>
            <w:pStyle w:val="Contents2"/>
            <w:tabs>
              <w:tab w:val="clear" w:pos="8743"/>
              <w:tab w:val="right" w:pos="9026" w:leader="dot"/>
            </w:tabs>
            <w:rPr/>
          </w:pPr>
          <w:hyperlink w:anchor="__RefHeading___Toc11691593_1280447820">
            <w:r>
              <w:rPr>
                <w:webHidden/>
                <w:rStyle w:val="IndexLink"/>
                <w:rtl w:val="true"/>
              </w:rPr>
              <w:t>الفصل الأوّل</w:t>
            </w:r>
            <w:r>
              <w:rPr>
                <w:rStyle w:val="IndexLink"/>
                <w:rtl w:val="true"/>
              </w:rPr>
              <w:t xml:space="preserve">: </w:t>
            </w:r>
            <w:r>
              <w:rPr>
                <w:rStyle w:val="IndexLink"/>
                <w:rtl w:val="true"/>
              </w:rPr>
              <w:t>في ألفاظ المطلق</w:t>
            </w:r>
            <w:r>
              <w:rPr>
                <w:rStyle w:val="IndexLink"/>
                <w:rtl w:val="true"/>
              </w:rPr>
              <w:tab/>
            </w:r>
            <w:r>
              <w:rPr>
                <w:rStyle w:val="IndexLink"/>
              </w:rPr>
              <w:t>419</w:t>
            </w:r>
          </w:hyperlink>
        </w:p>
        <w:p>
          <w:pPr>
            <w:pStyle w:val="Contents2"/>
            <w:tabs>
              <w:tab w:val="clear" w:pos="8743"/>
              <w:tab w:val="right" w:pos="9026" w:leader="dot"/>
            </w:tabs>
            <w:rPr/>
          </w:pPr>
          <w:hyperlink w:anchor="__RefHeading___Toc11691595_1280447820">
            <w:r>
              <w:rPr>
                <w:webHidden/>
                <w:rStyle w:val="IndexLink"/>
              </w:rPr>
              <w:t>1</w:t>
            </w:r>
            <w:r>
              <w:rPr>
                <w:rStyle w:val="IndexLink"/>
                <w:rtl w:val="true"/>
              </w:rPr>
              <w:t xml:space="preserve">- </w:t>
            </w:r>
            <w:r>
              <w:rPr>
                <w:rStyle w:val="IndexLink"/>
                <w:rtl w:val="true"/>
              </w:rPr>
              <w:t>اسم الجنس</w:t>
            </w:r>
            <w:r>
              <w:rPr>
                <w:rStyle w:val="IndexLink"/>
                <w:rtl w:val="true"/>
              </w:rPr>
              <w:tab/>
            </w:r>
            <w:r>
              <w:rPr>
                <w:rStyle w:val="IndexLink"/>
              </w:rPr>
              <w:t>419</w:t>
            </w:r>
          </w:hyperlink>
        </w:p>
        <w:p>
          <w:pPr>
            <w:pStyle w:val="Contents2"/>
            <w:tabs>
              <w:tab w:val="clear" w:pos="8743"/>
              <w:tab w:val="right" w:pos="9026" w:leader="dot"/>
            </w:tabs>
            <w:rPr/>
          </w:pPr>
          <w:hyperlink w:anchor="__RefHeading___Toc11691597_1280447820">
            <w:r>
              <w:rPr>
                <w:webHidden/>
                <w:rStyle w:val="IndexLink"/>
              </w:rPr>
              <w:t>2</w:t>
            </w:r>
            <w:r>
              <w:rPr>
                <w:rStyle w:val="IndexLink"/>
                <w:rtl w:val="true"/>
              </w:rPr>
              <w:t xml:space="preserve">- </w:t>
            </w:r>
            <w:r>
              <w:rPr>
                <w:rStyle w:val="IndexLink"/>
                <w:rtl w:val="true"/>
              </w:rPr>
              <w:t>المفرد المعرف باللام</w:t>
            </w:r>
            <w:r>
              <w:rPr>
                <w:rStyle w:val="IndexLink"/>
                <w:rtl w:val="true"/>
              </w:rPr>
              <w:tab/>
            </w:r>
            <w:r>
              <w:rPr>
                <w:rStyle w:val="IndexLink"/>
              </w:rPr>
              <w:t>430</w:t>
            </w:r>
          </w:hyperlink>
        </w:p>
        <w:p>
          <w:pPr>
            <w:pStyle w:val="Contents2"/>
            <w:tabs>
              <w:tab w:val="clear" w:pos="8743"/>
              <w:tab w:val="right" w:pos="9026" w:leader="dot"/>
            </w:tabs>
            <w:rPr/>
          </w:pPr>
          <w:hyperlink w:anchor="__RefHeading___Toc11691599_1280447820">
            <w:r>
              <w:rPr>
                <w:webHidden/>
                <w:rStyle w:val="IndexLink"/>
              </w:rPr>
              <w:t>3</w:t>
            </w:r>
            <w:r>
              <w:rPr>
                <w:rStyle w:val="IndexLink"/>
                <w:rtl w:val="true"/>
              </w:rPr>
              <w:t xml:space="preserve">- </w:t>
            </w:r>
            <w:r>
              <w:rPr>
                <w:rStyle w:val="IndexLink"/>
                <w:rtl w:val="true"/>
              </w:rPr>
              <w:t>الجمع المحلّى باللام</w:t>
            </w:r>
            <w:r>
              <w:rPr>
                <w:rStyle w:val="IndexLink"/>
                <w:rtl w:val="true"/>
              </w:rPr>
              <w:tab/>
            </w:r>
            <w:r>
              <w:rPr>
                <w:rStyle w:val="IndexLink"/>
              </w:rPr>
              <w:t>432</w:t>
            </w:r>
          </w:hyperlink>
        </w:p>
        <w:p>
          <w:pPr>
            <w:pStyle w:val="Contents2"/>
            <w:tabs>
              <w:tab w:val="clear" w:pos="8743"/>
              <w:tab w:val="right" w:pos="9026" w:leader="dot"/>
            </w:tabs>
            <w:rPr/>
          </w:pPr>
          <w:hyperlink w:anchor="__RefHeading___Toc11691601_1280447820">
            <w:r>
              <w:rPr>
                <w:webHidden/>
                <w:rStyle w:val="IndexLink"/>
              </w:rPr>
              <w:t>4</w:t>
            </w:r>
            <w:r>
              <w:rPr>
                <w:rStyle w:val="IndexLink"/>
                <w:rtl w:val="true"/>
              </w:rPr>
              <w:t xml:space="preserve">- </w:t>
            </w:r>
            <w:r>
              <w:rPr>
                <w:rStyle w:val="IndexLink"/>
                <w:rtl w:val="true"/>
              </w:rPr>
              <w:t>النكرة</w:t>
            </w:r>
            <w:r>
              <w:rPr>
                <w:rStyle w:val="IndexLink"/>
                <w:rtl w:val="true"/>
              </w:rPr>
              <w:tab/>
            </w:r>
            <w:r>
              <w:rPr>
                <w:rStyle w:val="IndexLink"/>
              </w:rPr>
              <w:t>432</w:t>
            </w:r>
          </w:hyperlink>
        </w:p>
        <w:p>
          <w:pPr>
            <w:pStyle w:val="Contents2"/>
            <w:tabs>
              <w:tab w:val="clear" w:pos="8743"/>
              <w:tab w:val="right" w:pos="9026" w:leader="dot"/>
            </w:tabs>
            <w:rPr/>
          </w:pPr>
          <w:hyperlink w:anchor="__RefHeading___Toc11691603_1280447820">
            <w:r>
              <w:rPr>
                <w:webHidden/>
                <w:rStyle w:val="IndexLink"/>
                <w:rtl w:val="true"/>
              </w:rPr>
              <w:t>الفصل الثاني</w:t>
            </w:r>
            <w:r>
              <w:rPr>
                <w:rStyle w:val="IndexLink"/>
                <w:rtl w:val="true"/>
              </w:rPr>
              <w:t xml:space="preserve">: </w:t>
            </w:r>
            <w:r>
              <w:rPr>
                <w:rStyle w:val="IndexLink"/>
                <w:rtl w:val="true"/>
              </w:rPr>
              <w:t>مقدّمات الحكمة</w:t>
            </w:r>
            <w:r>
              <w:rPr>
                <w:rStyle w:val="IndexLink"/>
                <w:rtl w:val="true"/>
              </w:rPr>
              <w:tab/>
            </w:r>
            <w:r>
              <w:rPr>
                <w:rStyle w:val="IndexLink"/>
              </w:rPr>
              <w:t>436</w:t>
            </w:r>
          </w:hyperlink>
        </w:p>
        <w:p>
          <w:pPr>
            <w:pStyle w:val="Contents2"/>
            <w:tabs>
              <w:tab w:val="clear" w:pos="8743"/>
              <w:tab w:val="right" w:pos="9026" w:leader="dot"/>
            </w:tabs>
            <w:rPr/>
          </w:pPr>
          <w:hyperlink w:anchor="__RefHeading___Toc11691605_1280447820">
            <w:r>
              <w:rPr>
                <w:webHidden/>
                <w:rStyle w:val="IndexLink"/>
                <w:rtl w:val="true"/>
              </w:rPr>
              <w:t>ما هو الأصل عند الشكّ في كون المتكلّم في مقام البيان؟</w:t>
            </w:r>
            <w:r>
              <w:rPr>
                <w:rStyle w:val="IndexLink"/>
                <w:rtl w:val="true"/>
              </w:rPr>
              <w:tab/>
            </w:r>
            <w:r>
              <w:rPr>
                <w:rStyle w:val="IndexLink"/>
              </w:rPr>
              <w:t>440</w:t>
            </w:r>
          </w:hyperlink>
        </w:p>
        <w:p>
          <w:pPr>
            <w:pStyle w:val="Contents2"/>
            <w:tabs>
              <w:tab w:val="clear" w:pos="8743"/>
              <w:tab w:val="right" w:pos="9026" w:leader="dot"/>
            </w:tabs>
            <w:rPr/>
          </w:pPr>
          <w:hyperlink w:anchor="__RefHeading___Toc11691607_1280447820">
            <w:r>
              <w:rPr>
                <w:webHidden/>
                <w:rStyle w:val="IndexLink"/>
                <w:rtl w:val="true"/>
              </w:rPr>
              <w:t>وهم و دفع</w:t>
            </w:r>
            <w:r>
              <w:rPr>
                <w:rStyle w:val="IndexLink"/>
                <w:rtl w:val="true"/>
              </w:rPr>
              <w:tab/>
            </w:r>
            <w:r>
              <w:rPr>
                <w:rStyle w:val="IndexLink"/>
              </w:rPr>
              <w:t>442</w:t>
            </w:r>
          </w:hyperlink>
        </w:p>
        <w:p>
          <w:pPr>
            <w:pStyle w:val="Contents2"/>
            <w:tabs>
              <w:tab w:val="clear" w:pos="8743"/>
              <w:tab w:val="right" w:pos="9026" w:leader="dot"/>
            </w:tabs>
            <w:rPr/>
          </w:pPr>
          <w:hyperlink w:anchor="__RefHeading___Toc11691609_1280447820">
            <w:r>
              <w:rPr>
                <w:webHidden/>
                <w:rStyle w:val="IndexLink"/>
                <w:rtl w:val="true"/>
              </w:rPr>
              <w:t>الانصراف</w:t>
            </w:r>
            <w:r>
              <w:rPr>
                <w:rStyle w:val="IndexLink"/>
                <w:rtl w:val="true"/>
              </w:rPr>
              <w:tab/>
            </w:r>
            <w:r>
              <w:rPr>
                <w:rStyle w:val="IndexLink"/>
              </w:rPr>
              <w:t>444</w:t>
            </w:r>
          </w:hyperlink>
        </w:p>
        <w:p>
          <w:pPr>
            <w:pStyle w:val="Contents2"/>
            <w:tabs>
              <w:tab w:val="clear" w:pos="8743"/>
              <w:tab w:val="right" w:pos="9026" w:leader="dot"/>
            </w:tabs>
            <w:rPr/>
          </w:pPr>
          <w:hyperlink w:anchor="__RefHeading___Toc11691611_1280447820">
            <w:r>
              <w:rPr>
                <w:webHidden/>
                <w:rStyle w:val="IndexLink"/>
                <w:rtl w:val="true"/>
              </w:rPr>
              <w:t>الفصل الثالث</w:t>
            </w:r>
            <w:r>
              <w:rPr>
                <w:rStyle w:val="IndexLink"/>
                <w:rtl w:val="true"/>
              </w:rPr>
              <w:t xml:space="preserve">: </w:t>
            </w:r>
            <w:r>
              <w:rPr>
                <w:rStyle w:val="IndexLink"/>
                <w:rtl w:val="true"/>
              </w:rPr>
              <w:t>في حمل المطلق على المقيّد</w:t>
            </w:r>
            <w:r>
              <w:rPr>
                <w:rStyle w:val="IndexLink"/>
                <w:rtl w:val="true"/>
              </w:rPr>
              <w:tab/>
            </w:r>
            <w:r>
              <w:rPr>
                <w:rStyle w:val="IndexLink"/>
              </w:rPr>
              <w:t>447</w:t>
            </w:r>
          </w:hyperlink>
        </w:p>
        <w:p>
          <w:pPr>
            <w:pStyle w:val="Contents2"/>
            <w:tabs>
              <w:tab w:val="clear" w:pos="8743"/>
              <w:tab w:val="right" w:pos="9026" w:leader="dot"/>
            </w:tabs>
            <w:rPr/>
          </w:pPr>
          <w:hyperlink w:anchor="__RefHeading___Toc11691613_1280447820">
            <w:r>
              <w:rPr>
                <w:webHidden/>
                <w:rStyle w:val="IndexLink"/>
                <w:rtl w:val="true"/>
              </w:rPr>
              <w:t>الصورة الاولی</w:t>
            </w:r>
            <w:r>
              <w:rPr>
                <w:rStyle w:val="IndexLink"/>
                <w:rtl w:val="true"/>
              </w:rPr>
              <w:t xml:space="preserve">: </w:t>
            </w:r>
            <w:r>
              <w:rPr>
                <w:rStyle w:val="IndexLink"/>
                <w:rtl w:val="true"/>
              </w:rPr>
              <w:t>أن يكون أحدهما مثبتاً و الآخر نافياً</w:t>
            </w:r>
            <w:r>
              <w:rPr>
                <w:rStyle w:val="IndexLink"/>
                <w:rtl w:val="true"/>
              </w:rPr>
              <w:tab/>
            </w:r>
            <w:r>
              <w:rPr>
                <w:rStyle w:val="IndexLink"/>
              </w:rPr>
              <w:t>449</w:t>
            </w:r>
          </w:hyperlink>
        </w:p>
        <w:p>
          <w:pPr>
            <w:pStyle w:val="Contents2"/>
            <w:tabs>
              <w:tab w:val="clear" w:pos="8743"/>
              <w:tab w:val="right" w:pos="9026" w:leader="dot"/>
            </w:tabs>
            <w:rPr/>
          </w:pPr>
          <w:hyperlink w:anchor="__RefHeading___Toc11691615_1280447820">
            <w:r>
              <w:rPr>
                <w:webHidden/>
                <w:rStyle w:val="IndexLink"/>
                <w:rtl w:val="true"/>
              </w:rPr>
              <w:t>الصورة الثانية</w:t>
            </w:r>
            <w:r>
              <w:rPr>
                <w:rStyle w:val="IndexLink"/>
                <w:rtl w:val="true"/>
              </w:rPr>
              <w:t xml:space="preserve">: </w:t>
            </w:r>
            <w:r>
              <w:rPr>
                <w:rStyle w:val="IndexLink"/>
                <w:rtl w:val="true"/>
              </w:rPr>
              <w:t>إذا كانا نافيين</w:t>
            </w:r>
            <w:r>
              <w:rPr>
                <w:rStyle w:val="IndexLink"/>
                <w:rtl w:val="true"/>
              </w:rPr>
              <w:tab/>
            </w:r>
            <w:r>
              <w:rPr>
                <w:rStyle w:val="IndexLink"/>
              </w:rPr>
              <w:t>450</w:t>
            </w:r>
          </w:hyperlink>
        </w:p>
        <w:p>
          <w:pPr>
            <w:pStyle w:val="Contents2"/>
            <w:tabs>
              <w:tab w:val="clear" w:pos="8743"/>
              <w:tab w:val="right" w:pos="9026" w:leader="dot"/>
            </w:tabs>
            <w:rPr/>
          </w:pPr>
          <w:hyperlink w:anchor="__RefHeading___Toc11691617_1280447820">
            <w:r>
              <w:rPr>
                <w:webHidden/>
                <w:rStyle w:val="IndexLink"/>
                <w:rtl w:val="true"/>
              </w:rPr>
              <w:t>الصورة الثالثة</w:t>
            </w:r>
            <w:r>
              <w:rPr>
                <w:rStyle w:val="IndexLink"/>
                <w:rtl w:val="true"/>
              </w:rPr>
              <w:t xml:space="preserve">: </w:t>
            </w:r>
            <w:r>
              <w:rPr>
                <w:rStyle w:val="IndexLink"/>
                <w:rtl w:val="true"/>
              </w:rPr>
              <w:t>إذا كانا مثبتين</w:t>
            </w:r>
            <w:r>
              <w:rPr>
                <w:rStyle w:val="IndexLink"/>
                <w:rtl w:val="true"/>
              </w:rPr>
              <w:tab/>
            </w:r>
            <w:r>
              <w:rPr>
                <w:rStyle w:val="IndexLink"/>
              </w:rPr>
              <w:t>450</w:t>
            </w:r>
          </w:hyperlink>
        </w:p>
        <w:p>
          <w:pPr>
            <w:pStyle w:val="Contents2"/>
            <w:tabs>
              <w:tab w:val="clear" w:pos="8743"/>
              <w:tab w:val="right" w:pos="9026" w:leader="dot"/>
            </w:tabs>
            <w:rPr/>
          </w:pPr>
          <w:hyperlink w:anchor="__RefHeading___Toc11691619_1280447820">
            <w:r>
              <w:rPr>
                <w:webHidden/>
                <w:rStyle w:val="IndexLink"/>
                <w:rtl w:val="true"/>
              </w:rPr>
              <w:t>و ينبغي التنبيه على أمرين</w:t>
            </w:r>
            <w:r>
              <w:rPr>
                <w:rStyle w:val="IndexLink"/>
                <w:rtl w:val="true"/>
              </w:rPr>
              <w:t>:</w:t>
              <w:tab/>
            </w:r>
            <w:r>
              <w:rPr>
                <w:rStyle w:val="IndexLink"/>
              </w:rPr>
              <w:t>453</w:t>
            </w:r>
          </w:hyperlink>
        </w:p>
        <w:p>
          <w:pPr>
            <w:pStyle w:val="Contents2"/>
            <w:tabs>
              <w:tab w:val="clear" w:pos="8743"/>
              <w:tab w:val="right" w:pos="9026" w:leader="dot"/>
            </w:tabs>
            <w:rPr/>
          </w:pPr>
          <w:hyperlink w:anchor="__RefHeading___Toc11691621_1280447820">
            <w:r>
              <w:rPr>
                <w:webHidden/>
                <w:rStyle w:val="IndexLink"/>
                <w:rtl w:val="true"/>
              </w:rPr>
              <w:t>الأوّل</w:t>
            </w:r>
            <w:r>
              <w:rPr>
                <w:rStyle w:val="IndexLink"/>
                <w:rtl w:val="true"/>
              </w:rPr>
              <w:t xml:space="preserve">: </w:t>
            </w:r>
            <w:r>
              <w:rPr>
                <w:rStyle w:val="IndexLink"/>
                <w:rtl w:val="true"/>
              </w:rPr>
              <w:t>حكم الأحكام الوضعية</w:t>
            </w:r>
            <w:r>
              <w:rPr>
                <w:rStyle w:val="IndexLink"/>
                <w:rtl w:val="true"/>
              </w:rPr>
              <w:tab/>
            </w:r>
            <w:r>
              <w:rPr>
                <w:rStyle w:val="IndexLink"/>
              </w:rPr>
              <w:t>453</w:t>
            </w:r>
          </w:hyperlink>
        </w:p>
        <w:p>
          <w:pPr>
            <w:pStyle w:val="Contents2"/>
            <w:tabs>
              <w:tab w:val="clear" w:pos="8743"/>
              <w:tab w:val="right" w:pos="9026" w:leader="dot"/>
            </w:tabs>
            <w:rPr/>
          </w:pPr>
          <w:hyperlink w:anchor="__RefHeading___Toc11691623_1280447820">
            <w:r>
              <w:rPr>
                <w:webHidden/>
                <w:rStyle w:val="IndexLink"/>
                <w:rtl w:val="true"/>
              </w:rPr>
              <w:t>الثاني</w:t>
            </w:r>
            <w:r>
              <w:rPr>
                <w:rStyle w:val="IndexLink"/>
                <w:rtl w:val="true"/>
              </w:rPr>
              <w:t xml:space="preserve">: </w:t>
            </w:r>
            <w:r>
              <w:rPr>
                <w:rStyle w:val="IndexLink"/>
                <w:rtl w:val="true"/>
              </w:rPr>
              <w:t>في حكم المستحبّات</w:t>
            </w:r>
            <w:r>
              <w:rPr>
                <w:rStyle w:val="IndexLink"/>
                <w:rtl w:val="true"/>
              </w:rPr>
              <w:tab/>
            </w:r>
            <w:r>
              <w:rPr>
                <w:rStyle w:val="IndexLink"/>
              </w:rPr>
              <w:t>453</w:t>
            </w:r>
          </w:hyperlink>
        </w:p>
        <w:p>
          <w:pPr>
            <w:pStyle w:val="Contents2"/>
            <w:tabs>
              <w:tab w:val="clear" w:pos="8743"/>
              <w:tab w:val="right" w:pos="9026" w:leader="dot"/>
            </w:tabs>
            <w:rPr/>
          </w:pPr>
          <w:hyperlink w:anchor="__RefHeading___Toc11691625_1280447820">
            <w:r>
              <w:rPr>
                <w:webHidden/>
                <w:rStyle w:val="IndexLink"/>
                <w:rtl w:val="true"/>
              </w:rPr>
              <w:t>حکم ما إذا كان السبب مذكوراً</w:t>
            </w:r>
            <w:r>
              <w:rPr>
                <w:rStyle w:val="IndexLink"/>
                <w:rtl w:val="true"/>
              </w:rPr>
              <w:tab/>
            </w:r>
            <w:r>
              <w:rPr>
                <w:rStyle w:val="IndexLink"/>
              </w:rPr>
              <w:t>457</w:t>
            </w:r>
          </w:hyperlink>
        </w:p>
        <w:p>
          <w:pPr>
            <w:pStyle w:val="Contents2"/>
            <w:tabs>
              <w:tab w:val="clear" w:pos="8743"/>
              <w:tab w:val="right" w:pos="9026" w:leader="dot"/>
            </w:tabs>
            <w:rPr/>
          </w:pPr>
          <w:hyperlink w:anchor="__RefHeading___Toc11691627_1280447820">
            <w:r>
              <w:rPr>
                <w:webHidden/>
                <w:rStyle w:val="IndexLink"/>
                <w:rtl w:val="true"/>
              </w:rPr>
              <w:t>الفصل الرابع</w:t>
            </w:r>
            <w:r>
              <w:rPr>
                <w:rStyle w:val="IndexLink"/>
                <w:rtl w:val="true"/>
              </w:rPr>
              <w:t xml:space="preserve">: </w:t>
            </w:r>
            <w:r>
              <w:rPr>
                <w:rStyle w:val="IndexLink"/>
                <w:rtl w:val="true"/>
              </w:rPr>
              <w:t>في المجمل و المبيّن</w:t>
            </w:r>
            <w:r>
              <w:rPr>
                <w:rStyle w:val="IndexLink"/>
                <w:rtl w:val="true"/>
              </w:rPr>
              <w:tab/>
            </w:r>
            <w:r>
              <w:rPr>
                <w:rStyle w:val="IndexLink"/>
              </w:rPr>
              <w:t>458</w:t>
            </w:r>
          </w:hyperlink>
        </w:p>
        <w:p>
          <w:pPr>
            <w:pStyle w:val="Contents2"/>
            <w:tabs>
              <w:tab w:val="clear" w:pos="8743"/>
              <w:tab w:val="right" w:pos="9026" w:leader="dot"/>
            </w:tabs>
            <w:rPr/>
          </w:pPr>
          <w:hyperlink w:anchor="__RefHeading___Toc11691629_1280447820">
            <w:r>
              <w:rPr>
                <w:webHidden/>
                <w:rStyle w:val="IndexLink"/>
                <w:rtl w:val="true"/>
              </w:rPr>
              <w:t>اسباب الإجمال</w:t>
            </w:r>
            <w:r>
              <w:rPr>
                <w:rStyle w:val="IndexLink"/>
                <w:rtl w:val="true"/>
              </w:rPr>
              <w:tab/>
            </w:r>
            <w:r>
              <w:rPr>
                <w:rStyle w:val="IndexLink"/>
              </w:rPr>
              <w:t>460</w:t>
            </w:r>
          </w:hyperlink>
        </w:p>
        <w:p>
          <w:pPr>
            <w:pStyle w:val="Contents2"/>
            <w:tabs>
              <w:tab w:val="clear" w:pos="8743"/>
              <w:tab w:val="right" w:pos="9026" w:leader="dot"/>
            </w:tabs>
            <w:rPr/>
          </w:pPr>
          <w:hyperlink w:anchor="__RefHeading___Toc11691631_1280447820">
            <w:r>
              <w:rPr>
                <w:webHidden/>
                <w:rStyle w:val="IndexLink"/>
                <w:rtl w:val="true"/>
              </w:rPr>
              <w:t>المواضع التي وقع الشكّ في إجمالها</w:t>
            </w:r>
            <w:r>
              <w:rPr>
                <w:rStyle w:val="IndexLink"/>
                <w:rtl w:val="true"/>
              </w:rPr>
              <w:tab/>
            </w:r>
            <w:r>
              <w:rPr>
                <w:rStyle w:val="IndexLink"/>
              </w:rPr>
              <w:t>461</w:t>
            </w:r>
          </w:hyperlink>
        </w:p>
        <w:p>
          <w:pPr>
            <w:pStyle w:val="Contents2"/>
            <w:tabs>
              <w:tab w:val="clear" w:pos="8743"/>
              <w:tab w:val="right" w:pos="9026" w:leader="dot"/>
            </w:tabs>
            <w:rPr/>
          </w:pPr>
          <w:hyperlink w:anchor="__RefHeading___Toc11691633_1280447820">
            <w:r>
              <w:rPr>
                <w:webHidden/>
                <w:rStyle w:val="IndexLink"/>
                <w:rtl w:val="true"/>
              </w:rPr>
              <w:t>الفهرس</w:t>
            </w:r>
            <w:r>
              <w:rPr>
                <w:rStyle w:val="IndexLink"/>
                <w:rtl w:val="true"/>
              </w:rPr>
              <w:tab/>
            </w:r>
            <w:r>
              <w:rPr>
                <w:rStyle w:val="IndexLink"/>
              </w:rPr>
              <w:t>468</w:t>
            </w:r>
          </w:hyperlink>
        </w:p>
        <w:p>
          <w:pPr>
            <w:pStyle w:val="Contents2"/>
            <w:tabs>
              <w:tab w:val="clear" w:pos="8743"/>
              <w:tab w:val="right" w:pos="9026" w:leader="dot"/>
            </w:tabs>
            <w:rPr/>
          </w:pPr>
          <w:hyperlink w:anchor="__RefHeading___Toc11691635_1280447820">
            <w:r>
              <w:rPr>
                <w:webHidden/>
                <w:rStyle w:val="IndexLink"/>
                <w:rtl w:val="true"/>
              </w:rPr>
              <w:t>من مؤلفات المؤلف</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0_202172"/>
      <w:bookmarkStart w:id="1" w:name="pg16640_202172"/>
      <w:bookmarkEnd w:id="1"/>
    </w:p>
    <w:p>
      <w:pPr>
        <w:pStyle w:val="Heading2"/>
        <w:numPr>
          <w:ilvl w:val="1"/>
          <w:numId w:val="1"/>
        </w:numPr>
        <w:rPr/>
      </w:pPr>
      <w:bookmarkStart w:id="2" w:name="pg16640_202172"/>
      <w:bookmarkStart w:id="3" w:name="__RefHeading___Toc11691067_128044782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ماجد،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الکفایهﻣﻦ‌اﻻﺻﻮل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5332417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انتشارات دارالهدی</w:t>
      </w:r>
    </w:p>
    <w:p>
      <w:pPr>
        <w:pStyle w:val="BookText"/>
        <w:rPr/>
      </w:pPr>
      <w:r>
        <w:rPr>
          <w:rFonts w:ascii="IRNazanin" w:hAnsi="IRNazanin" w:eastAsia="IRNazanin"/>
          <w:color w:val="111111"/>
          <w:sz w:val="28"/>
          <w:sz w:val="28"/>
          <w:szCs w:val="28"/>
          <w:rtl w:val="true"/>
          <w:lang w:bidi="fa-IR"/>
        </w:rPr>
        <w:t xml:space="preserve">الکفاية من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الشيخ ماجد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ردمک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ردمک الدوره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سنة 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سعر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9106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الکفاية من الاصول</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اية الله الشيخ ماجد الکاظمي </w:t>
      </w:r>
      <w:bookmarkStart w:id="7" w:name="pg16640_202174"/>
    </w:p>
    <w:p>
      <w:pPr>
        <w:pStyle w:val="Heading2"/>
        <w:numPr>
          <w:ilvl w:val="1"/>
          <w:numId w:val="1"/>
        </w:numPr>
        <w:rPr/>
      </w:pPr>
      <w:bookmarkStart w:id="8" w:name="__RefHeading___Toc11691071_1280447820"/>
      <w:bookmarkStart w:id="9" w:name="_Toc3"/>
      <w:bookmarkEnd w:id="7"/>
      <w:bookmarkEnd w:id="8"/>
      <w:r>
        <w:rPr>
          <w:rtl w:val="true"/>
        </w:rPr>
        <w:t>المقصد الثاني في النواهي</w:t>
      </w:r>
      <w:bookmarkEnd w:id="9"/>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1691073_1280447820"/>
      <w:bookmarkStart w:id="11" w:name="_Toc4"/>
      <w:bookmarkEnd w:id="10"/>
      <w:r>
        <w:rPr>
          <w:rtl w:val="true"/>
        </w:rPr>
        <w:t>الفصل الأوّل في مادّة النهي و صيغته</w:t>
      </w:r>
      <w:bookmarkEnd w:id="11"/>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النهي بمادته و صيغته في الدلالة على الطلب مثل الأمر بمادته و صيغته غير أن متعلق الطلب في أحدهما الوجود و في الآخر العدم فيعتبر فيه ما استظهرنا اعتباره فيه بلا تفاوت أصلا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 w:name="__RefHeading___Toc11691075_1280447820"/>
      <w:bookmarkStart w:id="13" w:name="_Toc5"/>
      <w:bookmarkEnd w:id="12"/>
      <w:r>
        <w:rPr>
          <w:rtl w:val="true"/>
        </w:rPr>
        <w:t>مفاد هيئة النهي</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النهي بمادته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ينهى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غيرهما مما يشتق من هذه المادة، و بصيغته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يشارك الأمر مادةً و صيغةً في الدلالة على الطلب، فكلاهما يدلان على نفس الطلب عند صاحب الکفاية و يفارق النهي الأمر في كون متعلقه العدم، و متعلق الأمر الوجود،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أنهاك عن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منك عدم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منك وجود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لا يدل علی الطلب بل علی النسبة الطلبية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النهي يدل علی النسبة الامساکية لان ملاک الامر و النهي واحد فالدليل هو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مقتضى تبعية الأحكام للمصالح و المفاسد في متعلقاتها و تقابل الأمر و النهي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بالفعل ناشئاً عن المصلحة فيه</w:t>
      </w:r>
      <w:r>
        <w:rPr>
          <w:rStyle w:val="FootnoteAnchor"/>
          <w:rtl w:val="true"/>
        </w:rPr>
        <w:footnoteReference w:id="3"/>
      </w:r>
      <w:r>
        <w:rPr>
          <w:rFonts w:ascii="Amiri" w:hAnsi="Amiri" w:eastAsia="Amiri" w:cs="Amiri"/>
          <w:color w:val="111111"/>
          <w:sz w:val="28"/>
          <w:sz w:val="28"/>
          <w:szCs w:val="28"/>
          <w:rtl w:val="true"/>
          <w:lang w:bidi="ar-SA"/>
        </w:rPr>
        <w:t>، و النهي عنه ناشئاً عن المفسدة فيه، فإذا كان شرب الخمر مثلا ذا مفسدة، كانت تلك المفسدة داعية إلى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الأمر الّذي يبعث على الإتيان بالفعل المشتمل على المصلحة الداعية إلى الأمر بفعله، فليس في النهيطلب حتى يبحث عن كون متعلقه الترك أو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الترك مصلحة توجه إليه الأمر و تعلق به الطلب، و هذا غير النهي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بعث على الفعل و النهي زجر عنه، و ليس الكف أمراً وجودياً كما اشتهر، بل هو ترك الشي‌ء اختياراً مع الميل إلى فعله، فهو أمر عدمي يعبر عنه بالكف، لا وجودي قائم بالنفس حتى يصح تعلق الطلب الّذي هو أمر وجودي به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لازم هذه المماثلة بين الامر و النهي أنه يعتبر في النهي جميع ما اعتبر في الأمر من العلو، و دلالة الهيئة على مجرد الطلب الإلزامي، و خروج المرة و التكرار و الفور و التراخي عن مدلولها</w:t>
      </w:r>
      <w:r>
        <w:rPr>
          <w:rFonts w:eastAsia="Amiri" w:cs="Amiri" w:ascii="Amiri" w:hAnsi="Amiri"/>
          <w:color w:val="111111"/>
          <w:sz w:val="28"/>
          <w:szCs w:val="28"/>
          <w:rtl w:val="true"/>
          <w:lang w:bidi="ar-SA"/>
        </w:rPr>
        <w:t xml:space="preserve">. </w:t>
      </w:r>
      <w:bookmarkStart w:id="14" w:name="pg16640_202176"/>
    </w:p>
    <w:p>
      <w:pPr>
        <w:pStyle w:val="Heading2"/>
        <w:numPr>
          <w:ilvl w:val="1"/>
          <w:numId w:val="1"/>
        </w:numPr>
        <w:rPr/>
      </w:pPr>
      <w:bookmarkStart w:id="15" w:name="__RefHeading___Toc11691077_1280447820"/>
      <w:bookmarkStart w:id="16" w:name="_Toc6"/>
      <w:bookmarkEnd w:id="14"/>
      <w:bookmarkEnd w:id="15"/>
      <w:r>
        <w:rPr>
          <w:rtl w:val="true"/>
        </w:rPr>
        <w:t>ما هو متعلّق النهي؟</w:t>
      </w:r>
      <w:bookmarkEnd w:id="16"/>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شرب الخمر زجر عن فعله، لا طلب لتركه أو الكف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تقدم يظهر ضعف ما ذهب اليه المحقّق الخراساني من أنّ المتعلّق في الأوّل هو الوجود و في الثاني هو العدم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يختص النهي بخلاف و هو أن متعلق الطلب فيه هل هو الكف أو مجرد الترك و أن لا يفعل؟ و الظاهر هو الثاني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مضافا لما سبق أنّ الصيغة مركّبة من هيئة و مادة، و المادة لا تدلّ إلّا على نفس الطبيعة، فأين الدال على الوجود و العدم؟</w:t>
      </w:r>
    </w:p>
    <w:p>
      <w:pPr>
        <w:pStyle w:val="BookText"/>
        <w:rPr/>
      </w:pPr>
      <w:r>
        <w:rPr>
          <w:rFonts w:ascii="Amiri" w:hAnsi="Amiri" w:eastAsia="Amiri" w:cs="Amiri"/>
          <w:color w:val="111111"/>
          <w:sz w:val="28"/>
          <w:sz w:val="28"/>
          <w:szCs w:val="28"/>
          <w:rtl w:val="true"/>
          <w:lang w:bidi="ar-SA"/>
        </w:rPr>
        <w:t>نعم البعث أو الزجر، لغاية الإيجاد، أو الاستمرار على الترك و كون شي‌ء غاية شي‌ء، غيرُ كونه مأخوذاً فيه و بذلك يسقط البحث عن كون المتعلّق هو الترك أو كف النفس، و ما حولهما من النقض و الإبرام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1691079_1280447820"/>
      <w:bookmarkStart w:id="18" w:name="_Toc7"/>
      <w:bookmarkEnd w:id="17"/>
      <w:r>
        <w:rPr>
          <w:rtl w:val="true"/>
        </w:rPr>
        <w:t>عدم دلالتها على الدوام</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دلالة لصيغته على الدوام و التكرار كما لا دلالة لصيغة الأمر و إن كان قضيتهما عقلا تختلف و لو مع وحدة متعلقهما بأن يكون طبيعة واحدةبذاتها و قيدها تعلق بها الأمر مرة و النهي أخرى ضرورة أن وجودها يكون بوجود فرد واحد و عدمها لا يكاد يكون إلّا بعدم الجميع كما لا يخفى</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9" w:name="pg16640_202177"/>
    </w:p>
    <w:p>
      <w:pPr>
        <w:pStyle w:val="BookText"/>
        <w:rPr/>
      </w:pPr>
      <w:bookmarkEnd w:id="19"/>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مقتضى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طلب إيجاد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مقتضى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طلب ترك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لأجل اختلاف حكم العقل في المقامين، فانه لما كان وجود الطبيعة الّذي هو المطلوب في الأمر يتحقق بأول وجوداتها، لانطباق الطبيعة عليه قهراً، و حصول الغرض الداعي إلى الأمر بها الموجب لسقوط الأمر، بخلاف عدم الطبيعة الّذي هو المطلوب في النهي، حيث ان عدمها يتوقف عقلا على عدم جميع أفرادها الطولية و العرضية، كان مقتضى حكم العقل في الأمر هو سقوط الطلب بأول وجودات الطبيعة، و عدم سقوطه في النهي إلّا بترك جميع أفراد الطبيعة المنهي عنها، من غير فرق في هذا التوقف بين إطلاق الطبيعة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تقيدها بقيد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ماء الرمان في زمان مرضك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فدلالة النهي على الاستمرار و الدوام انما هي بحكم العقل، لا الوضع كدلالة الأمر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يخفی ان النهي انما يدل علی النسبة الامساکية فلا علاقة له بالاعدام حتی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الإيجاد و الإعدام عقلا على نسق واحد، لما حُقِّق في محلّه من أنّ الطبيعة تتكثّر حسب تكثّر الأفراد فزيد إنسان تام، و بكر إنسان آخر، و كلّ حائز تمام الإنسانية، و نسبة الطبيعة إلى الافراد نسبة الآباء إلى الأبناء لا الأب الواحد بالنسبة إليهم، فإذا كانت الطبيعة متعددة الوجود حسب تعدد الأفراد، تكون متعددة العدم كذلك</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11691081_1280447820"/>
      <w:bookmarkStart w:id="21" w:name="_Toc8"/>
      <w:bookmarkEnd w:id="20"/>
      <w:r>
        <w:rPr>
          <w:rtl w:val="true"/>
        </w:rPr>
        <w:t>حکم مخالفة النهي</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نهي و لم يعلم تقيده بالمرة او بالدوام فخالفه العبد، فهل يدل على لزوم تركه ثانياً أم لا؟ </w:t>
      </w:r>
      <w:bookmarkStart w:id="22" w:name="pg16640_202178"/>
    </w:p>
    <w:p>
      <w:pPr>
        <w:pStyle w:val="BookText"/>
        <w:rPr/>
      </w:pPr>
      <w:bookmarkEnd w:id="22"/>
      <w:r>
        <w:rPr>
          <w:rFonts w:ascii="Amiri" w:hAnsi="Amiri" w:eastAsia="Amiri" w:cs="Amiri"/>
          <w:color w:val="111111"/>
          <w:sz w:val="28"/>
          <w:sz w:val="28"/>
          <w:szCs w:val="28"/>
          <w:rtl w:val="true"/>
          <w:lang w:bidi="ar-SA"/>
        </w:rPr>
        <w:t>الظاهر عدم الدلالة لسقوط النهي بالعصيان، و لزوم امتثاله ثانياً يتوقف على الدليل</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1691083_1280447820"/>
      <w:bookmarkStart w:id="24" w:name="_Toc9"/>
      <w:bookmarkEnd w:id="23"/>
      <w:r>
        <w:rPr>
          <w:rtl w:val="true"/>
        </w:rPr>
        <w:t>الفصل الثاني في اجتماع الأمر و النهي في شي‌ء واحد باعتبار عنوانين</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1691085_1280447820"/>
      <w:bookmarkStart w:id="26" w:name="_Toc10"/>
      <w:bookmarkEnd w:id="25"/>
      <w:r>
        <w:rPr>
          <w:rtl w:val="true"/>
        </w:rPr>
        <w:t>الأول</w:t>
      </w:r>
      <w:r>
        <w:rPr>
          <w:rtl w:val="true"/>
        </w:rPr>
        <w:t xml:space="preserve">: </w:t>
      </w:r>
      <w:r>
        <w:rPr>
          <w:rtl w:val="true"/>
        </w:rPr>
        <w:t>في بيان المراد بالواحد الذي تعلق به الأمر و النهي</w:t>
      </w:r>
      <w:bookmarkEnd w:id="26"/>
    </w:p>
    <w:p>
      <w:pPr>
        <w:pStyle w:val="BookText"/>
        <w:rPr/>
      </w:pPr>
      <w:r>
        <w:rPr>
          <w:rFonts w:ascii="Amiri" w:hAnsi="Amiri" w:eastAsia="Amiri" w:cs="Amiri"/>
          <w:color w:val="111111"/>
          <w:sz w:val="28"/>
          <w:sz w:val="28"/>
          <w:szCs w:val="28"/>
          <w:rtl w:val="true"/>
          <w:lang w:bidi="ar-SA"/>
        </w:rPr>
        <w:t>ذهب المحقّق الخراساني إلى أنّ المراد هو الأعم من الواحد الشخصي و النوعي و الجنسي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بالواحد مطلق ما كان ذا وجهين و مندرجا تحت عنوانين بأحدهما كان موردا للأمر و بالآخر للنهي و إن كان كليا مقولا على كثيرين كالصلاة في المغصوب و إنما ذكر لإخراج ما إذا تعدد متعلق الأمر و النهي و لم يجتمعا وجودا و لو جمعهما واحد مفهوما كالسجود لله تعالى و السجود للصنم مثلا لا لإخراج الواحد الجنسي أو النوعي كالحركة و السكون الكليين المعنونين بالصلاتية و الغصبية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لازم ذلك إرادة معنيين من لفظ الواحد، فتارة أُريد به مطلق الواحد، ليشمل الواحد الشخصي و النوعي و الجنسي، و أُخرى أُريد به الواحد الشخصي فقط ليخرج السجود للّه و السجود للصنم، حيث لا يجتمعان وجوداً في مصداق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الصحيح ان المراد 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في الوجود و المقصود منه الفعل الواحد باعتبار أنّ له وجودا واحدا يكون ملتقى و مجمعا للعنوانين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المتعدّد بحسب الوجود، كالنظر إلى الأجنبيّة و الصلاة، فإنّ وجود أحدهما غير وجود الآخر، فإنّ الاجتماع في مثل هذا يسمّى الاجتماع المورديّ و لا علاقة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الواحد بما له من الوجود الواحد إذا كان ملتقى للعنوانين، فإنّ التقاء العناوين فيه لا يخلو من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الالتقاء بسبب ماهيّته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الالتقاء بسبب ماهيّته الكلّية، كأن يكون الكلّي نفسه مجمعا للعنوانين، كالكون الكلّي الذي ينطبق عليه أنّه صلاة و غصب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عليه، فالمقصود من الواحد في المقام الواحد في الوجود، فلا معنى لتخصيص النزاع بالواحد الشخصيّ کما ذهب الی ذلک المحقّق القميّ و صاحب الفصول، فإنّهما خصّصا النزاع بالواحد الشخصيّ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يرجع النزاع إلى أنّ اجتماع العنوانين في واحد و تصادقهما عليه، هل يمنع من الأخذ بالإطلاقين في الأمر و النهي معاً فيكون الحقّ مع الامتناعي، فعندئذ لا محيص من الأخذ بأحد الإطلاقين، إمّا الأمر بالصلاة، أو النهي عن الغصب ففي مورد الصلاة في الدار المغصوبة، إمّا أمر و لا نهي، أو نهي و لا أمر أو لا يمنع فيكون الحقّ مع الاجتماعي</w:t>
      </w:r>
      <w:r>
        <w:rPr>
          <w:rFonts w:eastAsia="Amiri" w:cs="Amiri" w:ascii="Amiri" w:hAnsi="Amiri"/>
          <w:color w:val="111111"/>
          <w:sz w:val="28"/>
          <w:szCs w:val="28"/>
          <w:rtl w:val="true"/>
          <w:lang w:bidi="ar-SA"/>
        </w:rPr>
        <w:t xml:space="preserve">. </w:t>
      </w:r>
      <w:bookmarkStart w:id="27" w:name="pg16640_202180"/>
    </w:p>
    <w:p>
      <w:pPr>
        <w:pStyle w:val="Heading2"/>
        <w:numPr>
          <w:ilvl w:val="1"/>
          <w:numId w:val="1"/>
        </w:numPr>
        <w:rPr/>
      </w:pPr>
      <w:bookmarkStart w:id="28" w:name="__RefHeading___Toc11691087_1280447820"/>
      <w:bookmarkStart w:id="29" w:name="_Toc11"/>
      <w:bookmarkEnd w:id="27"/>
      <w:bookmarkEnd w:id="28"/>
      <w:r>
        <w:rPr>
          <w:rtl w:val="true"/>
        </w:rPr>
        <w:t>الثاني الفرق بين هذه المسألة و مسألة النهي في العبادة</w:t>
      </w:r>
      <w:bookmarkEnd w:id="29"/>
    </w:p>
    <w:p>
      <w:pPr>
        <w:pStyle w:val="BookText"/>
        <w:rPr/>
      </w:pPr>
      <w:r>
        <w:rPr>
          <w:rFonts w:ascii="IRNazanin" w:hAnsi="IRNazanin" w:eastAsia="IRNazanin"/>
          <w:color w:val="111111"/>
          <w:sz w:val="28"/>
          <w:sz w:val="28"/>
          <w:szCs w:val="28"/>
          <w:rtl w:val="true"/>
          <w:lang w:bidi="fa-IR"/>
        </w:rPr>
        <w:t>قد يتوهم عدم الفرق بين هذه المسألة و بين مسألة النهي في العبادة،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النهي مجتمعان في كل واحدة من المسألتين من دون فرق بينهما، و لذا فقد تصدی غير واحد من المحققين لبيان الفرق بينهما علی أقوال</w:t>
      </w:r>
      <w:r>
        <w:rPr>
          <w:rFonts w:eastAsia="IRNazanin" w:cs="IRNazanin"/>
          <w:color w:val="111111"/>
          <w:sz w:val="28"/>
          <w:szCs w:val="28"/>
          <w:rtl w:val="true"/>
          <w:lang w:bidi="fa-IR"/>
        </w:rPr>
        <w:t>:</w:t>
      </w:r>
    </w:p>
    <w:p>
      <w:pPr>
        <w:pStyle w:val="Heading2"/>
        <w:numPr>
          <w:ilvl w:val="1"/>
          <w:numId w:val="1"/>
        </w:numPr>
        <w:rPr/>
      </w:pPr>
      <w:bookmarkStart w:id="30" w:name="__RefHeading___Toc11691089_1280447820"/>
      <w:bookmarkStart w:id="31" w:name="_Toc12"/>
      <w:bookmarkEnd w:id="30"/>
      <w:r>
        <w:rPr>
          <w:rtl w:val="true"/>
        </w:rPr>
        <w:t>تغاير جهة البحث فيهما</w:t>
      </w:r>
      <w:bookmarkEnd w:id="31"/>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صاحب الکفاية الی تغاير جهة البحث فيهما، فقال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جهته في مسألة الاجتماع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الجهة هل يوجب تعدد المتعلق حتى يخرج عن الواحد الّذي يمتنع اجتماع الحكمين المتضادين فيه، و عن سراية كل من الأمر و النهي من متعلقه إلى متعلق الآخر أم لا يوجبه؟ بل هو واحد، فيسري كل من الأمر و النهي إلى متعلق الآخر، فيتحد مجمعهما، و يكون المجمع حينئذ لوحدته محكوماً بأحد الحكمين دون كليهما، لتضادهما، و امتناع اجتماع المتضادين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مسألة النهي في العباد، فان الجهة المبحوث عنها فيها هي دلالة النهي على الفساد و عدمها بعد الفراغ عن كون متعلق النهي عين ما تعلق به الأمر، فالغرض في المسألة الآتية هو أن النهي المتعلق بفرد من أفراد المأمور به هل يرفع الأمر حتى لا يصح أم لا؟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2" w:name="pg16640_202181"/>
    </w:p>
    <w:p>
      <w:pPr>
        <w:pStyle w:val="BookText"/>
        <w:rPr/>
      </w:pPr>
      <w:bookmarkEnd w:id="3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كون البحث في المسألة صغروياً و إنّ تعدّد العنوان هل يوجب تعدّد المعنون، حتّى يكون متعلّق الأمر غيره في النهي أم لا؟ فيكون مرجع البحث إلى أنّه هل هنا اجتماع أم لا؟</w:t>
      </w:r>
    </w:p>
    <w:p>
      <w:pPr>
        <w:pStyle w:val="BookText"/>
        <w:rPr/>
      </w:pPr>
      <w:r>
        <w:rPr>
          <w:rFonts w:ascii="Amiri" w:hAnsi="Amiri" w:eastAsia="Amiri" w:cs="Amiri"/>
          <w:color w:val="111111"/>
          <w:sz w:val="28"/>
          <w:sz w:val="28"/>
          <w:szCs w:val="28"/>
          <w:rtl w:val="true"/>
          <w:lang w:bidi="ar-SA"/>
        </w:rPr>
        <w:t>و لكنّ الصحيح أنّ البحث في المقام كبروي و انّ البحث إنّما هو في جواز الأمر بشي‌ء و النهي عن شي‌ء آخر، متصادقين على مصداق واحد و عدمه، و مرجع البحث إلى جواز الاجتماع و عدمه بعد تسليم أصل الاجتماع في مصداق واحد لا البحث في أصل الاجتماع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فتكون مسألة تعدّد المعنون بتعدّد العنوان و عدم تعدّده حيثيّة تعليليّة في مسألتنا لا أنّها هي نفس محلّ النزاع في الباب، فإنّ البحث هنا ليس إلّا عن نفس الجواز و عدمه، كما عبّر بذلك كلّ من بحث عن هذه المسألة من القديم</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1691091_1280447820"/>
      <w:bookmarkStart w:id="34" w:name="_Toc13"/>
      <w:bookmarkEnd w:id="33"/>
      <w:r>
        <w:rPr>
          <w:rtl w:val="true"/>
        </w:rPr>
        <w:t>هل النزاع صغروي أو كبرويّ؟</w:t>
      </w:r>
      <w:bookmarkEnd w:id="34"/>
    </w:p>
    <w:p>
      <w:pPr>
        <w:pStyle w:val="BookText"/>
        <w:rPr/>
      </w:pPr>
      <w:r>
        <w:rPr>
          <w:rFonts w:ascii="IRNazanin" w:hAnsi="IRNazanin" w:eastAsia="IRNazanin"/>
          <w:color w:val="111111"/>
          <w:sz w:val="28"/>
          <w:sz w:val="28"/>
          <w:szCs w:val="28"/>
          <w:rtl w:val="true"/>
          <w:lang w:bidi="fa-IR"/>
        </w:rPr>
        <w:t>و بذلک يظهر ان النزاع في المسألة کبروي كما هو اللائح من الكتب الأُصولية حيث يبحثون عن جواز الاجتماع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صغروي كما ذهب إليه صاحب الكفاية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يقرب من کلام صاحب الكفاية کلام المحقّق النائيني حيث إنّه بنى الجواز و عدمه في المسألة على أنّ تركيب المادة و الصورة، أو تركيب المقولات بعضها مع بعض، تركيب انضمامي أو اتّحادي، فعلى الأوّل يكون متعلّق الأمر غير متعلّق النهي فلا يلزم الاجتماع، و على الثاني تلزم وحدة متعلّقهما فيلزم الاجتماع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من بنى الجواز و عدمه على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العنوان يوجب تعدّد المعنون،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تركيب المقولات بعضها مع بعض تركيب انضمامي أو اتّحادي، فقد جعل النزاع صغروياً، فالمجوز ينفي الاجتماع، و المانع يثبته</w:t>
      </w:r>
      <w:r>
        <w:rPr>
          <w:rFonts w:eastAsia="Amiri" w:cs="Amiri" w:ascii="Amiri" w:hAnsi="Amiri"/>
          <w:color w:val="111111"/>
          <w:sz w:val="28"/>
          <w:szCs w:val="28"/>
          <w:rtl w:val="true"/>
          <w:lang w:bidi="ar-SA"/>
        </w:rPr>
        <w:t xml:space="preserve">. </w:t>
      </w:r>
      <w:bookmarkStart w:id="35" w:name="pg16640_202182"/>
    </w:p>
    <w:p>
      <w:pPr>
        <w:pStyle w:val="BookText"/>
        <w:rPr/>
      </w:pPr>
      <w:bookmarkEnd w:id="35"/>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القول بكون النزاع كبرويّاً و انّ مصب النزاع عبارة عن الأمر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الأمر بشي‌ء، و النهي عن شي‌ء آخر، مع تصادقهما على مورد واحد، أو لا؟ فالقائل بالجواز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الأمر هو حيثية الصلاتية، و متعلّق النهي هو الحيثية الغصبية، فالمتعلّقان مختلفان، و تصادقهما على مورد لا يكون مانعاً عن حفظ الأمر و النهي المتعلّقين بشيئين مختلفين فيجوز اجتماع الأمر و النهي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بالامتناع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الأمر و النهي و إن كان مختلفاً حقيقة، لكن حفظ إطلاق الدليلين، يستلزم وحدة متعلّق الأمر و النهي في النهاية، و ذلك لأنّمقتضى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إقامة الصلاة في عامّة الأماكن حتّى المكان المغصوب، كما أنّ 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تحريمه مطلقاً حتّى في الحالة الصلاتية، فلو صلّى في مكان مغصوب يلزم أن يكون العنوان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للأمر و النهي بحكم حفظ الإطلاقين، فيرجع الاجتماع المأموري إلى الاجتماع الأمري لاتّحاد الآمر و الناهي، و المأمور و المنهي، و المأمور به و المنهي عنه فلا يجوز هذا النوع من الأمر و النهي</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1691093_1280447820"/>
      <w:bookmarkStart w:id="37" w:name="_Toc14"/>
      <w:bookmarkEnd w:id="36"/>
      <w:r>
        <w:rPr>
          <w:rtl w:val="true"/>
        </w:rPr>
        <w:t>التمييز بالموضوع</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صاحب الفصول إلى أنّ المسألتين تتميّزان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تغاير متعلقي الأمر و النهي حقيقة في مسألة الاجتماع، و اعتبار اتحادهما حقيقة، و اختلافهما بالإطلاق و التقييد في مسألة النهي في العبادة</w:t>
      </w:r>
      <w:r>
        <w:rPr>
          <w:rFonts w:eastAsia="Amiri" w:cs="Amiri" w:ascii="Amiri" w:hAnsi="Amiri"/>
          <w:color w:val="111111"/>
          <w:sz w:val="28"/>
          <w:szCs w:val="28"/>
          <w:rtl w:val="true"/>
          <w:lang w:bidi="ar-SA"/>
        </w:rPr>
        <w:t xml:space="preserve">. </w:t>
      </w:r>
      <w:bookmarkStart w:id="38" w:name="pg16640_202183"/>
    </w:p>
    <w:p>
      <w:pPr>
        <w:pStyle w:val="BookText"/>
        <w:rPr/>
      </w:pPr>
      <w:bookmarkEnd w:id="38"/>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النزاع في ما نحن فيه إنّما هو فيما إذا تعلّق الأمر و النهي بطبيعتين متغايرتين بحسب الحقيقة، سواء أ كان بينهما عموم و خصوص من وجه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تغصب، أو عموم و خصوص مطلق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الناطق، و لا تكرم الشاعر، و على كلّ تقدير، فالموضوعان متغايران مفهوماً، و أمّا النزاع في مسألة دلالة النهي على الفساد و عدمه، ففيما إذا كان الموضوعان متّحدين حقيقة مختلفين بالإطلاق و التقييد،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في الحمام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الجهة المبحوث عنها متعددة فلا بدّ من عقد مسألتين و إن كان موضوعهما واحداً، و إن كانت الجهة المبحوث عنها واحدة فلا بدّ من عقد مسألة واحدة و إن كان الموضوع متعدّداً، فلا دور لوحدة الموضوع و تعدّده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11691095_1280447820"/>
      <w:bookmarkStart w:id="40" w:name="_Toc15"/>
      <w:bookmarkEnd w:id="39"/>
      <w:r>
        <w:rPr>
          <w:rtl w:val="true"/>
        </w:rPr>
        <w:t>التمييز بالموضوع و المحمول</w:t>
      </w:r>
      <w:bookmarkEnd w:id="4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المسألتين تتميّزان موضوعاً و محمولًا، أمّا الأوّل فقد عرفته في كلام صاحب الفصول، و أما الثاني فلأنّ المحمول في المقام جواز الاجتماع و عدمه، و في مسألة النهي عن العبادة، هو دلالة النهي على الفساد و عدمه، و مع الاختلاف الجوهري بين المسألتين في جانب الموضوع و المحمول، لا وجه اشتراك بينهما حتّى يُسأل عن جهة افتراقهما</w:t>
      </w:r>
      <w:r>
        <w:rPr>
          <w:rFonts w:eastAsia="Amiri" w:cs="Amiri" w:ascii="Amiri" w:hAnsi="Amiri"/>
          <w:color w:val="111111"/>
          <w:sz w:val="28"/>
          <w:szCs w:val="28"/>
          <w:rtl w:val="true"/>
          <w:lang w:bidi="ar-SA"/>
        </w:rPr>
        <w:t xml:space="preserve">. </w:t>
      </w:r>
      <w:bookmarkStart w:id="41" w:name="pg16640_202184"/>
    </w:p>
    <w:p>
      <w:pPr>
        <w:pStyle w:val="BookText"/>
        <w:rPr/>
      </w:pPr>
      <w:bookmarkEnd w:id="41"/>
      <w:r>
        <w:rPr>
          <w:rFonts w:ascii="Amiri" w:hAnsi="Amiri" w:eastAsia="Amiri" w:cs="Amiri"/>
          <w:color w:val="111111"/>
          <w:sz w:val="28"/>
          <w:sz w:val="28"/>
          <w:szCs w:val="28"/>
          <w:rtl w:val="true"/>
          <w:lang w:bidi="ar-SA"/>
        </w:rPr>
        <w:t>نعم لو قلنا في المقام بالامتناع و انّه لا بدّ من حفظ أحد الحكمين فقدّمنا النهي على الأمر، يكون المورد من صغريات المسألة الآتية في دلالة النهي على الفساد وضعاً أو لا</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1691097_1280447820"/>
      <w:bookmarkStart w:id="43" w:name="_Toc16"/>
      <w:bookmarkEnd w:id="42"/>
      <w:r>
        <w:rPr>
          <w:rtl w:val="true"/>
        </w:rPr>
        <w:t>التمييز بكون البحث عقلياً</w:t>
      </w:r>
      <w:bookmarkEnd w:id="4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إليه صاحب الکفاية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انقدح أيضا فساد الفرق بأن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هنا في جواز الاجتماع عقلا، و في مسألة النهي في العبادة في الدلالة اللفظية</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البحث هناك لا يختصّ باللفظ، بل يعمّ ما إذا كان الدالّ عليه، هو الدليل اللّبي كالعقل و الإجماع، انّ مثل هذا الاختلاف لا يصير سبباً لتعدّدها، لأنّ اختلاف طريق إثباتها لا يجعل المسألة الواحدة، مسألتين</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1691099_1280447820"/>
      <w:bookmarkStart w:id="45" w:name="_Toc17"/>
      <w:bookmarkEnd w:id="44"/>
      <w:r>
        <w:rPr>
          <w:rtl w:val="true"/>
        </w:rPr>
        <w:t>اقوال اخر</w:t>
      </w:r>
      <w:bookmarkEnd w:id="4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هنا لغوي، و في النهي في العبادة في مطلق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الوجهان الاخيران محكيان عن المدقق الشيرواني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القمي من اعتبار كون النسبة بين المتعلقين في مسألة الاجتماع عموماً من وجه، و في النهي عن العبادة عموماً مطلقاً</w:t>
      </w:r>
      <w:r>
        <w:rPr>
          <w:rFonts w:eastAsia="Amiri" w:cs="Amiri" w:ascii="Amiri" w:hAnsi="Amiri"/>
          <w:color w:val="111111"/>
          <w:sz w:val="28"/>
          <w:szCs w:val="28"/>
          <w:rtl w:val="true"/>
          <w:lang w:bidi="ar-SA"/>
        </w:rPr>
        <w:t xml:space="preserve">. </w:t>
      </w:r>
      <w:bookmarkStart w:id="46" w:name="pg16640_202185"/>
    </w:p>
    <w:p>
      <w:pPr>
        <w:pStyle w:val="BookText"/>
        <w:rPr/>
      </w:pPr>
      <w:bookmarkEnd w:id="46"/>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مسألتنا يكون في الحكم التكليفي، و في غيرها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هنا في التنافي العقلي، و هناك في التنافي العرفي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بطلانها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قد عرفت ان ثالث الاقوال هو الاقوی</w:t>
      </w:r>
      <w:r>
        <w:rPr>
          <w:rFonts w:eastAsia="IRNazanin" w:cs="IRNazanin"/>
          <w:color w:val="111111"/>
          <w:sz w:val="28"/>
          <w:szCs w:val="28"/>
          <w:rtl w:val="true"/>
          <w:lang w:bidi="fa-IR"/>
        </w:rPr>
        <w:t>.</w:t>
      </w:r>
    </w:p>
    <w:p>
      <w:pPr>
        <w:pStyle w:val="Heading2"/>
        <w:numPr>
          <w:ilvl w:val="1"/>
          <w:numId w:val="1"/>
        </w:numPr>
        <w:rPr/>
      </w:pPr>
      <w:bookmarkStart w:id="47" w:name="__RefHeading___Toc11691101_1280447820"/>
      <w:bookmarkStart w:id="48" w:name="_Toc18"/>
      <w:bookmarkEnd w:id="47"/>
      <w:r>
        <w:rPr>
          <w:rtl w:val="true"/>
        </w:rPr>
        <w:t>الثالث</w:t>
      </w:r>
      <w:r>
        <w:rPr>
          <w:rtl w:val="true"/>
        </w:rPr>
        <w:t xml:space="preserve">: </w:t>
      </w:r>
      <w:r>
        <w:rPr>
          <w:rtl w:val="true"/>
        </w:rPr>
        <w:t>المسألة أُصولية</w:t>
      </w:r>
      <w:bookmarkEnd w:id="48"/>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كونها من المسائل الأصوليّة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المحقّق القميّ إلى أنّها من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الشيخ الأنصاريّ إلى أنّها من المبادئ الأحكاميّة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المحقّق النائيني إلى أنّها من المبادئ التصديقيّة لعلم الأصول</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أكثر المعاصرين إلى أنّها من المسائل الأصوليّة غير المستقلّة لوجود ملاكها فيها و هو صحّة وقوع نتيجتها كبرى للاستنباط، فانّها على القول بجواز الاجتماع يُستنبط منها صحّة الصلاة، كما أنّها كذلك على القول بالامتناع مع تقديم جانب الأمر، و أمّا على القول بالامتناع و تقديم جانب النهي فيترتّب عليه الفساد</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1691103_1280447820"/>
      <w:bookmarkStart w:id="50" w:name="_Toc19"/>
      <w:bookmarkEnd w:id="49"/>
      <w:r>
        <w:rPr>
          <w:rtl w:val="true"/>
        </w:rPr>
        <w:t>الرابع</w:t>
      </w:r>
      <w:r>
        <w:rPr>
          <w:rtl w:val="true"/>
        </w:rPr>
        <w:t xml:space="preserve">: </w:t>
      </w:r>
      <w:r>
        <w:rPr>
          <w:rtl w:val="true"/>
        </w:rPr>
        <w:t>في كون المسألة عقلية لا لفظية</w:t>
      </w:r>
      <w:bookmarkEnd w:id="5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ظهر من مطاوي ما ذكرناه أن المسألة عقلية و لا اختصاص للنزاع في جواز الاجتماع و الامتناع فيها بما إذا كان الإيجاب و التحريم باللفظ كما ربما يوهمه </w:t>
      </w:r>
      <w:bookmarkStart w:id="51" w:name="pg16640_202186"/>
    </w:p>
    <w:p>
      <w:pPr>
        <w:pStyle w:val="BookText"/>
        <w:rPr/>
      </w:pPr>
      <w:bookmarkEnd w:id="51"/>
      <w:r>
        <w:rPr>
          <w:rFonts w:ascii="Amiri" w:hAnsi="Amiri" w:eastAsia="Amiri" w:cs="Amiri"/>
          <w:color w:val="111111"/>
          <w:sz w:val="28"/>
          <w:sz w:val="28"/>
          <w:szCs w:val="28"/>
          <w:rtl w:val="true"/>
          <w:lang w:bidi="ar-SA"/>
        </w:rPr>
        <w:t>التعبير بالأمر و النهي الظاهرين في الطلب بالقول إلا أنه لكون الدلالة عليهما غالبا بهما كما هو أوضح من أن يخفى و ذهاب البعض‌</w:t>
      </w:r>
      <w:r>
        <w:rPr>
          <w:rStyle w:val="FootnoteAnchor"/>
          <w:rtl w:val="true"/>
        </w:rPr>
        <w:footnoteReference w:id="16"/>
      </w:r>
      <w:r>
        <w:rPr>
          <w:rFonts w:ascii="Amiri" w:hAnsi="Amiri" w:eastAsia="Amiri" w:cs="Amiri"/>
          <w:color w:val="111111"/>
          <w:sz w:val="28"/>
          <w:sz w:val="28"/>
          <w:szCs w:val="28"/>
          <w:rtl w:val="true"/>
          <w:lang w:bidi="ar-SA"/>
        </w:rPr>
        <w:t>إلى الجواز عقلا و الامتناع عرفا ليس بمعنى دلالة اللفظ بل بدعوى أن الواحد بالنظر الدقيق العقلي اثنين و أنه بالنظر المسامحي العرفي واحد ذو وجهين و إلّا فلا يكون معنى محصلا للامتناع العرفي غاية الأمر دعوى دلالة اللفظ على عدم الوقوع بعد اختيار جواز الاجتماع</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11691105_1280447820"/>
      <w:bookmarkStart w:id="53" w:name="_Toc20"/>
      <w:bookmarkEnd w:id="52"/>
      <w:r>
        <w:rPr>
          <w:rtl w:val="true"/>
        </w:rPr>
        <w:t>الخامس</w:t>
      </w:r>
      <w:r>
        <w:rPr>
          <w:rtl w:val="true"/>
        </w:rPr>
        <w:t xml:space="preserve">: </w:t>
      </w:r>
      <w:r>
        <w:rPr>
          <w:rtl w:val="true"/>
        </w:rPr>
        <w:t>شمول النزاع في مسألة الاجتماع لأنواع الإيجاب و التحريم</w:t>
      </w:r>
      <w:bookmarkEnd w:id="53"/>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أن ملاك النزاع في جواز الاجتماع و الامتناع يعم جميع أقسام الإيجاب و التحريم كما هو قضية إطلاق لفظ الأمر و النهي</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عمومية الملاك و هو لزوم اجتماع الضدين على القول بالامتناع، لأن مطلق الوجوب سواء أ كان نفسياً أم غيرياً أم عينياً أم كفائياً أم تعيينياً أم تخييرياً يضاد مطلق الحرمة سواء كانت تعيينية أم تخييرية أم نفسية أم غيرية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لصاحب الفصول حيث ادعی الانصراف إلى النفسيين التعيينيين العينيين في مادتهما و اجابه صاحب الکفاية بان دعوی الانصراف غير خالية عن الاعتساف و إن سلم في صيغتهما مع أنه فيها ممنوع</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کونه اعتسافا انه لا منشأ لدعوى الانصراف إلّا غلبة </w:t>
      </w:r>
      <w:bookmarkStart w:id="54" w:name="pg16640_202187"/>
    </w:p>
    <w:p>
      <w:pPr>
        <w:pStyle w:val="BookText"/>
        <w:rPr/>
      </w:pPr>
      <w:bookmarkEnd w:id="54"/>
      <w:r>
        <w:rPr>
          <w:rFonts w:ascii="IRNazanin" w:hAnsi="IRNazanin" w:eastAsia="IRNazanin"/>
          <w:color w:val="111111"/>
          <w:sz w:val="28"/>
          <w:sz w:val="28"/>
          <w:szCs w:val="28"/>
          <w:rtl w:val="true"/>
          <w:lang w:bidi="fa-IR"/>
        </w:rPr>
        <w:t>الوجود أو كثرة الاستعمال، و لا يصلح شي‌ء منهما للتقييد، كما ثبت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الانصراف في صيغتي الامر و النهي أيضا ممنوع ان أريد به التبادر الوضعي الّذي يجدي في تقييد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يمكن دعوى انصراف العينية و أختيها و انسباقها من الإطلاق بمقدمات الحكمة، لا من التبادر الوضعي الّذي منعناه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 هذه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غير العينية و التعيينية و النفسيّة يحتاج إلى مؤونة زائدة، فعدم البيان كاشف عن عدم إرادة غيرها، كما مر مفصلا في بحث الأوامر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مثال ما نحن فيه ما إذا أمر المولى بالصلاة و الصوم تخييراً، و نهى عن التصرّف في الدار و مجالسة الأشرار كذلك، فالامتثال في جانب الأمر يحصل بإتيان واحدة منهما لكن المخالفة في جانب النهي تتوقف على مخالفتهما معاً، و على ذلك لو صلّى في نفس الدار مع مجالسة الأشرار، يقع الكلام في صحّة الصلاة و الحال هذه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صلّى فيها مع عدم مجالستهم، أو صلّى في غيرها مع مجالستهم، أو صام فيها بلا مجالسة، أو صام مع المجالسة لكن في غيرها، فقد أتى بالواجب دون الحرام، لما عرفت من أنّ الحرام هو الجمع لا الواحد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إذا أمر بالوضوء أو الغسل أو التيمم للصلاة و نهى عن التصرّف في دار معيّنة، فتوضأ أو اغتسل أو تيمّم فيها يقع الكلام فيه كما في غيرها و الأمر بها غيري و لكن النهي نفسي</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11691107_1280447820"/>
      <w:bookmarkStart w:id="56" w:name="_Toc21"/>
      <w:bookmarkEnd w:id="55"/>
      <w:r>
        <w:rPr>
          <w:rtl w:val="true"/>
        </w:rPr>
        <w:t>السادس</w:t>
      </w:r>
      <w:r>
        <w:rPr>
          <w:rtl w:val="true"/>
        </w:rPr>
        <w:t xml:space="preserve">: </w:t>
      </w:r>
      <w:r>
        <w:rPr>
          <w:rtl w:val="true"/>
        </w:rPr>
        <w:t>في لزوم أخذ عنوان المندوحة في النزاع و عدمه</w:t>
      </w:r>
      <w:bookmarkEnd w:id="56"/>
    </w:p>
    <w:p>
      <w:pPr>
        <w:pStyle w:val="BookText"/>
        <w:rPr/>
      </w:pPr>
      <w:r>
        <w:rPr>
          <w:rFonts w:ascii="IRNazanin" w:hAnsi="IRNazanin" w:eastAsia="IRNazanin"/>
          <w:color w:val="111111"/>
          <w:sz w:val="28"/>
          <w:sz w:val="28"/>
          <w:szCs w:val="28"/>
          <w:rtl w:val="true"/>
          <w:lang w:bidi="fa-IR"/>
        </w:rPr>
        <w:t>فذهب صاحب الکفاية الی عدم اعتباره في صحّة النزاع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ربما يؤخذ في محل النزاع قيد المندوحة في مقام الامتثال بل ربما قيل بأن الإطلاق إنما هو للاتكال على الوضوح إذ بدونها يلزم التكليف بالمحال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التحقيق مع ذلك عدم اعتبارها في ما هو المهم في محل النزاع من لزوم المحال و هو اجتماع الحكمين المتضادين و عدم الجدوى في كون موردهما موجها بوجهين في رفع غائلة اجتماع الضدين أو عدم لزومه و أن تعدد الوجه يجدي في رفعها و لا يتفاوت في ذلك أصلا وجود المندوحة و عدمها و لزوم التكليف بالمحال بدونها محذور آخر لا دخل له بهذا النزاع</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الكلام في عدم جواز اجتماع الأمر و النهي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 في مرحلة الجعل،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يمتنع تعلق حكمين متضادين في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واحد ذي وجهين، لعدم كون تعدد الوجه موجباً لتعدد المتعلق، كامتناع تعلق الوجوب و الحرمة بشي‌ء واحد ذي وجه واحد، أم يمكن ذلك، لكون تعدد الوجه موجباً لتعدد المتعلق، و مغايرة متعلق الوجوب لمتعلق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 في مرحلة الامتثال،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التكليف بأمر غير مقدور للمكلف، أم لا؟ لعجزه، و عدم قدرته على امتثاله، كالأمر بالضدين المتزاحمين الواجدين للملاك، فان القصور حينئذ من ناحية المكلف، لعدم قدرته على الامتثال و الجمع بينهما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المهم و الغرض الأصلي من البحث في مسألة الاجتماع هو المقام الأول، لأن محط النزاع هو كون تعدد الوجه مجدياً في تعدد المتعلق حتى يجوز اجتماع حكمين متضادين، و يرتفع به غائلة اجتماع الضدين، أو عدم كونه مجدياً في ذلك، و أنه كوحدة </w:t>
      </w:r>
    </w:p>
    <w:p>
      <w:pPr>
        <w:pStyle w:val="BookText"/>
        <w:rPr/>
      </w:pPr>
      <w:r>
        <w:rPr>
          <w:rFonts w:ascii="Amiri" w:hAnsi="Amiri" w:eastAsia="Amiri" w:cs="Amiri"/>
          <w:color w:val="111111"/>
          <w:sz w:val="28"/>
          <w:sz w:val="28"/>
          <w:szCs w:val="28"/>
          <w:rtl w:val="true"/>
          <w:lang w:bidi="ar-SA"/>
        </w:rPr>
        <w:t>الجهة في لزوم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فمركز البحثمقام الجعل دون الامتثال، و المندوحة أجنبية عن ذلك، نعم هي معتبرة في مقام الإطاعة، إذ بدون المندوحة لا يقدر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لصاحب الفصول حيث اعتبر قيد المندوحة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اختلفت الجهتان و كان للمكلف مندوحة في الامتثال فهو موضع النزاع و من ترك القيد الأخير فقد اتكل على الوضوح لظهور اعتباره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ما ذهب اليه صاحب الکفاية على القول بكون النزاع صغروياً، إذ لا دور لوجود المندوحة في أساس القولين، و هو انّ تعدد العنوان هل يوجب تعدد المعنون أم لا؟ كما في تعبير المحقّق الخراساني، أو تركيب المقولات تركيب اتحادي أو انضمامي، كما في تعبير المحقّق النائيني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الحركة الصلاتية غير الحركة الغصبية لأجل انّ تعدّد العنوان يوجب تعدّد المعنون أو لأجل تركيب المقولات، انضمامياً لا اتحادياً، أم لا؟ فبناء على أنّ تعدد العنوان لا يوجب تعدّد المعنون، أو تركيب المقولات، تركيب اتحاديّ، و الجزم بأحد الطرفين لا يتوقف على وجود المندوحة و عدمه في المورد، فسواء أ كان المكان منحصراً بالمغصوب أو متعدداً، فالعقل إمّا يحكم بالوحدة أو التعدد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فعلية النهي تتوقّف على وجود المندوحة حتى لا يلزم الأمر بالمحال، سواء أ كان هناك أمر أو لا، إذ لا يصلح النهي جداً عن المغصوب حتى يتمكّن الإنسان من تركه فالمحبوس في مكان مغصوب، مأمور بالصلاة، و ليس منهيّاً عن الغصب فعلاً و إن كان منهيّاً عنه إنشاء</w:t>
      </w:r>
      <w:r>
        <w:rPr>
          <w:rFonts w:eastAsia="Amiri" w:cs="Amiri" w:ascii="Amiri" w:hAnsi="Amiri"/>
          <w:color w:val="111111"/>
          <w:sz w:val="28"/>
          <w:szCs w:val="28"/>
          <w:rtl w:val="true"/>
          <w:lang w:bidi="ar-SA"/>
        </w:rPr>
        <w:t xml:space="preserve">. </w:t>
      </w:r>
      <w:bookmarkStart w:id="57" w:name="pg16640_202190"/>
    </w:p>
    <w:p>
      <w:pPr>
        <w:pStyle w:val="BookText"/>
        <w:rPr/>
      </w:pPr>
      <w:bookmarkEnd w:id="57"/>
      <w:r>
        <w:rPr>
          <w:rFonts w:ascii="IRNazanin" w:hAnsi="IRNazanin" w:eastAsia="IRNazanin"/>
          <w:color w:val="111111"/>
          <w:sz w:val="28"/>
          <w:sz w:val="28"/>
          <w:szCs w:val="28"/>
          <w:rtl w:val="true"/>
          <w:lang w:bidi="fa-IR"/>
        </w:rPr>
        <w:t>و هنالک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يفصل بين كون النزاع صغروياً فلا يشترط وجود المندوحة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كبروياً فيعتبر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 النزاع لو کان صغروياً فلا يشترط وجود المندوحة فيه فلما تقدم في كلام المحقّق الخراساني من أنّ ملاك النزاع، و صحته لا يتوقّف على وجود المندوحة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بخلاف ما إذا كان البحث كبرويّاً فانّ تجويز اجتماع حكمين فعليين في مورد واحد، باعتبار انطباق عنوانين عليه فرع وجود المندوحة و التمكّن من إقامة الصلاة في غير المكان المغصوب، و إلّا فلو كان مضطرّاً فلا محيص من سقوط أحد الحكمين، إمّا وجوب الصلاة أو حرمة الغصب، فالتحفّظ على فعلية الحكمين يستدعي وجود المندوحة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وجود المندوحة ليس من آثار اجتماع الحكمين الفعليين في مورد واحد، بل من آثار نفس النهي، سواء أ كان هناك اجتماع أم لا، إذ التكليف مطلقاً مجرّداً أو مقروناً بآخر يطلب لنفسه الاستطاعة و القدرة كسائر الشرائط العامّة، و مع عدمها، يصبح التكليف تكليفاً بالمحال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للمحقّق القمي تفصيل بين كون الابتلاء بسوء الاختيار فلا يعتبر، و ما إذا حصل بدونه فيعتبر</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نرجأ الكلام فيه الی التنبيه الأوّل من تنبيهات المسألة</w:t>
      </w:r>
      <w:r>
        <w:rPr>
          <w:rFonts w:eastAsia="IRNazanin" w:cs="IRNazanin"/>
          <w:color w:val="111111"/>
          <w:sz w:val="28"/>
          <w:szCs w:val="28"/>
          <w:rtl w:val="true"/>
          <w:lang w:bidi="fa-IR"/>
        </w:rPr>
        <w:t>.</w:t>
      </w:r>
    </w:p>
    <w:p>
      <w:pPr>
        <w:pStyle w:val="Heading2"/>
        <w:numPr>
          <w:ilvl w:val="1"/>
          <w:numId w:val="1"/>
        </w:numPr>
        <w:rPr/>
      </w:pPr>
      <w:bookmarkStart w:id="58" w:name="__RefHeading___Toc11691109_1280447820"/>
      <w:bookmarkStart w:id="59" w:name="_Toc22"/>
      <w:bookmarkEnd w:id="58"/>
      <w:r>
        <w:rPr>
          <w:rtl w:val="true"/>
        </w:rPr>
        <w:t>السابع</w:t>
      </w:r>
      <w:r>
        <w:rPr>
          <w:rtl w:val="true"/>
        </w:rPr>
        <w:t xml:space="preserve">: </w:t>
      </w:r>
      <w:r>
        <w:rPr>
          <w:rtl w:val="true"/>
        </w:rPr>
        <w:t>في صحّة النزاع على كلا الرأيين في متعلّق الأحكام</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النزاع في جواز اجتماع الأمر و النهي في شي‌ء واحد يأتي على كلا القولين من تعلّق الأحكام بالطبائع، او تعلّقها بالأفراد؟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ربما يتوهم تارة أن النزاع في الجواز و الامتناع يبتني على القول بتعلق الأحكام بالطبائع و أما الامتناع على القول بتعلقها بالأفراد فلا يكاد يخفى ضرورة لزوم تعلق الحكمين بواحد شخصي و لو كان ذا وجهين على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 أن القول بالجواز مبني على القول بالطبائع لتعدد متعلق الأمر و النهي ذاتا عليه و إن اتحد وجودا و القول بالامتناع على القول بالأفراد لاتحاد متعلقهما شخصا خارجا و كونه فردا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بفساد كلا التوهمين فإن تعدد الوجه إن كان يجدي بحيث لا يضر معه الاتحاد بحسب الوجود و الإيجاد لكان يجدي و لو على القول بالأفراد فإن الموجود الخارجي الموجه بوجهين يكون فردا لكل من الطبيعتين فيكون مجمعا لفردين موجودين بوجود واحد فكما لا يضر وحدة الوجود بتعدد الطبيعتين لا يضر بكون المجمع اثنين بما هو مصداق و فرد لكل من الطبيعتين و إلا لما كان يجدي أصلا حتى على القول بالطبائع كما لا يخفى لوحدة الطبيعتين وجودا و اتحادهما خارجا فكما أن وحدة الصلاتية و الغصبية في الصلاة في الدار المغصوبة وجودا غير ضائر بتعددهما و كونهما طبيعتين كذلك وحدة ما وقع في الخارج من خصوصيات الصلاة فيها وجودا غير ضائر بكونه فردا للصلاة فيكونمأمورا به و فردا للغصب فيكون منهيا عنه فهو على وحدته وجودا يكون اثنين لكونه مصداقا للطبيعتين</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ها هنا وجوهاً ثلاثةً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تارة 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الجواز و عدمه مبني على تعلق الأحكام بالطبائع، فالقائل بالجواز يرى تعدد المتعلق ماهية و ان اتحد وجوداً، لكونه عبارة عن طبيعتين متغايرتين ماهية، فلا مانع من اجتماع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القائل بالامتناع يرى اتحادهما وجوداً و ماهية، و الواحد لا يتحمل حكمين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تعلق الأحكام بالافراد، فلا محيص عن القول بالامتناع، و لا وجه للجواز على هذا القول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فنزاع الجواز و عدمه مبني على تعلق الأحكام بالطبائع، دون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أخرى ان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الاجتماع مبني على تعلق الأحكام بالطبائع، لتعدد متعلق الأمر و النهي ذاتاً و ان اتحدا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 الاجتماع مبني على تعلق الأحكام بالافراد، لكون المتعلق حينئذ شخصاً و جزئياً حقيقياً، و من المعلوم امتناع تحمله لحكمين متضادين، فلا محيص حينئذ عن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ذهب المحقّق النائيني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فانا إذا بنينا على تعلق الأمر بالمشخصات سواء كان الأمر بها استقلالياً أم تبعياً و كانت نسبة كل من المأمور به و المنهي عنه إلى الآخر نسبة المشخصات فلا محالة يكون كل منهما محكوماً بحكم الآخر فيلزم منه اجتماع الحكمين المتضادين في موضوع واحد فلا بد من رفع اليد عن أحدهما باعمال قواعد التعارض في دليليهما و اما إذا بنينا على خروج المشخصات عن حيز الطلب فلا يسرى الأمر إلى متعلق النهي و لا النهي إلى متعلق الأمر فيكون القول بالجواز و الامتناع مبنياً على القول بتعلق الأوامر بالطبائع أو الافراد بالضرورة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الوجه الاول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يمكن القول بالامتناع مع القول بتعلق الأحكام بالطبائع أيضا، و على الثاني لا يمكن ذلك، بل لا بد على القول بالطبائع من الذهاب إلى الجواز، فالقول بالامتناع على الوجه الثاني مبني على تعلق الأحكام بالافراد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الوجه الأول غير مبني عليه، بل يمكن ذلك حتى على تعلقها بالطبائع أيضا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النزاع على كلا الرأيين، فلا القول بتعلّقها بالطبائع يلازم القول بالجواز، و لا القول بتعلّقها بالأفراد يلازم القول بالامتناع و ذلک لأن تعدد الوجه في مسألة الاجتماع ان كان مجدياً في تعدد المتعلق بحيث لا يضر معه الاتحاد الوجوديّ، فذلك مجدٍ حتى على القول بتعلق الأحكام بالافراد، لكون الموجود الخارجي الموجه بوجهين مجمعاً لفردين موجودين بوجود واحد يتعلق بأحدهما الأمر، و بالآخر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يكن تعدد الوجه مجدياً في تعدد المتعلق، فلا بد من البناء على الامتناع حتى على القول بتعلق الأحكام بالطبائع، لاتحاد الطبيعتين المتعلقتين للأمر و النهي وجوداً، فالاتحاد الوجوديّ ان كان مانعاً عن تعدد المتعلق كان مانعاً مطلقاً من غير فرق بين تعلق الأحكام بالطبائع و الافراد، و ان لم يكن مانعاً عنه لم يكن مانعاً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فساد الوجهين المتقدمين و انه يجري النزاع على كل من القولين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قيل في ردّ 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مبنيّان على تفسير الفرد في متعلّق الأحكام، بالفرد المنطقي و هو الجزئي الخارجي، و عندئذ يصحّ القولان بأنّ النزاع في الجواز و الامتناع مبنيّ على القول بتعلّقها بالطبائع، و أمّا على القول بتعلّقها بالفرد، فالقول بالامتناع متعيّن، أو انّ الجواز مبنيّ على القول بتعلّق الأحكام بالطبائع، و الامتناع مبنيّ على القول بتعلّقها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الفرد بهذا المعنى، لا يعقل أن يكون متعلّقاً للحكم، لأنّه قبل الوجود لا يوصف بالفرديّة، و بعده فهو ظرف سقوط الحكم بالطاعة أو بالمعصية، بل المراد من الفرد في متعلّق الأحكام هو الفرد الأُصولي، و المراد، هو الطبيعة مع ملازماتها و مقارناتها، و المراد من الملازمات هو ما لا يفارقها كالتأيّن بأين، و التحيّن بالزّمان و غير </w:t>
      </w:r>
      <w:bookmarkStart w:id="60" w:name="pg16640_202194"/>
    </w:p>
    <w:p>
      <w:pPr>
        <w:pStyle w:val="BookText"/>
        <w:rPr/>
      </w:pPr>
      <w:bookmarkEnd w:id="60"/>
      <w:r>
        <w:rPr>
          <w:rFonts w:ascii="Amiri" w:hAnsi="Amiri" w:eastAsia="Amiri" w:cs="Amiri"/>
          <w:color w:val="111111"/>
          <w:sz w:val="28"/>
          <w:sz w:val="28"/>
          <w:szCs w:val="28"/>
          <w:rtl w:val="true"/>
          <w:lang w:bidi="ar-SA"/>
        </w:rPr>
        <w:t>ذلك، كما أنّ المراد من المقارنات ما يصاحبها تارة و يفارقها أُخرى، كالغصب بالنسبة إلى الصلاة، و يعبّر عن ملازمات الطبيعة و مقارناتها، بالمشخّصات الفرديّة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الوجهين هو ان المراد من الفرد المعنی المشهور الذي عبر عنه بالفرد الاصولي و اما الفرد المنطقي حسب تعبيره فليس بظاهر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المورد ان مراد المحقق النائيني من الفرد هو الفرد الاصولي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11691111_1280447820"/>
      <w:bookmarkStart w:id="62" w:name="_Toc23"/>
      <w:bookmarkEnd w:id="61"/>
      <w:r>
        <w:rPr>
          <w:rtl w:val="true"/>
        </w:rPr>
        <w:t>الثامن</w:t>
      </w:r>
      <w:r>
        <w:rPr>
          <w:rtl w:val="true"/>
        </w:rPr>
        <w:t xml:space="preserve">: </w:t>
      </w:r>
      <w:r>
        <w:rPr>
          <w:rtl w:val="true"/>
        </w:rPr>
        <w:t>الفرق بين التعارض و التزاحم</w:t>
      </w:r>
      <w:bookmarkEnd w:id="62"/>
    </w:p>
    <w:p>
      <w:pPr>
        <w:pStyle w:val="BookText"/>
        <w:rPr/>
      </w:pPr>
      <w:r>
        <w:rPr>
          <w:rFonts w:ascii="Amiri" w:hAnsi="Amiri" w:eastAsia="Amiri" w:cs="Amiri"/>
          <w:color w:val="111111"/>
          <w:sz w:val="28"/>
          <w:sz w:val="28"/>
          <w:szCs w:val="28"/>
          <w:rtl w:val="true"/>
          <w:lang w:bidi="ar-SA"/>
        </w:rPr>
        <w:t>إنّ كلمتي التزاحم و التعارض من الكلمات الدائرة على ألسنة الأُصوليين، حيث يستعملون التزاحم في باب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التعارض في باب التعادل و الترجيح، فإذاً يقع الكلام فيما هو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يزيد غموضاً في المقام هو أنّ الأُصوليّين فيما إذا كان بين الدليلين عموم و خصوص من وجه تارة يطرحونه في هذا المقام نظير صلّ و لا تغصب، و أُخرى يعقدون له مبحثاً في باب التعادل و الترجيح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 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يتعارض الدليلان في العالم الفاسق، و عندئذ يقع الكلام فيما هو الفرق بين المقامين و كيف تكون مسألة واحدة من مسائل هذا الباب و من مسائل الباب الآخر و بينهما بون واسع؟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فقد تصدی المحقّق الخراساني لبيان مناط الفرق بين المقامين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لا يكاد يكون من باب الاجتماع إلّا إذا كان في كل واحد من متعلقي الإيجاب و التحريم مناط حكمه مطلقا حتى في مورد التصادق و الاجتماع كي يحكم على الجواز بكونه </w:t>
      </w:r>
    </w:p>
    <w:p>
      <w:pPr>
        <w:pStyle w:val="BookText"/>
        <w:rPr/>
      </w:pPr>
      <w:r>
        <w:rPr>
          <w:rFonts w:ascii="Amiri" w:hAnsi="Amiri" w:eastAsia="Amiri" w:cs="Amiri"/>
          <w:color w:val="111111"/>
          <w:sz w:val="28"/>
          <w:sz w:val="28"/>
          <w:szCs w:val="28"/>
          <w:rtl w:val="true"/>
          <w:lang w:bidi="ar-SA"/>
        </w:rPr>
        <w:t>فعلا محكوما بالحكمين و على الامتناع بكونه محكوما بأقوى المناطين أو بحكم آخر غير الحكمين فيما لم يكن هناك أحدهما أقوى كما يأتي تفصيله‌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لم يكن للمتعلقين مناط كذلك فلا يكون من هذا الباب و لا يكون مورد الاجتماع محكوما إلّا بحكم واحد منهما إذا كان له مناطه أو حكم آخر غيرهما فيما لم يكن لواحد منهما قيل بالجواز و الامتناع هذا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مقام الدلالة و الإثبات فالروايتان الدالتان على الحكمين متعارضتان إذا أحرز أن المناط من قبيل الثاني فلا بد من حمل المعارضة حينئذ بينهما في الترجيح و التخيير و إلا فلا تعارض في البين بل كان من باب التزاحم بين المقتضيين فربما كان الترجيح مع ما هو أضعف دليلا لكونه أقوى مناطا فلا مجال حينئذ لملاحظة مرجحات الروايات أصلا بل لا بد من مرجحات المقتضيات المتزاحمات</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في كلّ من موردي الدليلين مناط الحكم و ملاكه فهو من باب التزاحم، و أمّا إذا كان المناط موجوداً في و احد منهما، أو احتملنا انّ كلاً منهما فاقد للملاك، فهو من باب التعارض، و قد جعل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 و المراد منه ملاحظة الموضوع مع قطع النظر عن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الإثبات، و المراد منه ملاحظة الموضوع بعد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فيه صوراً ثلاثةً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الملاك موجوداً في مورد التّصادق منهما، و قلنا بجواز اجتماع الأمر و النهي، يكون المورد محكوماً بحكمين فعليّين، فالصلاة في الدار المغصوبة و الغصب بما </w:t>
      </w:r>
    </w:p>
    <w:p>
      <w:pPr>
        <w:pStyle w:val="BookText"/>
        <w:rPr/>
      </w:pPr>
      <w:r>
        <w:rPr>
          <w:rFonts w:ascii="Amiri" w:hAnsi="Amiri" w:eastAsia="Amiri" w:cs="Amiri"/>
          <w:color w:val="111111"/>
          <w:sz w:val="28"/>
          <w:sz w:val="28"/>
          <w:szCs w:val="28"/>
          <w:rtl w:val="true"/>
          <w:lang w:bidi="ar-SA"/>
        </w:rPr>
        <w:t>انّهما واجدان للملاك فالقائل بجواز الاجتماع يقول إنّه يكون محكوماً بحكمين بلا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أي يكون مورد التصادق واجداً للملاكين و لكن لا نقول بجواز الاجتماع بل بامتناعه، فعندئذ يكون مورد التّصادق من باب التزاحم و يؤخذ بمرجّحات بابه فيكون مورد التّصادق محكوماً بأقوى المناطين، و لو لم يكن هناك مناط أقوى يرجع إلى حكم آخر غير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في مورد التّصادق ملاك، فيخرج من هذا الباب و يدخل في باب التّعارض، فعندئذ يؤخذ بالحكم الذي له مناط دون ما ليس له 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طريق كشف وجود المناط في حكم دون حكم؟</w:t>
      </w:r>
    </w:p>
    <w:p>
      <w:pPr>
        <w:pStyle w:val="BookText"/>
        <w:rPr/>
      </w:pPr>
      <w:r>
        <w:rPr>
          <w:rFonts w:ascii="IRNazanin" w:hAnsi="IRNazanin" w:eastAsia="IRNazanin"/>
          <w:color w:val="111111"/>
          <w:sz w:val="28"/>
          <w:sz w:val="28"/>
          <w:szCs w:val="28"/>
          <w:rtl w:val="true"/>
          <w:lang w:bidi="fa-IR"/>
        </w:rPr>
        <w:t>فقال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 المعتبر في هذا الباب أن يكون كل واحد من الطبيعة المأمور بها و المنهي عنها مشتملة على مناط الحكم مطلقا حتى في حال الاجتماع فلو كان هناك ما دل على ذلك من إجماع أو غيره فلا إشكال و لو لم يكن إلّا إطلاق دليلي الحكمين ففيه تفصيل و هو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الإطلاق لو كان في بيان الحكم الاقتضائي لكان دليلا على ثبوت المقتضي و المناط في مورد الاجتماع فيكون من هذا الباب و لو كان بصدد الحكم الفعلي فلا إشكال في استكشاف ثبوت المقتضي في الحكمين على القول بالجواز إلّا إذا علم إجمالا بكذب أحد الدليلين فيعامل معهما معاملة المتعارضين و أما على القول بالامتناع فالإطلاقان متنافيان من غير دلالة على ثبوت المقتضي للحكمين في مورد الاجتماع أصلا فإن انتفاء أحد المتنافيين كما يمكن أن يكون </w:t>
      </w:r>
    </w:p>
    <w:p>
      <w:pPr>
        <w:pStyle w:val="BookText"/>
        <w:rPr/>
      </w:pPr>
      <w:r>
        <w:rPr>
          <w:rFonts w:ascii="Amiri" w:hAnsi="Amiri" w:eastAsia="Amiri" w:cs="Amiri"/>
          <w:color w:val="111111"/>
          <w:sz w:val="28"/>
          <w:sz w:val="28"/>
          <w:szCs w:val="28"/>
          <w:rtl w:val="true"/>
          <w:lang w:bidi="ar-SA"/>
        </w:rPr>
        <w:t>لأجل المانع مع ثبوت المقتضي له يمكن أن يكون لأجل انتفائه إلّا أن يقال إن قضية التوفيقبينهما هو حمل كل منهما على الحكم الاقتضائي لو لم يكن أحدهما أظهر و إلّا فخصوص الظاهر منهما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الخراساني قدَّم حكم الصورة الثالثة أوّلًا، و حذف بيان حكم الصورة الأُولى، و اقتصر على بيان حكم الصورة الثانية، و نحن نشرح الجميع لكن على ضوء الكفاية بتقديم ما قدّمه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إذا كان مورد الدليلين خالياً من الملاكين، فيرجع إلى دليل آخر، و أمّا إذا كان واحد منها خالياً عنه، فعندئذ يؤخذ بما فيه المناط، و طريق التعرّف عليه هو الرجوع إلى المرجّحات الواردة في باب التعادل و الترجيح، فيؤخذ بما هو المشهور أوّلًا، ثمّ الموافق للكتاب ثانياً، و مخالف العامّة ثالثاً، علی ما هو المعروف و هذا النوع من البحث يرجع إلى باب التّعادل و الترجيح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أحجم المحقّق الخراساني عن بيانها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مورد التصادق واجداً لكلا الملاكين و قلنا بجواز الاجتماع و انّ كلّ حكم ثابت على متعلّقه من غير تجاوز عن موضوعه إلى موضوع آخر فلا كلام فيه، و هذا هو الذي يتبنّاه القائل بجواز الاجتماع و يرى الساحة خالية عن التزاحم فضلاً عن التعارض، و بما انّ المحقّق الخراساني لم يقل بجواز الاجتماع أسقط بيان حكم هذه الصورة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مورد التصادق واجداً للملاكين و لكن قلنا بامتناع الاجتماع، فالقائل لا محيص له إلّا الأخذ بأقوى المناطين فانّه إذا كان هناك تزاحم بين المقتضيين يؤخذ بالأقوى مناطاً من غير فرق بين هذا الباب و سائر الأبواب حتّى إذا كان أقوى المناط مروياً بسند غير قوي يقدم على ما هو أضعف مناطاً و إن روي بسند قوي، فلو </w:t>
      </w:r>
      <w:bookmarkStart w:id="63" w:name="pg16640_202198"/>
    </w:p>
    <w:p>
      <w:pPr>
        <w:pStyle w:val="BookText"/>
        <w:rPr/>
      </w:pPr>
      <w:bookmarkEnd w:id="63"/>
      <w:r>
        <w:rPr>
          <w:rFonts w:ascii="Amiri" w:hAnsi="Amiri" w:eastAsia="Amiri" w:cs="Amiri"/>
          <w:color w:val="111111"/>
          <w:sz w:val="28"/>
          <w:sz w:val="28"/>
          <w:szCs w:val="28"/>
          <w:rtl w:val="true"/>
          <w:lang w:bidi="ar-SA"/>
        </w:rPr>
        <w:t>ورد إنقاذ النبي بخبر الواحد و إنقاذ الولي بخبر أقوى منه، فبما انّ إنقاذ النبي أقوى مناطاً يؤخذ به و إن كان السند غير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جعل الشيخ الأنصاري رحمه الله هذه الصورة من صغريات التعارض</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يخفی ضعفه لان الفرض ان کلا منهما واجد للملاک فلا تعارض بينهما و انما لا يمکن الجمع بينهما علی القول بالامتناع</w:t>
      </w:r>
      <w:r>
        <w:rPr>
          <w:rFonts w:eastAsia="IRNazanin" w:cs="IRNazanin"/>
          <w:color w:val="111111"/>
          <w:sz w:val="28"/>
          <w:szCs w:val="28"/>
          <w:rtl w:val="true"/>
          <w:lang w:bidi="fa-IR"/>
        </w:rPr>
        <w:t>.</w:t>
      </w:r>
    </w:p>
    <w:p>
      <w:pPr>
        <w:pStyle w:val="Heading2"/>
        <w:numPr>
          <w:ilvl w:val="1"/>
          <w:numId w:val="1"/>
        </w:numPr>
        <w:rPr/>
      </w:pPr>
      <w:bookmarkStart w:id="64" w:name="__RefHeading___Toc11691113_1280447820"/>
      <w:bookmarkStart w:id="65" w:name="_Toc24"/>
      <w:bookmarkEnd w:id="64"/>
      <w:r>
        <w:rPr>
          <w:rtl w:val="true"/>
        </w:rPr>
        <w:t>جواب المحقّق البروجردي</w:t>
      </w:r>
      <w:bookmarkEnd w:id="65"/>
    </w:p>
    <w:p>
      <w:pPr>
        <w:pStyle w:val="BookText"/>
        <w:rPr/>
      </w:pPr>
      <w:r>
        <w:rPr>
          <w:rFonts w:ascii="Amiri" w:hAnsi="Amiri" w:eastAsia="Amiri" w:cs="Amiri"/>
          <w:color w:val="111111"/>
          <w:sz w:val="28"/>
          <w:sz w:val="28"/>
          <w:szCs w:val="28"/>
          <w:rtl w:val="true"/>
          <w:lang w:bidi="ar-SA"/>
        </w:rPr>
        <w:t>و ردّ عليه السيد المحقّق البروجردي،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محطّ النزاع في باب الاجتماع هو الإمكان و الامتناع بنحو الكبرى الكلّيّة، بلا نظرٍ إلى الوقوع و اللّاوقوع، فتقييد محلّ النزاع بما إذا كان في كلّ واحدٍ من متعلَّقي الإيجاب و التحريم مناط الحكم مطلقاً حتّى في مورد التصادق و الاجتماع كما صنعه المحقّق الخراساني رحمه الله ممّا لا أساس له، و فيه خلط بين الإمكان و الامتناع كبرويّاً، و بين ثمرة النزاع في الفقه و محلّ الوقوع، فالقائل بالجواز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الأمر و النهي في واحدٍ ذي جهتين ممكنٌ، وقع أو لم يقع، و القائل بالامتناع ينكره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تظهر الثمرة في الشرعيّات في مورد يكون ملاك الحكم متحقّقاً في صور الاجتماع، و هو أمر آخر وراء محلّ النزاع</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ذكره من أنّه لا يكاد يكون من باب الاجتماع إلّا إذا كان في كلّ واحد من متعلّق الإيجاب و التحريم مناط حكمه مطلقاً حتّى في مورد التصادق 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مدخلية له في حقيقة البحث و إن كان له مدخلية </w:t>
      </w:r>
    </w:p>
    <w:p>
      <w:pPr>
        <w:pStyle w:val="BookText"/>
        <w:rPr/>
      </w:pPr>
      <w:r>
        <w:rPr>
          <w:rFonts w:ascii="Amiri" w:hAnsi="Amiri" w:eastAsia="Amiri" w:cs="Amiri"/>
          <w:color w:val="111111"/>
          <w:sz w:val="28"/>
          <w:sz w:val="28"/>
          <w:szCs w:val="28"/>
          <w:rtl w:val="true"/>
          <w:lang w:bidi="ar-SA"/>
        </w:rPr>
        <w:t>في ترتب الأثر فانّ البحث في المقام يدور على أنّ تعدد العنوان موجب لتعدّد المعنون أو لا، و هذا لا يتوقف على وجود المناط لكلا الدليلين في مورد التصادق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ترتّب الثمرة و القول بصحّة الصلاة على القول بجواز الاجتماع تابع لوجود المناط في الموردين، كما أنّ الحكم بصحّتها على القول بالامتناع و تقديم الأمر على النهي رهن وجود الملاك فيها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يرد علی المحقق الخراساني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بين التزاحم و التعارض ليس وجود المناط لكلا الدليلين في مورد التزاحم و عدمه لهما في مورد التعارض، بل الملاك هو انّه إذا كان التكاذب بين الدليلين في مقام الجعل و التشريع فهو من باب التعارض كما 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ببيع العذرة، فلا يمكن جعل حكمين متضادين لموضوع واحد و هو ثمن العذرة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كان بين الدليلين في مقام التشريع كمال الملاءمة و لكن طرأ التزاحم في مقام الامتثال و هذا كقول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النبي و أنقذ الإمام، فلا نرى أي تكاذب بين الدليلين، و لو كان هناك شي‌ء من التدافع فإنّما هو لضيق قدرة المكلّف و بُعْد الغريقين مكاناً، و إلّا فلو كان الغريقان متقاربين أو كانت قدرة المكلّف أوسع فلا 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الفرق بين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العالم و لا تكرم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لان العرف يری المورد الثاني من التعارض دون الأوّل، و ذلك لأنّ كلاً من الدليلين في الأوّل غير ناظر إلى صورة الاجتماع، بل الأمر تعلّق بطبيعة الصلاة و النهي تعلّق بطبيعة الغصب، فلا يعد الدليلان عند العرف متعارضين، لعدم الإشارة فيها إلى صورة التصادق و لو إجمالاً بخلاف الدليلين الآخرين، أي أكرم كل فاسق و أكرم كلّ عالم، أو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أكرم العالم و أكرم الفاسق، فإنّ في كلّ من لفظتي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المصاديق الخارجية التي منها اجتماع الفسق و العلم في مورد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استدراک</w:t>
      </w:r>
    </w:p>
    <w:p>
      <w:pPr>
        <w:pStyle w:val="BookText"/>
        <w:rPr/>
      </w:pPr>
      <w:r>
        <w:rPr>
          <w:rFonts w:ascii="Amiri" w:hAnsi="Amiri" w:eastAsia="Amiri" w:cs="Amiri"/>
          <w:color w:val="111111"/>
          <w:sz w:val="28"/>
          <w:sz w:val="28"/>
          <w:szCs w:val="28"/>
          <w:rtl w:val="true"/>
          <w:lang w:bidi="ar-SA"/>
        </w:rPr>
        <w:t>ثمّ إنّ المحقق الخراساني أشار بالجملة الاتية إلى صورة رابعة بان كانا حاكيين عن الحكم الفعلي و لم يمكن الجمع العرفي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 منهما متكفلا للحكم الفعلي لوقع بينهما التعارض فلا بد من ملاحظة مرجحات باب المعارضة لو لم يوفق بينهما بحمل أحدهما على الحكم الاقتضائي بملاحظة مرجحات باب المزاحمة فتفطن</w:t>
      </w:r>
      <w:r>
        <w:rPr>
          <w:rStyle w:val="FootnoteAnchor"/>
          <w:rtl w:val="true"/>
        </w:rPr>
        <w:footnoteReference w:id="33"/>
      </w:r>
      <w:r>
        <w:rPr>
          <w:rFonts w:ascii="IRNazanin" w:hAnsi="IRNazanin" w:eastAsia="IRNazanin"/>
          <w:color w:val="111111"/>
          <w:sz w:val="28"/>
          <w:sz w:val="28"/>
          <w:szCs w:val="28"/>
          <w:rtl w:val="true"/>
          <w:lang w:bidi="fa-IR"/>
        </w:rPr>
        <w:t>، فانهما إذا كانا حاكيين عن الحكم الفعلي و لم يمكن الجمع العرفي بينهما فلا شک في وقوع التعارض بينهما و اما ان امکن الجمع العرفي بينهما بحمل أحدهما علی الحکم الفعلي و الاخر على الحكم الاقتضائي بان يكون أحدهما صالحا على التصرف في الآخر، لقرينة لفظية، أو عقلية كمناسبة الحكم للموضوع فلا تصل النوبة الی التعارض</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مجرد فرض لأن أدلة الأحكام الشرعية لا تدل إلّا على ثبوت الأحكام لموضوعاتها، و فعليتها منوطة بوجود موضوعاتها خارجاً، كما هو شأن القضايا الحقيقة التي منها القضايا الشرعية، فان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عَلَى النَّاسِ حِجُّ الْبَيْتِ مَنِ اسْتَطاعَ إِلَيْهِ سَبِيلاً لا يدل على فعلية وجوب الحج على المستطيع أصلا، لإناطتها بوجود المستطيع خارجاً، و من المعلوم عدم دلالته على فعلية الموضوع، و لا فعلية الحكم، فتكفل الدليل للحكم الفعلي مجرد فرض لا وجود له خارجاً الّا في القضايا الخارجية</w:t>
      </w:r>
      <w:r>
        <w:rPr>
          <w:rFonts w:eastAsia="Amiri" w:cs="Amiri" w:ascii="Amiri" w:hAnsi="Amiri"/>
          <w:color w:val="111111"/>
          <w:sz w:val="28"/>
          <w:szCs w:val="28"/>
          <w:rtl w:val="true"/>
          <w:lang w:bidi="ar-SA"/>
        </w:rPr>
        <w:t xml:space="preserve">. </w:t>
      </w:r>
      <w:bookmarkStart w:id="66" w:name="pg16640_202201"/>
    </w:p>
    <w:p>
      <w:pPr>
        <w:pStyle w:val="Heading2"/>
        <w:numPr>
          <w:ilvl w:val="1"/>
          <w:numId w:val="1"/>
        </w:numPr>
        <w:rPr/>
      </w:pPr>
      <w:bookmarkStart w:id="67" w:name="__RefHeading___Toc11691115_1280447820"/>
      <w:bookmarkStart w:id="68" w:name="_Toc25"/>
      <w:bookmarkEnd w:id="66"/>
      <w:bookmarkEnd w:id="67"/>
      <w:r>
        <w:rPr>
          <w:rtl w:val="true"/>
        </w:rPr>
        <w:t>نظرية المحقّق النائيني</w:t>
      </w:r>
      <w:bookmarkEnd w:id="68"/>
    </w:p>
    <w:p>
      <w:pPr>
        <w:pStyle w:val="BookText"/>
        <w:rPr/>
      </w:pPr>
      <w:r>
        <w:rPr>
          <w:rFonts w:ascii="Amiri" w:hAnsi="Amiri" w:eastAsia="Amiri" w:cs="Amiri"/>
          <w:color w:val="111111"/>
          <w:sz w:val="28"/>
          <w:sz w:val="28"/>
          <w:szCs w:val="28"/>
          <w:rtl w:val="true"/>
          <w:lang w:bidi="ar-SA"/>
        </w:rPr>
        <w:t xml:space="preserve">هذا و فرق المحقّق النائيني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و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التّركيب فيها انضماميّا او اتحاديا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إرجاع المائز بين البابين إلى المقتضيات و الملاكات ممّا لا يستقيم، بل المائز بين البابين هو ما ذكرنا من انّ اجتماع المتعلّقين في باب الاجتماع يكون على وجه الانضمام، و في باب التعارض يكون على وجه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بما لا مزيد عليه انّ مسألة اجتماع الأمر و النّهي لا تندرج في صغرى التّعارض، لكون التّركيب فيها انضماميّا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بالتركيب الاتحادي و امتناع اجتماع الأمر و النّهي، فلا محالة تندرج المسألة في صغرى التّعارض، للزوم تعلّق الأمر حينئذ بعين ما تعلّق به النّهي، و استلزامه لاجتماع الضّدين في واحد شخصيّ عددا و هويّة، و عليه لا بدّ من إعمال قواعد التّعارض</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ورود نفس الاشکالات الواردة علی المحقق الخراساني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اختاره من كون التّركيب فيها انضماميّا لا اتحاديا مجانب للصواب و ذلک لان اجتماع الامر بالصلاة و النهي عن الغصب ليس من قبيل الصلاة و النظر الی الاجنبية الذي يکون فيه الترکيب انضماميا و يکون اجتماعهما مورديا خارجاً عن موضوع مسألتنا و عليه فالمسألة بکل صورها يکون الترکيب فيها اتحاديا تجتمع فيها طبيعتا الصلاة و الغصب </w:t>
      </w:r>
      <w:r>
        <w:rPr>
          <w:rFonts w:eastAsia="IRNazanin" w:cs="IRNazanin"/>
          <w:color w:val="111111"/>
          <w:sz w:val="28"/>
          <w:szCs w:val="28"/>
          <w:rtl w:val="true"/>
          <w:lang w:bidi="fa-IR"/>
        </w:rPr>
        <w:t xml:space="preserve">. </w:t>
      </w:r>
      <w:bookmarkStart w:id="69" w:name="pg16640_202202"/>
    </w:p>
    <w:p>
      <w:pPr>
        <w:pStyle w:val="Heading2"/>
        <w:numPr>
          <w:ilvl w:val="1"/>
          <w:numId w:val="1"/>
        </w:numPr>
        <w:rPr/>
      </w:pPr>
      <w:bookmarkStart w:id="70" w:name="__RefHeading___Toc11691117_1280447820"/>
      <w:bookmarkStart w:id="71" w:name="_Toc26"/>
      <w:bookmarkEnd w:id="69"/>
      <w:bookmarkEnd w:id="70"/>
      <w:r>
        <w:rPr>
          <w:rtl w:val="true"/>
        </w:rPr>
        <w:t>التاسع</w:t>
      </w:r>
      <w:r>
        <w:rPr>
          <w:rtl w:val="true"/>
        </w:rPr>
        <w:t xml:space="preserve">: </w:t>
      </w:r>
      <w:r>
        <w:rPr>
          <w:rtl w:val="true"/>
        </w:rPr>
        <w:t>في ثمرات القولين</w:t>
      </w:r>
      <w:bookmarkEnd w:id="71"/>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إشكال في سقوط الأمر و حصول الامتثال بإتيان المجمع بداعي الأمر على الجواز مطلقا و لو في العبادات و إن كان معصية للنهي أيضا و كذا الحال على الامتناع مع ترجيح جانب الأمر إلّا أنه لا معصية عليه و أما عليه و ترجيح جانب النهي فيسقط به الأمر به مطلقا في غير العبادات لحصول الغرض الموجب له و أما فيها فلا مع الالتفات إلى الحرمة أو بدونه تقصيرا فإنه و إن كان متمكنا مع عدم الالتفات من قصد القربة و قد قصدها إلا أنه مع التقصير لا يصلح لأن يتقرب به أصلا فلا يقع مقربا و بدونه لا يكاد يحصل به الغرض الموجب للأمر به عبادة كما لا يخفى و أما إذا لم يلتفت إليها قصورا و قد قصدالقربة بإتيانه فالأمر يسقط لقصد التقرب بما يصلح أن يتقرب به لاشتماله على المصلحة مع صدوره حسنا لأجل الجهل بحرمته قصورا فيحصل به الغرض من الأمر فيسقط به قطعا و إن لم يكن امتثالا له بناء على تبعية الأحكام لما هو الأقوى من جهات المصالح و المفاسد واقعا لا لما هو المؤثر منها فعلا للحسن أو القبح لكونهما تابعين لما علم منهما كما حقق في محله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کلامه ان في المقام صوراً خمساً</w:t>
      </w:r>
      <w:r>
        <w:rPr>
          <w:rFonts w:eastAsia="IRNazanin" w:cs="IRNazanin"/>
          <w:color w:val="111111"/>
          <w:sz w:val="28"/>
          <w:szCs w:val="28"/>
          <w:rtl w:val="true"/>
          <w:lang w:bidi="fa-IR"/>
        </w:rPr>
        <w:t xml:space="preserve">: </w:t>
      </w:r>
      <w:bookmarkStart w:id="72" w:name="pg16640_202203"/>
    </w:p>
    <w:p>
      <w:pPr>
        <w:pStyle w:val="Heading2"/>
        <w:numPr>
          <w:ilvl w:val="1"/>
          <w:numId w:val="1"/>
        </w:numPr>
        <w:rPr/>
      </w:pPr>
      <w:bookmarkStart w:id="73" w:name="__RefHeading___Toc11691119_1280447820"/>
      <w:bookmarkStart w:id="74" w:name="_Toc27"/>
      <w:bookmarkEnd w:id="72"/>
      <w:bookmarkEnd w:id="73"/>
      <w:r>
        <w:rPr>
          <w:rtl w:val="true"/>
        </w:rPr>
        <w:t>الصورة الأُولى</w:t>
      </w:r>
      <w:r>
        <w:rPr>
          <w:rtl w:val="true"/>
        </w:rPr>
        <w:t>:</w:t>
      </w:r>
      <w:bookmarkEnd w:id="74"/>
    </w:p>
    <w:p>
      <w:pPr>
        <w:pStyle w:val="BookText"/>
        <w:rPr/>
      </w:pPr>
      <w:r>
        <w:rPr>
          <w:rFonts w:ascii="Amiri" w:hAnsi="Amiri" w:eastAsia="Amiri" w:cs="Amiri"/>
          <w:color w:val="111111"/>
          <w:sz w:val="28"/>
          <w:sz w:val="28"/>
          <w:szCs w:val="28"/>
          <w:rtl w:val="true"/>
          <w:lang w:bidi="ar-SA"/>
        </w:rPr>
        <w:t>إذا قلنا بجواز اجتماع الأمر و النهي فلا شكّ في صحّة العمل التوصلي، و هكذا العمل العبادي، لأنّه يأتي بالمجمع بداعي الأمر و إن كان عمله معصية أيضاً، لأنّ الاعتبار إنّما هو بالأمر غير الساقط، و هذه الثمرة هي الثمرة المعروفة للمسألة اعتمد عليها الأُصوليون من سالف الأيام و كانت النتيجة صحة العبادة على القول بالاجتماع و بطلانها على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كلاً من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البروجردي، و المحقّق النائيني قدّس اللّه سرّهما أشكلا على صحّة الصلاة، بل مطلق العبادة على القول بجواز الاجتماع، لكن كل ببيان خاص</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1691121_1280447820"/>
      <w:bookmarkStart w:id="76" w:name="_Toc28"/>
      <w:bookmarkEnd w:id="75"/>
      <w:r>
        <w:rPr>
          <w:rtl w:val="true"/>
        </w:rPr>
        <w:t>بيان المحقّق البروجردي</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غير قابل للتقرب، و متعلّق كلّ من الأمر و النهي و إن كان متغايراً لكنّهما موجودين بوجود واحد، فهو موجود غير محبوب، بل مبغوض فكيف يتقرب إلى المولى بأمر 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بعمله هذا متمرد على المولى و خارج عن رسم العبودية و زيّ الرقيّة، فكيف يتقرب إلى ساحته سبحانه، بما يعدُّ مبعِّداً و لا يكون مقرِّباً؟</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نية التقرب قصد امتثال الامر الالهي و لا معنی لنية القربة غيره و لا دليل علی الازيد من ذلک کما تدم بيانه في مبحث التعبدي و التوصلي</w:t>
      </w:r>
      <w:r>
        <w:rPr>
          <w:rFonts w:eastAsia="IRNazanin" w:cs="IRNazanin"/>
          <w:color w:val="111111"/>
          <w:sz w:val="28"/>
          <w:szCs w:val="28"/>
          <w:rtl w:val="true"/>
          <w:lang w:bidi="fa-IR"/>
        </w:rPr>
        <w:t xml:space="preserve">. </w:t>
      </w:r>
      <w:bookmarkStart w:id="77" w:name="pg16640_202204"/>
    </w:p>
    <w:p>
      <w:pPr>
        <w:pStyle w:val="BookText"/>
        <w:rPr/>
      </w:pPr>
      <w:bookmarkEnd w:id="77"/>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أفيد خلاف الفرض، و هو تقديم جانب الأمر على النهي لأقوائية مصلحته من مفسدة النهي، إذ لا معنى للتقديم الّا مغلوبية المفسدة بالمصلحة، و عدم مانعيتها عن استيفاء مصلحة الأمر بالفرد المشتمل على المفسدة، و عن تمشي قصد القربة و حصول التقرب به، من دون مانع عنه، لا من الفعل و لا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المحقق الخراساني من حصول الامتثال بإتيان المجمع بداعي الأمر على القول بالجواز، و الامتناع مع تقديم جانب الأمر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ترجيح جانب النهي دائماً و ان كانت المفسدة الموجودة فيه أضعف بالنسبة إلى مصلحة الأمر، لأنه خلاف فرض الأقوائية، و إنكار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الامتثال، و تحقق القربة بإتيان المجمع حتى مع العلم بالغصب</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1691123_1280447820"/>
      <w:bookmarkStart w:id="79" w:name="_Toc29"/>
      <w:bookmarkEnd w:id="78"/>
      <w:r>
        <w:rPr>
          <w:rtl w:val="true"/>
        </w:rPr>
        <w:t>بيان المحقّق النائيني</w:t>
      </w:r>
      <w:bookmarkEnd w:id="79"/>
    </w:p>
    <w:p>
      <w:pPr>
        <w:pStyle w:val="BookText"/>
        <w:rPr/>
      </w:pPr>
      <w:r>
        <w:rPr>
          <w:rFonts w:ascii="Amiri" w:hAnsi="Amiri" w:eastAsia="Amiri" w:cs="Amiri"/>
          <w:color w:val="111111"/>
          <w:sz w:val="28"/>
          <w:sz w:val="28"/>
          <w:szCs w:val="28"/>
          <w:rtl w:val="true"/>
          <w:lang w:bidi="ar-SA"/>
        </w:rPr>
        <w:t>و أمّا الثاني فحاصل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 الدار المغصوبة ليست مصداقاً للمكلّف به، كما أنّها ليست واجدةً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منشأ اعتبار القدرة نفس التكليف لا حكم العقل، لأنّ الأمر هو جعل داع للمكلّف نحو المكلف به و لا يصح جعله داعياً إلّا إلى ما وقع في إطار قدرة المكلّف، فيكون متعلّق التكليف هو الحصة المقدورة عقلاً، غير الممنوعة شرعاً، فتخرج الحصة المحرمة تحت الأمر، و على ضوء ذلك فالصلاة لما كانت ملازمة للمحرم فلا تكون مصداقاً للأمر و لا تكون مأموراً بها، و لا يمكن الحكم بالصحة لأجل الأمر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تصحيحها بالملاك، فلأنّه إنّما يصحّ التقرب به إذا لم يكن ملازماً بالقبح الفاعلي و إلّا فلا يكون صالحاً للتقرب، و الصلاة و الغصب و إن كانا غير متحدين إلّا </w:t>
      </w:r>
      <w:bookmarkStart w:id="80" w:name="pg16640_202205"/>
    </w:p>
    <w:p>
      <w:pPr>
        <w:pStyle w:val="BookText"/>
        <w:rPr/>
      </w:pPr>
      <w:bookmarkEnd w:id="80"/>
      <w:r>
        <w:rPr>
          <w:rFonts w:ascii="Amiri" w:hAnsi="Amiri" w:eastAsia="Amiri" w:cs="Amiri"/>
          <w:color w:val="111111"/>
          <w:sz w:val="28"/>
          <w:sz w:val="28"/>
          <w:szCs w:val="28"/>
          <w:rtl w:val="true"/>
          <w:lang w:bidi="ar-SA"/>
        </w:rPr>
        <w:t>انّهما موجودان بإيجاد واحد، فلا محالة يكون موجِدهما مرتكباً للقبيح بنفس الإيجاد و يستحيل أن يكون الفعل الصادر منه مقرّباً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بين المتكلّمين هو انّ الحاكم باشتراط التكليف بالأُمور العامّة من العقل و القدرة و العلم، هو العقل دون ذات التكليف، و لا يمنع العقلمنه بعد تعلق الأمر بمطلق الطبيعة، لا الطبيعة المقدورة، غير الممنوعة، حتی يكون الفرد المحظور مصداقاً لها، غير خارج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ذكره من أنّ منشأ اعتبار القدرة نفس التكليف، و ذلك لأنّ الأمر جعل داع للمكلّف نحو العمل، و لا يصحّ جعله داعياً إلّا إلى ما وقع في إطار قدرة المكلّف، فانما هو عبارة أُخرى عن حكم العقل بذلك، و قد تقدم ان العقل ليس بمانع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كون المجمع فاقداً للملاك بحجّة أنّ موجد الصلاة و الغصب مرتكب للقبح بنفس هذا الإيجاد، و يستحيل أن يكون العمل الصادر منه مقرِّباً مبنيّ على سراية القبح الفاعلي إلى الفعل، فلم يثبت و لا نقول به ، لأنّ الصلاة في الدار المغصوبة نفسها في البيت، و كون الفاعل مرتكباً للقبيح مقارناً للصلاة كما هو المفروض لا يجعل الصلاة فعلًا قبيحاً</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1691125_1280447820"/>
      <w:bookmarkStart w:id="82" w:name="_Toc30"/>
      <w:bookmarkEnd w:id="81"/>
      <w:r>
        <w:rPr>
          <w:rtl w:val="true"/>
        </w:rPr>
        <w:t>الصورة الثانية</w:t>
      </w:r>
      <w:r>
        <w:rPr>
          <w:rtl w:val="true"/>
        </w:rPr>
        <w:t>:</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بالامتناع و تقديم جانب الأمر و ظاهر العبارة صحّة العمل عبادياً كان أم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القائل بالامتناع يحمل أحد الحكمين على الاقتضائي و الآخر على الفعلي</w:t>
      </w:r>
      <w:r>
        <w:rPr>
          <w:rFonts w:eastAsia="Amiri" w:cs="Amiri" w:ascii="Amiri" w:hAnsi="Amiri"/>
          <w:color w:val="111111"/>
          <w:sz w:val="28"/>
          <w:szCs w:val="28"/>
          <w:rtl w:val="true"/>
          <w:lang w:bidi="ar-SA"/>
        </w:rPr>
        <w:t xml:space="preserve">. </w:t>
      </w:r>
      <w:bookmarkStart w:id="83" w:name="pg16640_202206"/>
    </w:p>
    <w:p>
      <w:pPr>
        <w:pStyle w:val="BookText"/>
        <w:rPr/>
      </w:pPr>
      <w:bookmarkEnd w:id="83"/>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القول به مطلقاً مشكل، و ذلک لأنّ الأخذ بالأمر لأجل كونه أقوى ملاكاً عن الحرام مختص بالصورتين التاليتين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يتمكن من الصلاة إلّا في المكان المغصوب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تمكن من الصلاة في المكان المباح لكن دار الأمر بين فوت الواجب لأجل ضيق الوقت و ارتكاب الحرام فيقدم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الوقت وسيعاً، و كان هناك مندوحة، فيؤخذ بالنهي دون الأمر لإمكان الجمع بين الامتثالين</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1691127_1280447820"/>
      <w:bookmarkStart w:id="85" w:name="_Toc31"/>
      <w:bookmarkEnd w:id="84"/>
      <w:r>
        <w:rPr>
          <w:rtl w:val="true"/>
        </w:rPr>
        <w:t>الصورة الثالثة</w:t>
      </w:r>
      <w:r>
        <w:rPr>
          <w:rtl w:val="true"/>
        </w:rPr>
        <w:t>:</w:t>
      </w:r>
      <w:bookmarkEnd w:id="85"/>
    </w:p>
    <w:p>
      <w:pPr>
        <w:pStyle w:val="BookText"/>
        <w:rPr/>
      </w:pPr>
      <w:r>
        <w:rPr>
          <w:rFonts w:ascii="Amiri" w:hAnsi="Amiri" w:eastAsia="Amiri" w:cs="Amiri"/>
          <w:color w:val="111111"/>
          <w:sz w:val="28"/>
          <w:sz w:val="28"/>
          <w:szCs w:val="28"/>
          <w:rtl w:val="true"/>
          <w:lang w:bidi="ar-SA"/>
        </w:rPr>
        <w:t>إذا قلنا بالامتناع مع تقديم النهي لكونه أقوى ملاكاً مع الالتفات و العلم بالحرمة و ما ذكره هو المتعيّن و وجهه واضح</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11691129_1280447820"/>
      <w:bookmarkStart w:id="87" w:name="_Toc32"/>
      <w:bookmarkEnd w:id="86"/>
      <w:r>
        <w:rPr>
          <w:rtl w:val="true"/>
        </w:rPr>
        <w:t>الصورة الرابعة</w:t>
      </w:r>
      <w:r>
        <w:rPr>
          <w:rtl w:val="true"/>
        </w:rPr>
        <w:t>:</w:t>
      </w:r>
      <w:bookmarkEnd w:id="87"/>
    </w:p>
    <w:p>
      <w:pPr>
        <w:pStyle w:val="BookText"/>
        <w:rPr/>
      </w:pPr>
      <w:r>
        <w:rPr>
          <w:rFonts w:ascii="Amiri" w:hAnsi="Amiri" w:eastAsia="Amiri" w:cs="Amiri"/>
          <w:color w:val="111111"/>
          <w:sz w:val="28"/>
          <w:sz w:val="28"/>
          <w:szCs w:val="28"/>
          <w:rtl w:val="true"/>
          <w:lang w:bidi="ar-SA"/>
        </w:rPr>
        <w:t>إذا قلنا بالامتناع مع تقديم جانب النهي لكن المكلّف غير ملتفت إلى الحرمة تقصيراً أو نسياناً، فانّه و إن كان متمكناً مع عدم الالتفات من قصد القربة و قدقصدها إلّا أنّه مع التقصير لا يصلح لأن يتقرّب به أصلًا، فلا يقع مقرباً و بدونه لا يكاد يحصل به الغرض الموجب للأمر به عادة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يتمكن من قصد القربة، لكن العمل غير صالح لأن يتقرب به، و نزيد بياناً بأنّ الصحة رهن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المفروض كونه اقتضائياً، و الملاك و هو بعد غير معلوم، لأنّ الكاشف عنه هو الأمر و المفروض كونه إنشائياً، و لأجل ذلك قال الفقهاء </w:t>
      </w:r>
      <w:bookmarkStart w:id="88" w:name="pg16640_202207"/>
    </w:p>
    <w:p>
      <w:pPr>
        <w:pStyle w:val="BookText"/>
        <w:rPr/>
      </w:pPr>
      <w:bookmarkEnd w:id="88"/>
      <w:r>
        <w:rPr>
          <w:rFonts w:ascii="Amiri" w:hAnsi="Amiri" w:eastAsia="Amiri" w:cs="Amiri"/>
          <w:color w:val="111111"/>
          <w:sz w:val="28"/>
          <w:sz w:val="28"/>
          <w:szCs w:val="28"/>
          <w:rtl w:val="true"/>
          <w:lang w:bidi="ar-SA"/>
        </w:rPr>
        <w:t>بأنّ المقصر و الناسي خارجان عن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هما خارجان أيضاً عن حديث الرفع</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1691131_1280447820"/>
      <w:bookmarkStart w:id="90" w:name="_Toc33"/>
      <w:bookmarkEnd w:id="89"/>
      <w:r>
        <w:rPr>
          <w:rtl w:val="true"/>
        </w:rPr>
        <w:t>الصورة الخامسة</w:t>
      </w:r>
      <w:r>
        <w:rPr>
          <w:rtl w:val="true"/>
        </w:rPr>
        <w:t>:</w:t>
      </w:r>
      <w:bookmarkEnd w:id="90"/>
    </w:p>
    <w:p>
      <w:pPr>
        <w:pStyle w:val="BookText"/>
        <w:rPr/>
      </w:pPr>
      <w:r>
        <w:rPr>
          <w:rFonts w:ascii="Amiri" w:hAnsi="Amiri" w:eastAsia="Amiri" w:cs="Amiri"/>
          <w:color w:val="111111"/>
          <w:sz w:val="28"/>
          <w:sz w:val="28"/>
          <w:szCs w:val="28"/>
          <w:rtl w:val="true"/>
          <w:lang w:bidi="ar-SA"/>
        </w:rPr>
        <w:t>نفس الصورة السابقة مع الجهل بالحرمة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بالامتناع و قدمنا النهي و لكن كان المصلي جاهلاً بالحرمة حكماً أو موضوعاً عن قصور، و لا يخفى أن في صحة المجمع العبادي التي أفتى بها القائلون باستحالة اجتماع الأمر و النهي، و تقديم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كيف حكموا بصحته مع بنائهم على الامتناع و تقديم النهي، و أن الجهل لا يقتضي عود الأمر حتى تصح به العبادة، بل يقتضي عدم التنجز، و عدم ترتب العقاب على ارتكاب المتعلق، فلو أتى بالصلاة أو الطواف في المغصوب جهلا بالحكم أو الموضوع لا يترتب عليه استحقاق العقوبة، لعدم تنجز النهي بالجهل به، أو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صحته و سقوط الأمر فلا، لأن مناط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بل لا بد من الحكم بالفساد و عدم سقوط الأمر بإيجاد المجمع، كما حكموا به في غير الجهل العذري، فلا فرق بين الجهل العذري و غيره الّا في استحقاق العقوبة في الثاني دون الأول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قدتصدی المحقق الخراساني للاجابة علی هذا الإشكال و تصحيح الفتوى بصحة المجمع العبادي في الجهل العذري بوجهين</w:t>
      </w:r>
      <w:r>
        <w:rPr>
          <w:rFonts w:eastAsia="IRNazanin" w:cs="IRNazanin"/>
          <w:color w:val="111111"/>
          <w:sz w:val="28"/>
          <w:szCs w:val="28"/>
          <w:rtl w:val="true"/>
          <w:lang w:bidi="fa-IR"/>
        </w:rPr>
        <w:t xml:space="preserve">: </w:t>
      </w:r>
      <w:bookmarkStart w:id="91" w:name="pg16640_202208"/>
    </w:p>
    <w:p>
      <w:pPr>
        <w:pStyle w:val="Heading2"/>
        <w:numPr>
          <w:ilvl w:val="1"/>
          <w:numId w:val="1"/>
        </w:numPr>
        <w:rPr/>
      </w:pPr>
      <w:bookmarkStart w:id="92" w:name="__RefHeading___Toc11691133_1280447820"/>
      <w:bookmarkStart w:id="93" w:name="_Toc34"/>
      <w:bookmarkEnd w:id="91"/>
      <w:bookmarkEnd w:id="92"/>
      <w:r>
        <w:rPr>
          <w:rtl w:val="true"/>
        </w:rPr>
        <w:t>الوجه الأول</w:t>
      </w:r>
      <w:r>
        <w:rPr>
          <w:rtl w:val="true"/>
        </w:rPr>
        <w:t>:</w:t>
      </w:r>
      <w:bookmarkEnd w:id="93"/>
    </w:p>
    <w:p>
      <w:pPr>
        <w:pStyle w:val="BookText"/>
        <w:rPr/>
      </w:pPr>
      <w:r>
        <w:rPr>
          <w:rFonts w:ascii="Amiri" w:hAnsi="Amiri" w:eastAsia="Amiri" w:cs="Amiri"/>
          <w:color w:val="111111"/>
          <w:sz w:val="28"/>
          <w:sz w:val="28"/>
          <w:szCs w:val="28"/>
          <w:rtl w:val="true"/>
          <w:lang w:bidi="ar-SA"/>
        </w:rPr>
        <w:t>أن صحة العبادة لا تتوقف على الأمر، بل يكفي فيها المصلحة الموجودة في المجمع، و عدم ارتفاعها بالمفسدة، و انما لا يصح في صورة العلم بالنهي، أو الجهل التقصيري به مع وجود هذه المصلحة فيه، لأن الفعل مع العلم بالنهي أو الجهل به تقصيراً يقع مبعداً و مبغوضاً و مستحقاً عليه العقاب، لتنجز النهي، و المبغوض يمتنع أن يكون محبوباً و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هذا الوجه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فالامر يسقط، لقصد التقرب بما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إثبات وجود الملاك، و صحة التقرب به تعرض لوجه سقوط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تبعية الأحكام لما هو الأقوى من جهات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بناء على تبعية الأحكام للمصالح و المفاسد الواقعية يكون النهي فعلياً، لعدم دخل العلم بالمفسدة في تشريعه، لكنه لعدم تنجزه لا يؤثر في المبغوضية، فلا مانع من التعبد بالملاك حينئذ و ان لم يصدق الامتثال بناء على كونه موافقة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تبعية الأحكام للمصالح و المفاسد المعلومة يكون المجمع مأموراً به فعلا، فيصح قصد القربة بالأمر، دون الملاك، إذ المفروض تبعية الحكم للملاك المعلوم و هو مصلحة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العبادة تتوقف على الأمر، و لا يكفي فيها الملاک الموجود في المجمع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الأحكام فالصحيح انها تابعة للمصالح و المفاسد الواقعية لا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فيكون النهي فعلياً، و اما دعوی عدم تنجزه فلا يؤثر في المبغوضية و عليه فلا مانع من التعبد بالملاك، ففيه ما تقدم من عدم صلاحية وجود الملاک للتعبد 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أن المصلحة المغلوبة المستهلكة في جنب المفسدة لا أثر لها في وقوع الفعل عبادة، و لا تجعل الفعل قابلا للتقرب، فان الفعل الغالبة مفسدته على مصلحته غلبة مؤثرة </w:t>
      </w:r>
      <w:bookmarkStart w:id="94" w:name="pg16640_202209"/>
    </w:p>
    <w:p>
      <w:pPr>
        <w:pStyle w:val="BookText"/>
        <w:rPr/>
      </w:pPr>
      <w:bookmarkEnd w:id="94"/>
      <w:r>
        <w:rPr>
          <w:rFonts w:ascii="IRNazanin" w:hAnsi="IRNazanin" w:eastAsia="IRNazanin"/>
          <w:color w:val="111111"/>
          <w:sz w:val="28"/>
          <w:sz w:val="28"/>
          <w:szCs w:val="28"/>
          <w:rtl w:val="true"/>
          <w:lang w:bidi="fa-IR"/>
        </w:rPr>
        <w:t>في النهي التحريمي كالفعل المشتمل على المفسدة فقط في عدم صلاحية التقرب به، فان المصلحة المندكة في جنب المفسدة وجودها و عدمها سيان، فالفعل الفاسد محضاً أو الغالب فساده غير صالح للتقرب و لا يجدي قصد التقرب به شيئاً و ان لم يفرض کونه مبعداً، و لم يکن مستحقَاً عليه العقاب لاجل الجهل بفساده و حرمته جهلا يعذر فيه</w:t>
      </w:r>
      <w:r>
        <w:rPr>
          <w:rFonts w:eastAsia="IRNazanin" w:cs="IRNazanin"/>
          <w:color w:val="111111"/>
          <w:sz w:val="28"/>
          <w:szCs w:val="28"/>
          <w:rtl w:val="true"/>
          <w:lang w:bidi="fa-IR"/>
        </w:rPr>
        <w:t>.</w:t>
      </w:r>
    </w:p>
    <w:p>
      <w:pPr>
        <w:pStyle w:val="Heading2"/>
        <w:numPr>
          <w:ilvl w:val="1"/>
          <w:numId w:val="1"/>
        </w:numPr>
        <w:rPr/>
      </w:pPr>
      <w:bookmarkStart w:id="95" w:name="__RefHeading___Toc11691135_1280447820"/>
      <w:bookmarkStart w:id="96" w:name="_Toc35"/>
      <w:bookmarkEnd w:id="95"/>
      <w:r>
        <w:rPr>
          <w:rtl w:val="true"/>
        </w:rPr>
        <w:t>الوجه الثاني</w:t>
      </w:r>
      <w:r>
        <w:rPr>
          <w:rtl w:val="true"/>
        </w:rPr>
        <w:t>:</w:t>
      </w:r>
      <w:bookmarkEnd w:id="96"/>
    </w:p>
    <w:p>
      <w:pPr>
        <w:pStyle w:val="BookText"/>
        <w:rPr/>
      </w:pPr>
      <w:r>
        <w:rPr>
          <w:rFonts w:ascii="Amiri" w:hAnsi="Amiri" w:eastAsia="Amiri" w:cs="Amiri"/>
          <w:color w:val="111111"/>
          <w:sz w:val="28"/>
          <w:sz w:val="28"/>
          <w:szCs w:val="28"/>
          <w:rtl w:val="true"/>
          <w:lang w:bidi="ar-SA"/>
        </w:rPr>
        <w:t>تصوير الأمر الفعلي بالمجمع حتى على القول بتبعية الأحكام للمصالح و المفاسد الواقعية، و البناء على الامتناع و تغليب النهي،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العقل حيث لا يرى تفاوتاً بين أفراد الطبيعة في الوفاء بالغرض القائم بالطبيعة المأمور بها، و أن فرده المبتلى بالمزاحم كالصلاة في المغصوب وافٍ بالغرض كسائر أفراد الطبيعة يحكم بإمكان حصول الامتثال إذا أتى بالفرد المزاحم بداعي امتثال الأمر بالطبيعة، كما تقدم نظيره في ضد الواجب كالصلاة بالنسبة إلى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هذا الوجه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يمكن أن يقال بحصولالامتثال مع ذلك فإن العقل لا يرى تفاوتا بينه و بين سائر الأفراد في الوفاء بغرض الطبيعة المأمور بها و إن لم تعمه بما هي مأمور بها لكنه لوجود المانع لا لعدم المقتضي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صحة العبادة تتوقف على الأمر فمع سقوط الامر و لو لاجل المانع لا تصح العبادة، مضافا الی عدم صحة قصد امتثال الأمر بالطبيعة مع مبغوضية الفرد و سقوط أمره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المقدمات يقع الكلام في أدلّة الجواز و الامتناع </w:t>
      </w:r>
      <w:r>
        <w:rPr>
          <w:rFonts w:eastAsia="Amiri" w:cs="Amiri" w:ascii="Amiri" w:hAnsi="Amiri"/>
          <w:color w:val="111111"/>
          <w:sz w:val="28"/>
          <w:szCs w:val="28"/>
          <w:rtl w:val="true"/>
          <w:lang w:bidi="ar-SA"/>
        </w:rPr>
        <w:t xml:space="preserve">. </w:t>
      </w:r>
      <w:bookmarkStart w:id="97" w:name="pg16640_202210"/>
    </w:p>
    <w:p>
      <w:pPr>
        <w:pStyle w:val="Heading2"/>
        <w:numPr>
          <w:ilvl w:val="1"/>
          <w:numId w:val="1"/>
        </w:numPr>
        <w:rPr/>
      </w:pPr>
      <w:bookmarkStart w:id="98" w:name="__RefHeading___Toc11691137_1280447820"/>
      <w:bookmarkStart w:id="99" w:name="_Toc36"/>
      <w:bookmarkEnd w:id="97"/>
      <w:bookmarkEnd w:id="98"/>
      <w:r>
        <w:rPr>
          <w:rtl w:val="true"/>
        </w:rPr>
        <w:t>ادلة القائلين بامتناع اجتماع الأمر و النهي</w:t>
      </w:r>
      <w:bookmarkEnd w:id="99"/>
    </w:p>
    <w:p>
      <w:pPr>
        <w:pStyle w:val="BookText"/>
        <w:rPr/>
      </w:pPr>
      <w:r>
        <w:rPr>
          <w:rFonts w:ascii="Amiri" w:hAnsi="Amiri" w:eastAsia="Amiri" w:cs="Amiri"/>
          <w:color w:val="111111"/>
          <w:sz w:val="28"/>
          <w:sz w:val="28"/>
          <w:szCs w:val="28"/>
          <w:rtl w:val="true"/>
          <w:lang w:bidi="ar-SA"/>
        </w:rPr>
        <w:t>استدلّ القائل بالامتناع بوجوه أتقنها و أوجزها ما أفاده المحقّق الخراساني بترتيب مقدّمات أربع، و 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بأسرها متضادّة في مقام فعليّتها و بلوغها مرتبة البعث و الزجر، فاجتماع الأمر و النهي يكون من قبيل التكليف المحال، لا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متعلّق الأحكام هو فعل المكلّف و ما هو صادرٌ منه خارجاً و ما هو جاعله، لا ما هو اسمه و لفظه، و هو واضح، و لا ما هو عنوانه و مفهومه الذهني؛ ضرورة أنّ البعث لا يكون نحوه، و الزجر لا يكون عنه، و إنّما يؤخذ العنوان في متعلّق الأحكام آلة للحاظ متعلّقاتها، لا بما هو و بنفسه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الوجه و العنوان لا يوجب تعدّد المعنون، و لا تنثلم به وحدته؛ لجواز انطباق المفاهيم الكثيرة على الواحد البسيط المحض، كمفاهيم الأسماء الحسنى الصادقة على الواحد البسيط الحقّ جلّت آلاؤه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وجوداً واحدٌ ماهيّة و ذاتاً، فالمفهومان المتصادقان على شي‌ء واحد لا يكون كلّ منهما ماهيّة حقيقة، فالمجمع و إن تصادق عليه متعلَّقا الأمر و النهي، إلّا أنّه كما يكون واحداً وجوداً يكون واحداً ماهيّة و ذاتاً، و يتصادق المفهومان على الفرد في الخارج تصادق الطبيعي على فرده؛ من غير فرقٍ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 الواحد وجوداً، واحداً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أصالة الوجود أو الماهيّة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ظهر عدم ابتناء الجواز و الامتناع على القولين، كما ظهر عدم الابتناء على تعدّد وجود الجنس و الفصل في الخارج و عدمه؛ ضرورة عدم كون العنوانين من قبيلهما</w:t>
      </w:r>
      <w:r>
        <w:rPr>
          <w:rFonts w:eastAsia="Amiri" w:cs="Amiri" w:ascii="Amiri" w:hAnsi="Amiri"/>
          <w:color w:val="111111"/>
          <w:sz w:val="28"/>
          <w:szCs w:val="28"/>
          <w:rtl w:val="true"/>
          <w:lang w:bidi="ar-SA"/>
        </w:rPr>
        <w:t xml:space="preserve">. </w:t>
      </w:r>
      <w:bookmarkStart w:id="100" w:name="pg16640_202211"/>
    </w:p>
    <w:p>
      <w:pPr>
        <w:pStyle w:val="BookText"/>
        <w:rPr/>
      </w:pPr>
      <w:bookmarkEnd w:id="100"/>
      <w:r>
        <w:rPr>
          <w:rFonts w:ascii="Amiri" w:hAnsi="Amiri" w:eastAsia="Amiri" w:cs="Amiri"/>
          <w:color w:val="111111"/>
          <w:sz w:val="28"/>
          <w:sz w:val="28"/>
          <w:szCs w:val="28"/>
          <w:rtl w:val="true"/>
          <w:lang w:bidi="ar-SA"/>
        </w:rPr>
        <w:t>و بعد بيان هذه المقدّمات الأربع خرج بالنتيجة التالية، و هي امتناع اجتماع الأمر و النهي في شي‌ء واحد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المجمع حيث كان واحداً وجوداً و ذاتاً، كان تعلّق الأمر و النهي به محالًا و لو كان التعلّق بعنوانين؛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التعلّق حقيقة إنّما يكون بما هو فعل المكلّف خارجاً، لا بالعناوين الطارئة و المفاهيم، فالفعل الخارجي يكون مجمع الأمر و النهي، و لمكان تضادّهما يجتمع الضدّان في واحد شخصيّ، و هو ضروريّ البطلان‌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11691139_1280447820"/>
      <w:bookmarkStart w:id="102" w:name="_Toc37"/>
      <w:bookmarkEnd w:id="101"/>
      <w:r>
        <w:rPr>
          <w:rtl w:val="true"/>
        </w:rPr>
        <w:t>جواب المحقق البروجردي</w:t>
      </w:r>
      <w:bookmarkEnd w:id="102"/>
    </w:p>
    <w:p>
      <w:pPr>
        <w:pStyle w:val="BookText"/>
        <w:rPr/>
      </w:pPr>
      <w:r>
        <w:rPr>
          <w:rFonts w:ascii="Amiri" w:hAnsi="Amiri" w:eastAsia="Amiri" w:cs="Amiri"/>
          <w:color w:val="111111"/>
          <w:sz w:val="28"/>
          <w:sz w:val="28"/>
          <w:szCs w:val="28"/>
          <w:rtl w:val="true"/>
          <w:lang w:bidi="ar-SA"/>
        </w:rPr>
        <w:t>و قد ردّه المحقق البروجردي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تصدّى القوم لجوابه بما يرجع كلّها أو جلّها إلى تكثير متعلَّق الأمر و النهي، مع اعترافهم بتضادّ الأحكام‌</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إشكال، يبتني توضيحه على بيان مقدّمة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أنّ تضادّ الأحكام و إن كان ممّا تسالمت عليه كلمة الأصحاب قديماً و حديثاً</w:t>
      </w:r>
      <w:r>
        <w:rPr>
          <w:rStyle w:val="FootnoteAnchor"/>
          <w:rtl w:val="true"/>
        </w:rPr>
        <w:footnoteReference w:id="41"/>
      </w:r>
      <w:r>
        <w:rPr>
          <w:rFonts w:ascii="Amiri" w:hAnsi="Amiri" w:eastAsia="Amiri" w:cs="Amiri"/>
          <w:color w:val="111111"/>
          <w:sz w:val="28"/>
          <w:sz w:val="28"/>
          <w:szCs w:val="28"/>
          <w:rtl w:val="true"/>
          <w:lang w:bidi="ar-SA"/>
        </w:rPr>
        <w:t>، و اشتهر بينهم غاية الاشتهار، لكنّه ممّا لا أساس له؛ فإنّ الضدّين أمران وجوديّان يتواردان على محلٍّ واحد بينهما غاية الخلاف، و ليس الوجوب و الحرمة و سائر الأحكام من الامور الوجوديّة الحالّة في متعلّقاتها، و إن يصدق عليها أنّها واجبة أو محرّمة مثلاً، فإنّه لا يلزم في صدق كلّ مفهومٍ على شي‌ء أن يكون منشأ الانتزاع أمراً موجوداً أو عرضاً حالّاً في موضوعه و متعلّقه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توضيح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أو النهي إذا صدر من المولى متوجّهاً إلى المكلَّف و متعلِّقاً بالمكلَّف به، يكون له إضافة إلى المولى إضافة صدوريّة؛ لقيامه به صدوراً، و إضافة إلى المكلَّف و إلى المكلَّف به، و يكون تحقّق هاتين الإضافتين بنفس تحقّق منشأ انتزاعهما، و هو الأمر و النهي القائمان بالمولى قياماً صدوريّاً، و لا نفسيّة لهما، و ليس لهما قيام و عروض على المكلّف، و لاعلى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ترى أنّ مفهوم المأمور به و الواجب و المنهيّ عنه و المحرّم، تصدق على متعلّقات الأحكام بعد بعث المولى و زجره، و قبل إيجاد المكلَّف إيّاها، فالصلاة واجبة و مأمور بها قبل إتيانها، و الغِيبة حرام و مزجور عنها قبل ارتكابها، بل الخارج ظرف سقوط التكليف، فكيف يمكن أن يكون ظرف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ثبوته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قبيل تحصيل الحاصل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وِزانَ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القائمَيْن بنفس المولى، المضافَيْن إلى المتعلّق بلا عروض شي‌ءٍ خارجيّ موجود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العلم و الإرادة و القدرة القائمات بنفس الإنسان، المضافات إلى متعلّقاتها قبل تحقّقها، فكما أنّ العلم قد يتعلّق بأمرٍ متأخّر قبل تحقّقه، و ينتزع منه مفهوم المعلوم بواسطة نفس إضافة العلم إليه، و كذا الإرادة و القدرة، فكذلك الأمر و النهي من هذه الحيثية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و الحرمة و كذا سائر الأحكام ليست ممّا يتحقّق بينها تضادّ؛ لعدم تحقّقها في الخارج، و عدم عروضها للمتعلّقات، و إنّما هي إضافات متحقّقة بنفس الأمر و النهي، القائمَيْن بنفس المولى قياماً صدوريّاً، و هي تابعة لمناشئها، فإن كانت مناشؤها ممكنة الاجتماع، تكون هي ممكنة الاجتماع، و ان كانت ممتنعة </w:t>
      </w:r>
    </w:p>
    <w:p>
      <w:pPr>
        <w:pStyle w:val="BookText"/>
        <w:rPr/>
      </w:pPr>
      <w:r>
        <w:rPr>
          <w:rFonts w:ascii="Amiri" w:hAnsi="Amiri" w:eastAsia="Amiri" w:cs="Amiri"/>
          <w:color w:val="111111"/>
          <w:sz w:val="28"/>
          <w:sz w:val="28"/>
          <w:szCs w:val="28"/>
          <w:rtl w:val="true"/>
          <w:lang w:bidi="ar-SA"/>
        </w:rPr>
        <w:t>الاجتماع فكذلك، بل هي في الوجود و الوحدة و الكثرة و جواز الاجتماع و عدمه تابعة لها، فلا بدّ من عطف النظر إلى المناشئ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مطلق اجتماع الأمر و النهي في نفس المولى ممتنعاً؛ ضرورة اجتماعهما في نفسه بالنسبة إلى متعلّقات متشتّتة كثيرة، بل ما يكون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 قبيل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 النهي من مولىً واحد، متوجّهاً إلى عبدٍ واحد بجهةٍ واحدة في زمنٍ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تعلّق الأمر بحيثيّةٍ، و كذا تعلّق الإرادة بها، و تعلّق النهي و الكراهة بحيثيّةٍ اخرى، فغير ممتنعٍ، و لو أوجدهما المكلّف بسوء اختياره في مصداقٍ واحد و موجودٍ فارد؛ ضرورة أنّ معنى تعلّق البعث بحيثيّة أن تكون تلك الحيثية تمام المتعلّق للأمر و البعث، و عدم دخالة حيثيّة اخرى فيه، كما أنّ معنى تعلّق الزجر و النهي بحيثيّة أيضاً كذلك، فلا يُعقل أن يتجاوز الأمر ما تعلّق به و قامت المصلحة الملزمة فيه إلى حيثيّة اخرى أيّة حيثيّة كانت؛ اتّحدت معه في الخارج أو لا، فما هو متعلّق العلم بالصلاح هو متعلّق الاشتياق و الإرادة و البعث؛ لا يمكن أن يتخلّف أحدها عنه و يصير شي‌ء آخر دخيلًا فيه بنحوٍ من الدخالة، و كذا في جانب النهي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وِزان الإرادة التشريعيّة وِزان الإرادة التكوينيّة في ذلك طابق النعل بالنعل و القِذّة بالقِذّة، فكما أنّ ما تعلّق العلم بالمصلحة فيه، يصير متعلَّقاً للاشتياق و تَوَقان النفس و الإرادة التكوينيّة للإيجاد، و لا يمكن أن يتعلّق الشوق و الإرادة بما يقارنه و يتّحد معه في الوجود، فإكرام الصديق الذي هو متعلَّق الشوق و الإرادة هو تمام الموضوع و المتعلَّق لهما، و لا يكون شي‌ء من مقارناته و المتّحدات معه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في زمان كذا، أو مكان كذا، و متعلَّقاً لإضافات كذائيّة، و أوضاع 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لهما؛ فإنّها كلّها </w:t>
      </w:r>
    </w:p>
    <w:p>
      <w:pPr>
        <w:pStyle w:val="BookText"/>
        <w:rPr/>
      </w:pPr>
      <w:r>
        <w:rPr>
          <w:rFonts w:ascii="Amiri" w:hAnsi="Amiri" w:eastAsia="Amiri" w:cs="Amiri"/>
          <w:color w:val="111111"/>
          <w:sz w:val="28"/>
          <w:sz w:val="28"/>
          <w:szCs w:val="28"/>
          <w:rtl w:val="true"/>
          <w:lang w:bidi="ar-SA"/>
        </w:rPr>
        <w:t>خارجة عن الموضوع الذي قامت المصلحة به، و يكون تعلّق الشوق و الإرادة بها بلا ملاكٍ يوجبه، فكذلك الإرادة التشريعيّة؛ لاشتراكهما في جميع المقدّمات، و افتراقهما في أنّ إحداهما متعلِّقة بإيجاد الغير للمتعلَّق، و الاخرى بإيجاد نفسه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مثلاً متعلَّقة للإرادة و البعث، و هي بذاتها تمام الموضوع لهما، و لا يمكن أن يتعلّقا بغيرها؛ ممّا هو خارجٌ عن عنوان الصلاة و إن اتّحد معها في الخارج، و التصرّف في مال الغير بغير إذنه متعلَّق للكراهة و الزجر، و هو أيضاً تمام الموضوع لهما من غير دخالة شي‌ء فيه من مقارناته و المتّحدات معه، و لا يعقل سراية الإرادة المتعلِّقة بالصلاة إلى التصرّف الكذائي؛ لفقدان الملاك و منافاته لتمام الموضوعيّة، فالبعث إلى الصلاة بعثٌ إليها فقط لا إلى غيرها؛ اتّحد معها في الخارج أو لم يتّحد، و الزجر عن التصرّف في مال الغير زجرٌ عنه فقط دون غيره، و هما لا يجتمعان في ظرف من الظروف و وعاءٍ من الأوعية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هذا النحو من التعلّق و الاجتماع ممتنعاً؛ لإدّائه إلى اجتماع الضدّين، لكان اجتماع العلم و الجهل المتعلِّقين بجهتين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اجتماعهما في موجودٍ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محالاً؛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بمجي‌ء زيد غداً، و علمنا أنّه عالمٌ، و شككنا في عدالته، اجتمع العلم و الجهل في موجود واحد؛ فإنّ المجي‌ء الشخصي يصدق عليه أنّه معلومٌ و مجهولٌ، معلومٌ كونه مجي‌ء عالمٍ، و مجهولٌ كونه مجي‌ء عادلٍ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مَنْ صلّى في دار مجهولةٍ غصبيّتُها، يصدق على الحركات الخاصّة أنّها معلومة و مجهولة؛ معلومة من حيثية صلاتيّتها، و مجهولة من حيثيّة غصبيّتها، و لو كان هذا النحو من التعلّق نحو عروض شي‌ء موجود على شي‌ء موجود، للزم اجتماع الضدّين في واحدٍ </w:t>
      </w:r>
    </w:p>
    <w:p>
      <w:pPr>
        <w:pStyle w:val="BookText"/>
        <w:rPr/>
      </w:pPr>
      <w:r>
        <w:rPr>
          <w:rFonts w:ascii="Amiri" w:hAnsi="Amiri" w:eastAsia="Amiri" w:cs="Amiri"/>
          <w:color w:val="111111"/>
          <w:sz w:val="28"/>
          <w:sz w:val="28"/>
          <w:szCs w:val="28"/>
          <w:rtl w:val="true"/>
          <w:lang w:bidi="ar-SA"/>
        </w:rPr>
        <w:t>شخصيّ، أو الالتزام بعدم حصول هذا النحو منالعلم و الجهل في موجودٍ شخصيّ، أو الالتزام بعدم التضادّ بين العلم و الجهل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الضرورة؛ بداهة امتناع تعلّق العلم و الجهل بشي‌ءٍ واحد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بطلت التوالي بأسرها بطل المقدّم و هو كون هذا التعلّق نحو عروض الأعراض الموجودة الحالّة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النقض هو عين ما نحن فيه، و الحلّ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العلم و الجهل إنّما يكون قيامهما بنفس العالم و الجاهل، و لهما نحو تعلّقٍ بالمعلوم و المجهول، و يكون تحقّق تلك الإضافة إلى المعلوم 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تحقّق العلم و الشكّ، و ليس لهما وجود على حِدَة يكون عارضاً على المعلوم و المشكوك فيه، فهما في تحقّقهما و امتناع اجتماعهما و جوازه تابعان لمنشإ انتزاعهما، و هما العلم و الشكّ القائمان بنفس العالم و الجاهل، فإذا عطفنا النظر إلى المنشأ نرى أنّ الممتنع هو اجتماع العلم و الشكّ في شي‌ءٍ واحد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تعلّق العلم بجهةٍ و الشكّ بجهة اخرى، فغير ممتنعٍ، و إن اتّفق اجتماعهما في موجودٍ شخصيّ، و انطباقهما على واحدٍ خارجيّ، كالحركة الخارجيّة الشخصيّة المتّصفة بالمعلوميّة و المشكوكيّة بجهتين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لا نحتاج إلى إقامة البرهان على الجواز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الاجتماع يكون ممتنعاً بجهة اخرى غير ما ذكر و لم نتنبّه عليها، فلا بدّ لإثباته من إقامة البرهان؛ و ذلك لأنّ رفع اليد عن إطلاق الأدلّة و عمومها لا يجوز إلّا بدليلٍ شرعيّ أو عقليٍّ مفقود في المقام، و مجرّد احتمال جهةٍ واقعيّة تكون موجبة للامتناع لا يصحّح رفع اليد عن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للمانع من إقامة الدليل، لا للمجوِّز</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جواب المحقق البروجردي حول 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الثانية من کون العنوان يؤخذ في متعلّق الأحكام آلة للحاظ متعلّقاتها، لا بما هو و بنفسه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متعلّق الأحكام احتمالات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الأحكام متعلّقة بالمفاهيم الذهنية المقيدة بكونها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رد هذا الاحتمال هو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ما هو عنوانه و مفهومه الذهني؛ ضرورة أنّ البعث لايكون نحوه، و الزجر لا يكون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المفاهيم بقيد كونها في الذهن غير قابلة للامتثال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متعلّقة بالأفعال الخارجية و الموجودات العينية، و هذا ما يعبَّر عنه بالوجود بمعنى 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من تعلّق الحكم بالخارج، الفرد الخارجي من الصلاة بعد وجودها فهو طلب للحاصل، و إن أُريد الفرد الخارجي قبل وجودها فليس له أيّة واقعية حتّى يتعلّق به الطلب، و ما له الواقعية هي العناوين الكلية التي لا يرضى القائل في المقام بتعلّق الأحكام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متعلّقة بإيجاد الطبائع في الخارج، و الذي يقال له الوجود بالمعنى المصدري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دلالته على إيجاد الطبيعة فرع وجود دال عليه، و الدال منحصر في الهيئة و المادة، و الأولى وضعت للبعث نحو الطبيعة، و الثانية وضعت لنفس الطبيعة و عليه فالقول بتعلّق الأحكام بإيجاد الطبيعة عبارة أُخرى عن تعلّقها بالعناوين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الرابع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دون فرق بين أن يكون العنوان هو الصلاة أو الغصب أو يكون العنوان إيجاد الصلاة و إيجاد الغصب فيكون متعلّق كلّ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متعلّقة بالطبائع المعراة من كلّ عارض و لاحق، المنسلخة عن كلّ شي‌ء لكن لغاية الإيجاد، فالإيجاد غاية للبعث و ليس متعلّقاً له، و هو الصحيح لانّ القوة المقننة تنظر إلى واقع الحياة عن طريق العناوين و المفاهيم الكلية و تبعث إليها لغاية الإيجاد أو الترك فيكون متعلّق كلّ من الأمر و النهي مفهوماً فاقداً لكلّ شي‌ء إلّا نفسه، فعندئذ ترتفع المطاردة في مقام التشريع، لأنّ متعلّق الأمر غير متعلّق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ترتفع المطاردة في مقام الامتثال، لأنّه بوجوده الواحد مصداق للامتثال و العصيان لكن كلًا بحيثية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الأحكام متعلّقة بالعناوين بما هي مرآة للخارج و طريق إليه، و ليس مراد القائل بتعلق الأحكام بالخارج، بتعلّقها به من دون توسيط عنوان مشير إليه و هذا الاحتمال يرجع إلى الاحتمال الرابع، و ذلک لإنه ان أُريد من المرآتية، المرآتية بالفعل، فالمفاهيم الذهنية لا تكون مرآة للخارج بالفعل لعدم وجود المرئي؛ و إن أُريد المرآتية الشأنية، فهو يرجع إلى الاحتمال الرابع، و هو انّ المأمور بههو الطبيعة المنسلخة عن كلّ تعين و عارض سوى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بها لغاية الإيجاد أو لغاية الترك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المقدمة الثالثة أي إيجاب تعدّد العنوان تعددَ المعنون على القول به فهو مختص بالأُمور التكوينية و لا يعم الاعتبارية كالصلاة و الانتزاعية كالغصب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المقدمة الرابعة خارجة عن محط البحث، لأنّ البحث في أنّ للوجود الواحد ماهيةً واحدةً لا غير يختص بالماهيات المتأصلة، و أين هذا من الماهيات الاعتبارية و الانتزاعية؟ </w:t>
      </w:r>
      <w:bookmarkStart w:id="103" w:name="pg16640_202218"/>
    </w:p>
    <w:p>
      <w:pPr>
        <w:pStyle w:val="Heading2"/>
        <w:numPr>
          <w:ilvl w:val="1"/>
          <w:numId w:val="1"/>
        </w:numPr>
        <w:rPr/>
      </w:pPr>
      <w:bookmarkStart w:id="104" w:name="__RefHeading___Toc11691141_1280447820"/>
      <w:bookmarkStart w:id="105" w:name="_Toc38"/>
      <w:bookmarkEnd w:id="103"/>
      <w:bookmarkEnd w:id="104"/>
      <w:r>
        <w:rPr>
          <w:rtl w:val="true"/>
        </w:rPr>
        <w:t>ادلة المجوزين</w:t>
      </w:r>
      <w:bookmarkEnd w:id="105"/>
    </w:p>
    <w:p>
      <w:pPr>
        <w:pStyle w:val="BookText"/>
        <w:rPr/>
      </w:pPr>
      <w:r>
        <w:rPr>
          <w:rFonts w:ascii="Amiri" w:hAnsi="Amiri" w:eastAsia="Amiri" w:cs="Amiri"/>
          <w:color w:val="111111"/>
          <w:sz w:val="28"/>
          <w:sz w:val="28"/>
          <w:szCs w:val="28"/>
          <w:rtl w:val="true"/>
          <w:lang w:bidi="ar-SA"/>
        </w:rPr>
        <w:t>لكن المجوِّزين استدلّوا على الجواز بأُمور</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1691143_1280447820"/>
      <w:bookmarkStart w:id="107" w:name="_Toc39"/>
      <w:bookmarkEnd w:id="106"/>
      <w:r>
        <w:rPr>
          <w:rtl w:val="true"/>
        </w:rPr>
        <w:t>الأول</w:t>
      </w:r>
      <w:r>
        <w:rPr>
          <w:rtl w:val="true"/>
        </w:rPr>
        <w:t xml:space="preserve">: </w:t>
      </w:r>
      <w:r>
        <w:rPr>
          <w:rtl w:val="true"/>
        </w:rPr>
        <w:t>دليل قدماء الأُصوليّين</w:t>
      </w:r>
      <w:bookmarkEnd w:id="107"/>
    </w:p>
    <w:p>
      <w:pPr>
        <w:pStyle w:val="BookText"/>
        <w:rPr/>
      </w:pPr>
      <w:r>
        <w:rPr>
          <w:rFonts w:ascii="Amiri" w:hAnsi="Amiri" w:eastAsia="Amiri" w:cs="Amiri"/>
          <w:color w:val="111111"/>
          <w:sz w:val="28"/>
          <w:sz w:val="28"/>
          <w:szCs w:val="28"/>
          <w:rtl w:val="true"/>
          <w:lang w:bidi="ar-SA"/>
        </w:rPr>
        <w:t>إذا أمر المولى عبده بخياطة ثوب و نهاه عن الكون في مكان خاص، فخاطه العبد في ذلك المكان عدّ مطيعاً لأمر الخياطة، و لذا لا يأمره بتجديد الخياطة، و عدّ عاصياً للكون في ذاك المكان الخاص</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المثال خارج عن محط البحث لأنّ الخياطة لا تختلط بالغصب، لأنّ الأولى عبارة عن إدخال الإبرة في الثوب، كما أنّ الثاني عبارة عن الكون في المكان الخاص فلا يعد إدخال الإبرة في الثوب غصباً، إذ ليس فيه تصرف في المغصوب، و ليس التصرّف في الهواء تصرّفاً في المغصوب، لأنّه ليس ملكاً لصاحب المكان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11691145_1280447820"/>
      <w:bookmarkStart w:id="109" w:name="_Toc40"/>
      <w:bookmarkEnd w:id="108"/>
      <w:r>
        <w:rPr>
          <w:rtl w:val="true"/>
        </w:rPr>
        <w:t>الثاني</w:t>
      </w:r>
      <w:r>
        <w:rPr>
          <w:rtl w:val="true"/>
        </w:rPr>
        <w:t xml:space="preserve">: </w:t>
      </w:r>
      <w:r>
        <w:rPr>
          <w:rtl w:val="true"/>
        </w:rPr>
        <w:t>دليل المحقّق القمّي</w:t>
      </w:r>
      <w:bookmarkEnd w:id="10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المحقّق القمي بوجه مفصل نذكره ضمن مقاطع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الأمر طبيعة الصلاة، و متعلّق النهي طبيعة الغصب، و قد أوجدهما المكلّف بسوء اختياره في شي‌ء واحد و لا يرد في ذلك قبح على الآمر، لتغاير متعلق المتضادين فلا يلزم التكليف بالمتضادين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لا وجود له إلّا بالأفراد، فالمراد بالتكليف بالكلي هو إيجاد الفرد و إن كان على الظاهر متعلّقاً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مقدّمة لتحقّق الكلّي في الخارج، فلا غائلة في التكليف به مع التمكّن من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بالمقدّمة اللازم من الأمر بالكلّي يكفينا، فإنّ الأمر بالصلاة أمر بالكون الكلي، و الأمر به أمر بالكون الخاص مقدّمة، فهذا الكون بعينه منهي عنه أيضاً بالنهي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وجوب مقدّمة الواجب، و على فرض الوجوب، فالواجب هو فرد ما من الكون، لا الكون الخاص الجزئي، و إنّما اختار المكلّف مطلقاً الكون في ضمن هذا الفرد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المقدّمة منحصرة في الحرام، كما إذا لم يتمكن إلّا من الصلاة في الدار المغصوبة، فنحن نقول بامتناع الاجتماع، فلا بدّ إمّا من الوجوب أو الحرمة</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كلامه، و حاصله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مانع من اجتماع الحكمين لاختلاف المتعلّقين، و اجتماع الحكمين المتضادين في الفرد لا يضر، لأنّ الفرد مقدمة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قلنا بوجوب مقدّمة الواجب و حرمة مقدّمة الحرام، فالكون حرام لا انّه واجب لاختصاص الوجوب بالمباح، و يسقط وجوب المقدّمة بالمحرّم، لكون وجوبها توصلياً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 انحصار المقدّمة بالحرام، فلا بدّ من القول بامتناع الاجتماع، فلا بدّ من تقديم الوجوب أو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إليه التفصيل بين كون الانحصار بسوء الاختيار و عدمه، و انّه لا مانع من فعلية وجوب ذيها لكونه بسوء الاختيار، دون ما لم يكن كذلك و سيأتي البحث عنه في التنبيه الأوّل من تنبيهات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الفرد الخارجي نفس الطبيعي في عالم العين و إن كان غيره في عالم التصوّر، و مع العينية كيف تتصوّر المقدّمية المستلزمة للاثنينية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منتفية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مقدمية الفرد لوجود الكلي، فهي انما تجدي في جواز اجتماع الأمر و النهي إذا كان الفرد مقدمة للطبيعتين المأمور بها و المنهي عنها حتى يتعلق به الأمر و النهي معاً بلحاظ فرديته لهما، لكن الأمر ليسكذلك، لأن المجمع في مسألة اجتماع الأمر و النهي ليس فرداً لماهيتين حتى يصح تعلق الأمر و النهي به، بل هو فرد لماهية واحدة، فيمتنع تعلقهما به، لاستلزامه اجتماع الضدين و هما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وضوح كون المجمع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اجتماع الأمر و النهي فيه و ان سلمنا مقدمية الفرد للكلي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جوابه من کون الفرد الخارجي نفس الطبيعي فصحيح الّا ان النتيجة لا کما يقول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سيکون هذا الفرد مصداقا لطبيعي الصلاة و طبيعي الغصب و لا مانع منه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انکاره لکون الفرد مصداقا للطبيعتين فانه ان تم فانما يصح في التکوينيات لا الاعتباريات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ضعف توجيه ذلک بما جاء في منتهی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10" w:name="pg16640_202221"/>
    </w:p>
    <w:p>
      <w:pPr>
        <w:pStyle w:val="BookText"/>
        <w:rPr/>
      </w:pPr>
      <w:bookmarkEnd w:id="110"/>
      <w:r>
        <w:rPr>
          <w:rFonts w:ascii="Amiri" w:hAnsi="Amiri" w:eastAsia="Amiri" w:cs="Amiri"/>
          <w:color w:val="111111"/>
          <w:sz w:val="28"/>
          <w:sz w:val="28"/>
          <w:szCs w:val="28"/>
          <w:rtl w:val="true"/>
          <w:lang w:bidi="ar-SA"/>
        </w:rPr>
        <w:t>ان المراد بالماهية في المقام مطلق العناوين الكلية و ان لم تكن من العناوين الذاتيّة، كما يشهد به تمثيلهم بالصلاة و الغصب</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فالاصل هو جواز الاجتماع حتی يدل دليل علی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نسب إلی المحقق القمي من فعلية وجوب ذيها مع تسليم حرمة المقدّمة فغير تام، لأنّه يستلزم التكليف بالمحال و هو غير جائز، سواء أ كان بسوء الاختيار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القاعدة المعروفة من أنّ الامتناع بالاختيار لا ينافي الاختيار فليس بمعنى صحّة الخطاب بل بمعنى وجود ملاك التکليف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ينافيه ملاكاً و عقاباً لا خطاباً و حكماً، فلو ألقى نفسه من شاهق فحال السقوط حرام ملاكاً لانه کان قادرا ابتدءً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خطاباً لامتناع الامتثال عندئذ</w:t>
      </w:r>
      <w:r>
        <w:rPr>
          <w:rFonts w:eastAsia="IRNazanin" w:cs="IRNazanin"/>
          <w:color w:val="111111"/>
          <w:sz w:val="28"/>
          <w:szCs w:val="28"/>
          <w:rtl w:val="true"/>
          <w:lang w:bidi="fa-IR"/>
        </w:rPr>
        <w:t>.</w:t>
      </w:r>
    </w:p>
    <w:p>
      <w:pPr>
        <w:pStyle w:val="Heading2"/>
        <w:numPr>
          <w:ilvl w:val="1"/>
          <w:numId w:val="1"/>
        </w:numPr>
        <w:rPr/>
      </w:pPr>
      <w:bookmarkStart w:id="111" w:name="__RefHeading___Toc11691147_1280447820"/>
      <w:bookmarkStart w:id="112" w:name="_Toc41"/>
      <w:bookmarkEnd w:id="111"/>
      <w:r>
        <w:rPr>
          <w:rtl w:val="true"/>
        </w:rPr>
        <w:t>الثالث</w:t>
      </w:r>
      <w:r>
        <w:rPr>
          <w:rtl w:val="true"/>
        </w:rPr>
        <w:t xml:space="preserve">: </w:t>
      </w:r>
      <w:r>
        <w:rPr>
          <w:rtl w:val="true"/>
        </w:rPr>
        <w:t>دليل المحقّق النائيني</w:t>
      </w:r>
      <w:bookmarkEnd w:id="1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التركيب بين الصلاة و الغصب في المجمع انضمامي لا اتحادي، حيث ان الصلاة من مقولة الوضع و الكيف و غيرهما، و الغصب من مقولة الأين، و المقولات متباينات يمتنع اتحادها، فمتعلق الأمر مباين لمتعلق النهي، فيستحيل أن تكون الحركة الواحدة معروضة للصلاتية و الغصبية، لاستلزامه تفصل الجنس الواحد بفصلين في عرض واحد، فلا محالة يكون التركيب بين الصلاة و الغصب انضمامياً، لتغايرهما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كل من المأمور به و المنهيعنه من مشخصات الآخر، و قد ثبت في محله خروج المشخصات عن حيز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فالنتيجة جواز اجتماع الأمر و النهي في المجمع كالصلاة في المغصوب، و تحقق الامتثال بالإتيان به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الغصب من مقولة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الغصب هو الاستيلاء على ما للغير من مال أو حق بدون اذنه، الصادق على كل تصرف في مال الغير بغير اذنه و ان لم يكن من مقولة الأين كأكل مال الغير و شربه و 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 اختاره من كون التّركيب فيها انضماميّا لا اتحاديا فغير تام و ذلک لان اجتماع الامر بالصلاة و النهي عن الغصب ليس من قبيل الصلاة و النظر الی الاجنبية الذي يکون فيه الترکيب انضماميا و يکون اجتماعهما مورديا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مسألتنا بکل صورها يکون الترکيب فيها اتحاديا تجتمع فيها طبيعتا الصلاة و الغصب و عليه فتخرج الصلاة في المغصوب عن المركب الانضمامي إلى الاتحادي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ايضا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التأكيد على أنّ تركيب العنوانين تركيب انضمامي لا اتحادي يعرب عن اتّفاقه مع المحقّق الخراساني على أنّ الأحكام تتعلّق بالأفعال الخارجية، و لما كانت نتيجة ذلك هو الامتناع لا جواز الاجتماع فانبرى إلى تصحيح الاجتماع بأن تركيب المقولتين انضمامي و كلّ مقولة بمعزل عن المقولة الأُخرى، فتكون إحداهما متعلّقة بالأمر و الأُخرى متعلّقة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أنّ الأحكام لا تتعلّق بالأفعال الخارجية لأنّها بعد الوجود ظرف السقوط، و قبل الوجود ليس لها تحقّق في الخارج حتّى يتعلّق بها الحكم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التركيب الانضمامي و الاتحادي من خصائص الوجودات الخارجية كالمادة و الصورة، فمن قائل بأنّ المادة في مدارج حركتها تصير نفس الصورة من دون </w:t>
      </w:r>
    </w:p>
    <w:p>
      <w:pPr>
        <w:pStyle w:val="BookText"/>
        <w:rPr/>
      </w:pPr>
      <w:r>
        <w:rPr>
          <w:rFonts w:ascii="Amiri" w:hAnsi="Amiri" w:eastAsia="Amiri" w:cs="Amiri"/>
          <w:color w:val="111111"/>
          <w:sz w:val="28"/>
          <w:sz w:val="28"/>
          <w:szCs w:val="28"/>
          <w:rtl w:val="true"/>
          <w:lang w:bidi="ar-SA"/>
        </w:rPr>
        <w:t>أن يكون بينهما اثنينية، و التركيب بينهما اتحادي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آخر بأنّ المادة في مدارج حركتها تتشخص بالصورة و بينهما اثنينية و التركيب بينهما انضمامي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فهذا البحث مختص بالموجودات الخارجية دون العناوين الاعتبارية كالصلاة أو الانتزاعية كالغصب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 فهي عنوان اعتباري يعبر بها عن عدة مقولات متنوعة و مجتمعة فالصلاة تشتمل على الأذكار، و هي بما انّها مشتملة على الجهر و الإخفات منمقولة الكيف، و على القيام و الركوع و السجود فهي من مقولة الوضع، و على الهوي فإن قلنا بأنّ الواجب هي الهيئة الركوعية و السجودية و انّ الهوي مقدمة فهي من مقولة الوضع،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الفعل الصادر من المكلّف، فيكون الهُويّ حركة في الوضع إلى أن تنتهي بترك الأوضاع المتلاحقة إلى حدّ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تكون الصلاة أمراً اعتبارياً باعتبار إطلاقها على ما يشتمل على أزيد من مقولة و أمّا الغصب فهو أمر انتزاعي بشهادة انّه ينتزع من أمرين مختلفين في الماهية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ينتزع من التصرف في مال الغير، كلبس ثوب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ينتزع من الاستيلاء على مال الغير بلا تصرف فيه، كما إذا منع المالك من التصرف في ماله فيكون الغصب عنواناً انتزاعياً، تارة ينتزع من التصرف في مال الغير، و أُخرى من الاستيلاء على مال الغير و إن لم يتصرف فيه، فمثل ذلك لا يكون داخلًا تحت مقولة و إنّما يكون أمراً انتزاعياً، فحديث التركيب الاتحادي و الانضمامي في المقام أشبه بالسالبة بانتفاء الموضوع، و على ذلك فالغصب ليس من الماهيات المتأصلة ليستحيل اتحاده مع الصلاة خارجاً و انّه من المفاهيم الانتزاعية القابلة للانطباق على ماهيات متعددة، وعليه فلا مانع من انطباقه على الصلاة</w:t>
      </w:r>
      <w:r>
        <w:rPr>
          <w:rFonts w:eastAsia="Amiri" w:cs="Amiri" w:ascii="Amiri" w:hAnsi="Amiri"/>
          <w:color w:val="111111"/>
          <w:sz w:val="28"/>
          <w:szCs w:val="28"/>
          <w:rtl w:val="true"/>
          <w:lang w:bidi="ar-SA"/>
        </w:rPr>
        <w:t xml:space="preserve">. </w:t>
      </w:r>
      <w:bookmarkStart w:id="113" w:name="pg16640_202224"/>
    </w:p>
    <w:p>
      <w:pPr>
        <w:pStyle w:val="BookText"/>
        <w:rPr/>
      </w:pPr>
      <w:bookmarkEnd w:id="113"/>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بتعدّد الحركة و انّ الحركة الصلاتية غير الحركة الغصبية يخالف الحس و الوجدان، إذ لا يصدر عن المصلي إلّا حركة واحدة و على فرض صدور حركتين فالحركة الثانية أيضاً بما انّها تصرف في مال الغير توصف بالغصب أيضاً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11691149_1280447820"/>
      <w:bookmarkStart w:id="115" w:name="_Toc42"/>
      <w:bookmarkEnd w:id="114"/>
      <w:r>
        <w:rPr>
          <w:rtl w:val="true"/>
        </w:rPr>
        <w:t>الوجه الرابع</w:t>
      </w:r>
      <w:bookmarkEnd w:id="115"/>
    </w:p>
    <w:p>
      <w:pPr>
        <w:pStyle w:val="BookText"/>
        <w:rPr/>
      </w:pPr>
      <w:r>
        <w:rPr>
          <w:rFonts w:ascii="Amiri" w:hAnsi="Amiri" w:eastAsia="Amiri" w:cs="Amiri"/>
          <w:color w:val="111111"/>
          <w:sz w:val="28"/>
          <w:sz w:val="28"/>
          <w:szCs w:val="28"/>
          <w:rtl w:val="true"/>
          <w:lang w:bidi="ar-SA"/>
        </w:rPr>
        <w:t>ما ذكره بعضهم من أنّ الاجتماع لو كان آمريّاً و من قبل المولى، لكان ذلك مستحيلًا، لكنّه ليس في المقام كذلك بداهة أنّه مأموري و من قبل نفس المكلّف بسوء اختياره، فلا يكون هناك مانع عن 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بالامتناع يقول بأنّ الحكم بصحّة الاجتماع يؤول إلى الاجتماع الآمري، لأنّ المفروض أنّ كلا من الخطابين لإطلاق متعلّقه يعمّ ما لو وجد كلفي ضمن الآخر فيعود المحذور، إذ لو كان لمقولة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يعمّ ما إذا كانت متحدة مع الغصب، للزم أن يكون المجمع واجباً و حراماً و هذا لا يمكن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وزان الإرادة التشريعية كوزان الإرادة التكوينية، أو إنّ وزان الإرادة الأمرية كوزان الإرادة الفاعليّة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لا ينقدح في ذهن الفاعل، إرادتان متضادّتان، بأن يريد إيجاد الشي‌ء في وقت، و تركه و عدمه في نفس ذلك الوقت، فهكذا لا ينقدح في ذهن الآمر إرادتان متضادّتان فيطلب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الغصب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و تركه في نفس ذلك الوقت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الإرادة التشريعية بالإرادة الفاعلية قياس مع الفارق، فانّ الإرادة الفاعلية علّة تامّة لتحقّق المراد فلا يمكن اجتماع علّتين تامّتين فضلًا عن كونهما متضادّتين على </w:t>
      </w:r>
      <w:bookmarkStart w:id="116" w:name="pg16640_202225"/>
    </w:p>
    <w:p>
      <w:pPr>
        <w:pStyle w:val="BookText"/>
        <w:rPr/>
      </w:pPr>
      <w:bookmarkEnd w:id="116"/>
      <w:r>
        <w:rPr>
          <w:rFonts w:ascii="Amiri" w:hAnsi="Amiri" w:eastAsia="Amiri" w:cs="Amiri"/>
          <w:color w:val="111111"/>
          <w:sz w:val="28"/>
          <w:sz w:val="28"/>
          <w:szCs w:val="28"/>
          <w:rtl w:val="true"/>
          <w:lang w:bidi="ar-SA"/>
        </w:rPr>
        <w:t>شي‌ء واحد، و هذا بخلاف التشريعية فانّها ليست علّة تامّة لتحقّق المراد، سواء أقلنا بأنّها تتعلّق بفعل الغير كما هو المعروف، أو تتعلّق بالبعث و الطلب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فبما انّها ليست علّة تامّة لتحقق المراد، بل أشبه بالداعي، فلا إشكال في تعلّق إرادتين تشريعيتين بمراد واحد بعنوانين و لا يلزم من جعل الداعيين، التكليفُ بما لا يطاق، بل فائدة تعلّقهما انّه لو جمع بين المأمور به و المنهي عنه، يكون مطيعاً من جهة و عاصياً من جهة أُخرى</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افترضنا انّ الاجتماع مأموريّ، فالإشكال غير مندفع أيضاً، لأنّ التكليف بالمحال أمر قبيح من غير فرق بين سوء الاختيار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دفع هذا الاشکال في الوجه الاتي في دفع المحذور الثالث من المحاذير الواردة علی القول بجواز الاجتماع </w:t>
      </w:r>
      <w:r>
        <w:rPr>
          <w:rFonts w:eastAsia="IRNazanin" w:cs="IRNazanin"/>
          <w:color w:val="111111"/>
          <w:sz w:val="28"/>
          <w:szCs w:val="28"/>
          <w:rtl w:val="true"/>
          <w:lang w:bidi="fa-IR"/>
        </w:rPr>
        <w:t>.</w:t>
      </w:r>
    </w:p>
    <w:p>
      <w:pPr>
        <w:pStyle w:val="Heading2"/>
        <w:numPr>
          <w:ilvl w:val="1"/>
          <w:numId w:val="1"/>
        </w:numPr>
        <w:rPr/>
      </w:pPr>
      <w:bookmarkStart w:id="117" w:name="__RefHeading___Toc11691151_1280447820"/>
      <w:bookmarkStart w:id="118" w:name="_Toc43"/>
      <w:bookmarkEnd w:id="117"/>
      <w:r>
        <w:rPr>
          <w:rtl w:val="true"/>
        </w:rPr>
        <w:t>الوجه الخامس للمحقّق البروجردي</w:t>
      </w:r>
      <w:bookmarkEnd w:id="118"/>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لا تتعلّق إلّا بالطبائع دون المصاديق الخارجية، و عندئذ لا مانع من تعلّق الأمر بحيثيته، و النهي بحيثية أُخرى و عند ما تصادفت الحيثيتان على شي‌ء واحد، لا مانع من أن يكون ذاك الشي‌ء مصداقاً للمأمور به بحيثيته و مصداقاً للمنهي عنه بحيثية أُخرى، فالتضاد بين الأحكام على فرض صحته، يرتفع باختلاف المتعلّقات، و هذا هو حاصل النظرية و إجمالها، و أمّا التفصيل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النظرية بذكر ما تبتني عليه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المحاذير المتوهمة على القول بالاجتماع في المراحل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التشريع، مرحلة المبادئ، مرحلة الامتثال، و إليك الكلام في الأوّل</w:t>
      </w:r>
      <w:r>
        <w:rPr>
          <w:rFonts w:eastAsia="Amiri" w:cs="Amiri" w:ascii="Amiri" w:hAnsi="Amiri"/>
          <w:color w:val="111111"/>
          <w:sz w:val="28"/>
          <w:szCs w:val="28"/>
          <w:rtl w:val="true"/>
          <w:lang w:bidi="ar-SA"/>
        </w:rPr>
        <w:t xml:space="preserve">. </w:t>
      </w:r>
      <w:bookmarkStart w:id="119" w:name="pg16640_202226"/>
    </w:p>
    <w:p>
      <w:pPr>
        <w:pStyle w:val="Heading2"/>
        <w:numPr>
          <w:ilvl w:val="1"/>
          <w:numId w:val="1"/>
        </w:numPr>
        <w:rPr/>
      </w:pPr>
      <w:bookmarkStart w:id="120" w:name="__RefHeading___Toc11691153_1280447820"/>
      <w:bookmarkStart w:id="121" w:name="_Toc44"/>
      <w:bookmarkEnd w:id="119"/>
      <w:bookmarkEnd w:id="120"/>
      <w:r>
        <w:rPr>
          <w:rtl w:val="true"/>
        </w:rPr>
        <w:t>المقام الأوّل</w:t>
      </w:r>
      <w:r>
        <w:rPr>
          <w:rtl w:val="true"/>
        </w:rPr>
        <w:t xml:space="preserve">: </w:t>
      </w:r>
      <w:r>
        <w:rPr>
          <w:rtl w:val="true"/>
        </w:rPr>
        <w:t>في إيضاح النظرية بذكر ما تبتني عليه</w:t>
      </w:r>
      <w:bookmarkEnd w:id="121"/>
    </w:p>
    <w:p>
      <w:pPr>
        <w:pStyle w:val="BookText"/>
        <w:rPr/>
      </w:pPr>
      <w:r>
        <w:rPr>
          <w:rFonts w:ascii="Amiri" w:hAnsi="Amiri" w:eastAsia="Amiri" w:cs="Amiri"/>
          <w:color w:val="111111"/>
          <w:sz w:val="28"/>
          <w:sz w:val="28"/>
          <w:szCs w:val="28"/>
          <w:rtl w:val="true"/>
          <w:lang w:bidi="ar-SA"/>
        </w:rPr>
        <w:t>إنّ النظرية تبتني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التشريع هو تعلّقه بالعناوين و الطبائع دون المصاديق، فالمشرِّع ينظر إلى واقع الحياة عن طريق متعلّقات الأحكام التي ليست إلّا عنواناً كلياً، قابلًا للانطباق على مصاديق كثيرة، فيأمر بها، لغاية الإيجاد، كما يزجر عنها لغاية الانتهاء و الترك، و بما انّ هذه المقدّمة قد سبق ذكرها فلا نطيل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لا تتعلّق إلّا بما هو دخيل في الغرض، ثبوتاً و تتبعها دلالة الأمر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الثبوت، فلأنّ تعلّق الإرادة بما لا مدخلية له في غرضه، أمر جزاف لا يحوم حوله الحكيم، فلو كان لما هو الدخيل في الغرض، لوازم وجودية، أو أُمور مقارنة معه أحياناً فلا تتعلق بهما الإرادة، و على ضوء ذلك، فالأمر يتعلّق بالحيثية الصلاتيّة دون الغصبية و إن قارنت معها أحياناً، إذ لا مدخلية للثانية في حصول غرض المولى، كما أنّه لو كان المحصِّل لغرضه شي‌ء له أجزاء أربعة، فلا تتعلق إرادته إلّا بذات الأربعة بما هي هي و إن كانت تلازم الزوجية فاللوازم و المقارنات خارجتان عن مصب الإرادة في الإرادة الفاعلية التكوينية، و مثلها الإرادة الأمرية التشريعية حرفاً بحرف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الإثبات فلأنّ المفروض انّ المادة موضوعة لنفس الطبيعة بما هي هي، فلا تدل إلّا عليها، و أمّا اللوازم و المقارنات، فخارجتان عن حريم دلالة المادة اللفظية و إن كانت ربما تدلّ عليها بالدلالة الالتزامية التي هي دلالة عقلية فلا يتعلق بهما الأمر اللّهمّ إلّا بدال آخر و المفروض عدمه، و لذلك قلنا في محله انّ العام لا يكون مرآة للخاص، لأنّه موضوع للجامع بين الأفراد، لا له مع الخصوصيات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رفض القيود لا الجمع بين القيود، و بعبارة أُخرى الإطلاق عبارة عن كون ما وقع تحت دائرة الطلب، تمام الموضوع للحكم لا بعضه و جزئه، فيكون الحكم، حاضراً بحضور موضوعه، و هذا ما نسمّيه بالإطلاق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 اللحاظي،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تسرية الحكم إلى عامة حالات الموضوع، بلحاظ الحالات واحدة بعد الأُخرى حين الأمر حتّى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عتقها سواء أ كانت مؤمنة أم كافرة، عادلة أو فاسقة، عالمة أو جاهلة، فممّا لا أساس له، لما عرفت أنّ الإطلاق هو تسريح الموضوع عن القيد، لا أخذه مع جميع القيود و بعبارة أُخرى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القيود و تركها و عدم العناية بها، لاجمعها و ذكرها في الموضوع و لو بصورة القضية المنفصلة، لعدم مدخلية القيود في الحكم حتّى تلاحظ و تؤخذ في الموضوع و على ضوء ذلك، فمعنى الأمر بالصلاة على وجه الإطلاق هو كون الحيثية الصلاتية تمام الموضوع للحكم، و ليس معناه هو الأمر بها سواء أ كانت مع الغصب أو لا، بحيث يعد الغصب، مأخوذاً في موضوع الأمر و لو على نحو القضية المنفصلة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جواز الاجتماع، لأنّ تمام المتعلّق للأمر، هو الصلاة، و تمامه للنهي هو الغصب، و هما مختلفان مفهوماً و ماهية، و ليس معنى الأمر بها هو الأمر باللوازم الوجودية أو الأُمور المقارنة لعدم مدخليتهما في الغرض المطلوب، بالإرادة ثبوتاً، و بالأمر إثباتاً، فمعنى كون الصلاة مطلوبة مطلقاً، ليس كونها مطلوبة مع الغصب، حتّى يكون الثاني، جزء المتعلّق، بل المراد عدم أخذ أية خصوصية في المتعلّق، و تصادقهما على مورد واحد لا يضر، إذ لا إشكال في إمكان الشي‌ء الواحد مصداقاً لعنوانين لكن بحيثيتين مختلفتين</w:t>
      </w:r>
      <w:r>
        <w:rPr>
          <w:rFonts w:eastAsia="Amiri" w:cs="Amiri" w:ascii="Amiri" w:hAnsi="Amiri"/>
          <w:color w:val="111111"/>
          <w:sz w:val="28"/>
          <w:szCs w:val="28"/>
          <w:rtl w:val="true"/>
          <w:lang w:bidi="ar-SA"/>
        </w:rPr>
        <w:t xml:space="preserve">. </w:t>
      </w:r>
      <w:bookmarkStart w:id="122" w:name="pg16640_202228"/>
    </w:p>
    <w:p>
      <w:pPr>
        <w:pStyle w:val="BookText"/>
        <w:rPr/>
      </w:pPr>
      <w:bookmarkEnd w:id="122"/>
      <w:r>
        <w:rPr>
          <w:rFonts w:ascii="Amiri" w:hAnsi="Amiri" w:eastAsia="Amiri" w:cs="Amiri"/>
          <w:color w:val="111111"/>
          <w:sz w:val="28"/>
          <w:sz w:val="28"/>
          <w:szCs w:val="28"/>
          <w:rtl w:val="true"/>
          <w:lang w:bidi="ar-SA"/>
        </w:rPr>
        <w:t>نعم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أن يكون اللازم محكوماً بحكم مضاد مع حكم الملزوم، فإذا وجب إيجاد الأربعة، لا يجوز تحريم إيجاد الزوجية، و أمّا المقارن المنفك عنه أحياناً، فلا يمتنع أن يكون محكوماً بحكم مضاد، إذ في وسع المكلّف التفكيك بينهما كما هو الحال في المقام حيث إنّ الصلاة واجبة و الغصب المقارن معها أحياناً حرام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11691155_1280447820"/>
      <w:bookmarkStart w:id="124" w:name="_Toc45"/>
      <w:bookmarkEnd w:id="123"/>
      <w:r>
        <w:rPr>
          <w:rtl w:val="true"/>
        </w:rPr>
        <w:t>المقام الثاني</w:t>
      </w:r>
      <w:r>
        <w:rPr>
          <w:rtl w:val="true"/>
        </w:rPr>
        <w:t xml:space="preserve">: </w:t>
      </w:r>
      <w:r>
        <w:rPr>
          <w:rtl w:val="true"/>
        </w:rPr>
        <w:t>دفع المحاذير</w:t>
      </w:r>
      <w:bookmarkEnd w:id="124"/>
    </w:p>
    <w:p>
      <w:pPr>
        <w:pStyle w:val="BookText"/>
        <w:rPr/>
      </w:pPr>
      <w:r>
        <w:rPr>
          <w:rFonts w:ascii="Amiri" w:hAnsi="Amiri" w:eastAsia="Amiri" w:cs="Amiri"/>
          <w:color w:val="111111"/>
          <w:sz w:val="28"/>
          <w:sz w:val="28"/>
          <w:szCs w:val="28"/>
          <w:rtl w:val="true"/>
          <w:lang w:bidi="ar-SA"/>
        </w:rPr>
        <w:t>إنّ المحاذير المقصودة في المقام تدور على محاور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مبادئ الأحكام و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الامتثال و الطاعة</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1691157_1280447820"/>
      <w:bookmarkStart w:id="126" w:name="_Toc46"/>
      <w:bookmarkEnd w:id="125"/>
      <w:r>
        <w:rPr>
          <w:rtl w:val="true"/>
        </w:rPr>
        <w:t>الاول</w:t>
      </w:r>
      <w:r>
        <w:rPr>
          <w:rtl w:val="true"/>
        </w:rPr>
        <w:t xml:space="preserve">: </w:t>
      </w:r>
      <w:r>
        <w:rPr>
          <w:rtl w:val="true"/>
        </w:rPr>
        <w:t>عدم المحذور في مقام الجعل</w:t>
      </w:r>
      <w:bookmarkEnd w:id="1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المحذور في مقام الجعل و التشريع فلعدم التكاذب بين الحكمين، إذ لا مزاحمة بين إيجاب الصلاة و تحريم الغصب لاختلاف المتعلّقين بالذات، و تصادقهما في مورد، لا يضرّ بصحّة التشريع و حفظ الإطلاقين في مورده، لأنّ الواجب هو الحيثية الصلاتية، و المحرم هو الحيثية الغصبية، و لا مانع من أنيكون شي‌ء واحد مصداقاً للواجب و الحرام بحيثيتين مختلفتين و بما انّا بسطنا الكلام فيه فلا نطيل</w:t>
      </w:r>
      <w:r>
        <w:rPr>
          <w:rFonts w:eastAsia="Amiri" w:cs="Amiri" w:ascii="Amiri" w:hAnsi="Amiri"/>
          <w:color w:val="111111"/>
          <w:sz w:val="28"/>
          <w:szCs w:val="28"/>
          <w:rtl w:val="true"/>
          <w:lang w:bidi="ar-SA"/>
        </w:rPr>
        <w:t xml:space="preserve">. </w:t>
      </w:r>
      <w:bookmarkStart w:id="127" w:name="pg16640_202229"/>
    </w:p>
    <w:p>
      <w:pPr>
        <w:pStyle w:val="Heading2"/>
        <w:numPr>
          <w:ilvl w:val="1"/>
          <w:numId w:val="1"/>
        </w:numPr>
        <w:rPr/>
      </w:pPr>
      <w:bookmarkStart w:id="128" w:name="__RefHeading___Toc11691159_1280447820"/>
      <w:bookmarkStart w:id="129" w:name="_Toc47"/>
      <w:bookmarkEnd w:id="127"/>
      <w:bookmarkEnd w:id="128"/>
      <w:r>
        <w:rPr>
          <w:rtl w:val="true"/>
        </w:rPr>
        <w:t>الثاني</w:t>
      </w:r>
      <w:r>
        <w:rPr>
          <w:rtl w:val="true"/>
        </w:rPr>
        <w:t xml:space="preserve">: </w:t>
      </w:r>
      <w:r>
        <w:rPr>
          <w:rtl w:val="true"/>
        </w:rPr>
        <w:t>عدم المحذور في مبادئ الأحكام</w:t>
      </w:r>
      <w:bookmarkEnd w:id="129"/>
    </w:p>
    <w:p>
      <w:pPr>
        <w:pStyle w:val="BookText"/>
        <w:rPr/>
      </w:pPr>
      <w:r>
        <w:rPr>
          <w:rFonts w:ascii="Amiri" w:hAnsi="Amiri" w:eastAsia="Amiri" w:cs="Amiri"/>
          <w:color w:val="111111"/>
          <w:sz w:val="28"/>
          <w:sz w:val="28"/>
          <w:szCs w:val="28"/>
          <w:rtl w:val="true"/>
          <w:lang w:bidi="ar-SA"/>
        </w:rPr>
        <w:t>إنّ الحبّ و البغض من مبادئ الأحكام فيأمر بإتيان المحبوب و ينهى عن ممارسة المبغوض، كما أنّ المصلحة و المفسدة من مباديها، فيطلب ذات المصلحة، و ينهى عن ذات المفسدة و لو قلنا بجواز اجتماع الأمر و النهي في شي‌ء واحد و لو بعنوانين، ربّما يتوهم أنّه يلزم أن يكون الشي‌ء محبوباً و مبغوضاً، و ذات مصلحة و مفسدة، و هي عين القول باجتماع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مبني على كون الحبّ و البغض أو المصلحة و المفسدة من الكيفيات الجسمانية القائمة بالشي‌ء الخارجي كالسواد و البياض، فيمتنع وصف الشي‌ء بهما و لو بعنوانين، لكن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الحبّ و البغض، و يقرب منهما الإرادة و الكراهة فالجميع من الكيفيات النفسانية ذات الإضافة، فلها إضافة إلى النفس لقيامها بها، و إضافة بالذات إلى الصورة العلمية من المحبوب و المبغوض، و المراد و المكروه، و إضافة بالعرض إلى مصاديقها و أعيانها الخارجية، و على ضوء ذلك فلا مانع من اجتماع الجميع في شي‌ء واحد، لأنّه إذا اجتمعت حيثيتان في شي‌ء واحد، تشتاق النفس إليه لحيثية و تزجر عنه لأجل حيثية أُخرى، فتكريم اليتيم في الدار المغصوبة محبوب من جهة، إذ فيه ترويح لحال اليتيم؛ و مبغوض لكونه تصرفاً في مال الغير، و نقضاً للقانون، و يقرب منهما، كون الشي‌ء الواحد مراداً و مكروهاً لجهتين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المصلحة و المفسدة فليستا من الأُمور القائمة بذات الشي‌ء، بل المصالح و المفاسد الفردية، يرجع إلى حياة الشخص الفردية، فلا غرو في أن يكون الشي‌ء في حياة الإنسان ذا مصلحة باعتبار، و ذا مفسدة باعتبار آخر، إذ ربما يكون الدواء الخاص مفيداً و مضرّاً </w:t>
      </w:r>
      <w:bookmarkStart w:id="130" w:name="pg16640_202230"/>
    </w:p>
    <w:p>
      <w:pPr>
        <w:pStyle w:val="BookText"/>
        <w:rPr/>
      </w:pPr>
      <w:bookmarkEnd w:id="130"/>
      <w:r>
        <w:rPr>
          <w:rFonts w:ascii="Amiri" w:hAnsi="Amiri" w:eastAsia="Amiri" w:cs="Amiri"/>
          <w:color w:val="111111"/>
          <w:sz w:val="28"/>
          <w:sz w:val="28"/>
          <w:szCs w:val="28"/>
          <w:rtl w:val="true"/>
          <w:lang w:bidi="ar-SA"/>
        </w:rPr>
        <w:t>باعتبارين، و منه يظهر حال المصالح و المفاسد الاجتماعية، و الإشكال نابع من تنزيل المصلحة و المفسدة، منزلة الكيفيات الجسمانية القائمة بذات الشي‌ء، و قد عرفت أنّهما من الأُمور الإضافية و النسبية و لا مانع من كون الشي‌ء ذا مصلحة و مفسدة باعتبارات مختلفة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1691161_1280447820"/>
      <w:bookmarkStart w:id="132" w:name="_Toc48"/>
      <w:bookmarkEnd w:id="131"/>
      <w:r>
        <w:rPr>
          <w:rtl w:val="true"/>
        </w:rPr>
        <w:t>الثالث</w:t>
      </w:r>
      <w:r>
        <w:rPr>
          <w:rtl w:val="true"/>
        </w:rPr>
        <w:t xml:space="preserve">: </w:t>
      </w:r>
      <w:r>
        <w:rPr>
          <w:rtl w:val="true"/>
        </w:rPr>
        <w:t>عدم المحذور في مقام الامتثال</w:t>
      </w:r>
      <w:bookmarkEnd w:id="132"/>
    </w:p>
    <w:p>
      <w:pPr>
        <w:pStyle w:val="BookText"/>
        <w:rPr/>
      </w:pPr>
      <w:r>
        <w:rPr>
          <w:rFonts w:ascii="Amiri" w:hAnsi="Amiri" w:eastAsia="Amiri" w:cs="Amiri"/>
          <w:color w:val="111111"/>
          <w:sz w:val="28"/>
          <w:sz w:val="28"/>
          <w:szCs w:val="28"/>
          <w:rtl w:val="true"/>
          <w:lang w:bidi="ar-SA"/>
        </w:rPr>
        <w:t>هذه المرحلة من المراحل الثلاث، هي بيت القصيد للامتناعي، و هو يعتمد في إبطال الاجتماع على هذا المحذور، أكثر من المحاذير الأُخر، و حاصله انّه لو قلنا بجواز الاجتماع يلزم أن يكون الشي‌ء الواحد مبعوثاً إليه و منهياً عنه، أمّا على القول بتعلّق الأحكام بالمصاديق الخارجية فواضح، إذ يلزم من تصحيح الاجتماع أن يكون الشي‌ء الواحد مبعوثاً إليه و منهياً عنه، و كون متعلّق الأمر غير متعلّق النهي لا ينفع في المقام بعد تحقّق العنوانين في شي‌ء واحد، فعندئذ تكون نتيجة تجويز الاجتماع هو التكليف بالمحال، حيث يكلف بالإتيان و الترك في آن واحد و إن كان لأجل عنوانين، لأنّ تعدّد العنوان، لا يجعل الشي‌ء الواحد، شيئين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القول بتعلّق الأحكام بالطبائع، فكذلك لأنّ المولى و إن لم يلاحظ عند الأمر بالصلاة، اقترانها مع الغصب الذي أسميناه بالإطلاق اللحاظي، لكن حضور الحكم عند حضور الموضوع في كلّ الأمكنة و الأزمنة أمر لا يُنكر، و هذا هو المسمّى بالإطلاق الذاتي للدليل، فعندئذ يسأل القائل بالاجتماع، إذا حاول المكلف إيجاد الصلاة في الدار المغصوبة فهل الحضور يختص بأحد الحكمين و هو نفس القول بالامتناع، أو يعمّ </w:t>
      </w:r>
    </w:p>
    <w:p>
      <w:pPr>
        <w:pStyle w:val="BookText"/>
        <w:rPr/>
      </w:pPr>
      <w:r>
        <w:rPr>
          <w:rFonts w:ascii="Amiri" w:hAnsi="Amiri" w:eastAsia="Amiri" w:cs="Amiri"/>
          <w:color w:val="111111"/>
          <w:sz w:val="28"/>
          <w:sz w:val="28"/>
          <w:szCs w:val="28"/>
          <w:rtl w:val="true"/>
          <w:lang w:bidi="ar-SA"/>
        </w:rPr>
        <w:t>الحضور لكلا الحكمين؟ و نتيجة حضور الحكمين و حفظ الإطلاقين في المورد هو اجتماع البعث و الزجر بالنسبة إلى شي‌ء واحد، و ليس هذا إلّا التكليف بالمحال فالمكلّف بحكم إطلاق الأمر بالصلاة مبعوث إلى الفعل، و بحكم إطلاق النهي عن الغصب مزجور عنه، فهل هذا إلّا الأمر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كما قلنا هو بيت القصيد في المقام، فلو أتيح للاجتماعي حلُّه فقد حاز القِدْح المُعلّى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المنهي عنه بالنسبة إلى المأمور به من قبيل اللوازم غير المنفكة كالزوجية بالنسبة إلى الأربعة، كان لما توهّم وجه حتّى على القول بتعلّق الأحكام بالطبائع إذ لا يعقل أن يكون اللازم محكوماً بحكم يضاد حكم الملزوم بأن يجب إيجاد الأربعة و يحرم إيجاد الزوجية، و أمّا إذا كان المنهي عنه بالنسبة إلى المأمور به قبيل المقارن الذي في وسع المكلّف تفكيكه من المأمور به فلا يلزم من إيجاب الشي‌ء، و تحريم المقارن، التكليف بالمحال، لأنّ الحركة في الدار المغصوبة و إن كانت واجبة من حيث كونها مصداقاً للصلاة، و محرمة من حيث كونها مصداقاً للغصب و المولى في وقت واحد بحكم حفظ كلا الإطلاقين يأمر بها و ينهى عنها، إلّا أنّ إيجاد الصلاة في الدار المغصوبة ليس واجباً تعيينياً، بل هيإحدى المصاديق الواجبة التي يتخيّر المكلّف بينها عقلًا و لما كان هذا المصداق مقروناً بالمحذور، فعلى المكلّف العدول إلى الفرد الخالي عنه، و بهذا ينحل إشكال التكليف بالمحال، من دون حاجة إلى تقييد أحد الإطلاقين بالآخر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لو أمر بالصلاة في الدار المغصوبة على وجه التعيين يكون التأكيد على حفظ الإطلاقين موجباً للتكليف بالمحال، و لكنّه لمّا أمر بها على النحو الكلي مخيّراً </w:t>
      </w:r>
    </w:p>
    <w:p>
      <w:pPr>
        <w:pStyle w:val="BookText"/>
        <w:rPr/>
      </w:pPr>
      <w:r>
        <w:rPr>
          <w:rFonts w:ascii="Amiri" w:hAnsi="Amiri" w:eastAsia="Amiri" w:cs="Amiri"/>
          <w:color w:val="111111"/>
          <w:sz w:val="28"/>
          <w:sz w:val="28"/>
          <w:szCs w:val="28"/>
          <w:rtl w:val="true"/>
          <w:lang w:bidi="ar-SA"/>
        </w:rPr>
        <w:t>المكلّفة بين مصاديقه، و كانت المصاديق بين مجرّد عن المحذور، و مقرون به، فعلى العبد، أن يختار الأوّل دون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حفظ الإطلاقين في صورة التقارن بالمانع؟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يترتّب عليه انّه لو صلّى فيها، كان مطيعاً من جهة و عاصياً من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بعض المقدّمات أنّه لا يعتبر قيد المندوحة فيما هو المهم في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العنوان، هل يوجب تعدّد المعنون أو 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تأثير لقيد المندوحة في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تعدّد العنوان موجباً لتعدّد المعنون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المندوحة غير مؤثر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التركيب اتحاديّاً أو انضمامياً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في رفع غائلة التكليف بالمحال فقيد المندوحة معتبر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 سوء الاختيار لا يكون مجوّزاً للتكليف بالمحال، و إنّ من ألقى نفسه من شاهق، و هو في أثناء السقوط، لا يكون مكلفاً بصيانة النفس، لعدم التمكّن منه و إن كان بسوء الاختيار، و قد مرّ انّ الامتناع بالاختيار لا ينافي الاختيار، عقاباً و ملاكاً، لا خطاباً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صحيح لكنّ المقام ليس من صغريات تلك القاعدة حتّى لا يصح خطابه، بل هو في كلّ آن من الآنات قادر على ترك الغصب، و الإتيان بها في مكان مباح، فهو أشبه بمن ألقى نفسه من شاهق، لكنّه مزوّد بجهاز صناعي لو أعمله لهبط إلى الأرض بهدوء، فعندئذ لا يسقط النهي لا ملاكاً و لا عقاباً، و لا خطاباً و لا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باب الترتّب أنّه لا يجوز خطاب المكلّف بأمرين متزاحمين من دون تقييد أحدهما بترك الآخر،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هذا الغريق، و انقذ ذاك الغريق، مع عدم</w:t>
      </w:r>
      <w:bookmarkStart w:id="133" w:name="pg16640_202233"/>
    </w:p>
    <w:p>
      <w:pPr>
        <w:pStyle w:val="BookText"/>
        <w:rPr/>
      </w:pPr>
      <w:bookmarkEnd w:id="133"/>
      <w:r>
        <w:rPr>
          <w:rFonts w:ascii="Amiri" w:hAnsi="Amiri" w:eastAsia="Amiri" w:cs="Amiri"/>
          <w:color w:val="111111"/>
          <w:sz w:val="28"/>
          <w:sz w:val="28"/>
          <w:szCs w:val="28"/>
          <w:rtl w:val="true"/>
          <w:lang w:bidi="ar-SA"/>
        </w:rPr>
        <w:t>استطاعته إلّا بإنقاذ أحد الغريقين، و ما ذاك إلّا لكونه تكليفاً بالمحال، و إن كان في وسع المكلّف تعذير نفسه بالاشتغال بإنقاذ أحدهما، و إن ترتّب عليه غرق الآخر، فمجرّد التعذير، لا يسوِّغ التكليف بالمحال، و المقامأشبه بذلك حيث إنّه مخاطب بخطابين غير قابلين للامتثال معاً، لكن باب التعذير واسع، بأن يصلي في مكان مباح، فكما أنّ فتح باب العذر غير مسوِّغ لخطابين مطلقين، فهكذا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 واضح فلا يصحّ قياس أحدهما بالآخر، و ذلك لأنّ التكليف هناك متقدّم على التعذير، فلا ينقدح في ذهن المولى إيجاب إنقاذ غريقين مع علمه بعدم قدرة المكلّف إلّا بإنقاذ أحدهما، و إن كان للعبد تعجيز نفسه و تعذيرها بخلاف المقام فانّ المسوغ مقارن مع التكليف حيث إنّ الأمر بالصلاة في الدار المغصوبة ليس على النحو التعييني من أوّل الأمر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 تمام استدلال المحقق السيد البروجردي علی جواز الاجتماع</w:t>
      </w:r>
      <w:r>
        <w:rPr>
          <w:rFonts w:eastAsia="IRNazanin" w:cs="IRNazanin"/>
          <w:color w:val="111111"/>
          <w:sz w:val="28"/>
          <w:szCs w:val="28"/>
          <w:rtl w:val="true"/>
          <w:lang w:bidi="fa-IR"/>
        </w:rPr>
        <w:t>.</w:t>
      </w:r>
    </w:p>
    <w:p>
      <w:pPr>
        <w:pStyle w:val="Heading2"/>
        <w:numPr>
          <w:ilvl w:val="1"/>
          <w:numId w:val="1"/>
        </w:numPr>
        <w:rPr/>
      </w:pPr>
      <w:bookmarkStart w:id="134" w:name="__RefHeading___Toc11691163_1280447820"/>
      <w:bookmarkStart w:id="135" w:name="_Toc49"/>
      <w:bookmarkEnd w:id="134"/>
      <w:r>
        <w:rPr>
          <w:rtl w:val="true"/>
        </w:rPr>
        <w:t>الوجه السادس</w:t>
      </w:r>
      <w:r>
        <w:rPr>
          <w:rtl w:val="true"/>
        </w:rPr>
        <w:t xml:space="preserve">: </w:t>
      </w:r>
      <w:r>
        <w:rPr>
          <w:rtl w:val="true"/>
        </w:rPr>
        <w:t>استكشاف جواز الاجتماع من عدم ورود النص</w:t>
      </w:r>
      <w:bookmarkEnd w:id="135"/>
    </w:p>
    <w:p>
      <w:pPr>
        <w:pStyle w:val="BookText"/>
        <w:rPr/>
      </w:pPr>
      <w:r>
        <w:rPr>
          <w:rFonts w:ascii="Amiri" w:hAnsi="Amiri" w:eastAsia="Amiri" w:cs="Amiri"/>
          <w:color w:val="111111"/>
          <w:sz w:val="28"/>
          <w:sz w:val="28"/>
          <w:szCs w:val="28"/>
          <w:rtl w:val="true"/>
          <w:lang w:bidi="ar-SA"/>
        </w:rPr>
        <w:t>استكشاف جواز الاجتماع من عدم ورود النص على عدم جواز الصلاة في المكان و اللباس المغصوبين، مع عموم الابتلاء به في زمان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 العباسية، خصوصاً على القول بحرمة الغنائم التي كانوا يغنمونها عن طريق جهاد العدو ابتداءً الذي هو حق طلق للإمام العادل أو المعصوم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الذي يوضح ذلك أنّ الشيخ الكليني نقل عن الفضل بن شاذان الذي هو من أصحاب العسكريين مؤلّف كتاب الرد علی الفلاسفة و الايضاح و غيرهما من الکتب القيمة و قد </w:t>
      </w:r>
      <w:bookmarkStart w:id="136" w:name="pg16640_202234"/>
    </w:p>
    <w:p>
      <w:pPr>
        <w:pStyle w:val="BookText"/>
        <w:rPr/>
      </w:pPr>
      <w:bookmarkEnd w:id="136"/>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قياس الخروج و الإخراج كرجل دخل دار قوم بغير إذنهم فصلّى فيها فهو عاص في دخوله الدار و صلاته جائزة</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يعرب عن كون المشهور لدى أصحاب الأئمّة هو الجواز، و إلّا لصدر النصّ عنهم عليهم السلام على المنع</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1691165_1280447820"/>
      <w:bookmarkStart w:id="138" w:name="_Toc50"/>
      <w:bookmarkEnd w:id="137"/>
      <w:r>
        <w:rPr>
          <w:rtl w:val="true"/>
        </w:rPr>
        <w:t>الوجه السابع</w:t>
      </w:r>
      <w:r>
        <w:rPr>
          <w:rtl w:val="true"/>
        </w:rPr>
        <w:t xml:space="preserve">: </w:t>
      </w:r>
      <w:r>
        <w:rPr>
          <w:rtl w:val="true"/>
        </w:rPr>
        <w:t>الاستدلال بالعبادات المكروهة</w:t>
      </w:r>
      <w:bookmarkEnd w:id="138"/>
    </w:p>
    <w:p>
      <w:pPr>
        <w:pStyle w:val="BookText"/>
        <w:rPr/>
      </w:pPr>
      <w:r>
        <w:rPr>
          <w:rFonts w:ascii="Amiri" w:hAnsi="Amiri" w:eastAsia="Amiri" w:cs="Amiri"/>
          <w:color w:val="111111"/>
          <w:sz w:val="28"/>
          <w:sz w:val="28"/>
          <w:szCs w:val="28"/>
          <w:rtl w:val="true"/>
          <w:lang w:bidi="ar-SA"/>
        </w:rPr>
        <w:t>أدلّ دليل على إمكان الشي‌ء وقوعه، و قد تعلّق النهي في الشريعة الإسلامية بالعبادات، فلو كان التّضاد بين الأحكام مانعاً عن الاجتماع لما تعلّق النهي بصوم يوم عاشوراء، أو بالنوافل المبتدأة في أوقات خاصّة فكلّ واحد منها بنفسه مأمور به و في الوقت نفسه منهي عنه</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1691167_1280447820"/>
      <w:bookmarkStart w:id="140" w:name="_Toc51"/>
      <w:bookmarkEnd w:id="139"/>
      <w:r>
        <w:rPr>
          <w:rtl w:val="true"/>
        </w:rPr>
        <w:t>جواب المحقّق الخراساني الاجمالي</w:t>
      </w:r>
      <w:bookmarkEnd w:id="140"/>
    </w:p>
    <w:p>
      <w:pPr>
        <w:pStyle w:val="BookText"/>
        <w:rPr/>
      </w:pPr>
      <w:r>
        <w:rPr>
          <w:rFonts w:ascii="Amiri" w:hAnsi="Amiri" w:eastAsia="Amiri" w:cs="Amiri"/>
          <w:color w:val="111111"/>
          <w:sz w:val="28"/>
          <w:sz w:val="28"/>
          <w:szCs w:val="28"/>
          <w:rtl w:val="true"/>
          <w:lang w:bidi="ar-SA"/>
        </w:rPr>
        <w:t>و قد أجاب المحقّق الخراساني عن الاستدلال بهذه الموارد إجمالاً بوجوه ثلاثة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الجواب عنه أما إجمالا فبأنه لا بد من التصرف و التأويل فيما وقع في الشريعة مما ظاهره الاجتماع بعد قيام الدليل على الامتناع ضرورة أن الظهور لا يصادم البرهان مع أن قضية ظهور تلك الموارد اجتماع الحكمين فيها بعنوان واحد و لا يقول الخصم بجوازه كذلك بل بالامتناع ما لم يكن بعنوانين و بوجهين فهو أيضا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 عن إشكال الاجتماع فيها لا سيما إذا لم يكن هناك مندوحة كما في العبادات المكروهة التي </w:t>
      </w:r>
    </w:p>
    <w:p>
      <w:pPr>
        <w:pStyle w:val="BookText"/>
        <w:rPr/>
      </w:pPr>
      <w:r>
        <w:rPr>
          <w:rFonts w:ascii="Amiri" w:hAnsi="Amiri" w:eastAsia="Amiri" w:cs="Amiri"/>
          <w:color w:val="111111"/>
          <w:sz w:val="28"/>
          <w:sz w:val="28"/>
          <w:szCs w:val="28"/>
          <w:rtl w:val="true"/>
          <w:lang w:bidi="ar-SA"/>
        </w:rPr>
        <w:t>لا بدل لها فلا يبقى له مجال للاستدلال بوقوع الاجتماع فيها على جوازه أصلا كما لا يخفى</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الظهور لا يصادم البرهان فلو قام البرهان على الامتناع فلا بدّ من تأويل ما يدلّ على الجواز فصحيح علی مبناه و لا نقول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الاجتماعي و الامتناعي أمام بعض الأقسام الاتية كالقسم الأوّل أو جميعها سواء، حيث إنّ الأمر و النهي تعلّقا بعنوان واحد و هو صوم يوم عاشوراء، و من المعلوم أنّه غير جائز حتّى عند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الروايات الواردة في صوم عاشوراء</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يوم عاشوراء يوم حزن و مصيبة لأهل البيت و شيعتهم، و يوم فرح و سرور لأعدائهم، و قد صام ذلك اليوم آل زياد و آل مروان شكراً و فرحاً و تبركاً، فمن صامه يقع في زمرة من يصومه شكراً للمصيبة الواردة على أهل البيت و شكراً على سلامة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ما سأل الراوي عن صوم يوم عاشوراء، قال ذلك يوم قتل فيه الحسين، فإن كنت شامتاً فصم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أُمية نذروا نذراً إنْ قتل الحسين أن يتخذوا ذلك اليوم عيداً لهم، يصومون فيه شكراً و يُفرِّحون أولادَهم، فصارت في آل أبي سفيان سنّة إلى اليوم، فلذلك يصومونه و يدخلون على أهاليهم و عيالاتهم الفرح ذلك اليوم،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لا يكون للمصيبة و لا يكون إلّا شكراً للسلامة، و 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 يوم عاشوراء فإن كنت فيمن أُصيب به فلا تصم، و إن كنت شامتاً ممّن سرّه سلامة بني أُمية فصم شكراً 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p>
    <w:p>
      <w:pPr>
        <w:pStyle w:val="BookText"/>
        <w:rPr/>
      </w:pPr>
      <w:r>
        <w:rPr>
          <w:rFonts w:ascii="Amiri" w:hAnsi="Amiri" w:eastAsia="Amiri" w:cs="Amiri"/>
          <w:color w:val="111111"/>
          <w:sz w:val="28"/>
          <w:sz w:val="28"/>
          <w:szCs w:val="28"/>
          <w:rtl w:val="true"/>
          <w:lang w:bidi="ar-SA"/>
        </w:rPr>
        <w:t>فالمبغوض هو التشبّه ببني أُمية و الانسلاك في عدادهم و لو في الظاهر، فقد كانوا متبرّكين بهذا اليوم كما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يوم تبرّكت به بنو أُمية و ابن آكلة الأكباد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صوم ذلك اليوم من مظاهر التشبّه على نحو لولاه لما توجّه إليه نهي، و عندئذ يصبح الصوم مأموراً به، لا منهياً عنه، و إنّما المنهيّ عنه هو التشبّه و الانسلاك في عدادهم في الظاهر، فأين اجتماع الأمر و النهي في شي‌ء واحد؟</w:t>
      </w:r>
    </w:p>
    <w:p>
      <w:pPr>
        <w:pStyle w:val="BookText"/>
        <w:rPr/>
      </w:pPr>
      <w:r>
        <w:rPr>
          <w:rFonts w:ascii="IRNazanin" w:hAnsi="IRNazanin" w:eastAsia="IRNazanin"/>
          <w:color w:val="111111"/>
          <w:sz w:val="28"/>
          <w:sz w:val="28"/>
          <w:szCs w:val="28"/>
          <w:rtl w:val="true"/>
          <w:lang w:bidi="fa-IR"/>
        </w:rPr>
        <w:t xml:space="preserve">و بذلک افتی الشيخان فقال المفيد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 عن صوم يوم عاشوراء فقال من صامه كان حظه حظ ابن مرجانة و آل زياد قيل ما حظهم قال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صام يوم عاشوراء على ما يعتقد فيه الناصبة من الفضل في صيامه لبركته و سعادته فقد أثم و من صامه للحزن بمصاب رسول الله صلی الله عليه و اله و الجزع لما حل بعترته عليهم السلام فقد أصاب و أجر‌</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جمع الشيخ بين الاخبار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الصوم، كناية عن النهي عن التشبّه يتوقّف على وجود الملازمة بين النهيين كما قال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هنا واضحة، بعد شيوع عمل الأمويين و المروانيين في هذا اليوم و انّهم كانوا يصومون ذلك اليوم للتبرّك و الفرح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لم يكن هناك مندوحة كما في العبادات المكروهة التي لا بدل لها فانه إذا كانت له مندوحة أي بدل كالصلاة في الحمام، حيث ان العبد يقدر على إيجادها في المسجد أو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القول بعدم توجه الأمر بالصلاة في هذا المورد المكروه أعني </w:t>
      </w:r>
      <w:bookmarkStart w:id="141" w:name="pg16640_202237"/>
    </w:p>
    <w:p>
      <w:pPr>
        <w:pStyle w:val="BookText"/>
        <w:rPr/>
      </w:pPr>
      <w:bookmarkEnd w:id="141"/>
      <w:r>
        <w:rPr>
          <w:rFonts w:ascii="IRNazanin" w:hAnsi="IRNazanin" w:eastAsia="IRNazanin"/>
          <w:color w:val="111111"/>
          <w:sz w:val="28"/>
          <w:sz w:val="28"/>
          <w:szCs w:val="28"/>
          <w:rtl w:val="true"/>
          <w:lang w:bidi="fa-IR"/>
        </w:rPr>
        <w:t>الحمام بخصوصه، فلا يلزم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لم يكن له مندوحة كصوم يوم عاشوراء، فان الأمر الاستحبابي متوجه إليه يقيناً، لأن صوم كل يوم مستحب في نفسه، لا لبدليته عن غيره، فيلزم الاجتماع قطعاً، فلا بد للقائل بالجواز خصوصاً هنا من التفصي عن محذور الاجتماع كالقائل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قيد المندوحة علی القول به مختص بالمحرمات و الواجبات و لا يشمل المکروهات فکل مکروه جائز و لا اضطرار في فعله</w:t>
      </w:r>
      <w:r>
        <w:rPr>
          <w:rFonts w:eastAsia="IRNazanin" w:cs="IRNazanin"/>
          <w:color w:val="111111"/>
          <w:sz w:val="28"/>
          <w:szCs w:val="28"/>
          <w:rtl w:val="true"/>
          <w:lang w:bidi="fa-IR"/>
        </w:rPr>
        <w:t>.</w:t>
      </w:r>
    </w:p>
    <w:p>
      <w:pPr>
        <w:pStyle w:val="Heading2"/>
        <w:numPr>
          <w:ilvl w:val="1"/>
          <w:numId w:val="1"/>
        </w:numPr>
        <w:rPr/>
      </w:pPr>
      <w:bookmarkStart w:id="142" w:name="__RefHeading___Toc11691169_1280447820"/>
      <w:bookmarkStart w:id="143" w:name="_Toc52"/>
      <w:bookmarkEnd w:id="142"/>
      <w:r>
        <w:rPr>
          <w:rtl w:val="true"/>
        </w:rPr>
        <w:t>جواب المحقق الخراساني التفصيلي</w:t>
      </w:r>
      <w:bookmarkEnd w:id="143"/>
    </w:p>
    <w:p>
      <w:pPr>
        <w:pStyle w:val="Heading2"/>
        <w:numPr>
          <w:ilvl w:val="1"/>
          <w:numId w:val="1"/>
        </w:numPr>
        <w:rPr/>
      </w:pPr>
      <w:bookmarkStart w:id="144" w:name="__RefHeading___Toc11691171_1280447820"/>
      <w:bookmarkStart w:id="145" w:name="_Toc53"/>
      <w:bookmarkEnd w:id="144"/>
      <w:r>
        <w:rPr>
          <w:rtl w:val="true"/>
        </w:rPr>
        <w:t>تقسيم العبادات المكروهة على أقسام ثلاثة</w:t>
      </w:r>
      <w:bookmarkEnd w:id="145"/>
    </w:p>
    <w:p>
      <w:pPr>
        <w:pStyle w:val="BookText"/>
        <w:rPr/>
      </w:pPr>
      <w:r>
        <w:rPr>
          <w:rFonts w:ascii="Amiri" w:hAnsi="Amiri" w:eastAsia="Amiri" w:cs="Amiri"/>
          <w:color w:val="111111"/>
          <w:sz w:val="28"/>
          <w:sz w:val="28"/>
          <w:szCs w:val="28"/>
          <w:rtl w:val="true"/>
          <w:lang w:bidi="ar-SA"/>
        </w:rPr>
        <w:t>ثمّ إنّه بعد ما فرغ عن الأجوبة الثلاثة حاول أن يجيب عن الاستدلال على نحو التفصيل،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المكروهة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بعنوانه و ذاته، و لا بدل له كصوم يوم عاشوراء أو النوافل المبتدئة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كذلك و يكون له بدل كالنهي عن الصلاة في الحمام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لا بذاته، بل بما هو مجامع معه وجوداً أو ملازم له‌</w:t>
      </w:r>
      <w:r>
        <w:rPr>
          <w:rStyle w:val="FootnoteAnchor"/>
          <w:rtl w:val="true"/>
        </w:rPr>
        <w:footnoteReference w:id="57"/>
      </w:r>
      <w:r>
        <w:rPr>
          <w:rFonts w:ascii="Amiri" w:hAnsi="Amiri" w:eastAsia="Amiri" w:cs="Amiri"/>
          <w:color w:val="111111"/>
          <w:sz w:val="28"/>
          <w:sz w:val="28"/>
          <w:szCs w:val="28"/>
          <w:rtl w:val="true"/>
          <w:lang w:bidi="ar-SA"/>
        </w:rPr>
        <w:t>، خارجاً كالصلاة في مواضع التهمة بناء على أنّ النهي عنها لأجل اتّحادها مع الكون في مواضعها</w:t>
      </w:r>
      <w:r>
        <w:rPr>
          <w:rFonts w:eastAsia="Amiri" w:cs="Amiri" w:ascii="Amiri" w:hAnsi="Amiri"/>
          <w:color w:val="111111"/>
          <w:sz w:val="28"/>
          <w:szCs w:val="28"/>
          <w:rtl w:val="true"/>
          <w:lang w:bidi="ar-SA"/>
        </w:rPr>
        <w:t xml:space="preserve">. </w:t>
      </w:r>
      <w:bookmarkStart w:id="146" w:name="pg16640_202238"/>
    </w:p>
    <w:p>
      <w:pPr>
        <w:pStyle w:val="Heading2"/>
        <w:numPr>
          <w:ilvl w:val="1"/>
          <w:numId w:val="1"/>
        </w:numPr>
        <w:rPr/>
      </w:pPr>
      <w:bookmarkStart w:id="147" w:name="__RefHeading___Toc11691173_1280447820"/>
      <w:bookmarkStart w:id="148" w:name="_Toc54"/>
      <w:bookmarkEnd w:id="146"/>
      <w:bookmarkEnd w:id="147"/>
      <w:r>
        <w:rPr>
          <w:rtl w:val="true"/>
        </w:rPr>
        <w:t>اجابة المحقق الخراساني عن القسم الاول</w:t>
      </w:r>
      <w:bookmarkEnd w:id="148"/>
    </w:p>
    <w:p>
      <w:pPr>
        <w:pStyle w:val="BookText"/>
        <w:rPr/>
      </w:pPr>
      <w:r>
        <w:rPr>
          <w:rFonts w:ascii="Amiri" w:hAnsi="Amiri" w:eastAsia="Amiri" w:cs="Amiri"/>
          <w:color w:val="111111"/>
          <w:sz w:val="28"/>
          <w:sz w:val="28"/>
          <w:szCs w:val="28"/>
          <w:rtl w:val="true"/>
          <w:lang w:bidi="ar-SA"/>
        </w:rPr>
        <w:t>أجاب المحقق الخراساني عن العبادة التي تعلّق بها النهي و ليس لها بدل بأجوبة ثلاثة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النهي عن الصوم يرجع إلى طلب تركه لأجل انطباق عنوان ذي مصلحة على الترك فيكون الترك ذا مصلحة، كالفعل، فحينئذ يكونان من قبيل المستحبّين المتزاحمين، و الأصل فيهما هو التخيير لو كانا متساويين، و إلّا فيتعيّن الأهم و إن كان الآخر يقع صحيحاً حيث إنّه كان راجحاً و موافقاً للغرض كما هو الحال في سائر المستحبّات المتزاحمة، بل الواجبات، و أرجحية الترك من الفعل لا توجب حزازة و منقصة فيه أصلًا كما يوجبها ما إذا كان مفسدته غالبة على مصلحته، و لذا لا يقع صحيحاً على الامتناع فانّ الحزازة و المنقصة فيه مانعة عن صلاحية المتقرَّب به بخلاف المقام فانّه على ما هو عليه من الرجحان و موافقة الغرض كما إذا لم يكن تركه راجحاً بلا حدوث حزازة فيه أصلًا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الفعل و الترك متساويين في المصلحة فيصبح الفعل مباحاً لا انّه يكون كلّ منهما مستحبّاً، و يشهد على ذلك انّه لم يقل أحد من الفقهاءبأنّ النوافل المبتدئة في أوقات خاصّة مستحبّة فعلًا و تركاً، أو الإفطار في يوم عاشوراء مستحب فعلًا 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يوم عاشوراء، الذي هو بمعنى الزجر عن الفعل، إلى طلب الترك، بحيث يصبح الترك كالفعل، أمراً مستحبّاً، أمر غير صحيح، فأين الزجر عن الفعل الذي هو مفاد النهي من طلب الترك المقصود منه استحباب الترك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انه نفس الجواب الاول غير أنّ العنوان الراجح ليس منطبقاً على الترك، بل ملازماً معه كملازمة ترك الصوم مع التمكّن من إقامة العزاء على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فرض أنّ الترك ملازم لعنوان وجودي ذي مصلحة أقوى من مصلحة الفعل لا محالة يكون الترك أرجح منه، و لا فرق بين العنوان المنطبق و الملازم إلّا أنّ الطلب في الأوّل يتعلّق بالترك حقيقة، لاتّحاد العنوان مع الترك، بخلاف الثاني فانّ الطلب يتعلّق بالعنوان الراجح الملازم حقيقة، و بالترك بالعرض و المجاز، إذ الملازم خارج عن حقيقة الترك، فلا يتجاوز الطلب عن العنوان إلى الملازم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إرجاع لا تصم يوم عاشوراء إلى طلب الترك و جعل الثاني كناية عن الدعوة إلى إقامة العزاء للحسين، تأويل في تأويل، مضافاً إلى أنّه يشترط في صحّة الكناية وجود الملازمة العقلية أو العرفية بين ذكر الملزوم و إرادة اللازم، و هي مفقودة في المقام، إذ ربّما صائم يقيم العزاء، و ربّما مفطر لا يقيمه، فكيف يكون النهي عن الصوم المتأوّل إلى طلب الترك، كناية عن إقامة العزاء؟</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49" w:name="pg16640_202240"/>
    </w:p>
    <w:p>
      <w:pPr>
        <w:pStyle w:val="BookText"/>
        <w:rPr/>
      </w:pPr>
      <w:bookmarkEnd w:id="149"/>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حمل النهي على الإرشاد إلى أنّ الترك أرجح من الفعل أو ملازم لما هو أرجح و أكثر ثواباً، فيكون النهي متعلّقاً بالصوم حقيقة، لا بالعرض و المجاز كما في الوجه الثاني، و الكراهة في المقام ليس بمعنى المنقصة في الفعل، بل بمعنى كونه أقلّ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الكراهة اصطلاحان، أحدهما وجودالمنقصة، و الثاني كون العبادة، أقلّ ثواباً، و هذا هو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مكروهة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كون النهي إرشاداً إلى أنّ الفعل أقلّ ثواباً من الترك يتوقف علی القول بالامتناع و الّا علی القول بالجواز فکون النهي ارشاديا يحتاج الی القرينة و هي مفقودة</w:t>
      </w:r>
      <w:r>
        <w:rPr>
          <w:rFonts w:eastAsia="IRNazanin" w:cs="IRNazanin"/>
          <w:color w:val="111111"/>
          <w:sz w:val="28"/>
          <w:szCs w:val="28"/>
          <w:rtl w:val="true"/>
          <w:lang w:bidi="fa-IR"/>
        </w:rPr>
        <w:t>.</w:t>
      </w:r>
    </w:p>
    <w:p>
      <w:pPr>
        <w:pStyle w:val="Heading2"/>
        <w:numPr>
          <w:ilvl w:val="1"/>
          <w:numId w:val="1"/>
        </w:numPr>
        <w:rPr/>
      </w:pPr>
      <w:bookmarkStart w:id="150" w:name="__RefHeading___Toc11691175_1280447820"/>
      <w:bookmarkStart w:id="151" w:name="_Toc55"/>
      <w:bookmarkEnd w:id="150"/>
      <w:r>
        <w:rPr>
          <w:rtl w:val="true"/>
        </w:rPr>
        <w:t>إجابة المحقّق الخراساني عن القسم الثاني و الثالث</w:t>
      </w:r>
      <w:bookmarkEnd w:id="1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الثاني فالنهي فيه يمكن أن يكون لأجل ما ذكر في القسم الأول طابق النعل بالنعل كما يمكن أن يكون بسبب حصول منقصة في الطبيعة المأمور بها لأجل تشخصها في هذا القسم بمشخص غير ملائم لها كما في الصلاة في الحمام فإن تشخصها بتشخص وقوعها فيه لا يناسب كونها معراجا و إن لم يكن نفس الكون في الحمام بمكروه و لا حزازة فيه أصلا بل كان راجحا كما لا يخفى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الثالث فيمكن أن يكون النهي فيه عن العبادة المتحدة مع ذاك العنوان أو الملازمة له بالعرض و المجاز و كان المنهي عنه به حقيقة ذاك العنوان و يمكن أن يكون على الحقيقة إرشادا إلى غيرها من سائر الأفراد مما لا يكون متحدا معه أو ملازما له إذ المفروض التمكن من استيفاء مزية العبادة بلا ابتلاء بحزازة ذاك العنوان أصلا هذا على القول بجواز الاجتماع</w:t>
      </w:r>
      <w:r>
        <w:rPr>
          <w:rFonts w:eastAsia="IRNazanin" w:cs="IRNazanin"/>
          <w:color w:val="111111"/>
          <w:sz w:val="28"/>
          <w:szCs w:val="28"/>
          <w:rtl w:val="true"/>
          <w:lang w:bidi="fa-IR"/>
        </w:rPr>
        <w:t xml:space="preserve">. </w:t>
      </w:r>
      <w:bookmarkStart w:id="152" w:name="pg16640_202241"/>
    </w:p>
    <w:p>
      <w:pPr>
        <w:pStyle w:val="BookText"/>
        <w:rPr/>
      </w:pPr>
      <w:bookmarkEnd w:id="152"/>
      <w:r>
        <w:rPr>
          <w:rFonts w:ascii="Amiri" w:hAnsi="Amiri" w:eastAsia="Amiri" w:cs="Amiri"/>
          <w:color w:val="111111"/>
          <w:sz w:val="28"/>
          <w:sz w:val="28"/>
          <w:szCs w:val="28"/>
          <w:rtl w:val="true"/>
          <w:lang w:bidi="ar-SA"/>
        </w:rPr>
        <w:t>و أما على الامتناع فكذلك في صورة الملازمة و أما في صورة الاتحاد و ترجيح جانب الأمر كما هو المفروض حيث إنه صحة العبادة فيكون حال النهي فيه حاله في القسم الثاني فيحمل على ما حمل عليه فيه طابق النعل بالنعل حيث إنه بالدقة يرجع إليه‌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الجواب الذي اوردناه علی القسم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1691177_1280447820"/>
      <w:bookmarkStart w:id="154" w:name="_Toc56"/>
      <w:bookmarkEnd w:id="153"/>
      <w:r>
        <w:rPr>
          <w:rtl w:val="true"/>
        </w:rPr>
        <w:t>في مناط الاضطرار الرافع للحرمة</w:t>
      </w:r>
      <w:bookmarkEnd w:id="154"/>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الاضطرار إلى ارتكاب الحرام و إن كان يوجب ارتفاع حرمته و العقوبة عليه مع بقاء ملاك وجوبه لو كان مؤثرا له كما إذا لم يكن بحرام بلا كلام إلّا أنه إذا لم يكن الاضطرار إليه بسوء الاختيار بأن يختار ما يؤدي إليه لا محالة فإن الخطاب بالزجر عنه حينئذ و إن كان ساقطا إلّا أنه حيث يصدر عنه مبغوضا عليه و عصيانا لذاك الخطاب و مستحقا عليه العقاب لا يصلح لأن يتعلق به الإيجاب و هذا في الجملة مما لا شبهة فيه و لا ارتياب</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الذي مضى الكلام فيه تحت جواز اجتماع الأمر و النهي في شي‌ء واحد بعنوانين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معلوم الحکم فان الاضطرار لا عن اختيار رافع للحرمة التكليفية دخولًا و بقاءً و خروجاً کما هو مقتضی الأدلّة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65"/>
      </w:r>
      <w:r>
        <w:rPr>
          <w:rFonts w:ascii="IRNazanin" w:hAnsi="IRNazanin" w:eastAsia="IRNazanin"/>
          <w:color w:val="111111"/>
          <w:sz w:val="28"/>
          <w:sz w:val="28"/>
          <w:szCs w:val="28"/>
          <w:rtl w:val="true"/>
          <w:lang w:bidi="fa-IR"/>
        </w:rPr>
        <w:t>و الآية دالة على أنّ الأحكام مقيّدة بالقدرة و الوسع، و کل ما هو خارج عن القدرة فلا تکليف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الرفع، روى الصدوق في خصاله عن شيخه أحمد بن محمد بن يحيى رضي الله عنه عن يعقوب بن يزيد، عن حمّاد بن عيسى، عن حريز بن عبد اللّه،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 النسيان، و ما أُكرهوا عليه، و ما لا يعلمون، و ما لا يطيقون، و ما اضطروا إليه </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الرواية مضافا الی کونها موثوقا بها صحيحة سندا و رواتها كلّهم ثقات، و لا اشکال فيها الا من جهة أحمد بن محمد بن يحيى العطار الذي هو من مشايخ الصدوق و هو ثقة بلا إشكال، و عدم ورود التوثيق في حقّه في الكتب الرجالية لأجل وضوح وثاقته أوّلًا، و القرائن تشهد على وثاقته ثانياً، لأنّ الشيخ الصدوق يروي عنه و يترضّى عليه، و إكثار الثقات النقل عنه ثالثاً، فإنّ الثقة و إن كان يروي عن غير الثقة أحياناً و لكن كثرة النقل عن الضعيف كان من أسباب الجرح عند القدماء، و لذلك أخرج الرئيس أحمد بن محمد بن عيسى الأشعري محدّثين من قم أعني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و سهل بن زياد الآدمي و ما هذا إلّا لكثرة نقلهما عن الضعاف من دون أي غمزفيهما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تعويض السند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سيأتي في بحث البراءة ان شاء الله تعالی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حول الحكم التكليفي و اما الحكم الوضعي، أي صحّة عبادته في الحالات الثلاث دخولاً و بقاءً و خروجاً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بجواز الاجتماع فالحكم بالصحة موافق للقواعد، كما أنّه لو قلنا بالامتناع و قدّمنا الأمر على النهي فالحکم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الكلام في القول </w:t>
      </w:r>
      <w:bookmarkStart w:id="155" w:name="pg16640_202243"/>
    </w:p>
    <w:p>
      <w:pPr>
        <w:pStyle w:val="BookText"/>
        <w:rPr/>
      </w:pPr>
      <w:bookmarkEnd w:id="155"/>
      <w:r>
        <w:rPr>
          <w:rFonts w:ascii="IRNazanin" w:hAnsi="IRNazanin" w:eastAsia="IRNazanin"/>
          <w:color w:val="111111"/>
          <w:sz w:val="28"/>
          <w:sz w:val="28"/>
          <w:szCs w:val="28"/>
          <w:rtl w:val="true"/>
          <w:lang w:bidi="fa-IR"/>
        </w:rPr>
        <w:t>بالعكس، أي قلنا بالامتناع و قدّمنا النهي على الأمر، فالتحقيق بطلان عبادة ذلك المضطر بغير سوء الاختيار لعدم الامر حسب الفرض و عدم کفاية الملاک في صحة العبادة</w:t>
      </w:r>
      <w:r>
        <w:rPr>
          <w:rFonts w:eastAsia="IRNazanin" w:cs="IRNazanin"/>
          <w:color w:val="111111"/>
          <w:sz w:val="28"/>
          <w:szCs w:val="28"/>
          <w:rtl w:val="true"/>
          <w:lang w:bidi="fa-IR"/>
        </w:rPr>
        <w:t>.</w:t>
      </w:r>
    </w:p>
    <w:p>
      <w:pPr>
        <w:pStyle w:val="Heading2"/>
        <w:numPr>
          <w:ilvl w:val="1"/>
          <w:numId w:val="1"/>
        </w:numPr>
        <w:rPr/>
      </w:pPr>
      <w:bookmarkStart w:id="156" w:name="__RefHeading___Toc11691179_1280447820"/>
      <w:bookmarkStart w:id="157" w:name="_Toc57"/>
      <w:bookmarkEnd w:id="156"/>
      <w:r>
        <w:rPr>
          <w:rtl w:val="true"/>
        </w:rPr>
        <w:t>استدلال المحقق السيد البروجردي</w:t>
      </w:r>
      <w:bookmarkEnd w:id="157"/>
    </w:p>
    <w:p>
      <w:pPr>
        <w:pStyle w:val="BookText"/>
        <w:rPr/>
      </w:pPr>
      <w:r>
        <w:rPr>
          <w:rFonts w:ascii="IRNazanin" w:hAnsi="IRNazanin" w:eastAsia="IRNazanin"/>
          <w:color w:val="111111"/>
          <w:sz w:val="28"/>
          <w:sz w:val="28"/>
          <w:szCs w:val="28"/>
          <w:rtl w:val="true"/>
          <w:lang w:bidi="fa-IR"/>
        </w:rPr>
        <w:t xml:space="preserve">و استدل المحقق السيد البروجردي علی بطلان العبادة بإنّ المانع عن تحقّق الوجوب ليس هو الحرمة الفعلية، حتّى يصير ارتفاعها سبباً لتحقّقه، بل المانع عن تحقّقه و تأثير ملاكه فيه، هو أقوائية ملاك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المفسدة الداعية إلى 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ملاك الوجوب أعني المصلحة الباعثة نحو الإيجاب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دامت المفسدة باقية على قوتها لا مجال لتأثير ملاك الوجوب و إن كان هنا مانع عن فعلية الحرمة أيضاً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کما قال لان الفرض تقدم النهي علی الامر لا مجرد سقوط الامر فلا يرد عليه ما قيل من ان وجود المفسدة الأقوى من مصلحة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الاضطرار أوّل الكلام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11691181_1280447820"/>
      <w:bookmarkStart w:id="159" w:name="_Toc58"/>
      <w:bookmarkEnd w:id="158"/>
      <w:r>
        <w:rPr>
          <w:rtl w:val="true"/>
        </w:rPr>
        <w:t>حكم الاضطرار بسوء الاختيار</w:t>
      </w:r>
      <w:bookmarkEnd w:id="15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الموضع الثاني الذي عقد المحقق الخراساني لبيانه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الكلام فيه في موارد ثلاثة</w:t>
      </w:r>
      <w:r>
        <w:rPr>
          <w:rFonts w:eastAsia="Amiri" w:cs="Amiri" w:ascii="Amiri" w:hAnsi="Amiri"/>
          <w:color w:val="111111"/>
          <w:sz w:val="28"/>
          <w:szCs w:val="28"/>
          <w:rtl w:val="true"/>
          <w:lang w:bidi="ar-SA"/>
        </w:rPr>
        <w:t xml:space="preserve">: </w:t>
      </w:r>
      <w:bookmarkStart w:id="160" w:name="pg16640_202244"/>
    </w:p>
    <w:p>
      <w:pPr>
        <w:pStyle w:val="BookText"/>
        <w:rPr/>
      </w:pPr>
      <w:bookmarkEnd w:id="160"/>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حرمته لأنّه تصرّف في مال الغير بلا عذر 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الخروج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العبادة حين الخروج وضعاً</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1691183_1280447820"/>
      <w:bookmarkStart w:id="162" w:name="_Toc59"/>
      <w:bookmarkEnd w:id="161"/>
      <w:r>
        <w:rPr>
          <w:rtl w:val="true"/>
        </w:rPr>
        <w:t>حكم الخروج تكليفاً</w:t>
      </w:r>
      <w:bookmarkEnd w:id="162"/>
    </w:p>
    <w:p>
      <w:pPr>
        <w:pStyle w:val="BookText"/>
        <w:rPr/>
      </w:pPr>
      <w:r>
        <w:rPr>
          <w:rFonts w:ascii="IRNazanin" w:hAnsi="IRNazanin" w:eastAsia="IRNazanin"/>
          <w:color w:val="111111"/>
          <w:sz w:val="28"/>
          <w:sz w:val="28"/>
          <w:szCs w:val="28"/>
          <w:rtl w:val="true"/>
          <w:lang w:bidi="fa-IR"/>
        </w:rPr>
        <w:t>اما 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حكم الخروج تكليفاً کما إذا توسط أرضاً مغصوبة بسوء الاختيار كأن دخل حديقة الغير للتنزّه و غيره، ثمّ حاول أن يخرج و يترك الغصب، فما هو حكم الخروج من حيث الحكم التكليفي؟ فيه 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واجب و حرام بالفعل، و هو خيرة أبي هاشم الجبائي المعتزلي المتوفّى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الفاضل القمي‌</w:t>
      </w:r>
      <w:r>
        <w:rPr>
          <w:rStyle w:val="FootnoteAnchor"/>
          <w:rtl w:val="true"/>
        </w:rPr>
        <w:footnoteReference w:id="70"/>
      </w:r>
      <w:r>
        <w:rPr>
          <w:rFonts w:ascii="Amiri" w:hAnsi="Amiri" w:eastAsia="Amiri" w:cs="Amiri"/>
          <w:color w:val="111111"/>
          <w:sz w:val="28"/>
          <w:sz w:val="28"/>
          <w:szCs w:val="28"/>
          <w:rtl w:val="true"/>
          <w:lang w:bidi="ar-SA"/>
        </w:rPr>
        <w:t>ناسبا له إلى أكثر المتأخرين و ظاهر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مأمور به شرعاً و ليس وراء الأمر أي حكم شرعي، و هو خيرة الشيخ الاعظم الأنصاري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مأمور به شرعاً لكن مع جريان حكم المعصية عليه حيث إنّه منهي عنه بالنهي السابق الساقط من ناحية الاضطرار، و هو مختار صاحب الفصول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الخروج منهي عنه بالنهي الفعلي و ليس بواجب شرعاً، کما ذهب اليه المحقق السيد البروجردي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مأمور به و منهي عنه لكن بالترتّب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 هو يشمل الدخول و البقاء و الخروج،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عصيت فاخرج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واجب عقلاً لدفع أشد المحذورين بارتكاب أخف القبيحين و ليس محكوماً بحكم شرعي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منهي عنه بالنهي السابق الساقط بالاضطرار، و هذا خيرة المحقّق الخراساني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أنه منهي عنه بالنهي السابق الساقط بحدوث الاضطرار إليه و عصيان له بسوء الاختيار و لا يكاد يكون مأمورا به كما إذا لم يكن هناك توقف عليه أو بلا انحصار به و ذلك ضرورة أنه حيث كان قادرا على ترك الحرام رأسا لا يكون عقلا معذورا في مخالفته فيما اضطر إلى ارتكابه بسوءاختياره و يكون معاقبا عليه كما إذا كان ذلك بلا توقف عليه أو مع عدم الانحصار به و لا يكاد يجدي توقف انحصار التخلص عن الحرام به لكونه بسوء الاختيار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تضمن کلامه امورا اربعة و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الخروج واجب بالوجوب 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منهي عنه بالنهي السابق الساقط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أثر النهي و هو العقاب باق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واجباً بالوجوب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فلاستقلال العقل بوجوب الخروج و التخلّص، لأنّه الطريق الوحيد للتخلّص من أشدِّ المحذورين بارتكاب أقلّهما، فلو دار الأمر بين قليل العصيان و كثيره فالعقل يستقل بتقديم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كون النهي السابق ساقطاً فلأجل عدم إمكان امتثاله بعد التوسط،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 إن كان قبل الدخول يعمّ الدخول و البقاء و الخروج، لأنّ الجميع من مصاديق الغصب، لكنّه بعد الدخول و لو بسوء الاختيار لا يتمكن المكلّف من امتثال قوله لا تغصب المتمثّل في البقاء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صحّة الخطاب ترتّب الأثر عليه و إن كان الأثر نفس العقاب، و يكفي في القدرة، القدرة على الامتثال في ظرف من الظروف، و الشرطان حاصلان و المكلّف كان قادراً على ترك التصرّف الخروجي قبل الدخول، و هو يكفي في بقاء الخطاب حتى في صورة العجز عن الامتثال كما إذا توسّطها، و فائدة الخطاب مع عجزه هي صحّة عقابه و مؤاخذته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الخطاب النابع عن الإرادة الجدّية في حال الاضطرار الذي هو منتف عقلا و شرعا للعجز الفعلي و امتناع تعلّق الإرادة بفعل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قيام الحجة على المضطر في ظرف الاضطرار، و الذي هو ثابت بلا كلام، لأنّ القدرة قبل الدخول أتمّت الحجّة على العبد في جميع أحواله من الدخول و البقاء و الخروج، و القدرة في ظرف خاص إنّما تكفي في إتمام الحجّة حين المخالفة لا في توجّه الخطاب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اي جريان حكم المعصية عليه و كونه معاقباً فقد علم ممّا ذكرنا حيث إنّ القدرة في ظرف من الظروف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تصحح العقوبة على التصرّف الخروجي </w:t>
      </w:r>
    </w:p>
    <w:p>
      <w:pPr>
        <w:pStyle w:val="BookText"/>
        <w:rPr/>
      </w:pPr>
      <w:r>
        <w:rPr>
          <w:rFonts w:ascii="Amiri" w:hAnsi="Amiri" w:eastAsia="Amiri" w:cs="Amiri"/>
          <w:color w:val="111111"/>
          <w:sz w:val="28"/>
          <w:sz w:val="28"/>
          <w:szCs w:val="28"/>
          <w:rtl w:val="true"/>
          <w:lang w:bidi="ar-SA"/>
        </w:rPr>
        <w:t>و إن لم يكن في ظرف العمل قادراً، و قد عرفت فيما سبق أنّ الامتناع بالاختيار لا ينافي الاختيار ملاكاً و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 الاختيار حكماً و خطاباً و لذاك قلنا بسقوط الخطاب السابق و بقاء الملاك،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 هو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محكوماً بحكم شرعي من الوجوب، فاستدل له بأنّه لو كان واجباً فإمّا أن يكون وجوبه نفسيّاً أو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النفسي فلم يرد في الشرع ما يدلّ على وجوب الخروج من المغصوب و إنّما ورد المنع عن التصرّف في المغصوب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الغيري فهو فرع القول بأنّ حرمة الشي‌ء تلازم وجوب ضدّه العام،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كحرمة الغصب الملازم لوجوب تركه، فإذا وجب الترك تجب مقدّمته،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حيث إنّه مقدمة لترك الغصب، أو يقال کما عن الشيخ بأنّ حرمة البقاء الذي هو من مصاديق الغصب، يستلزم وجوب تركه و الخروج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المقدّمات ممنوعة لعدم دلالة حرمة الشي‌ء على وجوب تركه حتّى تجب مقدّمته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صحيح ما عدا الاخير من عدم کون الخروج واجبا غيريا بدليل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حرمة الشي‌ء على وجوب تركه حتّى تجب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المقصود من عدم دلالة حرمة الشي‌ء على وجوب تركه؟ عدم الدلالة علی وجوب ترکه عقلا ام شرعا؟ اما الاول فلا يمکن التفوه فيه بل هو قائل به کما تقدم من استقلال العقل بوجوب الخروج و التخلّص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الثاني فعلی المختار من ان حکم العقل هو نفس حکم الشرع فالامر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مبنی الملازمة بين حکم العقل و الشرع فحکم الشرع بحرمة </w:t>
      </w:r>
      <w:bookmarkStart w:id="163" w:name="pg16640_202248"/>
    </w:p>
    <w:p>
      <w:pPr>
        <w:pStyle w:val="BookText"/>
        <w:rPr/>
      </w:pPr>
      <w:bookmarkEnd w:id="163"/>
      <w:r>
        <w:rPr>
          <w:rFonts w:ascii="IRNazanin" w:hAnsi="IRNazanin" w:eastAsia="IRNazanin"/>
          <w:color w:val="111111"/>
          <w:sz w:val="28"/>
          <w:sz w:val="28"/>
          <w:szCs w:val="28"/>
          <w:rtl w:val="true"/>
          <w:lang w:bidi="fa-IR"/>
        </w:rPr>
        <w:t xml:space="preserve">الغصب لا يدل علی وجوب ترک الغصب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الترک واجبا عقلا – و عليه فلا تجب مقدمته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المتحصل علی المختار ان الخروج واجب عقلا و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الجواب عن سائر الاقول</w:t>
      </w:r>
      <w:r>
        <w:rPr>
          <w:rFonts w:eastAsia="IRNazanin" w:cs="IRNazanin"/>
          <w:color w:val="111111"/>
          <w:sz w:val="28"/>
          <w:szCs w:val="28"/>
          <w:rtl w:val="true"/>
          <w:lang w:bidi="fa-IR"/>
        </w:rPr>
        <w:t>:</w:t>
      </w:r>
    </w:p>
    <w:p>
      <w:pPr>
        <w:pStyle w:val="Heading2"/>
        <w:numPr>
          <w:ilvl w:val="1"/>
          <w:numId w:val="1"/>
        </w:numPr>
        <w:rPr/>
      </w:pPr>
      <w:bookmarkStart w:id="164" w:name="__RefHeading___Toc11691185_1280447820"/>
      <w:bookmarkStart w:id="165" w:name="_Toc60"/>
      <w:bookmarkEnd w:id="164"/>
      <w:r>
        <w:rPr>
          <w:rtl w:val="true"/>
        </w:rPr>
        <w:t>القول الاول</w:t>
      </w:r>
      <w:r>
        <w:rPr>
          <w:rtl w:val="true"/>
        </w:rPr>
        <w:t xml:space="preserve">: </w:t>
      </w:r>
      <w:r>
        <w:rPr>
          <w:rtl w:val="true"/>
        </w:rPr>
        <w:t>انّه مأمور به و منهيّ عنه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القول الاول فقد استدلّ له بأنّ الأمر بالتخلّص، و النهي عن الغصب دليلان يجب إعمالهما، و لا موجب للتقييد عقلاً، لعدم استحالة كون الخروج واجباً و حراماً باعتبارين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 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منشأ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لزوم اجتماع الضدين، و هو غير لازم مع تعدّد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لزوم التكليف بما لا يطاق، و هو ليس بمحال إذا كان مسبباً عن سوء الاختيار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الخراساني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الاجتماع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أنه لا يكون بمحال لتعدد العنوان و كونه مجديا في رفع غائلة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محالا لأجل كونه طلب المحال حيث لا مندوحة هنا و ذلك لضرورة عدم صحة تعلق الطلب و البعث حقيقة بما هو واجب أو ممتنع و لو كان الوجوب أو الامتناع بسوء الاختيار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أو الإيجاب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قبال استدلال الأشاعرة للقول بأن الأفعال غير اختيارية بقضية أن 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الاستدلال لهذا القول بأن الأمر بالتخلص و النهي عن الغصب دليلان يجب إعمالهما و لا موجب للتقييد عقلا لعدم استحالة كون الخروج واجبا و حراما باعتبارين مختلفين إذ منشأ الاستحالة إما </w:t>
      </w:r>
    </w:p>
    <w:p>
      <w:pPr>
        <w:pStyle w:val="BookText"/>
        <w:rPr/>
      </w:pPr>
      <w:r>
        <w:rPr>
          <w:rFonts w:ascii="Amiri" w:hAnsi="Amiri" w:eastAsia="Amiri" w:cs="Amiri"/>
          <w:color w:val="111111"/>
          <w:sz w:val="28"/>
          <w:sz w:val="28"/>
          <w:szCs w:val="28"/>
          <w:rtl w:val="true"/>
          <w:lang w:bidi="ar-SA"/>
        </w:rPr>
        <w:t>لزوم اجتماع الضدين و هو غير لازم مع تعدد الجهة و إما لزوم التكليف بما لا يطاق و هو ليس بمحال إذا كان مسببا عن 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ثبوت الموجب للتقييد عقلا و لو كانا بعنوانين و أن اجتماع الضدين لازم و لو مع تعدد الجهة مع عدم تعددها هاهنا و التكليف بما لا يطاق محال على كل حال نعم لو كان بسوء الاختيار لا يسقط العقاب بسقوط التكليف بالتحريم أو الإيجاب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توضيح استدلاله للتقييد عقلا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اجتماع الضدين و لو مع تعدد العنوان، فلا بد من تقييد الأمر أو النهي بالأهم منهما، فالخروج اما مأمور به فقط، و اما منهي عنه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مبني علی مختاره من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تعدد الجهة هنا مفقود، لأن المقدمية جهة تعليلية فهي خارجة عن ذي المقدمة، لا تقييدية حتى تكون دخيلة فيه و توجب تعدده و ذلك لأنّ عنوان التخلّص ليس عنواناً تقييدياً حتّى يتعلّق الأمر به و النهي بالغصب و إنّما هو عنوان انتزاعي، ينتزع من خروج الغاصب عن أرض الغير، و هو علّة غائية و ليس بموضوع للحكم، كأنّ الشارع يقول أخرج لأجل التخلّص من الغصب فيلزم اجتماع الأمر و النهي في موضوع واحد و هو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قد تقدم الاشکال فيه في بحث مقدمة الواجب فراجع</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بما لا يطاق محال و قبيح و ان كان بسوء الاختيار فالخطاب ساقط و ان كان العقاب ثابتاً، و الامتناع بالاختيار ينافي الاختيار خطاباً و لا ينافيه عقاباً، فهذا المضطر معاقب لا 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قبح خطاب العاجز و إن كان السبب للعجز هو نفسه</w:t>
      </w:r>
      <w:r>
        <w:rPr>
          <w:rFonts w:eastAsia="Amiri" w:cs="Amiri" w:ascii="Amiri" w:hAnsi="Amiri"/>
          <w:color w:val="111111"/>
          <w:sz w:val="28"/>
          <w:szCs w:val="28"/>
          <w:rtl w:val="true"/>
          <w:lang w:bidi="ar-SA"/>
        </w:rPr>
        <w:t xml:space="preserve">. </w:t>
      </w:r>
      <w:bookmarkStart w:id="166" w:name="pg16640_202250"/>
    </w:p>
    <w:p>
      <w:pPr>
        <w:pStyle w:val="BookText"/>
        <w:rPr/>
      </w:pPr>
      <w:bookmarkEnd w:id="166"/>
      <w:r>
        <w:rPr>
          <w:rFonts w:ascii="Amiri" w:hAnsi="Amiri" w:eastAsia="Amiri" w:cs="Amiri"/>
          <w:color w:val="111111"/>
          <w:sz w:val="28"/>
          <w:sz w:val="28"/>
          <w:szCs w:val="28"/>
          <w:rtl w:val="true"/>
          <w:lang w:bidi="ar-SA"/>
        </w:rPr>
        <w:t xml:space="preserve">و 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التكليف بالممكن الّذي وجب أو امتنع بالعرض، و غير مرتبطة به، حيث ان موردها اختيارية الأفعال الصادرة عن العباد في مقابل الأشاعرة القائلين بالجبر، استناداً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الفعل مع الإرادة واجب و بدونها ممتنع، فيلزم الجبر و انتفاء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المنكرون للجبر بعد إثبات الاختيار و نفي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الإيجاب و الامتناع الناشئين من الاختيار لا ينافيان الاختيار، بل يؤكدانه، ضرورة كون الفعل أو الترك حينئذ مستنداً إلى الاختيار، لأن إيجاد علته أو عدم إيجادها انما يكون بإرادته و اختياره، و لا يخرج الفعل بسبب وجوبه أو امتناعه بعد ذلك عن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جوابه الاخير يکفي في رد هذا القول </w:t>
      </w:r>
      <w:r>
        <w:rPr>
          <w:rFonts w:eastAsia="IRNazanin" w:cs="IRNazanin"/>
          <w:color w:val="111111"/>
          <w:sz w:val="28"/>
          <w:szCs w:val="28"/>
          <w:rtl w:val="true"/>
          <w:lang w:bidi="fa-IR"/>
        </w:rPr>
        <w:t>.</w:t>
      </w:r>
    </w:p>
    <w:p>
      <w:pPr>
        <w:pStyle w:val="Heading2"/>
        <w:numPr>
          <w:ilvl w:val="1"/>
          <w:numId w:val="1"/>
        </w:numPr>
        <w:rPr/>
      </w:pPr>
      <w:bookmarkStart w:id="167" w:name="__RefHeading___Toc11691187_1280447820"/>
      <w:bookmarkStart w:id="168" w:name="_Toc61"/>
      <w:bookmarkEnd w:id="167"/>
      <w:r>
        <w:rPr>
          <w:rtl w:val="true"/>
        </w:rPr>
        <w:t>القول الثاني</w:t>
      </w:r>
      <w:r>
        <w:rPr>
          <w:rtl w:val="true"/>
        </w:rPr>
        <w:t xml:space="preserve">: </w:t>
      </w:r>
      <w:r>
        <w:rPr>
          <w:rtl w:val="true"/>
        </w:rPr>
        <w:t>الخروج واجب شرعاً</w:t>
      </w:r>
      <w:bookmarkEnd w:id="168"/>
    </w:p>
    <w:p>
      <w:pPr>
        <w:pStyle w:val="BookText"/>
        <w:rPr/>
      </w:pPr>
      <w:r>
        <w:rPr>
          <w:rFonts w:ascii="Amiri" w:hAnsi="Amiri" w:eastAsia="Amiri" w:cs="Amiri"/>
          <w:color w:val="111111"/>
          <w:sz w:val="28"/>
          <w:sz w:val="28"/>
          <w:szCs w:val="28"/>
          <w:rtl w:val="true"/>
          <w:lang w:bidi="ar-SA"/>
        </w:rPr>
        <w:t>ذهب الشيخ الأنصاري و المحقّق النائيني إلى أنّ الخروج واجب شرعاً و ليس وراء الوجوب حكم سواه، و استدلّ عليه بوجوه ثلاثة نقلها المحقّق الخراساني بصورة السؤال و الجواب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الاول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يجديه و مقدمة الواجب واجبة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يجدي توقف انحصار التخلص عن الحرام في وجوب الخروج مقدمة مع كون وجوب </w:t>
      </w:r>
    </w:p>
    <w:p>
      <w:pPr>
        <w:pStyle w:val="BookText"/>
        <w:rPr/>
      </w:pPr>
      <w:r>
        <w:rPr>
          <w:rFonts w:ascii="Amiri" w:hAnsi="Amiri" w:eastAsia="Amiri" w:cs="Amiri"/>
          <w:color w:val="111111"/>
          <w:sz w:val="28"/>
          <w:sz w:val="28"/>
          <w:szCs w:val="28"/>
          <w:rtl w:val="true"/>
          <w:lang w:bidi="ar-SA"/>
        </w:rPr>
        <w:t>المقدمة عقلياً غير قابل للتخصيص، و مقدّمة الواجب، واجبة، فلا يكون منهياً عنه لامتناع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المحرمة مع انحصارها انما يكون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أهم من ترك المقدمة كإنقاذ غريق مؤمن، حيث انه أهم من حرمة الدخول في المكان المغصوب، و كالخروج عنه تخلصاً عن الغصب، فان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التخلص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ترك الحرام و هو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الاضطرار إلى المقدمة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عن سوء الاختيار، و إلّا فلا تتغير عما هي عليه من الحرمة و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أهمية الواجب من ترك المقدمة المحرمة لا توجب اتصاف المقدمة بالوجوب، بل فيما إذا لم يكن الاضطرار إلى المقدمة المحرمة بسوء الاختيار، و معه تبقى المقدمة على حرمتها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المفروض سقوط النهي السابق بالمعصية و بالاضطرار الحالي کما هو مختاره و عليه فکيف لا تتغير عما هي عليه من الحرمة و المبغوضية؟ مضافا لما تقدم من کون الحکم العقلي حکما شرعيا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لكانت الحرمة معلقة على إرادة المكلف و اختياره لغيره و عدم حرمته مع اختياره له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لو قلنا بوجوب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يلزم أن تكون حرمة الخروج و وجوبه، معلّقين على إرادة المكلّف، فلو لم يدخل، يبقى الخروج على حرمته، </w:t>
      </w:r>
    </w:p>
    <w:p>
      <w:pPr>
        <w:pStyle w:val="BookText"/>
        <w:rPr/>
      </w:pPr>
      <w:r>
        <w:rPr>
          <w:rFonts w:ascii="IRNazanin" w:hAnsi="IRNazanin" w:eastAsia="IRNazanin"/>
          <w:color w:val="111111"/>
          <w:sz w:val="28"/>
          <w:sz w:val="28"/>
          <w:szCs w:val="28"/>
          <w:rtl w:val="true"/>
          <w:lang w:bidi="fa-IR"/>
        </w:rPr>
        <w:t>لكونه من مصاديق الغصب؛ و إن دخل، صار واجباً بحكم كونه مقدّمة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يدخل فسالبة بانتفاء الموضوع فلا يصدق عليه الخروج حتی يقال بحرمته و لو دخل فقد اوقع نفسه بالحرام و يجب عليه الخروج بحکم کونه مقدمة للواجب لا بحکم انه اراد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في أرض الغير حرام دخولًا و بقاءً، و أمّا التصرّف الخروجي فليس بحرام، أمّا قبل الدخول فلعدم التمكّن منه، و أمّا بعده فلكونه مضطرّاً إليه لانّه سبب للتخلص، فحاله حال من يشرب الخمر للتخلص عن الوقوع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بالنقض بالبقاء فانّه غير مقدور قبل الدخول، مع أنّه حرام، و بالنقض بالأفعال التوليدية كالإحراق المترتّبة على الأفعال المباشرية كالإلقاء فإنّ تركها بتركها و إيجادها بإيجادها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بالحل فانّ التصرّف الخروجي مقدور، غاية الأمر انّه مقدور بالواسطة، فتركه بترك الدخول، و المقدور بالواسطة مقدور أيضاً، و كون ترك الخروج بترك الدخول من قبيل السالبة بانتفاء الموضوع لا يضرّ في صدق المقدورية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قياس الخروج بشرب الخمر لأجل التخلّص من الهلكة قياس مع الفارق، لأنّ اضطراره إلى شرب الخمر لم يكن بسوء الاختيار، كما إذا لسعه العقرب فاضطرّ إلى شرب الخمر بتجويز الطبيب، بخلاف المقام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النقض بالبقاء و بالافعال التوليدية فهي من قبيل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التصرّف الخروجي مقدور بترک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عصی حتی بالنسبة الی ما بقي من الخروج و قد تحقق ذلک العصيان قبل الاضطرار و سقط التکليف عنه بالنسبة الی </w:t>
      </w:r>
    </w:p>
    <w:p>
      <w:pPr>
        <w:pStyle w:val="BookText"/>
        <w:rPr/>
      </w:pPr>
      <w:r>
        <w:rPr>
          <w:rFonts w:ascii="IRNazanin" w:hAnsi="IRNazanin" w:eastAsia="IRNazanin"/>
          <w:color w:val="111111"/>
          <w:sz w:val="28"/>
          <w:sz w:val="28"/>
          <w:szCs w:val="28"/>
          <w:rtl w:val="true"/>
          <w:lang w:bidi="fa-IR"/>
        </w:rPr>
        <w:t>الخروج بعد الاضطرار اليه و عليه فقد تبدل الموضوع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وجه تشبيهه بشرب الخمر فانه اصبح مضطرا بعد الدخول المحرم و لم يکن مضطرا قبل الدخول فقد تبدل الموضوع في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اختلاف زمان التعلّق، مع اتّحاد زمان الفعل المتعلّق به، و إنّما المفيد، اختلاف زمان الفعل و لو مع اتحاد زمانهما، فلو نهى يوم الأربعاء عن صوم يوم الجمعة، و أمر يوم الخميس بصوم ذلك اليوم، لزم التكليف بالمحال، و إن كان زمان التعلّق مختلفاً، بخلاف ما لو أمر و نهى و لو في آن واحد بصوم يوم الخميس و نهى عن صوم يوم الجمعة، و المقام من قبيل القسم الأوّل، لأنّ الدخول منهي عنه بالنهي السابق على الدخول و مأمور به بالأمر اللاحق بعد الدخول فزمان التعلّق و إن كان مختلفاً، لكن زمان الفعل و الامتثال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صحيح لو کان الامر و النهي في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ليسا في عرض واحد بل بعد سقوط النهي يکون الامر کما في الحاضر المأمور بالاتمام يکون مأمورا بالقصر بعد السفر فلم يکن الامر بالاتمام و القصر في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مثل الخروج ممنوعاً عنه شرعاً و معاقباً عليه عقلاً، مع بقاء ما يتوقّف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البقاء أو التخلّص من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وجوبه،لوضوح سقوط وجوب ذي المقدّمة مع امتناع المقدّمة المنحصرة و لو كان بسوء الاختيار، و العقل قد استقل بذلک فانّ الممنوع شرعاً كالممنوع عادة أو عقلاً</w:t>
      </w:r>
      <w:r>
        <w:rPr>
          <w:rStyle w:val="FootnoteAnchor"/>
          <w:rtl w:val="true"/>
        </w:rPr>
        <w:footnoteReference w:id="80"/>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المحقّق الخراساني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الممتنع شرعاً كالممتنع عقلاً إذا لم يكن هناك إرشاد من العقل إلى لزوم الأخذ بأقل المحذورين و الخروج ليتخلّص عن أشدّهما، و مع حكم العقل بالخروج، لا يكون الممتنع شرعاً كالممتنع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التناقض ما لا يخفی علی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يجب ذو المقدّمة شرعاً اي وجوب التخلّص و تحرم مقدّمته، فانّ إيجاب ذيها، يلازم إيجاب مقدّمته، أو لا أقل من عدم تحريم مقدّمته، فإيجاب ذيها مع تحريم مقدّمته ممّا لا يجتمعان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فالساقط إنما هو الخطاب فعلا بالبعث و الإيجاب لا لزوم إتيانه عقلا خروجا عن عهدة ما تنجز عليه سابقا ضرورة أنه لو لم يأت به لوقع في المحذور الأشد و نقض الغرض الأهم حيث إنه الآن كما كان عليه من الملاك و المحبوبية بلا حدوث قصور أو طرو فتور فيه أصلا و إنما كان سقوط الخطاب لأجل المانع و إلزام العقل به لذلك إرشادا كاف لا حاجة معه إلى بقاء الخطاب بالبعث إليه و الإيجاب له فعلا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صحيح علی مبنی عدم الملازمة بين حکم العقل و الشرع و اما علی المختار من ان حکم العقل هو حکم الشرع ايضا فلا يصح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مبنی الملازمة بين حکم العقل و الشرع فحکم الشرع بحرمة الغصب لا يدل علی وجوب ترک الغصب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الترک واجبا عقلا – و عليه فلا تجب مقدمته شرعا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المحقق الخراساني من امتناع كون الخروج محرّماً بالنهي السابق الساقط و واجباً بعد الدخول لاستلزامه طلب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يلزم طلب المحال لو كان النهي باقياً في ظرف امتثال الأمر بالخروج، و أمّا إذا كان ساقطاً في نفس ذلك الظرف فلا يلزم اجتماع الأمر و النهي في شي‌ء واحد</w:t>
      </w:r>
      <w:r>
        <w:rPr>
          <w:rFonts w:eastAsia="Amiri" w:cs="Amiri" w:ascii="Amiri" w:hAnsi="Amiri"/>
          <w:color w:val="111111"/>
          <w:sz w:val="28"/>
          <w:szCs w:val="28"/>
          <w:rtl w:val="true"/>
          <w:lang w:bidi="ar-SA"/>
        </w:rPr>
        <w:t xml:space="preserve">. </w:t>
      </w:r>
      <w:bookmarkStart w:id="169" w:name="pg16640_202255"/>
    </w:p>
    <w:p>
      <w:pPr>
        <w:pStyle w:val="BookText"/>
        <w:rPr/>
      </w:pPr>
      <w:bookmarkEnd w:id="169"/>
      <w:r>
        <w:rPr>
          <w:rFonts w:ascii="Amiri" w:hAnsi="Amiri" w:eastAsia="Amiri" w:cs="Amiri"/>
          <w:color w:val="111111"/>
          <w:sz w:val="28"/>
          <w:sz w:val="28"/>
          <w:szCs w:val="28"/>
          <w:rtl w:val="true"/>
          <w:lang w:bidi="ar-SA"/>
        </w:rPr>
        <w:t>و ما ذكره من أنّ الميزان في الصحة و الامتناع اختلاف زمان الفعل و الامتثال و وحدتهما و إن كان صحيحاً، لكن وحدة المتعلّق إنّما تكون سبباً للامتناع إذاكان كلا الحكمين باقياً إلى زمان الامتثال، دون ما إذا كان أحدهما ساقطاً بالعصيان كما في المقام أو بالنسخ كما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نظير ما لو أمر يوم الأربعاء بصوم يوم الجمعة، و نهى عنه يوم الخميس، و مع ذلك نَسخ أحد الحكمين قُبيل ظرف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جريان حكم المعصية، ليس بمعنى بقاء الخطاب و الحكم، بل بمعنى انّه كان قبل الدخول قادراً على امتثال لا تغصب دخولا و بقاء و خروجا، و لما عصى باختياره، يعاقب على الخروج لأجل أنّه بالدخول، أعجز نفسه عن امتثال الخطاب في مورد هذا المصداق، و هذا غير بقاء الخطاب و الحكم في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إن كان مشتملاً على المفسدة امتنع تعلّق الأمر به، و إن كان مشتملًا على المصلحة امتنع تعلّق النهي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کذلک فانه قبل الدخول کان فيه المفسدة فتعلق به النهي و بعد الدخول و سقوط النهي فتبدل الموضوع و تعلقت المصلحة بالخروج فتعلق به الامر</w:t>
      </w:r>
      <w:r>
        <w:rPr>
          <w:rFonts w:eastAsia="IRNazanin" w:cs="IRNazanin"/>
          <w:color w:val="111111"/>
          <w:sz w:val="28"/>
          <w:szCs w:val="28"/>
          <w:rtl w:val="true"/>
          <w:lang w:bidi="fa-IR"/>
        </w:rPr>
        <w:t>.</w:t>
      </w:r>
    </w:p>
    <w:p>
      <w:pPr>
        <w:pStyle w:val="Heading2"/>
        <w:numPr>
          <w:ilvl w:val="1"/>
          <w:numId w:val="1"/>
        </w:numPr>
        <w:rPr/>
      </w:pPr>
      <w:bookmarkStart w:id="170" w:name="__RefHeading___Toc11691189_1280447820"/>
      <w:bookmarkStart w:id="171" w:name="_Toc62"/>
      <w:bookmarkEnd w:id="170"/>
      <w:r>
        <w:rPr>
          <w:rtl w:val="true"/>
        </w:rPr>
        <w:t>القول الثالث</w:t>
      </w:r>
      <w:r>
        <w:rPr>
          <w:rtl w:val="true"/>
        </w:rPr>
        <w:t xml:space="preserve">: </w:t>
      </w:r>
      <w:r>
        <w:rPr>
          <w:rtl w:val="true"/>
        </w:rPr>
        <w:t>مأمور به، و منهي بالنهي الساقط</w:t>
      </w:r>
      <w:bookmarkEnd w:id="171"/>
    </w:p>
    <w:p>
      <w:pPr>
        <w:pStyle w:val="BookText"/>
        <w:rPr/>
      </w:pPr>
      <w:r>
        <w:rPr>
          <w:rFonts w:ascii="Amiri" w:hAnsi="Amiri" w:eastAsia="Amiri" w:cs="Amiri"/>
          <w:color w:val="111111"/>
          <w:sz w:val="28"/>
          <w:sz w:val="28"/>
          <w:szCs w:val="28"/>
          <w:rtl w:val="true"/>
          <w:lang w:bidi="ar-SA"/>
        </w:rPr>
        <w:t>ذهب المحقّق صاحب الفصول إلى قول ثالث مركّب من جزءين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الخروج مأمور به و واجب شرعاً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منهيّ عنه بالنهي السابق الساقط</w:t>
      </w:r>
      <w:r>
        <w:rPr>
          <w:rFonts w:eastAsia="Amiri" w:cs="Amiri" w:ascii="Amiri" w:hAnsi="Amiri"/>
          <w:color w:val="111111"/>
          <w:sz w:val="28"/>
          <w:szCs w:val="28"/>
          <w:rtl w:val="true"/>
          <w:lang w:bidi="ar-SA"/>
        </w:rPr>
        <w:t xml:space="preserve">. </w:t>
      </w:r>
      <w:bookmarkStart w:id="172" w:name="pg16640_202256"/>
    </w:p>
    <w:p>
      <w:pPr>
        <w:pStyle w:val="BookText"/>
        <w:rPr/>
      </w:pPr>
      <w:bookmarkEnd w:id="17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 و قد تقدم الاستدلال له في الرد علی ما قاله المحقق الخراساني من عدم الوجوب الشرعي</w:t>
      </w:r>
      <w:r>
        <w:rPr>
          <w:rFonts w:eastAsia="IRNazanin" w:cs="IRNazanin"/>
          <w:color w:val="111111"/>
          <w:sz w:val="28"/>
          <w:szCs w:val="28"/>
          <w:rtl w:val="true"/>
          <w:lang w:bidi="fa-IR"/>
        </w:rPr>
        <w:t>.</w:t>
      </w:r>
    </w:p>
    <w:p>
      <w:pPr>
        <w:pStyle w:val="Heading2"/>
        <w:numPr>
          <w:ilvl w:val="1"/>
          <w:numId w:val="1"/>
        </w:numPr>
        <w:rPr/>
      </w:pPr>
      <w:bookmarkStart w:id="173" w:name="__RefHeading___Toc11691191_1280447820"/>
      <w:bookmarkStart w:id="174" w:name="_Toc63"/>
      <w:bookmarkEnd w:id="173"/>
      <w:r>
        <w:rPr>
          <w:rtl w:val="true"/>
        </w:rPr>
        <w:t>الرابع</w:t>
      </w:r>
      <w:r>
        <w:rPr>
          <w:rtl w:val="true"/>
        </w:rPr>
        <w:t xml:space="preserve">: </w:t>
      </w:r>
      <w:r>
        <w:rPr>
          <w:rtl w:val="true"/>
        </w:rPr>
        <w:t>الخروج منهي عنه بالنهي الفعلي فقط</w:t>
      </w:r>
      <w:bookmarkEnd w:id="174"/>
    </w:p>
    <w:p>
      <w:pPr>
        <w:pStyle w:val="BookText"/>
        <w:rPr/>
      </w:pPr>
      <w:r>
        <w:rPr>
          <w:rFonts w:ascii="Amiri" w:hAnsi="Amiri" w:eastAsia="Amiri" w:cs="Amiri"/>
          <w:color w:val="111111"/>
          <w:sz w:val="28"/>
          <w:sz w:val="28"/>
          <w:szCs w:val="28"/>
          <w:rtl w:val="true"/>
          <w:lang w:bidi="ar-SA"/>
        </w:rPr>
        <w:t>ذهب السيد المحقّق البروجردي إلى أنّ الخروج حرام و ليس بواجب، أمّا أنّه حرام فلأنّ التصرّف في مال الغير، بغير إذنه أو مع نهيه، حرام و خروج عن طاعة المولى، من دون فرق بين التصرّف الدخولي و الخروجي في نظر العقل فإنّه يرى جميع التصرفات في كونها معصية و خروجاً عن رسم العبودية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ليس بواجب، فلأنّ وجوبه إمّا بالخصوص فلا دليل عليه، و إمّا لكونه مقدّمة لترك الغصب الواجب، فهو أيضاً مثله، إذ لم يرد دليل على وجوب ترك الغصب و ما ورد من أنّ الغصب مردود، فإنّما تأكيد لحرمة الغصب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الخروج إمّا لأجل تعلّق النهي به بالخصوص، أو لأجل انّه تصرّف في مال الغير؛ أمّا الأوّل فهو دفع الفاسد بالأفسد، لأنّ النهي عن الخروج بما هو هو يستلزم البقاء في المغصوب إلى آخر العمر و هو أشدّ محذوراً، و أمّا الثاني فهو يستلزم التكليف بالمحال، لعدم قدرته على امتثال ذلك النهي إلّا أن يلتجئ إلى البقاء، و هو أيضاً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بالاختيار، لا ينافي الاختيار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انّ القاعدة صحيحة، و لكن المراد أنّه لا ينافي ملاكاً و عقاباً، لا خطاباً و حكماً، فهو معاقب إذ كان في وسعه امتثال هذا النهي الشامل للخروج أيضاً بترك </w:t>
      </w:r>
      <w:bookmarkStart w:id="175" w:name="pg16640_202257"/>
    </w:p>
    <w:p>
      <w:pPr>
        <w:pStyle w:val="BookText"/>
        <w:rPr/>
      </w:pPr>
      <w:bookmarkEnd w:id="175"/>
      <w:r>
        <w:rPr>
          <w:rFonts w:ascii="Amiri" w:hAnsi="Amiri" w:eastAsia="Amiri" w:cs="Amiri"/>
          <w:color w:val="111111"/>
          <w:sz w:val="28"/>
          <w:sz w:val="28"/>
          <w:szCs w:val="28"/>
          <w:rtl w:val="true"/>
          <w:lang w:bidi="ar-SA"/>
        </w:rPr>
        <w:t>الدخول، لأنّه عصى و دخل فيعاقب على الخروج للنهي السابق الساقط لا أنّه مخاطب بالفعل بالنهي عن الخروج</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11691193_1280447820"/>
      <w:bookmarkStart w:id="177" w:name="_Toc64"/>
      <w:bookmarkEnd w:id="176"/>
      <w:r>
        <w:rPr>
          <w:rtl w:val="true"/>
        </w:rPr>
        <w:t>القول الخامس</w:t>
      </w:r>
      <w:r>
        <w:rPr>
          <w:rtl w:val="true"/>
        </w:rPr>
        <w:t xml:space="preserve">: </w:t>
      </w:r>
      <w:r>
        <w:rPr>
          <w:rtl w:val="true"/>
        </w:rPr>
        <w:t>انّه منهي عنه و مأمور به بالترتّب</w:t>
      </w:r>
      <w:bookmarkEnd w:id="177"/>
    </w:p>
    <w:p>
      <w:pPr>
        <w:pStyle w:val="BookText"/>
        <w:rPr/>
      </w:pPr>
      <w:r>
        <w:rPr>
          <w:rFonts w:ascii="Amiri" w:hAnsi="Amiri" w:eastAsia="Amiri" w:cs="Amiri"/>
          <w:color w:val="111111"/>
          <w:sz w:val="28"/>
          <w:sz w:val="28"/>
          <w:szCs w:val="28"/>
          <w:rtl w:val="true"/>
          <w:lang w:bidi="ar-SA"/>
        </w:rPr>
        <w:t>نقل السيد المحقّق البروجردي هذا الوجه في درسه الشريف، و هو انّه منهي عنه و مأمور به بالترتّب،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 هو يشمل الأقسام الثلاثة،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عصيت بالدخول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قياس مع الفارق لوجود الفرق بين الترتّب و المقام،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الترتّب أمرين يتعلّق أحدهما بالأهم و الآخر بالمهم مقيّداً بعصيان الأوّل و لو تركهما يعاقب على كلا العصيانين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المقام فليس هنا إلّا تكليف واحد و هو النهي عن التصرّف في ملك الغير، بدون إذنه، و أمّا الأمر بالخروج فانما هو بعد سقوط النهي السابق و بعد تبدل الموضوع کما تقدم توضيحه</w:t>
      </w:r>
      <w:r>
        <w:rPr>
          <w:rFonts w:eastAsia="IRNazanin" w:cs="IRNazanin"/>
          <w:color w:val="111111"/>
          <w:sz w:val="28"/>
          <w:szCs w:val="28"/>
          <w:rtl w:val="true"/>
          <w:lang w:bidi="fa-IR"/>
        </w:rPr>
        <w:t>.</w:t>
      </w:r>
    </w:p>
    <w:p>
      <w:pPr>
        <w:pStyle w:val="Heading2"/>
        <w:numPr>
          <w:ilvl w:val="1"/>
          <w:numId w:val="1"/>
        </w:numPr>
        <w:rPr/>
      </w:pPr>
      <w:bookmarkStart w:id="178" w:name="__RefHeading___Toc11691195_1280447820"/>
      <w:bookmarkStart w:id="179" w:name="_Toc65"/>
      <w:bookmarkEnd w:id="178"/>
      <w:r>
        <w:rPr>
          <w:rtl w:val="true"/>
        </w:rPr>
        <w:t>القول السادس</w:t>
      </w:r>
      <w:r>
        <w:rPr>
          <w:rtl w:val="true"/>
        </w:rPr>
        <w:t xml:space="preserve">: </w:t>
      </w:r>
      <w:r>
        <w:rPr>
          <w:rtl w:val="true"/>
        </w:rPr>
        <w:t>ليس محكوماً بحكم فعلًا مع جريان المعصية</w:t>
      </w:r>
      <w:bookmarkEnd w:id="1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هو مختار المحقّق الخراساني و قد مرّ تفصيلاً و الجواب عن بعض شقوقه فلا نعيد</w:t>
      </w:r>
      <w:r>
        <w:rPr>
          <w:rFonts w:eastAsia="Amiri" w:cs="Amiri" w:ascii="Amiri" w:hAnsi="Amiri"/>
          <w:color w:val="111111"/>
          <w:sz w:val="28"/>
          <w:szCs w:val="28"/>
          <w:rtl w:val="true"/>
          <w:lang w:bidi="ar-SA"/>
        </w:rPr>
        <w:t xml:space="preserve">. </w:t>
      </w:r>
      <w:bookmarkStart w:id="180" w:name="pg16640_202258"/>
    </w:p>
    <w:p>
      <w:pPr>
        <w:pStyle w:val="Heading2"/>
        <w:numPr>
          <w:ilvl w:val="1"/>
          <w:numId w:val="1"/>
        </w:numPr>
        <w:rPr/>
      </w:pPr>
      <w:bookmarkStart w:id="181" w:name="__RefHeading___Toc11691197_1280447820"/>
      <w:bookmarkStart w:id="182" w:name="_Toc66"/>
      <w:bookmarkEnd w:id="180"/>
      <w:bookmarkEnd w:id="181"/>
      <w:r>
        <w:rPr>
          <w:rtl w:val="true"/>
        </w:rPr>
        <w:t>حكم العبادة حين الخروج</w:t>
      </w:r>
      <w:bookmarkEnd w:id="182"/>
    </w:p>
    <w:p>
      <w:pPr>
        <w:pStyle w:val="BookText"/>
        <w:rPr/>
      </w:pPr>
      <w:r>
        <w:rPr>
          <w:rFonts w:ascii="IRNazanin" w:hAnsi="IRNazanin" w:eastAsia="IRNazanin"/>
          <w:color w:val="111111"/>
          <w:sz w:val="28"/>
          <w:sz w:val="28"/>
          <w:szCs w:val="28"/>
          <w:rtl w:val="true"/>
          <w:lang w:bidi="fa-IR"/>
        </w:rPr>
        <w:t>المورد الثالث من موارد حکم الاضطرار بسوء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صلّى حال الخروج صلاة جامعة لسائر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يخفى أنه لا إشكال في صحة الصلاة مطلقا في الدار المغصوبة على القول بالاجتماع و أما على القول بالامتناع فكذلك مع الاضطرار إلى الغصب لا بسوء الاختيار أو معه و لكنها وقعت في حال الخروج على القول بكونه مأمورا به بدون إجراء حكم المعصية عليه أو مع غلبة ملاك الأمر على النهي مع ضيق الوقت أما مع السعة فالصحة و عدمها مبنيان على عدم اقتضاء الأمر بالشي‌ء للنهي عن الضد و اقتضائه فإن الصلاة في الدار المغصوبة و إن كانت مصلحتها غالبة على ما فيها من المفسدة إلّا أنه لا شبهة في أن الصلاة في غيرها تضادها بناء على أنه لا يبقى مجال مع إحداهما للأخرى مع كونها أهم منها لخلوها من المنقصة الناشئة من قبل اتحادها مع الغصب لكنه عرفت عدم الاقتضاء بما لا مزيد عليه فالصلاة في الغصب اختيارا في سعة الوقت صحيحة و إن لم تكن مأمورا بها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اشتمل کلامه علی صور اربعة و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بجواز الاجتماع فالصلاة في الأرض المتوسطة مطلقاً دخولاً و بقاءً و خروجاً صحيحة، سواء كان بسوء الاختيار أم 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الوقوع فيها لا بسوء الاختيار فالصلاة فيها صحيحة، سواء أقلنا بجواز الاجتماع أم لا، أمّا على الأوّل فواضح، و أمّا على الثاني فلأجل سقوط النهي لأجل الاضطرار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بالامتناع و كان الاضطرار بسوء الاختيار، و قلنا بمقالة الشيخ من أنّ الخروج واجب، و ليس بحرام، و لا يجري عليه حكم المعصية، فالصلاة صحيحة لوجود الأمر و عدم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هذه الصورة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أي مع القول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لكنها وقعت في حال الخروج على القول بكونه مأمورا به بدون إجراء حكم المعصية عليه کما هو مختار الشيخ الاعظم رحمه الله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بالامتناع و قدّمنا الأمر فمقتضى القاعدة الصحة، و إلى هذه الصورة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 غلبة ملاك الأمر على النهي مع ضيق الوقت و أمّا مع السعة فالصحة و عدمها مبنيان على عدم اقتضاء الأمر بالشي‌ء للنهي عن الضد و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التفصيل بين ضيق الوقت و سعته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بالصحّة في ضيق الوقت انما هو لأجل انحصار الصلاة في الوقت المضيق بالفرد المتحقق في المغصوب مع فرض تمامية ملاكها، فليس لها فرد آخر حتى يجري فيه ما في الفرد الواقع في سعة الوقت من التضاد، و كونه من صغريات الأمر بالشي‌ء المقتضي للنهي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الحكم بفساد الصلاة في سعة الوقت، حيث ان لطبيعة الصلاة فرداً آخر يضاد الفرد الواقع في المغصوب، فيندرج في مسألة اقتضاء الأمر بالشي‌ء للنهي عن الضد و عدمه، فالفرد الواقع منها في المغصوب يصير منهياً عنه بالنهي الغيري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الصلاة في الأرض المغصوبة منهياً عنها، و محكومة بالبطلان لوجود النهي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تقديم الأهم على المهم في باب التزاحم، هو تقديم الأقوى ملاكاً، على الأضعف ملاكاً، كما إذا دار الأمر بين إنقاذ النبي و الرعية، فالعقل حكم </w:t>
      </w:r>
    </w:p>
    <w:p>
      <w:pPr>
        <w:pStyle w:val="BookText"/>
        <w:rPr/>
      </w:pPr>
      <w:r>
        <w:rPr>
          <w:rFonts w:ascii="Amiri" w:hAnsi="Amiri" w:eastAsia="Amiri" w:cs="Amiri"/>
          <w:color w:val="111111"/>
          <w:sz w:val="28"/>
          <w:sz w:val="28"/>
          <w:szCs w:val="28"/>
          <w:rtl w:val="true"/>
          <w:lang w:bidi="ar-SA"/>
        </w:rPr>
        <w:t>بتقديم الأوّل، و أمّا المقام فالمفروض أنّ الفردين في سعة الوقت متساويان في الملاك، غير أنّ أحدهما يشتمل على المفسدة دون الآخر، و الخلو عن المفسدة، غير كون الخالي أهم من المشتمل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هو تقديم ملاك الأمر على ملاك النهي و كون مصلحة الأوّل غالبة على مفسدة الآخر، و لأجله لا تؤثر المفسدة لوجود المصلحة الغالبة، و عندئذ تكون الصلاة في الدار المغصوبة، مثل الصلاة في غيرها فلا مفسدة مؤثرة، حتّى يجعل الفرد المشتمل عليها، أضعف و الخالي عن المفسدة أقوى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انّ تفصيل المشهور راجع إلى صورة خامسة لم يذكرها المحقّق الخراساني، و هي إذا قلنا بالامتناع و كون الخروج منهيّاً عنه بالنهي السابقالساقط، أو الحاضر و قلنا بتقديم ملاك النهي، فالصلاة باطلة في سعة الوقت و ضيقه، لتقديم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لم يذكرها في الكفاية، فإذا قدّم النهي تكون المفسدة غالبة على المصلحة و من المعلوم انّها في سعة الوقت و أمّا في ضيقه، فيقدّم الأمر، لأجل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على حرمة التصرّف في مال الغير لقوّة لسان دليل الأمر و هذا بخلاف سعة الوقت، إذ لا دليل ثالث حتّى يكون مؤثراً في تقديم الأمر على النهي فتكون التصرّفات المتّحدة مع الصلاة أمراً مبغوضاً و منهيّاً عنه فلا أمر كما هو المفروض من القول بالامتناع و تقديم النهي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83" w:name="pg16640_202261"/>
    </w:p>
    <w:p>
      <w:pPr>
        <w:pStyle w:val="Heading2"/>
        <w:numPr>
          <w:ilvl w:val="1"/>
          <w:numId w:val="1"/>
        </w:numPr>
        <w:rPr/>
      </w:pPr>
      <w:bookmarkStart w:id="184" w:name="__RefHeading___Toc11691199_1280447820"/>
      <w:bookmarkStart w:id="185" w:name="_Toc67"/>
      <w:bookmarkEnd w:id="183"/>
      <w:bookmarkEnd w:id="184"/>
      <w:r>
        <w:rPr>
          <w:rtl w:val="true"/>
        </w:rPr>
        <w:t>حكم الخروج إذا تاب بعد الدخول</w:t>
      </w:r>
      <w:bookmarkEnd w:id="185"/>
    </w:p>
    <w:p>
      <w:pPr>
        <w:pStyle w:val="BookText"/>
        <w:rPr/>
      </w:pPr>
      <w:r>
        <w:rPr>
          <w:rFonts w:ascii="Amiri" w:hAnsi="Amiri" w:eastAsia="Amiri" w:cs="Amiri"/>
          <w:color w:val="111111"/>
          <w:sz w:val="28"/>
          <w:sz w:val="28"/>
          <w:szCs w:val="28"/>
          <w:rtl w:val="true"/>
          <w:lang w:bidi="ar-SA"/>
        </w:rPr>
        <w:t>لو تاب العبد بعد الدخول و حاول أن يخرج من أقرب الطرق للتخلّص عن المعصية لا للتنزّه كالدخول، فقد ذهب السيد البروجردي إلى عدم كونه منهياً عنه و صادراً عن معصية، و ذلك لأنّه إذا تاب عن تصرّفاته السابقة تكون تصرفاته اللاحقة الاضطرارية بعد التوبة، تصرفات غير مسبوقة بالمعصية المؤثرة، فيصير حاله بالنسبة إلى التصرّفات الخروجية لأجل التخلّص كمن اضطرّ إلى الدخول، فاختار الخروج بعد رفع الاضطرار للتخلّص من البقاء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بما انّه من توابع الدخول فلو عدّ الدخول عصياناً و ظلماً و تمرّداً على المولى تكون توابعه محكومة بحكمه، و أمّا إذا تقلّب حكمه بحكم انّ التائب من ذنبه كمن لا ذنب له فتكون توابعه أيضاً محكومة بحكمه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انه بعد ان صار مضطرا فقد تبدل حکمه بتبدل الموضوع حتی و لو لم يتب</w:t>
      </w:r>
      <w:r>
        <w:rPr>
          <w:rFonts w:eastAsia="IRNazanin" w:cs="IRNazanin"/>
          <w:color w:val="111111"/>
          <w:sz w:val="28"/>
          <w:szCs w:val="28"/>
          <w:rtl w:val="true"/>
          <w:lang w:bidi="fa-IR"/>
        </w:rPr>
        <w:t>.</w:t>
      </w:r>
    </w:p>
    <w:p>
      <w:pPr>
        <w:pStyle w:val="Heading2"/>
        <w:numPr>
          <w:ilvl w:val="1"/>
          <w:numId w:val="1"/>
        </w:numPr>
        <w:rPr/>
      </w:pPr>
      <w:bookmarkStart w:id="186" w:name="__RefHeading___Toc11691201_1280447820"/>
      <w:bookmarkStart w:id="187" w:name="_Toc68"/>
      <w:bookmarkEnd w:id="186"/>
      <w:r>
        <w:rPr>
          <w:rtl w:val="true"/>
        </w:rPr>
        <w:t>حکم ما إذا اضطرّ إلى ارتكاب الحرام لكن لا بسوء الاختيار</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اضطرّ إلى ارتكاب الحرام لكن لا بسوء الاختيار كما إذا كان محبوساً في الدار المغصوبة فإذا قلنا بالامتناع و دار الأمر بين تقديم أحد الحكمين، فهل يقدّمالنهي أو الأمر؟ و قد ذكروا لتقديم النهي وجوهاً ثلاثة ذكرها المحقّق الخراساني وهي</w:t>
      </w:r>
      <w:r>
        <w:rPr>
          <w:rFonts w:eastAsia="Amiri" w:cs="Amiri" w:ascii="Amiri" w:hAnsi="Amiri"/>
          <w:color w:val="111111"/>
          <w:sz w:val="28"/>
          <w:szCs w:val="28"/>
          <w:rtl w:val="true"/>
          <w:lang w:bidi="ar-SA"/>
        </w:rPr>
        <w:t xml:space="preserve">: </w:t>
      </w:r>
      <w:bookmarkStart w:id="188" w:name="pg16640_202262"/>
    </w:p>
    <w:p>
      <w:pPr>
        <w:pStyle w:val="Heading2"/>
        <w:numPr>
          <w:ilvl w:val="1"/>
          <w:numId w:val="1"/>
        </w:numPr>
        <w:rPr/>
      </w:pPr>
      <w:bookmarkStart w:id="189" w:name="__RefHeading___Toc11691203_1280447820"/>
      <w:bookmarkStart w:id="190" w:name="_Toc69"/>
      <w:bookmarkEnd w:id="188"/>
      <w:bookmarkEnd w:id="189"/>
      <w:r>
        <w:rPr>
          <w:rtl w:val="true"/>
        </w:rPr>
        <w:t>وجوه تقديم النهي علی الامر</w:t>
      </w:r>
      <w:bookmarkEnd w:id="190"/>
    </w:p>
    <w:p>
      <w:pPr>
        <w:pStyle w:val="Heading2"/>
        <w:numPr>
          <w:ilvl w:val="1"/>
          <w:numId w:val="1"/>
        </w:numPr>
        <w:rPr/>
      </w:pPr>
      <w:bookmarkStart w:id="191" w:name="__RefHeading___Toc11691205_1280447820"/>
      <w:bookmarkStart w:id="192" w:name="_Toc70"/>
      <w:bookmarkEnd w:id="191"/>
      <w:r>
        <w:rPr>
          <w:rtl w:val="true"/>
        </w:rPr>
        <w:t>الاول</w:t>
      </w:r>
      <w:r>
        <w:rPr>
          <w:rtl w:val="true"/>
        </w:rPr>
        <w:t xml:space="preserve">: </w:t>
      </w:r>
      <w:r>
        <w:rPr>
          <w:rtl w:val="true"/>
        </w:rPr>
        <w:t>أن النهي أقوى دلالة من الامر</w:t>
      </w:r>
      <w:bookmarkEnd w:id="19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أقوى دلالة لاستلزامه انتفاء جميع الأفراد بخلاف الأمر</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النهي أقوى دلالة من دليل الأمر، حيث ان دلالة الأمر على الإطلاق البدلي و الاجتزاء بأي فرد من أفراد الطبيعة المأمور بها تكون بمقدمات الحكمة، و دلالة النهي على الإطلاق الشمولي تكون بدلالة نفس النهي عليه التزاماً، فدلالته على الإطلاق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دلالة الأمر على الإطلاق البدلي، لكونها بمقدمات الحكمة، فيقدم النهي عليه في المجمع، و يحكم بفساد الصلاة في المغصوب و عليه فيتعيّن التصرف في جانب الأمر بإخراج الصلاة في الدار المغصوبة من تحته و إبقاء الصلاة في غيرها تحته من دون تصرّف في جانب النهي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كل من الأمر و النهي على العموم الشمولي و البدلي تكون بمقدمات الحكمة، فهما متساويان في الدلالة على العموم، و ذلك لأن العموم المستفاد من النهي انما يكون من جهة إطلاق متعلقه الثابت بمقدمات الحكمة، إذ لو كان المتعلق مقيداً بقيد من زمان أو زماني كان على المتكلم بيانه، فلما كانت دلالة كل من الأمر و النهي على العموم بمعونة مقدمات الحكمة بلا فرق بينهما الّا من جهة شمولية </w:t>
      </w:r>
    </w:p>
    <w:p>
      <w:pPr>
        <w:pStyle w:val="BookText"/>
        <w:rPr/>
      </w:pPr>
      <w:r>
        <w:rPr>
          <w:rFonts w:ascii="Amiri" w:hAnsi="Amiri" w:eastAsia="Amiri" w:cs="Amiri"/>
          <w:color w:val="111111"/>
          <w:sz w:val="28"/>
          <w:sz w:val="28"/>
          <w:szCs w:val="28"/>
          <w:rtl w:val="true"/>
          <w:lang w:bidi="ar-SA"/>
        </w:rPr>
        <w:t>العموم في النهي، و بدليته في الأمر، و هذا لا يوجب أقوائية النهي من الأمر فلا وجه لتقديم النهي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هذا الإيراد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النهي على العموم انما تكون من نفس النهي، إذ لو كانت من مقدمات الحكمة لزم أن يكون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فرد من أفراده على نحو الحقيقة، لما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إطلاق المطلق و إرادة فرد من أفراده يكون على نحو الحقيقة مع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فرد خاص من أفراده يكون مجازاً لان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الافراد حقيقة واضح الفساد، لأن الظاهر المتبادر من اللفظ عرفاً هو الإطلاق و عدم الخصوصية، فلا بد أن يكون الاستعمال فيها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فتكون دلالة النهي على العموم من جهة أن وقوع الطبيعة في حيز النفي أو النهي يقتضي عقلا سريان الحكم إلى جميع الافراد، لأن لازم وقوع الطبيعة في حيز النفي أو النهي الدال على مبغوضية وجودها هو سريان الحكم إلى جميع أفراد الطبيعة، لتوقف ترك الطبيعة على ترك جميع أفرادها، فالنهي بالالتزام العقلي يدل على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فأقوائية دلالة النهي على العموم الاستغراقي من دلالة النهي على العموم البدلي في محلها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نصر المستشكل الأوّل و ردّ الإشكال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و النهي و ان كانا دالين على العموم بلا كلام، إلّا أن استفادة العموم منوطة بكل من حكم العقل و مقدمات الحكمة،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أداة العموم لا تدل على استيعاب جميع أفراد الطبيعة المطلقة إلّا إذا أريد بها الإطلاق، و لما لم يكن نفس متلوّ أداة العموم دالا على هذا الإطلاق، فلا بد في إثباته من التشبث بمقدمات الحكمة، مثلا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 الحكم بحرمة جميع أفراد طبيعة الغصب إلّا بعد إثبات الإطلاق لهذه الطبيعة، و من المعلوم أن المتكفل له هو مقدمات الحكمة، فبها نحكم بأن المراد به الطبيعة المطلقة، إذ لو كان المراد به الطبيعة المقيدة بزمان كيوم الجمعة أو زمانيّ كالفقر و الغنى و السفر و الحضر و غيرها من الحالات و الطوارئ كان على المتكلم بيانه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بحرمة جميع أفراد الغصب منوط بإطلاق متلوّ أداة العموم، و قد عرفت توقفه على مقدمات الحكمة، و بعد جريانها فيه يكون المنفي أو المنهي عنه الطبيعة غير المقيدة، و من المعلوم أن العقل يحكم حينئذ بلزوم استيعاب جميع أفراد طبيعة في كل زمان و حال، فاستفادة العموم لجميع الافراد منوطة أولا بإطلاق متلو أداة العموم، و ثانياً بحكم العقل المتقدم، فلو لم تكنالطبيعة مطلقة بأن كانت مهملة أو مقيدة لا يدل النفي و النهي على استيعاب جميع أفرادها، بل بعضها الّذي أريد منها، كما لا يخفى هذا ما أفاده في الكفاية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93" w:name="pg16640_202265"/>
    </w:p>
    <w:p>
      <w:pPr>
        <w:pStyle w:val="BookText"/>
        <w:rPr/>
      </w:pPr>
      <w:bookmarkEnd w:id="193"/>
      <w:r>
        <w:rPr>
          <w:rFonts w:ascii="IRNazanin" w:hAnsi="IRNazanin" w:eastAsia="IRNazanin"/>
          <w:color w:val="111111"/>
          <w:sz w:val="28"/>
          <w:sz w:val="28"/>
          <w:szCs w:val="28"/>
          <w:rtl w:val="true"/>
          <w:lang w:bidi="fa-IR"/>
        </w:rPr>
        <w:t>ثم أنّ المحقّق الخراساني و ان قوّی ما أفاده أخيراً من الإشكال، على الإشكال، لكنّه لم يقبل دليله من أنّه لو كان الشمول مستفاداً من الإطلاق لكان استعمال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تغصب في بعض الأفراد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اعترف بكونه حقيقة على جميع المباني، اما اذا قلنا بأنّ الشمول مستند إلى مقدّمات الحكمة فواضح، لعدم جريانها مع وجود القرينة و اما على القول بأنّ دلالته على الشمول بالالتزام أو بالوضع، فلأجل تعدّد الدال و المدلول بمعنى انّ الخصوصية مستفادة من القرينة لا من استعمال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في بعض الأفراد كما سيأتي البحث عنه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کلا من الاطلاقين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الشمولي و البدلي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للتصرّف في الآخر، فلا مرجّح للتقديم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تقدّم الدلالة الشمولية على البدلية إذا كانت الأُولى وضعية و الثانية إطلاقية، فإذا قال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تكرم الفسّاق،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عالماً، فبما أنّ دلالة الأوّل على الشمول بالدلالة اللفظية،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المحلّى باللام، و دلالة الثاني على كفاية فرد من أفراد الطبيعة، بالدلالة العقلية، فلا مناص من تقديم الدلالة الوضعية على الدلالة العقلية عند التّعارض في العالم الفاسق، لأقوائية الوضعية و عدم توقّف تمامية دلالتها على شي‌ء، بخلاف الدلالة العقلية، فانّها فرع عدم ما يصلح للقرينيّة، و الوضعية صالحة لها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11691207_1280447820"/>
      <w:bookmarkStart w:id="195" w:name="_Toc71"/>
      <w:bookmarkEnd w:id="194"/>
      <w:r>
        <w:rPr>
          <w:rtl w:val="true"/>
        </w:rPr>
        <w:t>الثاني</w:t>
      </w:r>
      <w:r>
        <w:rPr>
          <w:rtl w:val="true"/>
        </w:rPr>
        <w:t xml:space="preserve">: </w:t>
      </w:r>
      <w:r>
        <w:rPr>
          <w:rtl w:val="true"/>
        </w:rPr>
        <w:t>دفع المفسدة أولى من جلب المنفعة</w:t>
      </w:r>
      <w:bookmarkEnd w:id="195"/>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أن دفع المفسدة أولى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عليه في القوانين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مطلقا ممنوع لأن في ترك الواجب أيضا مفسدة إذا تعين</w:t>
      </w:r>
      <w:r>
        <w:rPr>
          <w:rFonts w:eastAsia="IRNazanin" w:cs="IRNazanin"/>
          <w:color w:val="111111"/>
          <w:sz w:val="28"/>
          <w:szCs w:val="28"/>
          <w:rtl w:val="true"/>
          <w:lang w:bidi="fa-IR"/>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فإن الواجب و لو كان معينا ليس إلّا لأجل أن في فعله مصلحة يلزم استيفاؤها من دون أن يكون في تركه مفسدة كما أن الحرام ليس إلّا لأجل المفسدة في فعله بلا مصلحة في تركه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المصالح و المفاسد ملاکات الاحکام و العلل الحقيقة لها و هي اولاً غير منکشفة لنا و علی هذا المعنی حمل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دين الله عز و جل لا يصاب بالعقول الناقصة و الاراء الباطلة و المقاييس الفاسدة</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تکون المصلحة أعم من المصالح الفردية و الاجتماعية، و عليه فربّما يكون في ترك الواجب مفسدة عظمى مضافا لما فيه من المصلحة کما في الصلاة فانها عمود الدين و في ترکها مفسدة عظيمة قال تعالی </w:t>
      </w:r>
      <w:r>
        <w:rPr>
          <w:rFonts w:ascii="Amiri" w:hAnsi="Amiri" w:eastAsia="Amiri" w:cs="Amiri"/>
          <w:color w:val="111111"/>
          <w:sz w:val="28"/>
          <w:sz w:val="28"/>
          <w:szCs w:val="28"/>
          <w:rtl w:val="true"/>
          <w:lang w:bidi="ar-SA"/>
        </w:rPr>
        <w:t>فخلف من بعدهم خلف اضاعوا الصلاة و اتبعوا الشهوات فسوف يلقون غيّا</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في الجهاد فانّه مع ما فيه من المصلحة فان ترکه يوجب الذُّلّ و الهوان و سيطرة العدو على النفوس و الأموال، و أيّ مفسدة أعظم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أمير المؤمنين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غُزِي قوم في عُقر دارهم قط إلّا و قد ذلّوا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و مثله ترك الزكاة فانّ في تركها إيجاد الفوضى و اتّساع دائرة الفتنة و فقدان الأمن المالي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علیه السلام </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جاع فقير إلّا بما متِّع به غني</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إلى هنا تبيّن أنّ الصغرى ليست بتامّة، و انّ المفسدة موجودة في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الحرام و ترك الواجب، فالحقّ مع المحقّق القمي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ناقش المحقق الخراساني کبری الاستدلال بوجوه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يرد عليه أن الأولوية مطلقا ممنوعة بل ربما يكون العكس أولى كما يشهد به مقايسة فعل بعض المحرمات مع ترك بعض الواجبات خصوصا مثل الصلاة و ما يتلو تلوها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فهو أجنبي عن المقام فإنه فيما إذا دار بين الواجب و الحرام و لو سلم فإنما يجدي فيما لو حصل به القطع</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أجنبية عن المقام، فانّه فيما إذا دار الأمر بين الواجب و الحرام كما إذا دار الأمر بين ركوب الطائرة المغصوبة، و الحجّ، ففي مثله يرجع إلى القاعدة، لا في المقام الذي ليس هنا إلّا أحد الحكمين إمّا الوجوب أو الحرمة، فلا موضوع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هذه القاعدة ترجيح المأمور، و المقام ترجيح الأمر، إذ لا دوران عنده بعد الكسر و الانكسار، فلا وجود عنده الا لإحداهما من المصلحة أو المفسدة، فلا دوران بينهما حتى يحكم العقل بأولوية دفع المفسدة من جلب المنفعة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أوضحه هو ايضا في هامش الکفاية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الترجيح بهذه القاعدة إنّما يناسب ترجيح المكلّف و اختياره للفعل أو الترك بما هو أوفق بغرضه لا المقام و هو مقام جعل الأحكام فانّ المرجع هناك ليست إلّا حسنها أو قبحها العقليان لا موافقة الأغراض و مخالفتها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الملاكات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التشريع و مناط جعل الحكم و هو ينحصر بالحسن و القبح فيحكم بوجوب الأوّل و حرمة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التي ترجع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الملاكين مقام خاص، فلو كان الشك راجعاً إلى نفس الحكم الشرعي و ما هو المجعول كما هو الحال في المقام حيث إنّ الشكّ مركز على أنّ المجعول في الصلاة في الدار المغصوبة هو الوجوب أو الحرمة ففي مثله لا يرجع إلى قاعدة دفع المفسدة أولى من جلب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الحكم الشرعي معلوماً و دار الأمر بين ترك الواجب و فعل الحرام ففي مثل ذلك يتمسّك بالقاعدة كما إذا دار الأمر بين الحجّ و ركوب الطائرة المغصوبة، فعندئذ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المفسدة أولى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بعد تسليمها انما تجدي فيما إذا حصل القطع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ممنوع، لأن غاية ما يحصل هو الظن بها، و ذلك لا يجدي، لأن الأصل عدم اعتباره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أن دفع المفسدة أولى من جلب المصلحة يجدي و لو لم يحصل اليقين فإنّما تجري هذه القاعدة فيما يكون العلم الواقعي فعلياً على كلّ تقدير و </w:t>
      </w:r>
    </w:p>
    <w:p>
      <w:pPr>
        <w:pStyle w:val="BookText"/>
        <w:rPr/>
      </w:pPr>
      <w:r>
        <w:rPr>
          <w:rFonts w:ascii="Amiri" w:hAnsi="Amiri" w:eastAsia="Amiri" w:cs="Amiri"/>
          <w:color w:val="111111"/>
          <w:sz w:val="28"/>
          <w:sz w:val="28"/>
          <w:szCs w:val="28"/>
          <w:rtl w:val="true"/>
          <w:lang w:bidi="ar-SA"/>
        </w:rPr>
        <w:t>لا يكون هناك مجال لأصالة البراءة أو الاشتغال كما في دوران الأمر بين الوجوب و الحرمة التعينيين كالمرأة المرددة بين من يجب وطؤها و يحرم و طؤها لأجل الحلف، فان كلا من الوجوب و الحرمة تعييني، و لا تجري أصالة البراءة، للعلم بالإلزام المردد بين 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تجري اصالة الاشتغال، لتعذر الموافقة القطعية بالفعل، فلا أثر للاشتغال العقلي، بل العقل حاكم بالتخيير بين الفعل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لإمكان جريان أصل البراءة في حرمة المجمع، و إحراز صحته ببركة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بقاعدة الاشتغال في الشكّ في الأجزاء و الشرائط فلا يلزم القول بالاشتغال في المقام فانّه لا مانع عقلًا إلّا فعلية الحرمة المرفوعة بأصالة البراءة عنها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إنّ الأصل عند الشكّ في الأجزاء و الشرائط ككون السورة جزءاً من الصلاة أو لا هو الاشتغال و بطلان الصلاة بدونها، لما كان دليلًا على القول بالاشتغال و بطلان الصلاة في المقام، و ذلك لوجود المقتضي للصحة في المقام و هو الأمر و ليس المانع إلّا الحرمة المرفوعة بأصل البراءة، بخلاف الشكّ في كمّية الأجزاء و الشرائط فلا علم بالصحة لاحتمال وجوب الشي‌ء المشكوكة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العلم بتمامية المأمور به من حيث الأجزاء و الشرائط في المقام و إنّما الشكّ في مانعية الغصب، و هي مرفوعة بالأصل، فالمقتضي موجود، و المانع مرفوع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الشكّ في الجزئية و الشرطية فليس هناك علم بتمامية المأمور به من حيث الأجزاء و الشرائط، بل يحتمل كون السورة جزءاً، فيكون المأتي به ناقصاً من حيث كونه جامعاً للأجزاء و الشرائط، و توهم أنّ أصل البراءة رافع للجزئية على فرض ثبوتها مدفوع </w:t>
      </w:r>
    </w:p>
    <w:p>
      <w:pPr>
        <w:pStyle w:val="BookText"/>
        <w:rPr/>
      </w:pPr>
      <w:r>
        <w:rPr>
          <w:rFonts w:ascii="Amiri" w:hAnsi="Amiri" w:eastAsia="Amiri" w:cs="Amiri"/>
          <w:color w:val="111111"/>
          <w:sz w:val="28"/>
          <w:sz w:val="28"/>
          <w:szCs w:val="28"/>
          <w:rtl w:val="true"/>
          <w:lang w:bidi="ar-SA"/>
        </w:rPr>
        <w:t>بأنّ الرفع الظاهري لا ينافي الجزئية الواقعية على فرض ثبوتها في الواقع فتكون الصلاة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المانعية و الجزئية من باب واحد، فأصل البراءة رافع للمانعية و الجزئية في الظاهر دون الواقع، فلو كان المشكوك مانعاً واقعاً، يكون المأتي به ناقصاً من حيث اقترانه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المانع هو المبغوضية المحرزة لا المبغوضية الواقعية،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 مانع عقلًا إلّا فعلية الحرمة المرفوعة بأصالة البراءة عقلًا أو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لم تكن محرزة يكون عدم المبغوضية قطعياً، بخلاف جزئية الجزء أو شرطية الشرط، فالجزء بما هو جزء و الشرط بما هو شرط مأخوذان في المتعلّق، فأصالة البراءة لا تؤثر في انقلاب الواقع على فرض وجوده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المفسدة الواقعية الغالبة مؤثرة في المبغوضية و لو لم يكن الغلبة بمحرزة فأصالة البراءة غير جارية بل كانت أصالة الاشتغال بالواجب لو كان عبادة محكمة و لو قيل بأصالة البراءة في الأجزاء و الشرائط لعدم تأتي قصد القربة مع الشك في المبغوضية فتأمل</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التفكيك بين المقام و الشك في الجزئية و الشرطية، مبنيّ على أنّ المفسدة الغالبة المحرزة مانعة من الصلاة، فعدم إحرازها يكفي في الحكم بصحّة الصلاة، و عدم اقترانها بالمانع واقعاً، و أمّا إذا قلنا بأنّ المفسدة بوجودها الواقعية الغالبة مانعة و إن لم يعلم بها المكلّف، فعندئذ، تكون النتيجة معكوسة، فلا يجدي الأصل في المقام و إن قلنا به في الشك في الجزئية و الشرطية</w:t>
      </w:r>
      <w:r>
        <w:rPr>
          <w:rFonts w:eastAsia="Amiri" w:cs="Amiri" w:ascii="Amiri" w:hAnsi="Amiri"/>
          <w:color w:val="111111"/>
          <w:sz w:val="28"/>
          <w:szCs w:val="28"/>
          <w:rtl w:val="true"/>
          <w:lang w:bidi="ar-SA"/>
        </w:rPr>
        <w:t xml:space="preserve">. </w:t>
      </w:r>
      <w:bookmarkStart w:id="196" w:name="pg16640_202271"/>
    </w:p>
    <w:p>
      <w:pPr>
        <w:pStyle w:val="BookText"/>
        <w:rPr/>
      </w:pPr>
      <w:bookmarkEnd w:id="196"/>
      <w:r>
        <w:rPr>
          <w:rFonts w:ascii="Amiri" w:hAnsi="Amiri" w:eastAsia="Amiri" w:cs="Amiri"/>
          <w:color w:val="111111"/>
          <w:sz w:val="28"/>
          <w:sz w:val="28"/>
          <w:szCs w:val="28"/>
          <w:rtl w:val="true"/>
          <w:lang w:bidi="ar-SA"/>
        </w:rPr>
        <w:t>و ذلك لأنّها لو كانت المفسدة الواقعية مطلقاً مانعة فبما أنّها محتملة في المقام، فلا يتمشّى قصد القربة، إذ كيف يمكن التقرّب القطعي بشي‌ء يحتمل أن يكون مبغوضاً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أصالة الاشتغال محكّمة</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11691209_1280447820"/>
      <w:bookmarkStart w:id="198" w:name="_Toc72"/>
      <w:bookmarkEnd w:id="197"/>
      <w:r>
        <w:rPr>
          <w:rtl w:val="true"/>
        </w:rPr>
        <w:t>الثالث</w:t>
      </w:r>
      <w:r>
        <w:rPr>
          <w:rtl w:val="true"/>
        </w:rPr>
        <w:t xml:space="preserve">: </w:t>
      </w:r>
      <w:r>
        <w:rPr>
          <w:rtl w:val="true"/>
        </w:rPr>
        <w:t>الاستقراء</w:t>
      </w:r>
      <w:bookmarkEnd w:id="198"/>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الاستقراء فإنه يقتضي ترجيح جانب الحرمة على جانب الوجوب كحرمة الصلاة في أيام الاستظهار و عدم جواز الوضوء من الإناءين المشتبهين</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الاستقراء يشهد على أنّ الشارع قدّم جانب الحرمة على جانب الوجوب فيما إذا دار الأمر بين المحذورين کما في هذين الموردين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الاستظهار بعد تمام العادة و قبل العشرة حيث أمر الشارع بترك العبادة مع أنّ الأمر يدور بين الوجوب و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الإنسان محدثاً، و ابتلى بإناءين مشتبهين فقد أُمِر بإهراقهما و العدول إلى التيمم، مع دوران الأمر بين وجوب الوضوء مقدّمة للصلاة و حرمة التوضّؤ بالماء النجس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اجابه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دليل على اعتبار الاستقراء ما لم يفد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فهو لا يكاد يثبت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فليس حرمة الصلاة في تلك الأيام و لا عدم جواز الوضوء منهما مربوطا بالمقام</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اجاب عن أنّ ترجيح جانب الحرمة في هذين الموردين بانه لوجود دليل اجتهادي أو أصل عملي يقتضي ذلك الجانب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الاستظهار أيّ ترجيح جانب الحرمة لأجل الدليل الحاكم على أنّ الدم المشكوك، دم حيض، و الدليل إمّا الاستصحاب، أو قاعدة الإمكان و انّ كلّ دم أمكن أن يكون حيضاً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المورد الثاني أي عدم جواز الوضوء من الإنائين المشتبهين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النهي فيه تعبّدي يختصّ بمورده لانّ فرض المورد من قبيل دوران الأمر بين المحذورين إنّما يتم إذا قصد بالتوضّؤ بالماء الذي لم تحرز طهارته امتثالَ الأمر الواقعي فيوصف التوضّؤ بالحرمة التشريعية، فيدور أمر الوضوء بين الحرمة لأجل التشريع، و الوجوب لكونه مقدّمة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توضأ بكلّ من الماءين رجاء و من باب الاحتياط فلا يحرم، و بالتالي يخرج المورد عن باب دوران الأمر بين المحذورين، فتقديم النهي في هذه الصورة لأجل النصّ تعبديٌّ يختص بمورده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يبتني علی کفاية نية الرجاء في تحقق العبادة و صحة الاحتياط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مردودان کما سيأتي تحقيقه في باب البراءة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يصح هذا الجواب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النهي لأجل عدم الابتلاء بالنجاسة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توضّأ بالماءين المشتبهين ربّما تحصل له الطهارة من الحدث، في بعض الصور</w:t>
      </w:r>
      <w:r>
        <w:rPr>
          <w:rStyle w:val="FootnoteAnchor"/>
          <w:rtl w:val="true"/>
        </w:rPr>
        <w:footnoteReference w:id="104"/>
      </w:r>
      <w:r>
        <w:rPr>
          <w:rFonts w:ascii="Amiri" w:hAnsi="Amiri" w:eastAsia="Amiri" w:cs="Amiri"/>
          <w:color w:val="111111"/>
          <w:sz w:val="28"/>
          <w:sz w:val="28"/>
          <w:szCs w:val="28"/>
          <w:rtl w:val="true"/>
          <w:lang w:bidi="ar-SA"/>
        </w:rPr>
        <w:t xml:space="preserve">، لكنّه يبتلي بالنجاسة الخبثية القطعية، و المقرر في محلّه انّه إذا دار الأمر بين الطهارة الحدثية و النجاسة في البدن أو الثوب، تُقدّم الطهارةُ من الخبث على الطهارة من الحدث، مثلاً إذا كان محدثاً </w:t>
      </w:r>
      <w:bookmarkStart w:id="199" w:name="pg16640_202273"/>
    </w:p>
    <w:p>
      <w:pPr>
        <w:pStyle w:val="BookText"/>
        <w:rPr/>
      </w:pPr>
      <w:bookmarkEnd w:id="199"/>
      <w:r>
        <w:rPr>
          <w:rFonts w:ascii="Amiri" w:hAnsi="Amiri" w:eastAsia="Amiri" w:cs="Amiri"/>
          <w:color w:val="111111"/>
          <w:sz w:val="28"/>
          <w:sz w:val="28"/>
          <w:szCs w:val="28"/>
          <w:rtl w:val="true"/>
          <w:lang w:bidi="ar-SA"/>
        </w:rPr>
        <w:t>و كان بدنه أو ثوبه الساتر أيضاً نجساً و كان الماء الموجود لا يكفي إلّا لواحد منهما، يُقدّم تطهير البدن و الثوب على الوضوء و الغسل، و ما هذا إلّا لأنّ للطهارة من الحدث بدلاً و هو التيمم دون الأُخرى أي الطهارة من الخبث، و قد قُرِّر في باب التزاحم أنّه إذا دار الأمر بين أمرين لأحدهما بدل دون الآخر يقدّم الثاني على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المقام فانّ الوضوء بماءين مشتبهين و إن كان ربّما يحصّل الطهارة من الحدث و لكنه يورث نجاسة البدن للقطع بنجاسة الأعضاء عند صبّ الماء الثاني إمّا بالماء الأوّل أو بالثاني كما سيوافيك تفصيله فعند الدوران تقدّم الطهارة من الخبث، على الطهارة من الحدث، فيترك الوضوء و يتيمّم، فتقديم جانب النهي لأجل هذا الدليل المقرّر في محلّه لا من باب أنّه إذا دار الأمر بين الأمر و النهي يقدّم النهي مطلقاً مع غض النظر عن الدليل كما هو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جواب المحقّق الخراساني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11691211_1280447820"/>
      <w:bookmarkStart w:id="201" w:name="_Toc73"/>
      <w:bookmarkEnd w:id="200"/>
      <w:r>
        <w:rPr>
          <w:rtl w:val="true"/>
        </w:rPr>
        <w:t>احکام التوضّؤ بماءين مشتبهين</w:t>
      </w:r>
      <w:bookmarkEnd w:id="201"/>
    </w:p>
    <w:p>
      <w:pPr>
        <w:pStyle w:val="BookText"/>
        <w:rPr/>
      </w:pPr>
      <w:r>
        <w:rPr>
          <w:rFonts w:ascii="IRNazanin" w:hAnsi="IRNazanin" w:eastAsia="IRNazanin"/>
          <w:color w:val="111111"/>
          <w:sz w:val="28"/>
          <w:sz w:val="28"/>
          <w:szCs w:val="28"/>
          <w:rtl w:val="true"/>
          <w:lang w:bidi="fa-IR"/>
        </w:rPr>
        <w:t>ثمّ إنّ المحقق الخراساني ذکر للتوضّؤ بالماءين المشتبهين صوراً ثلاثة و هي</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جهة الابتلاء بنجاسة البدن ظاهراً بحكم الاستصحاب للقطع بحصول النجاسة حال ملاقاة المتوضّأ من الإناء الثاني، إمّا بملاقاته، أو بملاقاة الأُولى و عدم استعمال مطهر بعده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بكلا الماءين من دون أن يتخلّل بين الوضوءين تطهير الأعضاء بالماء الثاني، فعند صب الماء الثاني على الوجه يقطع بنجاسة الوجه واقعاً و بقاءها ظاهراً و ذلك لأنه حين ملاقاة المتوضئ من الآنية الثانية يعلم بنجاسة أعضائه، اما بملاقاتها للماء الأول، و اما بملاقاتها للماء الثاني، و بعد حصول ما يعتبر في التطهير من انفصال الغسالة و التعدد فيما يحتاج اليه يشك في بقاء النجاسة، و مقتضى الاستصحاب بقاؤها، و من المعلوم مانعية النجاسة المستصحبة للصلاة، فلعل الأمر بالتيمم في النص يكون لأجل الابتلاء بهذه النجاسة الخبثية، فالامر بالتيمم يكون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طهّر بالثانية مواضع الملاقاة بالأولى</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وصلية لا شرطية و حاصل کلامه اشتراك الصورتين في العلم بالنجاسة الواقعية، ثمّ الشكّ في بقائها، و الفرق بينهما هو انّه في الصورة الأُولى لا يطهر الأعضاء بخلاف هذه الصورة فانّه يطهرها، و بالتالي يحصل العلم بالطهارة من الحدث في خصوص هذه الصورة، و ذلك كما إذا توضّأ أوّلًا بأحدهما ثمّ غسل مواضع الوضوء بالماء الثاني، ثمّ توضّأ بالماء الباقي في الإناء، فعندئذ يحصل العلم بالنجاسة الظاهرية بحكم الاستصحاب، و ذلك لأنّه عند تطهير الأعضاء بالماء الثاني وصب الماء عليها قبل انفصال الغسالة الذي هو شرط التطهير بالماء القليل، يحصل له العلم التفصيلي بالنجاسة، إمّا لأجل استعمال الماء الثاني، أو الأوّل، و استعمال الماء الثاني و إن كان مطهراً لكن المفروض عدم حصول شرط التطهير،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انفصال الغسالة أو التعدد، و بعد الانفصال يطرأ الشك في بقاء النجاسة، لأنّه كما يحتمل أن يكون النجس هو الماء الثاني، يحتمل أن يكون النجس هو الأوّل الذي ترتفع نجاسته باستعمال الماء الثاني و انفصال </w:t>
      </w:r>
    </w:p>
    <w:p>
      <w:pPr>
        <w:pStyle w:val="BookText"/>
        <w:rPr/>
      </w:pPr>
      <w:r>
        <w:rPr>
          <w:rFonts w:ascii="Amiri" w:hAnsi="Amiri" w:eastAsia="Amiri" w:cs="Amiri"/>
          <w:color w:val="111111"/>
          <w:sz w:val="28"/>
          <w:sz w:val="28"/>
          <w:szCs w:val="28"/>
          <w:rtl w:val="true"/>
          <w:lang w:bidi="ar-SA"/>
        </w:rPr>
        <w:t>الغسالة، و حيث إنّ الحالة غير معلومة يحكم ببقاء ما علم عند الصب و قبل انفصال الغسالة، فيكون العضو محكوماً بالنجاسة الظاهرية لأجل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يحصل العلم بالطهارة من الحدث، مقرونة بالنجاسة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طَهُرتْ على تقدير نجاستها بمجرّد الملاقاة بلا حاجة إلى التعدد، و انفصال الغسالة، كما لو كان كلّ منهما كرّاً و لكن كان أحدهمانجساً، فلا يعلم تفصيلًا بنجاستها في وقت معين و إن علم بنجاستها حين ملاقاة الأُولى أو الثانية إجمالًا و لا مجال لاستصحابها بل كانت قاعدة الطهارة محكّمة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الماءان كرّين و لا يتوقف التطهير بهما على التعدّد أو انفصال الغسالة، فلا يحصل العلم التفصيلي بالنجاسة حين الملاقاة بالماء الثاني، بل يعلم إجمالاً بأنّه صار نجساً إمّا بالملاقاة الأُولى أو بالثانية فلا مجال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أنّ عدم جريان الاستصحاب لأجل عدم العلم تفصيلًا بنجاسة العضو في وقت معيّن، بخلاف الصورة الأُولى و الثانية، حيث يعلم عند الصب و قبل انفصال الغسالة، بنجاسة العضو، فلو كان الاستصحاب غير جار في المقام تصل النوبة إلى قاعدة الطهارة، لأنّه مشكوك الطهارة و النجاسة، فلو كان النجس هو الماء الثاني فهو نجس قطعاً، و لو كان الماء الأوّل فهو طاهر كذلك، و عند الجهل بحال الماءين، يكون الملاقى مشكوك الطهارة و النجاسة فيحكم عليه بالطهارة حسب القاعدة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الصور تبتني علی ان المتنجس ينجس و الّا لو قلنا بعدم کون المنجس منجسا فينحصر الامر بکونه تعبديا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حتی علی مبنی علی ان المتنجس ينجس فالظاهر انّه يحكم في الجميع بضد الحالة السابقة قبل توارد الماءين عليه و بالتالي يحكم في المقام بنجاسة الأعضاء في عامّة الصور، و ذلك لأنّه يشترط في تأثير العلم الإجمالي أن يكون محدثاً للتكليف على كلّ تقدير، بأن يكون الماء الطاهر، مطهراً سواء تقدّم استعماله أو تأخّر، و الماء النجس منجِّساً كذلك، و عندئذ يؤثر العلم الإجمالي، لكن هذا الشرط موجود في استعمال الماء النجس دون استعمال الماء الطاهر واقعاً، أمّا الأوّل فواضح فهو ينجس العضو سواء استعمله قبل الماء الطاهر أو بعده، بخلاف الماء الطاهر فلو استعمله قبل الماء النجس، لا يؤثر في العضو، لأنّ المفروض طهارة العضو، و لو استعمل بعد الماء النجس فهو و إن كان يؤثر في طهارة العضو لكن يكون محدثاً للتكليف على فرض دون فرض لا على جميع الفروض، فالعلم بطروء الطهارة على العضو دائر بين كونه مؤثّراً و غير مؤثر، محدثاً للطهارة، و غير محدث، فليس هنا علم بالطهارة المؤثرة المزيلة للنجاسة، لاحتمال كونالطاهر هو الماء الأوّل، بخلاف النجاسة فهناك علم تفصيلي بطروء النجاسة المؤثرة المزيلة للطهارة، المشكوك بقاؤها فتستصحب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يؤخذ بضد الحالة السابقة، و منه يعلم حال عكس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العضو نجساً و استعمل الماءان، فيحكم بطهارة العضو بنفس البيان في المقام السابق، فانّ الماء النجس غير مؤثر في كلتا الصورتين بل يؤثر استعماله إذا كان بعد استعمال الماء الطاهر، و أمّا لو كان قبله فلا يؤثر في نجاسة العضو، لأنّ المفروض كونه نجساً، بخلاف الماء الطاهر فهو رافع للنجاسة و مؤثر في رفع النجاسة، سواء استعمله قبل الماء النجس، أو بعده</w:t>
      </w:r>
      <w:r>
        <w:rPr>
          <w:rFonts w:eastAsia="Amiri" w:cs="Amiri" w:ascii="Amiri" w:hAnsi="Amiri"/>
          <w:color w:val="111111"/>
          <w:sz w:val="28"/>
          <w:szCs w:val="28"/>
          <w:rtl w:val="true"/>
          <w:lang w:bidi="ar-SA"/>
        </w:rPr>
        <w:t xml:space="preserve">. </w:t>
      </w:r>
      <w:bookmarkStart w:id="202" w:name="pg16640_202277"/>
    </w:p>
    <w:p>
      <w:pPr>
        <w:pStyle w:val="Heading2"/>
        <w:numPr>
          <w:ilvl w:val="1"/>
          <w:numId w:val="1"/>
        </w:numPr>
        <w:rPr/>
      </w:pPr>
      <w:bookmarkStart w:id="203" w:name="__RefHeading___Toc11691213_1280447820"/>
      <w:bookmarkStart w:id="204" w:name="_Toc74"/>
      <w:bookmarkEnd w:id="202"/>
      <w:bookmarkEnd w:id="203"/>
      <w:r>
        <w:rPr>
          <w:rtl w:val="true"/>
        </w:rPr>
        <w:t>الفصل الثالث في کاشفية النهي عن الفساد</w:t>
      </w:r>
      <w:bookmarkEnd w:id="204"/>
    </w:p>
    <w:p>
      <w:pPr>
        <w:pStyle w:val="BookText"/>
        <w:rPr/>
      </w:pP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تقديم امور</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11691215_1280447820"/>
      <w:bookmarkStart w:id="206" w:name="_Toc75"/>
      <w:bookmarkEnd w:id="205"/>
      <w:r>
        <w:rPr>
          <w:rtl w:val="true"/>
        </w:rPr>
        <w:t>الاول</w:t>
      </w:r>
      <w:r>
        <w:rPr>
          <w:rtl w:val="true"/>
        </w:rPr>
        <w:t xml:space="preserve">: </w:t>
      </w:r>
      <w:r>
        <w:rPr>
          <w:rtl w:val="true"/>
        </w:rPr>
        <w:t>في الفرق بين هذه المسألة و مبحث الاجتماع</w:t>
      </w:r>
      <w:bookmarkEnd w:id="20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البحث عن ذلک مفصلا في المسألة السابقة و قلنا انّ المسألتين تتميّزان موضوعاً و محمولًا، أمّا الأوّل فلما تقدم من كلام صاحب الفصول، و أما الثاني فلأنّ المحمول في المقام جواز الاجتماع و عدمه، و في مسألة النهي عن العبادة، هو دلالة النهي على الفساد و عدمه، و مع الاختلاف الجوهري بين المسألتين في جانب الموضوع و المحمول، لا وجه اشتراك بينهما حتّى يُسأل عن جهة افتراقهما</w:t>
      </w:r>
      <w:r>
        <w:rPr>
          <w:rFonts w:eastAsia="IRNazanin" w:cs="IRNazanin"/>
          <w:color w:val="111111"/>
          <w:sz w:val="28"/>
          <w:szCs w:val="28"/>
          <w:rtl w:val="true"/>
          <w:lang w:bidi="fa-IR"/>
        </w:rPr>
        <w:t xml:space="preserve">. </w:t>
      </w:r>
      <w:bookmarkStart w:id="207" w:name="pg16640_202278"/>
    </w:p>
    <w:p>
      <w:pPr>
        <w:pStyle w:val="BookText"/>
        <w:rPr/>
      </w:pPr>
      <w:bookmarkEnd w:id="207"/>
      <w:r>
        <w:rPr>
          <w:rFonts w:ascii="Amiri" w:hAnsi="Amiri" w:eastAsia="Amiri" w:cs="Amiri"/>
          <w:color w:val="111111"/>
          <w:sz w:val="28"/>
          <w:sz w:val="28"/>
          <w:szCs w:val="28"/>
          <w:rtl w:val="true"/>
          <w:lang w:bidi="ar-SA"/>
        </w:rPr>
        <w:t>و الذي يعرب عن تمايز المسألتين بجوهرهما هو لزوم وجود الأمر في المسألة السابقة، دون هذه المسألة، بل يكفي وجود النهي سواء أ كان معه أمر كما في العبادات أو لا كما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في المسألة السابقة بالامتناع، و قدّمنا النهي على الأمر، تكون نتيجة البحث في المسألة السابقة، صغرى لهذه المسألة، و أمّا لو قلنا بجوازهما، أو قلنا بالامتناع لكن بتقديم الأمر على النهي، فلا صلة بين المسألتين أبداً</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11691217_1280447820"/>
      <w:bookmarkStart w:id="209" w:name="_Toc76"/>
      <w:bookmarkEnd w:id="208"/>
      <w:r>
        <w:rPr>
          <w:rtl w:val="true"/>
        </w:rPr>
        <w:t>الثاني</w:t>
      </w:r>
      <w:r>
        <w:rPr>
          <w:rtl w:val="true"/>
        </w:rPr>
        <w:t xml:space="preserve">: </w:t>
      </w:r>
      <w:r>
        <w:rPr>
          <w:rtl w:val="true"/>
        </w:rPr>
        <w:t>هل المسألة عقلية ام لفظية</w:t>
      </w:r>
      <w:bookmarkEnd w:id="2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البحث في المسألة السابقة عقليا محضا، كما يعلم من براهين المجوّزين و المانعين، و أمّا المقام، فذهب المحقّق النائيني‌</w:t>
      </w:r>
      <w:r>
        <w:rPr>
          <w:rStyle w:val="FootnoteAnchor"/>
          <w:rtl w:val="true"/>
        </w:rPr>
        <w:footnoteReference w:id="110"/>
      </w:r>
      <w:r>
        <w:rPr>
          <w:rFonts w:ascii="Amiri" w:hAnsi="Amiri" w:eastAsia="Amiri" w:cs="Amiri"/>
          <w:color w:val="111111"/>
          <w:sz w:val="28"/>
          <w:sz w:val="28"/>
          <w:szCs w:val="28"/>
          <w:rtl w:val="true"/>
          <w:lang w:bidi="ar-SA"/>
        </w:rPr>
        <w:t>تبعاً للشيخ الأنصاري</w:t>
      </w:r>
      <w:r>
        <w:rPr>
          <w:rStyle w:val="FootnoteAnchor"/>
          <w:rtl w:val="true"/>
        </w:rPr>
        <w:footnoteReference w:id="111"/>
      </w:r>
      <w:r>
        <w:rPr>
          <w:rFonts w:ascii="IRNazanin" w:hAnsi="IRNazanin" w:eastAsia="IRNazanin"/>
          <w:color w:val="111111"/>
          <w:sz w:val="28"/>
          <w:sz w:val="28"/>
          <w:szCs w:val="28"/>
          <w:rtl w:val="true"/>
          <w:lang w:bidi="fa-IR"/>
        </w:rPr>
        <w:t>إلى أنّ البحث في المقام أيضاً عقلي، كما أنّ المفهوم من کلام المحقّق الخراساني أنّ البحث لفظي،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انّ عدّ هذه المسألة من مباحث الألفاظ إنّما هو لأجل انّه في الأقوال قول بدلالته على الفساد في المعاملات مع إنكار الملازمة بينه و بين الحرمة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10" w:name="pg16640_202279"/>
    </w:p>
    <w:p>
      <w:pPr>
        <w:pStyle w:val="BookText"/>
        <w:rPr/>
      </w:pPr>
      <w:bookmarkEnd w:id="210"/>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الاختلاف انما هو لاجل كيفية الاستدلال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بدلالة لفظ النهي على الفساد، کان البحث لفظياً، و إن قلنا بوجود الملازمة العقلية بين الحرمة و الفساد، کان البحث عقلياً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مع ذلک لا يکون البحث في کل مسائلها لفظياً کما اذا دلّ الإجماع على التحريم دون وجود أيِّ لفظ فالفساد ثابت و متحقّق دون أن تكون هنا دلالة لفظيّة و عليه فيکون البحث في هذه الموارد عقليا</w:t>
      </w:r>
      <w:r>
        <w:rPr>
          <w:rFonts w:eastAsia="IRNazanin" w:cs="IRNazanin"/>
          <w:color w:val="111111"/>
          <w:sz w:val="28"/>
          <w:szCs w:val="28"/>
          <w:rtl w:val="true"/>
          <w:lang w:bidi="fa-IR"/>
        </w:rPr>
        <w:t>.</w:t>
      </w:r>
    </w:p>
    <w:p>
      <w:pPr>
        <w:pStyle w:val="Heading2"/>
        <w:numPr>
          <w:ilvl w:val="1"/>
          <w:numId w:val="1"/>
        </w:numPr>
        <w:rPr/>
      </w:pPr>
      <w:bookmarkStart w:id="211" w:name="__RefHeading___Toc11691219_1280447820"/>
      <w:bookmarkStart w:id="212" w:name="_Toc77"/>
      <w:bookmarkEnd w:id="211"/>
      <w:r>
        <w:rPr>
          <w:rtl w:val="true"/>
        </w:rPr>
        <w:t>الثالث</w:t>
      </w:r>
      <w:r>
        <w:rPr>
          <w:rtl w:val="true"/>
        </w:rPr>
        <w:t xml:space="preserve">: </w:t>
      </w:r>
      <w:r>
        <w:rPr>
          <w:rtl w:val="true"/>
        </w:rPr>
        <w:t>المسألة أُصولية</w:t>
      </w:r>
      <w:bookmarkEnd w:id="212"/>
    </w:p>
    <w:p>
      <w:pPr>
        <w:pStyle w:val="BookText"/>
        <w:rPr/>
      </w:pPr>
      <w:r>
        <w:rPr>
          <w:rFonts w:ascii="IRNazanin" w:hAnsi="IRNazanin" w:eastAsia="IRNazanin"/>
          <w:color w:val="111111"/>
          <w:sz w:val="28"/>
          <w:sz w:val="28"/>
          <w:szCs w:val="28"/>
          <w:rtl w:val="true"/>
          <w:lang w:bidi="fa-IR"/>
        </w:rPr>
        <w:t>لا يخفی أنّ ملاک المسألة الأُصولية، أنّ تقع نتيجتها كبرى الاستنباط، و هنا لو قلنا بدلالة النهي على الفساد، أو قلنا بالملازمة بين النهي و الفساد تكون العبادات و المعاملات المنهية فاسدة لا يترتّب عليها الأثر المقصود،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وبر ما لا يؤكل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بدلالة النهي على الفساد، أو قلنا بالملازمة العقلية، تكون النتيجة فساد الصلاة و البيع، فلا تكون الصلاة مسقطة للقضاء و الإعادة كما لا يكون البيع سبباً لخروج المبيع عن ملك البائع و دخوله في ملك المشتري و الثمن على العكس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3" w:name="__RefHeading___Toc11691221_1280447820"/>
      <w:bookmarkStart w:id="214" w:name="_Toc78"/>
      <w:bookmarkEnd w:id="213"/>
      <w:r>
        <w:rPr>
          <w:rtl w:val="true"/>
        </w:rPr>
        <w:t>الرابع</w:t>
      </w:r>
      <w:r>
        <w:rPr>
          <w:rtl w:val="true"/>
        </w:rPr>
        <w:t xml:space="preserve">: </w:t>
      </w:r>
      <w:r>
        <w:rPr>
          <w:rtl w:val="true"/>
        </w:rPr>
        <w:t>في شمول ملاك البحث للنهي التنزيهي و التبعي</w:t>
      </w:r>
      <w:bookmarkEnd w:id="214"/>
    </w:p>
    <w:p>
      <w:pPr>
        <w:pStyle w:val="BookText"/>
        <w:rPr/>
      </w:pPr>
      <w:r>
        <w:rPr>
          <w:rFonts w:ascii="IRNazanin" w:hAnsi="IRNazanin" w:eastAsia="IRNazanin"/>
          <w:color w:val="111111"/>
          <w:sz w:val="28"/>
          <w:sz w:val="28"/>
          <w:szCs w:val="28"/>
          <w:rtl w:val="true"/>
          <w:lang w:bidi="fa-IR"/>
        </w:rPr>
        <w:t>لا يخفی إنّ للنهي أقساماً کالتحريمي و التنزيهي و النفسي و الغيري و الاصلي و التبعي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اختلفت أنظار الأُصوليين في تعيين محط النزاع، فذهب المحقّق الخراساني إلى أنّ الجميع داخل في محطّ النزاع،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لفظ النهي و إن كان هو النهي التحريمي إلّا أن ملاك البحث يعم التنزيهي و معه لا وجه لتخصيص العنوان</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الملاک هو منافاة المرجوحية لصحة العبادة، و ذلك لاقتضاء العبادة للمحبوبية، و الكراهة للمبغوضية، حيث ان الحب و البغض متضادان فلا تجتمع الصحة في العبادة مع الكراهة و بذلک رد علی الشيخ الانصاري حيث ذهب إلى اختصاص النزاع بالنهي التحريمي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اختصاص عموم ملاكه بالعبادات لا يوجب التخصيص به كما لا يخفى</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 عموم الملاك بالعبادات لا يصلح لأن يكون قرينة على تخصيص النهي في العنوان بالتحريمي بتوهم أن المرجوحية المستكشفة عن النهي تحريمياً كان أو تنزيهياً انما تنافي صحة العبادة، لأنهاتستدعي المحبوبية المنافية للمرجوحية، دون المعاملة، إذ لا ملازمة قطعاً بين النهي التنزيهي فيها و بين الفساد، فلا تنافي مرجوحيتها صحتها، و حيث لا يشمل عموم الملاك المعاملات، فيما أن النهي التحريمي مطرد في العبادات و المعاملات، فيكون عدم اطراد عموم الملاك في المعاملات قرينة على إرادة التحريمي من النهي المذكور في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بالنهي خصوص التحريمي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 عن الاشکال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اختصاص عموم الملاك بالعبادات لا يصلح لأن </w:t>
      </w:r>
      <w:bookmarkStart w:id="215" w:name="pg16640_202281"/>
    </w:p>
    <w:p>
      <w:pPr>
        <w:pStyle w:val="BookText"/>
        <w:rPr/>
      </w:pPr>
      <w:bookmarkEnd w:id="215"/>
      <w:r>
        <w:rPr>
          <w:rFonts w:ascii="Amiri" w:hAnsi="Amiri" w:eastAsia="Amiri" w:cs="Amiri"/>
          <w:color w:val="111111"/>
          <w:sz w:val="28"/>
          <w:sz w:val="28"/>
          <w:szCs w:val="28"/>
          <w:rtl w:val="true"/>
          <w:lang w:bidi="ar-SA"/>
        </w:rPr>
        <w:t>يكون قرينة على تخصيص النهي في العنوان بالتحريمي، و ذلك لكفاية عمومية الملاك في صحة إرادة الأعم من التحريمي</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11691223_1280447820"/>
      <w:bookmarkStart w:id="217" w:name="_Toc79"/>
      <w:bookmarkEnd w:id="216"/>
      <w:r>
        <w:rPr>
          <w:rtl w:val="true"/>
        </w:rPr>
        <w:t>جواب المحقّق النائيني</w:t>
      </w:r>
      <w:bookmarkEnd w:id="217"/>
    </w:p>
    <w:p>
      <w:pPr>
        <w:pStyle w:val="BookText"/>
        <w:rPr/>
      </w:pPr>
      <w:r>
        <w:rPr>
          <w:rFonts w:ascii="Amiri" w:hAnsi="Amiri" w:eastAsia="Amiri" w:cs="Amiri"/>
          <w:color w:val="111111"/>
          <w:sz w:val="28"/>
          <w:sz w:val="28"/>
          <w:szCs w:val="28"/>
          <w:rtl w:val="true"/>
          <w:lang w:bidi="ar-SA"/>
        </w:rPr>
        <w:t>و ردّه المحقّق النائيني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التنزيهي عن فرد لا ينافي الرخصة الضمنية المستفادة من إطلاق الأمر فلا يكون بينهما معارضة ليقيّد به إطلاق الأمر، نعم لو تعلّق النهي التنزيهي بذات ما يكون عبادة لكان لدعوى اقتضائه الفساد مجال من جهة انّ ما يكون مرجوحاً ذاتاً لا يصلح أن يتقرّب به، إلّا أنّ النواهي التنزيهية الواردة في الشريعة المتعلّقة بالعبادات لم تتعلّق بذات العبادة على وجه يتّحد متعلّق الأمر و النهي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عدم اقتضاء النهي التنزيهي فساد العبادة و إن كان حقاً، لكنه لا يوجب خروجه عن محلّ النزاع، إذ يمكن أن يتوهم أنّ النهي كاشف عن عدم المطلوبية أو الحزازة، و هما لا يجتمعان مع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الفساد على خلاف التحقيق أمر، و كونه غير داخل في محط النزاع شي‌ء آخر، و الكلام في الدخول و عدمه إنّما هو قبل التحقيق و بيان الحال لا بعده، و ما ذكره راجع إلى ما بعد التحقيق</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الاصلي و المهم هو ما بعد التحقيق و هو الذي ينظر اليه العلمان الانصاري و النائيني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و ذهب المحقق الخراساني الی دخول الغيري في محل النزاع ايضا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وجه لتخصيصه بالنفسي فيعم الغيري إذا كان أصليا و أما إذا كان تبعيافهو و إن كان خارجا عن محل البحث لما عرفت أنه في دلالة النهي و التبعي منه من مقولة المعنى إلّا أنه داخل فيما هو ملاكه فإن دلالته على الفساد على القول به فيما لم يكن للإرشاد إليه إنما يكون لدلالته على الحرمة من غير دخل لاستحقاق العقوبة على مخالفته في ذلك كما توهمه القمي قدس سره و يؤيد ذلك أنه جعل ثمرة النزاع في أن الأمر بالشي‌ء يقتضي النهي عن ضده فساده إذا كان عبادة فتدبر جيدا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 ان الغيري كالنهي عن الصلاة عند ابتلاء المصلي بوجوب إزالة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أصلي، و غيري 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الملاك في تقسيم الأمر إلى الأصلي و التبعي إنّما هو مقام الإثبات و الدلالة، بمعنى أنّه إذا كان الوجوب مفهوماً بخطاب مستقل و مدلولاً بالدلالة المطابقية، فالواجب أصلي، و إن كان مفهوماً بتبع خطاب آخر و مدلولاً بالدلالة الالتزامية فالواجب تبعي، فلو قلنا بهذا التفسير للأصلي و التبعي، فالغيري مطلقاً داخل في عنوان النزاع لشمول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يدلّ على الفساد للنهي المفهوم بالدلالة المطابقية أو الالتزامية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بأنّ ملاك التقسيم إلی الغيري و التبعي هو الثبوت لا الإثبات، فلو كان الشي‌ء متعلّقاً للإرادة على وجه الاستقلال عند الالتفات إليه بما هو عليه فهو أصلي، و إن كان متعلّقاً بها تبعاً لإرادة غيره من دون التفات إليه فهو تبعي، فلو قلنا بهذا التفسير فالغيري التبعي بما انّه ليس مدلولاً للدلالة يكون داخلاً في محط البحث ملاكاً لا عنواناً</w:t>
      </w:r>
      <w:r>
        <w:rPr>
          <w:rFonts w:eastAsia="IRNazanin" w:cs="IRNazanin"/>
          <w:color w:val="111111"/>
          <w:sz w:val="28"/>
          <w:szCs w:val="28"/>
          <w:rtl w:val="true"/>
          <w:lang w:bidi="fa-IR"/>
        </w:rPr>
        <w:t xml:space="preserve">. </w:t>
      </w:r>
      <w:bookmarkStart w:id="218" w:name="pg16640_202283"/>
    </w:p>
    <w:p>
      <w:pPr>
        <w:pStyle w:val="BookText"/>
        <w:rPr/>
      </w:pPr>
      <w:bookmarkEnd w:id="218"/>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يخفی انه لا ثمرة مترتبة علی تقسيم الواجب الی اصلي و تبعي فلا طائل للبحث عنه</w:t>
      </w:r>
      <w:r>
        <w:rPr>
          <w:rFonts w:eastAsia="IRNazanin" w:cs="IRNazanin"/>
          <w:color w:val="111111"/>
          <w:sz w:val="28"/>
          <w:szCs w:val="28"/>
          <w:rtl w:val="true"/>
          <w:lang w:bidi="fa-IR"/>
        </w:rPr>
        <w:t>.</w:t>
      </w:r>
    </w:p>
    <w:p>
      <w:pPr>
        <w:pStyle w:val="Heading2"/>
        <w:numPr>
          <w:ilvl w:val="1"/>
          <w:numId w:val="1"/>
        </w:numPr>
        <w:rPr/>
      </w:pPr>
      <w:bookmarkStart w:id="219" w:name="__RefHeading___Toc11691225_1280447820"/>
      <w:bookmarkStart w:id="220" w:name="_Toc80"/>
      <w:bookmarkEnd w:id="219"/>
      <w:r>
        <w:rPr>
          <w:rtl w:val="true"/>
        </w:rPr>
        <w:t>حکم النهي الإرشادي و التشريعي و التخييري</w:t>
      </w:r>
      <w:bookmarkEnd w:id="220"/>
    </w:p>
    <w:p>
      <w:pPr>
        <w:pStyle w:val="BookText"/>
        <w:rPr/>
      </w:pPr>
      <w:r>
        <w:rPr>
          <w:rFonts w:ascii="IRNazanin" w:hAnsi="IRNazanin" w:eastAsia="IRNazanin"/>
          <w:color w:val="111111"/>
          <w:sz w:val="28"/>
          <w:sz w:val="28"/>
          <w:szCs w:val="28"/>
          <w:rtl w:val="true"/>
          <w:lang w:bidi="fa-IR"/>
        </w:rPr>
        <w:t>بقي الکلام عن النهي الإرشادي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النهي التشريعي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النهي التخييري في مقابل التعييني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النهي الارشادي فواضح الحكم فلا يكون داخلاً في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بين ان يكون إرشاداً للفساد،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لا يملك؛ او يكون إرشاداً إلى المانعية،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 وبر ما لا يؤكل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غير فرق بين أن تفسّر المانعية بأخذ قيد عدمي في المأمور به، أو بضدية الشي‌ء المنهي عنه مع الصلاة و انّهما لا يجتمعان، او إرشاد الی القاطعية کقوله لا تتکلم في صلاتک او ارشاد الی الشرطية کقوله لا تصل بلا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النهي التشريعي فمفاده النهي عن الاحداث و البدعة في الدين کصلاة التراويح، فهل هو داخل في محلّ النزاع أو لا؟ اختار المحقّق القوجاني‌</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القوجاني من تلاميذ المحقّق الخراساني و مقرر بحثه و هو أستاذ المحقّق المشكيني رحمه الله توفّى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قائلاً بأنّ مفاد النهي التشريعي هو البطلان فلا يتصوّر فيه النزاع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يدلّ عليه النهي التشريعي هو حرمة الإتيان بالعمل الناشئ منه و عدم الامر به، فان کان العمل عباديا فلا ريب في فساده لعدم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فليس الفساد من مداليل هذا النهي ليقع البحث عن دلالته على الفساد أو ملازمته معه عقلاً أو عدمها</w:t>
      </w:r>
      <w:r>
        <w:rPr>
          <w:rFonts w:eastAsia="IRNazanin" w:cs="IRNazanin"/>
          <w:color w:val="111111"/>
          <w:sz w:val="28"/>
          <w:szCs w:val="28"/>
          <w:rtl w:val="true"/>
          <w:lang w:bidi="fa-IR"/>
        </w:rPr>
        <w:t xml:space="preserve">. </w:t>
      </w:r>
      <w:bookmarkStart w:id="221" w:name="pg16640_202284"/>
    </w:p>
    <w:p>
      <w:pPr>
        <w:pStyle w:val="BookText"/>
        <w:rPr/>
      </w:pPr>
      <w:bookmarkEnd w:id="221"/>
      <w:r>
        <w:rPr>
          <w:rFonts w:ascii="Amiri" w:hAnsi="Amiri" w:eastAsia="Amiri" w:cs="Amiri"/>
          <w:color w:val="111111"/>
          <w:sz w:val="28"/>
          <w:sz w:val="28"/>
          <w:szCs w:val="28"/>
          <w:rtl w:val="true"/>
          <w:lang w:bidi="ar-SA"/>
        </w:rPr>
        <w:t>و أمّا النهي التخييري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دار زيد أو لا تجالس عمرو فصلى فيها مع مجالسته لعمر، فالظاهر دخوله في محلّ النزاع</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11691227_1280447820"/>
      <w:bookmarkStart w:id="223" w:name="_Toc81"/>
      <w:bookmarkEnd w:id="222"/>
      <w:r>
        <w:rPr>
          <w:rtl w:val="true"/>
        </w:rPr>
        <w:t>الخامس</w:t>
      </w:r>
      <w:r>
        <w:rPr>
          <w:rtl w:val="true"/>
        </w:rPr>
        <w:t xml:space="preserve">: </w:t>
      </w:r>
      <w:r>
        <w:rPr>
          <w:rtl w:val="true"/>
        </w:rPr>
        <w:t>في تعيين المراد من العبادة و المعاملة في المسألة</w:t>
      </w:r>
      <w:bookmarkEnd w:id="223"/>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يتعلق به النهي إما أن يكون عبادة أو غيرها و المراد بالعبادة هاهنا ما يكون بنفسه و بعنوانه عبادة له تعالى موجبا بذاته للتقرب حضرته لو لا حرمته كالسجود و الخضوع و الخشوع له و تسبيحه و تقديسه أو ما لو تعلق الأمر به كان أمره أمرا عباديا لا يكاد يسقط إلّا إذا أتى به بنحو قربي كسائر أمثاله نحو صوم العيدين و الصلاة في أيام العادة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على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السجود عبادة ذاتية، لما جاز أمر الملائكة بالسجود لآدم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w:t>
      </w:r>
      <w:r>
        <w:rPr>
          <w:rStyle w:val="FootnoteAnchor"/>
          <w:rtl w:val="true"/>
        </w:rPr>
        <w:footnoteReference w:id="121"/>
      </w:r>
      <w:r>
        <w:rPr>
          <w:rFonts w:ascii="Amiri" w:hAnsi="Amiri" w:eastAsia="Amiri" w:cs="Amiri"/>
          <w:color w:val="111111"/>
          <w:sz w:val="28"/>
          <w:sz w:val="28"/>
          <w:szCs w:val="28"/>
          <w:rtl w:val="true"/>
          <w:lang w:bidi="ar-SA"/>
        </w:rPr>
        <w:t>فآدم كان مسجوداً له، لا قبلة، و لا مسجوداً عليه، كالتربة الحسينية إذ معنى ذلك انّه سبحانه أمر بعبادة غيره الذي هو يساوي الأمر بالشرك المنزّه عنه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الفحشاء القبيح، أو ما اشتد قبحه و المقصود به هنا هو الشرك فالأولى أن يعرف بما ذكره ثانياً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تعلّق به الأمر لا يكاد يسقط إلّا إذا أتى به بنحو قربي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و ان کان صحيحا لکن لا يخلو بيانه من اشکال و ذلک لان السجود و ما شاکله من مصاديق التعظيم و الاحترام بحسب الطبع و العرف لا يصير عبادة الّا بقصد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فلو امر الله به لا يکون عبادة لآدم و لا يکون شرکا بل اطاعة و عبادة 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يظهر ضعف قوله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السجود عبادة ذاتية، لما جاز أمر الملائكة بالسجود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السجود لاحد مع قطع النظر عن حرمته للدليل الخاص لا يکون عبادة لو لم يقصد به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السجود و الرکوع بقصد التعبد يکون عبادة و اما لو کانا بقصد الرياضة او اللعب و ما شاکلهما فلا يکونان من الامور العبادية و لا يقول احد بذلک و الحاصل ان السجود و امثاله من الافعال القصدية فلا تکون بذاتها عبادة مجردة عن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 امر الله به فلا يکون عبادة لآدم و لا يکون شرکا بل يکون اطاعة لله جل و علا و ان کان سجودا لآدم لانه يقصد به امتثال امر الله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يرد علی التعريف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الفساد حينئذ يستند إلى عدم الأمر، لا إلى النهي الّذي يبحث في هذه المسألة عن تأثيره في الفساد، إذ المفروض أن العبادة تقديرية لا أمر فيها فعلا، و عدم الأمر كاف في الفساد، فلا تصل النوبة إلى تأثير النهي في الفساد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فالأولى حفظاً لظاهر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العبادة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لاستناد الفساد إلى النهي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بالعبادة هو ما لو لا النهي لكان عبادة، بحيث لو تعلق النهي لتعلقبما هو عبادة فعلا</w:t>
      </w:r>
    </w:p>
    <w:p>
      <w:pPr>
        <w:pStyle w:val="BookText"/>
        <w:rPr/>
      </w:pPr>
      <w:r>
        <w:rPr>
          <w:rFonts w:ascii="Amiri" w:hAnsi="Amiri" w:eastAsia="Amiri" w:cs="Amiri"/>
          <w:color w:val="111111"/>
          <w:sz w:val="28"/>
          <w:sz w:val="28"/>
          <w:szCs w:val="28"/>
          <w:rtl w:val="true"/>
          <w:lang w:bidi="ar-SA"/>
        </w:rPr>
        <w:t>بمعنى شمول عموم أدلة العبادات مثل ﴿أَقِيمُوا الصَّلاة لها، فإذا تعلق بها نهي كان موجباً لفسادها، فلو أريد بالعبادة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لو لا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عُرّفت العبادة بوجوه 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لأجل التعبّد به اختاره الشيخ رحمه الله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تتوقف صحّتُه على نيّة القربة کما مال اليه المحقق القمي رحمه الله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يعلم انحصارُ المصلحة فيها في شي‌ء و هذا التعريف للمحقق القمي أيضا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رجوع هذه المعاني الثلاثة الی المعنی الثاني و عليه فيرد عليها ما اوردناه من الاشکال علی التعريف الثاني و قد أورد هذا الاشکال المحقّق الخراساني علی هذه المعاني الثلاثة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أنها بواحد منها لا يكاد يمكن أن يتعلق بها النهي</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المعاملة، فالمراد منها هو كلّ ما يكون قابلاً لوصفه بالصحة و الفساد، فيعمّ العقود و الإيقاعات و غيرهما، كالرضاع و الاحياء من الموضوعات التي تارة يترتّب عليه الأثر المترتّب عنه، و أُخرى لا يترتب لاختلال بعض الشرائط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الأمران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يترتّب عليه الأثر شرعاً مطلقاً، كالغلبة في القمار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ينفك أثره عنه كالإتلاف بلا إذن، لعدم طروء الفساد عليه</w:t>
      </w:r>
      <w:r>
        <w:rPr>
          <w:rFonts w:eastAsia="Amiri" w:cs="Amiri" w:ascii="Amiri" w:hAnsi="Amiri"/>
          <w:color w:val="111111"/>
          <w:sz w:val="28"/>
          <w:szCs w:val="28"/>
          <w:rtl w:val="true"/>
          <w:lang w:bidi="ar-SA"/>
        </w:rPr>
        <w:t xml:space="preserve">. </w:t>
      </w:r>
      <w:bookmarkStart w:id="224" w:name="pg16640_202287"/>
    </w:p>
    <w:p>
      <w:pPr>
        <w:pStyle w:val="Heading2"/>
        <w:numPr>
          <w:ilvl w:val="1"/>
          <w:numId w:val="1"/>
        </w:numPr>
        <w:rPr/>
      </w:pPr>
      <w:bookmarkStart w:id="225" w:name="__RefHeading___Toc11691229_1280447820"/>
      <w:bookmarkStart w:id="226" w:name="_Toc82"/>
      <w:bookmarkEnd w:id="224"/>
      <w:bookmarkEnd w:id="225"/>
      <w:r>
        <w:rPr>
          <w:rtl w:val="true"/>
        </w:rPr>
        <w:t>السادس</w:t>
      </w:r>
      <w:r>
        <w:rPr>
          <w:rtl w:val="true"/>
        </w:rPr>
        <w:t xml:space="preserve">: </w:t>
      </w:r>
      <w:r>
        <w:rPr>
          <w:rtl w:val="true"/>
        </w:rPr>
        <w:t>في معنى الصحّة و الفساد</w:t>
      </w:r>
      <w:bookmarkEnd w:id="2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الصحّة اصطلاحا على الجامع للأجزاء و الشرائط و غير الجامع لهما، فيكون بينهما من التقابل هو تقابل العدم و الملكة و هذا المعنی 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تطلق على الجامع للصفة المعتبرة في العبادة في مقابل الآخر إذا لم تكن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ككون القراءة صحيحة أو ملحونة، فيكون بينهما من التقابل، هو تقابل التضاد لکنه غير مقصود بالبحث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کيف کان فهما وصفان اضافيان قال المحقّق الخراساني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الصحة و الفساد وصفان إضافيان يختلفان بحسب الآثار و الأنظار فربما يكون شي‌ء واحد صحيحا بحسب أثر أو نظر و فاسدا بحسب آخر و من هنا صح أن يقال إن الصحة في العبادة و المعاملة لا تختلف بل فيهما بمعنى واحد و هو التمامية و إنما الاختلاف في ما هو المرغوب منهما من الآثار التي بالقياس عليها تتصف بالتمامية و عدمها و هكذا الاختلاف بين الفقيه و المتكلم في صحة العبادة إنما يكون لأجل الاختلاف فيما هو المهم لكل منهما من الأثر بعد الاتفاق ظاهرا على أنها بمعنى التمامية كما هي معناها 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إن الأمر في الشريعة يكون على أقسام من الواقعي الأولي و الثانوي و الظاهري و الأنظار تختلف في أن الأخيرين يفيدان الإجزاء أو لا يفيدان كان الإتيان بعبادة موافقة لأمر و مخالفة لآخر أو مسقطا للقضاء و الإعادة بنظر و غير مسقط لهما بنظر آخر فالعبادة الموافقة للأمر الظاهري تكون صحيحة عند المتكلم و الفقيه بناء على أن الأمر في تفسير الصحة بموافقة الأمر أعم من الظاهري مع اقتضائه للإجزاء و عدم اتصافها بها عند الفقيه بموافقته بناء على عدم الإجزاء و كونه مراعى بموافقة الأمر الواقعي و عند المتكلم بناء على كون </w:t>
      </w:r>
      <w:bookmarkStart w:id="227" w:name="pg16640_202288"/>
    </w:p>
    <w:p>
      <w:pPr>
        <w:pStyle w:val="BookText"/>
        <w:rPr/>
      </w:pPr>
      <w:bookmarkEnd w:id="227"/>
      <w:r>
        <w:rPr>
          <w:rFonts w:ascii="Amiri" w:hAnsi="Amiri" w:eastAsia="Amiri" w:cs="Amiri"/>
          <w:color w:val="111111"/>
          <w:sz w:val="28"/>
          <w:sz w:val="28"/>
          <w:szCs w:val="28"/>
          <w:rtl w:val="true"/>
          <w:lang w:bidi="ar-SA"/>
        </w:rPr>
        <w:t>الأمر في تفسيرها خصوص الواقعي</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انه لا اختلاف في مفهوم الصحّة لا في العبادات و لا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الفقيه و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مجال امتثال الأمر الواقعي الثانوي</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11691231_1280447820"/>
      <w:bookmarkStart w:id="229" w:name="_Toc83"/>
      <w:bookmarkEnd w:id="228"/>
      <w:r>
        <w:rPr>
          <w:rtl w:val="true"/>
        </w:rPr>
        <w:t>السابع</w:t>
      </w:r>
      <w:r>
        <w:rPr>
          <w:rtl w:val="true"/>
        </w:rPr>
        <w:t xml:space="preserve">: </w:t>
      </w:r>
      <w:r>
        <w:rPr>
          <w:rtl w:val="true"/>
        </w:rPr>
        <w:t>هل الصحّة و الفساد مجعولان؟</w:t>
      </w:r>
      <w:bookmarkEnd w:id="229"/>
    </w:p>
    <w:p>
      <w:pPr>
        <w:pStyle w:val="BookText"/>
        <w:rPr/>
      </w:pPr>
      <w:r>
        <w:rPr>
          <w:rFonts w:ascii="Amiri" w:hAnsi="Amiri" w:eastAsia="Amiri" w:cs="Amiri"/>
          <w:color w:val="111111"/>
          <w:sz w:val="28"/>
          <w:sz w:val="28"/>
          <w:szCs w:val="28"/>
          <w:rtl w:val="true"/>
          <w:lang w:bidi="ar-SA"/>
        </w:rPr>
        <w:t>هل الصحة و الفساد حكمان شرعيان أم عقليان أم اعتباريان؟ وجوه و احتمالات، و يقع الكلام تارة في العبادات، و أُخرى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العبادات فالذي يظهر من المحقّق الخراساني التفصيل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فسِّرت الصحّة و الفساد وِفقَ مسلك المتكلّمين بمطابقة المأتي به للشريعة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 الفساد وصفان اعتباريان ينتزعان من المطابقة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فُسِّرت الصحّة و الفساد وفق مسلك الفقهاء بما كان مسقطاً للإعادة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 الفساد حكمان عقليان حيث يستقل العقل بسقوط الإعادة و القضاء جزماً أو يستقل بعدمها و عليه فليست الصحة من الأحكام المجعولة مستقلة و لا من المجعولة تبعاً كما ليست أمراً اعتبارياً و انتزاعياً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امتثال الأمر الواقعي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أفاده من أنّ الصحّة على مسلك الفقهاء، من الأحكام العقلية، إذ هو الحاكم بسقوط الإعادة و القضاء إذا أتى بالمأمور على ما هو عليه، و عدمه إذا لم يأت كذلك فالامر کما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الصحّة و الفساد على مسلك المتكلّمين و التي هي بمعنى التمامية و الفساد بمعنى النقصان فهما وصفان حقيقيان، لا اعتباريان، و لا انتزاعيان، فان موافقة الأمر أو الشريعة من لوازم التمامية التي هي من الأوصاف الحقيقية، فالصحة و الفساد عند الكل وصفان حقيقيان فهما من الأُمور الواقعية كسائر الواقعيات التي يدركها العقل، لانّ حصول الامتثال بتطابق المأتي به للشريعة، من الأُمور الواقعية كتطابق الخطين و تساويهما، فالصحة ليست أمراً انتزاعياً و لا اعتبارياً و لا مجعولًا بنفسه و لا مجعولًا بتبع أمر آخر، و لا من الأحكام العقلية المستقلة كحسن الإحسان و قبح الظلم أو الملازمة بين الوجوبين، بل هي امر واقعي يدركه العقل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الخراساني ذکر صورة اخری غير ما تقدم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غيره فالسقوط ربما يكون مجعولا و كان الحكم به تخفيفا و منة على العباد مع ثبوت المقتضي لثبوتهما كما عرفت في مسألة الإجزاء كما ربما يحكم بثبوتهما فيكون الصحة و الفساد فيه حكمين مجعولين لا وصفين انتزاعيين</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السقوط قد يكون بحكم العقل كما في الأمر الواقعي، و ذلك فيما إذا كان غير المأمور به الواقعي وافياً بتمام مصلحة الواقع، فان الصحة من اللوازم العقلية،كما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يکون المأمور به الاضطراري و الظاهري غير واف بتمام مصلحة الواقع أو معظمها الّا ان الشارع يحكم بصحته، فتكون الصحة حكماً مجعولا شرعياً، و قد لا يحكم بها، فتكون الصحة حينئذ من اللوازم العقلية، كصحة المأمور به الواقعي الأولي</w:t>
      </w:r>
      <w:r>
        <w:rPr>
          <w:rFonts w:eastAsia="IRNazanin" w:cs="IRNazanin"/>
          <w:color w:val="111111"/>
          <w:sz w:val="28"/>
          <w:szCs w:val="28"/>
          <w:rtl w:val="true"/>
          <w:lang w:bidi="fa-IR"/>
        </w:rPr>
        <w:t xml:space="preserve">. </w:t>
      </w:r>
      <w:bookmarkStart w:id="230" w:name="pg16640_202290"/>
    </w:p>
    <w:p>
      <w:pPr>
        <w:pStyle w:val="BookText"/>
        <w:rPr/>
      </w:pPr>
      <w:bookmarkEnd w:id="23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الشارع بالصحة فيما كان المأتي به غير واف بمصلحة الواقع يمكن ان يکون باعتبار منشأ انتزاعها حيث إنّ العمل لا يوصف بالصحة، إلّا برفع اليد عن جزئية الجزء و شرطية الشرط، كما لا يوصف بالفساد إلّا بإثباتهما، فالمجعول رفع الشرط أو الجزء أو إثباتهما، فيتبعهما جعل الصحة و الفساد</w:t>
      </w:r>
      <w:r>
        <w:rPr>
          <w:rFonts w:eastAsia="IRNazanin" w:cs="IRNazanin"/>
          <w:color w:val="111111"/>
          <w:sz w:val="28"/>
          <w:szCs w:val="28"/>
          <w:rtl w:val="true"/>
          <w:lang w:bidi="fa-IR"/>
        </w:rPr>
        <w:t>.</w:t>
      </w:r>
    </w:p>
    <w:p>
      <w:pPr>
        <w:pStyle w:val="Heading2"/>
        <w:numPr>
          <w:ilvl w:val="1"/>
          <w:numId w:val="1"/>
        </w:numPr>
        <w:rPr/>
      </w:pPr>
      <w:bookmarkStart w:id="231" w:name="__RefHeading___Toc11691233_1280447820"/>
      <w:bookmarkStart w:id="232" w:name="_Toc84"/>
      <w:bookmarkEnd w:id="231"/>
      <w:r>
        <w:rPr>
          <w:rtl w:val="true"/>
        </w:rPr>
        <w:t>الصحة في المعاملات</w:t>
      </w:r>
      <w:bookmarkEnd w:id="232"/>
    </w:p>
    <w:p>
      <w:pPr>
        <w:pStyle w:val="BookText"/>
        <w:rPr/>
      </w:pPr>
      <w:r>
        <w:rPr>
          <w:rFonts w:ascii="IRNazanin" w:hAnsi="IRNazanin" w:eastAsia="IRNazanin"/>
          <w:color w:val="111111"/>
          <w:sz w:val="28"/>
          <w:sz w:val="28"/>
          <w:szCs w:val="28"/>
          <w:rtl w:val="true"/>
          <w:lang w:bidi="fa-IR"/>
        </w:rPr>
        <w:t>و أما الصحة في المعاملات فقال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تكون مجعولة حيث كان ترتب الأثر على معاملة أنه هو بجعل الشارع و ترتيبه عليها و لو إمضاء ضرورة أنه لو لا جعله لما كان يترتب عليه لأصالة الفساد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صحة كل معاملة شخصية و فسادها ليس إلا لأجل انطباقها مع ما هو المجعول سببا و عدمه كما هو الحال في التكليفية من الأحكام ضرورة أن اتصاف المأتي به بالوجوب أو الحرمة أو غيرهما ليس إلّا لانطباقه مع ما هو الواجب أو الحرام</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الصحة في المعاملات حكم وضعي شرعي، فالملكية و الزوجية و الحرية و غيرها لا تترتب على المعاملة إلّا بجعل الشارع و لو إمضاءً، حيث ان غالب المعاملات أمور عرفية أمضاها الشارع، فليست الصحة فيها حكما عقلياً و لا أمراً انتزاعياً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صحة كل فرد من أفراد كلي المعاملة حال صحة كل فرد من أفراد العبادات في عدم كونها حكماً مستقلا مجعولا، بل هي لأجل انطباق الكلي على أفراده، فالمجعول بالاستقلال هو صحة كلي </w:t>
      </w:r>
      <w:bookmarkStart w:id="233" w:name="pg16640_202291"/>
    </w:p>
    <w:p>
      <w:pPr>
        <w:pStyle w:val="BookText"/>
        <w:rPr/>
      </w:pPr>
      <w:bookmarkEnd w:id="233"/>
      <w:r>
        <w:rPr>
          <w:rFonts w:ascii="Amiri" w:hAnsi="Amiri" w:eastAsia="Amiri" w:cs="Amiri"/>
          <w:color w:val="111111"/>
          <w:sz w:val="28"/>
          <w:sz w:val="28"/>
          <w:szCs w:val="28"/>
          <w:rtl w:val="true"/>
          <w:lang w:bidi="ar-SA"/>
        </w:rPr>
        <w:t>المعاملة كالعبادة، و صحة الافراد الخارجية انما هي لأجل انطباق الكلي العبادي أو المعاملي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ذلك أنّ الموصوف بالصحّة و الفساد هي العناوين الكلّية من الصلاة و البيع، و اتّصاف الفرد الخارجي منهما إنّما هو بانطباق المفهوم الكلّي عليه،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الكلية لا توصف بالصحة و الفساد ما لم تتحقّق في الخارج، فانّ الأجزاء و الشرائط بما هي هي لا توصف بالصحّة و الفساد، و إنّما توصف بأحدهما إذا انطبق عليها عنوان الصلاة في الخارج، فإن كانت جامعة لهما فتوصف بالصحة، و إلّا فتوصف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خلط المحقّق الخراساني بين متعلّق جعل الحلية و الجواز و هي العناوين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متعلّق الصحّة و هو المصداق الخارجي المنطبقة عليه تلك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شرعاً و لو إمضاء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أَحَلَّ اللَّهُ الْبَيْع</w:t>
      </w:r>
      <w:r>
        <w:rPr>
          <w:rStyle w:val="FootnoteAnchor"/>
          <w:rtl w:val="true"/>
        </w:rPr>
        <w:footnoteReference w:id="132"/>
      </w:r>
      <w:r>
        <w:rPr>
          <w:rFonts w:ascii="Amiri" w:hAnsi="Amiri" w:eastAsia="Amiri" w:cs="Amiri"/>
          <w:color w:val="111111"/>
          <w:sz w:val="28"/>
          <w:sz w:val="28"/>
          <w:szCs w:val="28"/>
          <w:rtl w:val="true"/>
          <w:lang w:bidi="ar-SA"/>
        </w:rPr>
        <w:t>،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الحلّية و الجواز، لا الصحة، فلو قلنا بأنّه لا دور للشارع في مجال المعاملات، فالمراد انّه أمضى الحلّية و الجواز الرائجين بين العقلاء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فإنّما يوصف بها العنوان إذا تحقّق في الخارج، و انطبق عليه ما أمضاه الشارع بالحلّية أو الجواز</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4" w:name="__RefHeading___Toc11691235_1280447820"/>
      <w:bookmarkStart w:id="235" w:name="_Toc85"/>
      <w:bookmarkEnd w:id="234"/>
      <w:r>
        <w:rPr>
          <w:rtl w:val="true"/>
        </w:rPr>
        <w:t>الثامن</w:t>
      </w:r>
      <w:r>
        <w:rPr>
          <w:rtl w:val="true"/>
        </w:rPr>
        <w:t xml:space="preserve">: </w:t>
      </w:r>
      <w:r>
        <w:rPr>
          <w:rtl w:val="true"/>
        </w:rPr>
        <w:t>ما هو الأصل المعوّل عليه عند الشكّ؟</w:t>
      </w:r>
      <w:bookmarkStart w:id="236" w:name="pg16640_202292"/>
      <w:bookmarkEnd w:id="235"/>
    </w:p>
    <w:p>
      <w:pPr>
        <w:pStyle w:val="Heading2"/>
        <w:numPr>
          <w:ilvl w:val="1"/>
          <w:numId w:val="1"/>
        </w:numPr>
        <w:rPr/>
      </w:pPr>
      <w:bookmarkStart w:id="237" w:name="__RefHeading___Toc11691237_1280447820"/>
      <w:bookmarkStart w:id="238" w:name="_Toc86"/>
      <w:bookmarkEnd w:id="236"/>
      <w:bookmarkEnd w:id="237"/>
      <w:r>
        <w:rPr>
          <w:rtl w:val="true"/>
        </w:rPr>
        <w:t>الاصل في المسألة الاصولية</w:t>
      </w:r>
      <w:bookmarkEnd w:id="238"/>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أنه لا أصل في المسألة يعول عليه لو شك في دلالة النهي على الفساد نعم كان الأصل في المسألة الفرعية الفساد لو لم يكن هناك إطلاق أو عموم يقتضي الصحة في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العبادة فكذلك لعدم الأمر بها مع النهي عنها كما لا يخفى</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في البين يثبت الدلالة أو عدمها، لأن النهي حين حدوثه اما كان دالا على الفساد و اما لم يكن دالا عليه، و حيث لم يعلم شي‌ء منهما، فليس له حالة سابقة معلومة لتستصحب،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مصب النزاع عقلياً، أي في وجود الملازمة بين النهي و الفساد عقلاً و عدمها، فلا أصل هنا يعوّل عليه، إذ ليست للملازمة و لا لعدمها حالة سابقة، و على فرض وجودها لاشكّ في الحالة اللاحقة، إذ لو ثبتت الملازمة لكانت باقية قطعاً، و لو ثبت عدمها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الملازمة و عدمها غير قابلة للاستصحاب، لأنّه يشترط فيه كون المستصحب حكماً شرعياً أو موضوعاً لحكم شرعي، و الملازمة تفتقد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مصبُّ النزاع في المسألة الأُصولية عقليّاً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كان لفظياً، أي في دلالة لفظ النهي على الفساد أو عدمه، فالأصل و إن كان موجوداً،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وضع النهي للفساد لکن لا مجال لها لمعارضتها لأصالة عدم وضعه لما لا يستلزمه</w:t>
      </w:r>
      <w:r>
        <w:rPr>
          <w:rFonts w:eastAsia="IRNazanin" w:cs="IRNazanin"/>
          <w:color w:val="111111"/>
          <w:sz w:val="28"/>
          <w:szCs w:val="28"/>
          <w:rtl w:val="true"/>
          <w:lang w:bidi="fa-IR"/>
        </w:rPr>
        <w:t xml:space="preserve">. </w:t>
      </w:r>
      <w:bookmarkStart w:id="239" w:name="pg16640_202293"/>
    </w:p>
    <w:p>
      <w:pPr>
        <w:pStyle w:val="BookText"/>
        <w:rPr/>
      </w:pPr>
      <w:bookmarkEnd w:id="239"/>
      <w:r>
        <w:rPr>
          <w:rFonts w:ascii="IRNazanin" w:hAnsi="IRNazanin" w:eastAsia="IRNazanin"/>
          <w:color w:val="111111"/>
          <w:sz w:val="28"/>
          <w:sz w:val="28"/>
          <w:szCs w:val="28"/>
          <w:rtl w:val="true"/>
          <w:lang w:bidi="fa-IR"/>
        </w:rPr>
        <w:t>مضافا الی انّها بالنسبة إلى إثبات أنّ النهي الموجود غير موضوع له من استصحاب العدم الازلي و هو غير حجة علی المختار، لانّ استصحاب النفي التام لا يثبت النفي الناقص، كاستصحاب عدم قرشية هذه المرأة عند ما لم تكن موجودة و إثبات عدم قرشيتها بعد ما وجدت، لأنّ القضية المتيقّنة صادقة بانتفاء الموضوع، و القضية المشكوكة لا تصدق إلّا بعد وجود الموضوع و انتفاء محموله، و مثله المقام حيث إنّ عدم دلالة النهي على الفساد لأجل عدم وجود الواضع و الوضع، فكان عدم دلالتها أشبه بالسالبة بانتفاء الموضوع، و المقصود إثبات عدم الدلالة بعد وجود الواضع و ثبوت الوضع و صدور النهي من المولى، فالقضية المتيقّنة سالبة بانتفاء الموضوع، و القضية المشكوكة إن صدقت صادقة بعد وجود الموضوع و الاتصاف بعدم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أنّه لا أصل مفيد إذا كان النزاع في المسألة الأُصولية</w:t>
      </w:r>
      <w:r>
        <w:rPr>
          <w:rFonts w:eastAsia="IRNazanin" w:cs="IRNazanin"/>
          <w:color w:val="111111"/>
          <w:sz w:val="28"/>
          <w:szCs w:val="28"/>
          <w:rtl w:val="true"/>
          <w:lang w:bidi="fa-IR"/>
        </w:rPr>
        <w:t>.</w:t>
      </w:r>
    </w:p>
    <w:p>
      <w:pPr>
        <w:pStyle w:val="Heading2"/>
        <w:numPr>
          <w:ilvl w:val="1"/>
          <w:numId w:val="1"/>
        </w:numPr>
        <w:rPr/>
      </w:pPr>
      <w:bookmarkStart w:id="240" w:name="__RefHeading___Toc11691239_1280447820"/>
      <w:bookmarkStart w:id="241" w:name="_Toc87"/>
      <w:bookmarkEnd w:id="240"/>
      <w:r>
        <w:rPr>
          <w:rtl w:val="true"/>
        </w:rPr>
        <w:t>الاصل في المسألة الفقهية</w:t>
      </w:r>
      <w:bookmarkEnd w:id="2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جريان الاصل في المسألة الفقهية، ففي المعاملات يجري أصالة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ترتب المسبب أعني الأثر المقصود من المعاملة، لوجود الحالة السابقة له، بخلاف الأسباب بأن شك في صحّة البيع وقت النداء، إذ لا حالة سابقة لها، و لذا لا يجري فيها الأصل، لأنّ مقتضى صحّة البيع مثلاً انتقال المبيع من ملك البائع إلى ملك المشتري و الثمن على العكس، فالأصل عدم حصول النقل و الانتقال، و بقاء كل من المالين على ملك مالكه، إلّا إذا كان هناك إطلاق أو عموم يدل على صحتها، فلا يجري الأصل حينئذ، لحكومتهما على أصالة عدم ترتب الأثر</w:t>
      </w:r>
      <w:r>
        <w:rPr>
          <w:rFonts w:eastAsia="Amiri" w:cs="Amiri" w:ascii="Amiri" w:hAnsi="Amiri"/>
          <w:color w:val="111111"/>
          <w:sz w:val="28"/>
          <w:szCs w:val="28"/>
          <w:rtl w:val="true"/>
          <w:lang w:bidi="ar-SA"/>
        </w:rPr>
        <w:t xml:space="preserve">. </w:t>
      </w:r>
      <w:bookmarkStart w:id="242" w:name="pg16640_202294"/>
    </w:p>
    <w:p>
      <w:pPr>
        <w:pStyle w:val="BookText"/>
        <w:rPr/>
      </w:pPr>
      <w:bookmarkEnd w:id="242"/>
      <w:r>
        <w:rPr>
          <w:rFonts w:ascii="Amiri" w:hAnsi="Amiri" w:eastAsia="Amiri" w:cs="Amiri"/>
          <w:color w:val="111111"/>
          <w:sz w:val="28"/>
          <w:sz w:val="28"/>
          <w:szCs w:val="28"/>
          <w:rtl w:val="true"/>
          <w:lang w:bidi="ar-SA"/>
        </w:rPr>
        <w:t>و في العبادات فالأصل هو الفساد، لأنّ تعلّق النهي مانع عن تعلّق الأمر لامتناع اجتماع الأمر و النهي في شي‌ء واحد، فصوم يوم الفطر إذا كان منهيّاً عنه يمتنع أن يتعلّق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أصالة الفساد هو قاعدة الاشتغال، حيث ان الشك في فراغ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باشتغالها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لزوم تحصيل اليقين بالفراغ،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افاده المحقّق الخراساني</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11691241_1280447820"/>
      <w:bookmarkStart w:id="244" w:name="_Toc88"/>
      <w:bookmarkEnd w:id="243"/>
      <w:r>
        <w:rPr>
          <w:rtl w:val="true"/>
        </w:rPr>
        <w:t>كلام المحقّق الأصفهاني</w:t>
      </w:r>
      <w:bookmarkEnd w:id="244"/>
    </w:p>
    <w:p>
      <w:pPr>
        <w:pStyle w:val="BookText"/>
        <w:rPr/>
      </w:pPr>
      <w:r>
        <w:rPr>
          <w:rFonts w:ascii="Amiri" w:hAnsi="Amiri" w:eastAsia="Amiri" w:cs="Amiri"/>
          <w:color w:val="111111"/>
          <w:sz w:val="28"/>
          <w:sz w:val="28"/>
          <w:szCs w:val="28"/>
          <w:rtl w:val="true"/>
          <w:lang w:bidi="ar-SA"/>
        </w:rPr>
        <w:t>و أورد عليه المحقّق الاصفهاني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ملاك الصحّة، هو الأمر، فالعبادة باطلة قطعاً بلا شكّ لعدم الأمر؛ و لو كان ملاك الصحة هو وجود الملاك فهو صحيح قطعاً لكونه واجداً للملاك، و لو طرأ الشكّ في الصحة لأجل إمكان التقرّب مع المبغوضية و عدمه فلا أصل يعيّن أحد الطرفين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الملاک لا يکفي في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الملاک قطعي الثبوت غير تام ايضا، کما إذا كان الشكّ معلولاً لأجل النهي عن الجزء كقوله لا تقرأ العزائم في الصلاة، أو الوصف كالنهي عن الصلاة متكتفاً، فالقول بأنّ الملاك قطعي غير صحيح، لاحتمال أن تكون الصلاة مقيّدة بغير العزائم و التكتّف، و عندئذ يكون الملاك أيضاً مشكوكاً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لو كان الشكّ في الصحّة لأجل ابتلاء العبادة بالمزاحم كابتلاء الصلاة بإزالة النجاسة عن المسجد، فلا علمنا لنا بوجود الملاك ايضا نعم علی القول بالترتب فالامر الترتبي موجود فضلا عن الملاک</w:t>
      </w:r>
      <w:r>
        <w:rPr>
          <w:rFonts w:eastAsia="IRNazanin" w:cs="IRNazanin"/>
          <w:color w:val="111111"/>
          <w:sz w:val="28"/>
          <w:szCs w:val="28"/>
          <w:rtl w:val="true"/>
          <w:lang w:bidi="fa-IR"/>
        </w:rPr>
        <w:t xml:space="preserve">. </w:t>
      </w:r>
      <w:bookmarkStart w:id="245" w:name="pg16640_202295"/>
    </w:p>
    <w:p>
      <w:pPr>
        <w:pStyle w:val="BookText"/>
        <w:rPr/>
      </w:pPr>
      <w:bookmarkEnd w:id="245"/>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طرأ الشكّ في الصحة لأجل إمكان التقرّب مع المبغوضية و عدمه فلا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بصحيح لوجود الأصل و هو انّ الاشتغال اليقيني يقتضي البراءة اليقينية، فليس للمكلّف الاكتفاء بالصلاة مع سور العزائم أو التكتّف لاحتمال مانعيتها، فيجب عليه الإعادة أخذاً بقاعدة الاشتغال</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11691243_1280447820"/>
      <w:bookmarkStart w:id="247" w:name="_Toc89"/>
      <w:bookmarkEnd w:id="246"/>
      <w:r>
        <w:rPr>
          <w:rtl w:val="true"/>
        </w:rPr>
        <w:t>كلام المحقّق النائيني</w:t>
      </w:r>
      <w:bookmarkEnd w:id="247"/>
    </w:p>
    <w:p>
      <w:pPr>
        <w:pStyle w:val="BookText"/>
        <w:rPr/>
      </w:pPr>
      <w:r>
        <w:rPr>
          <w:rFonts w:ascii="Amiri" w:hAnsi="Amiri" w:eastAsia="Amiri" w:cs="Amiri"/>
          <w:color w:val="111111"/>
          <w:sz w:val="28"/>
          <w:sz w:val="28"/>
          <w:szCs w:val="28"/>
          <w:rtl w:val="true"/>
          <w:lang w:bidi="ar-SA"/>
        </w:rPr>
        <w:t xml:space="preserve">فصّل المحقّق النائيني بين ما إذا كان الشكّ في صحتها و فسادها لأجل شبهة موضوعية، كما إذا شكّ في أنّه ركع أو سجد في الركعة الأُولى أو لا؟ فمقتضى القاعدة الأُولى فسادها مع قطع النظر عن القاعدة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الفراغ و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لأجل شبهة حكمية، فالحكم بالصحّة و الفساد عند الشكّيبتني على الخلاف في جريان البراءة أو الاشتغال عند الشكّ في الجزئية أو الشرطية أو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اقتضاء النهي للفساد يستتبع الشكّ في مانعية المنهي عنه عن العبادة و عدمها و يندرج في مسألة الأقل و الأكثر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كلا القسمين خارجان عن المقام، أمّا إذا كانت الشبهة موضوعية فلا نهي هناك حتّى يدخل في الموضوع، فمن شكّ أنّه ركع أو سجد لا نهي هنا قطعاً حتّى يبحث في دلالته، و أمّا إذا كانت الشبهة حكمية فالشكّ في الصحة و إن كان ناشئاً من الشكّ في مانعية التكتّف أو لبس خاتم الذهب مثلا، فهو راجع الی مبحث الشكّ في المانعية الذي يبحث عنه في باب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فهو خارج عن البحث في المقام، لانّ البحث هنا </w:t>
      </w:r>
      <w:bookmarkStart w:id="248" w:name="pg16640_202296"/>
    </w:p>
    <w:p>
      <w:pPr>
        <w:pStyle w:val="BookText"/>
        <w:rPr/>
      </w:pPr>
      <w:bookmarkEnd w:id="248"/>
      <w:r>
        <w:rPr>
          <w:rFonts w:ascii="Amiri" w:hAnsi="Amiri" w:eastAsia="Amiri" w:cs="Amiri"/>
          <w:color w:val="111111"/>
          <w:sz w:val="28"/>
          <w:sz w:val="28"/>
          <w:szCs w:val="28"/>
          <w:rtl w:val="true"/>
          <w:lang w:bidi="ar-SA"/>
        </w:rPr>
        <w:t>في دلالة النهي على الفساد و عدمها، و إرجاع البحث إلى الشكّ في المانعية و إدخاله في مبحث الأقل و الأكثر الارتباطيين خروج عن موضوع البحث</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11691245_1280447820"/>
      <w:bookmarkStart w:id="250" w:name="_Toc90"/>
      <w:bookmarkEnd w:id="249"/>
      <w:r>
        <w:rPr>
          <w:rtl w:val="true"/>
        </w:rPr>
        <w:t>كلام للمحقّق الحائري</w:t>
      </w:r>
      <w:bookmarkEnd w:id="250"/>
    </w:p>
    <w:p>
      <w:pPr>
        <w:pStyle w:val="BookText"/>
        <w:rPr/>
      </w:pPr>
      <w:r>
        <w:rPr>
          <w:rFonts w:ascii="Amiri" w:hAnsi="Amiri" w:eastAsia="Amiri" w:cs="Amiri"/>
          <w:color w:val="111111"/>
          <w:sz w:val="28"/>
          <w:sz w:val="28"/>
          <w:szCs w:val="28"/>
          <w:rtl w:val="true"/>
          <w:lang w:bidi="ar-SA"/>
        </w:rPr>
        <w:t>فرّق العلّامة الحائري رحمه الله بين كون النزاع لفظياً و كونه عقلياً، إذ على الأوّل يرجع الشكّ إلى تقييد دليل العبادة بغير الخصوصية كالتختّم بالذهب و التكتّف، و معه إمّا تجري البراءة أو الاشتغال على الخلاف، بخلاف ما إذا كان عقلياً، و إنّما الشكّ في القرب المعتبر في العبادات هل يحصل بإيجاد العمل في ضمن فرد محرّم، أو لا و الأصل الاشتغال حتّى يحصل القطع</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في ما ذكره في الشق الثاني انما الإشكال على الشقّ الأوّل حيث أرجع البحث في المقام إلى الشكّ في تقييد العبادة بغير الخصوصية کالتكتّف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هذا خروج عن موضوع البحث، و ان البحث يدور مدار على كون النهي مانعاً عن الصحّة أم لا، لا كون النهي سبباً للشكّ في تقييد المأمور به بعدم المنهي عنه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انّ الأصل في العبادات المنهي عنها هو الفساد، إذ الشكّ في الصحّة يلازم الشكّ في حصول البراءة اليقينية، و معه تجب الإعادة و القضاء</w:t>
      </w:r>
      <w:r>
        <w:rPr>
          <w:rFonts w:eastAsia="Amiri" w:cs="Amiri" w:ascii="Amiri" w:hAnsi="Amiri"/>
          <w:color w:val="111111"/>
          <w:sz w:val="28"/>
          <w:szCs w:val="28"/>
          <w:rtl w:val="true"/>
          <w:lang w:bidi="ar-SA"/>
        </w:rPr>
        <w:t xml:space="preserve">. </w:t>
      </w:r>
      <w:bookmarkStart w:id="251" w:name="pg16640_202297"/>
    </w:p>
    <w:p>
      <w:pPr>
        <w:pStyle w:val="Heading2"/>
        <w:numPr>
          <w:ilvl w:val="1"/>
          <w:numId w:val="1"/>
        </w:numPr>
        <w:rPr/>
      </w:pPr>
      <w:bookmarkStart w:id="252" w:name="__RefHeading___Toc11691247_1280447820"/>
      <w:bookmarkStart w:id="253" w:name="_Toc91"/>
      <w:bookmarkEnd w:id="251"/>
      <w:bookmarkEnd w:id="252"/>
      <w:r>
        <w:rPr>
          <w:rtl w:val="true"/>
        </w:rPr>
        <w:t>التاسع</w:t>
      </w:r>
      <w:r>
        <w:rPr>
          <w:rtl w:val="true"/>
        </w:rPr>
        <w:t xml:space="preserve">: </w:t>
      </w:r>
      <w:r>
        <w:rPr>
          <w:rtl w:val="true"/>
        </w:rPr>
        <w:t>في أقسام تعلّق النهي بالعبادة</w:t>
      </w:r>
      <w:bookmarkEnd w:id="253"/>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متعلق النهي إما أن يكون نفس العبادة أو جزءها أو شرطها الخارج عنها أو وصفها الملازم لها كالجهر و الإخفات للقراءة أو وصفها الغير الملازم كالغصبية لأكوان الصلاة المنفكة عنها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11691249_1280447820"/>
      <w:bookmarkStart w:id="255" w:name="_Toc92"/>
      <w:bookmarkEnd w:id="254"/>
      <w:r>
        <w:rPr>
          <w:rtl w:val="true"/>
        </w:rPr>
        <w:t>حکم تعلّق النهي بالجزء</w:t>
      </w:r>
      <w:bookmarkEnd w:id="255"/>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دخول القسم الأول في محل النزاع و كذا القسم الثاني بلحاظ أن جزء العبادة عبادة إلّا أن بطلان الجزء لا يوجب بطلانها إلّا مع الاقتصار عليه لا مع الإتيان بغيره مما لا نهي عنه إلّا أن يستلزم محذورا آخر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تعلّق النهي بالجزء كالنهي عن قراءة سور العزائم في الصلاة، کما في معتبر زرارة عن أحدهما عليهما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في المكتوبة بشي‌ء من العزائم</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فيری صاحب الکفاية أن جزء العبادة كتمامها عبادة، إذ ليس الكل الّا نفس الاجزاء، فكل جزء من المركب العبادي عبادة، و النهي عنه نهي عن العبادة، الّا ان النهي عنه لا يقتضي إلّا فساد ذلك الجزء، و لا يقتضي فساد أصل العبادة إلّا إذا اقتصر على ذلك الجزء الفاسد، فان الاقتصار عليه يوجب بطلان أصل العبادة لأجل النقيصة العمدية، لا لأجل اقتضاء </w:t>
      </w:r>
      <w:bookmarkStart w:id="256" w:name="pg16640_202298"/>
    </w:p>
    <w:p>
      <w:pPr>
        <w:pStyle w:val="BookText"/>
        <w:rPr/>
      </w:pPr>
      <w:bookmarkEnd w:id="256"/>
      <w:r>
        <w:rPr>
          <w:rFonts w:ascii="IRNazanin" w:hAnsi="IRNazanin" w:eastAsia="IRNazanin"/>
          <w:color w:val="111111"/>
          <w:sz w:val="28"/>
          <w:sz w:val="28"/>
          <w:szCs w:val="28"/>
          <w:rtl w:val="true"/>
          <w:lang w:bidi="fa-IR"/>
        </w:rPr>
        <w:t>النهي عن الجزء فساد الكل، كما هو مقتضی النهي عن نفس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استلزم الإتيان بجزء آخر، محذوراً كالقران بين السورتين و قد نهي عنه، فروى الصدوق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قران بين السورتين في ركعة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11691251_1280447820"/>
      <w:bookmarkStart w:id="258" w:name="_Toc93"/>
      <w:bookmarkEnd w:id="257"/>
      <w:r>
        <w:rPr>
          <w:rtl w:val="true"/>
        </w:rPr>
        <w:t>ايراد المحقق النائيني</w:t>
      </w:r>
      <w:bookmarkEnd w:id="258"/>
    </w:p>
    <w:p>
      <w:pPr>
        <w:pStyle w:val="BookText"/>
        <w:rPr/>
      </w:pPr>
      <w:r>
        <w:rPr>
          <w:rFonts w:ascii="Amiri" w:hAnsi="Amiri" w:eastAsia="Amiri" w:cs="Amiri"/>
          <w:color w:val="111111"/>
          <w:sz w:val="28"/>
          <w:sz w:val="28"/>
          <w:szCs w:val="28"/>
          <w:rtl w:val="true"/>
          <w:lang w:bidi="ar-SA"/>
        </w:rPr>
        <w:t>و اورد المحقّق النائيني على المحقّق الخراساني وجوهاً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الجزء، مبطل للجزء و الكلّ، أي العبادة، و إليك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الجزء يوجب تقييد العبادة بما عدا ذلك الجزء، و تكون نسبة العبادة إلى ذلك الجزء 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و اعتبار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شي‌ء، يقتضي فساد العبادة المشتملة على ذلك الشي‌ء لعدم كون الواجد من أفراد المأمور به، بل المأمور به غيره، فالآتي بالمنهي عنه غير آت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يعد زيادة في الفريضة فتبطل الصلاة بسبب الزيادة العمدية المعتبر عدمها في صحتها، و لا يعتبر في تحقّق الزيادة قصد الجزئية إذا كان المأتي به من جنس إجزاء العمل، نعم يعتبر قصد الجزئية في صدقها إذا كان المأتي به من غير جنسه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تعمّه أدلّة مبطلية مطلق التكلّم من غير تقييد بكلام الآدمي، و القدر الخارج عن هذا الإطلاق هو التكلّم بالقرآن و الذكر الجائزين، و يبقى الذكر و القرآن المنهي عنهما داخلين تحت الإطلاق</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الوجوه الثلاثة تهدف إلى أنّ بطلان الجزء موجب لبطلان الكلّ أي نفس العبادة، فتارة من جهة فقدان وصف الصلاة، أي اللابشرط، و أُخرى من جهة الزيادة، و ثالثة من جهة كونه تكلّماً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جزء العبادة ليست إلّا بمعنى حرمته في نفسه، و حرمته كذلك تقتضي بطلانه و عدم حصول الامتثال به، و أمّا تقييد العبادة بعدمه، و كون نسبتها إليه،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ممّا لا تدلّ عليه حرمة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مسامحي، فانّ الروايات الناهية عن قراءة سور العزائم في المكتوبة سلبت عنها وصف الجزئية، و صارت قراءتها فيها، كالنظر إلى الأجنبيّة في حال الصلاة، فكما أنّ الثاني، لا يبطل العبادة فهكذا قراءة العزائم، و كون السورة المنهيّة من جنس سائر الأجزاء دون النظر لا يكون فارقاً، بعد سلب عنوان الجزئية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بشي‌ء من العزائم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بطلان ما من شأنه ان يکون جزءاً في نفسه، يلازم بطلان العبادة إذا اقتصر عليه، و أمّا إذا قرأ سورة أُخرى، كانت الصلاة واجدة للجزء لو لا المحذور الآخر،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بين السورتين المنهي عنه كما مرّ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 المصلّي عالم بالحكم، و انّ الشارع سلب عن العزائم عنوان الجزئية فيمتنع أن يقرأها بقصد الجزئية، و إنّما يقرأها بعنوان انّه قرآن، فعندئذ كيف يكون سبباً للزيادة مع عدم قصد الجزئية؟ و التفريق بين ما كان من سنخ العبادة و غيرها باشتراط قصدها في الثاني دون الأوّل لا دليل عليه، و ذلك للفرق الواضح بين كون شي‌ء جزءاً تكوينياً و كونه جزءاً اعتباريّاً، فلو زاد في المركب الخارجي شيئاً عن سهو، صدق انّه زاد فيه سواء قصد الجزئية أم لا، و بين كونه جزءاً اعتبارياً للمركب الاعتباري </w:t>
      </w:r>
    </w:p>
    <w:p>
      <w:pPr>
        <w:pStyle w:val="BookText"/>
        <w:rPr/>
      </w:pPr>
      <w:r>
        <w:rPr>
          <w:rFonts w:ascii="Amiri" w:hAnsi="Amiri" w:eastAsia="Amiri" w:cs="Amiri"/>
          <w:color w:val="111111"/>
          <w:sz w:val="28"/>
          <w:sz w:val="28"/>
          <w:szCs w:val="28"/>
          <w:rtl w:val="true"/>
          <w:lang w:bidi="ar-SA"/>
        </w:rPr>
        <w:t>الذي هو في الحقيقة أُمور مختلفة، متفرقة، من مقولات متشتّة، يجمعها عنوان اعتباري آخر كالصلاة، ففي مثلها، تكون جزئية الشي‌ء رهن القصد و الاعتبار فلا يصدق انّه زاد في صلاته إلّا إذا أتى بالجزء بما انّه جزء منه، و المفروض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بالجزء بما انّه جزء للصلاة و انّه لا فرق بين العزائم و غيرها صدقت زيادة الجزء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عدّ السجود لأجل قراءة العزائم زيادة في المكتوبة كما في معتبر زرارة المتقدم، مع أنّه لم يقصد كونه جزءاً من الصلاة، و هذا دالّ على التفصيل بين ما يكون من جنس المزيد عليه و ما ليس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النهي في معتبر زرارة للارشاد الی ان زيادة السجود في صلاة الفريضة موجب لبطلانها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السجود زيادة في المكتوبة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فالنهي خارج عن موضوع بحثنا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على الثالث، انّ المحرّم هو التكلّم بكلام الآدميين لا مطلق التكلّم حتّى يخصص بالقرآن و الذكر الجائزين و يبقى القرآن و الذكر المحرّمين تحته، ويدلّ على ذلك لسان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أبو بصير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تكلمت أو صرفت وجهك عن القبلة فأعد الصلاة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59" w:name="pg16640_202301"/>
    </w:p>
    <w:p>
      <w:pPr>
        <w:pStyle w:val="BookText"/>
        <w:rPr/>
      </w:pPr>
      <w:bookmarkEnd w:id="259"/>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منصرفا الی كلام الآدميين الّا ان المفهوم منه عرفا الکلام الخارج عن الصلاة کما هو سياق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صرفت وجهک عن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فيشمل القرآن و الذكر المحرّمين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فالايراد وارد </w:t>
      </w:r>
      <w:r>
        <w:rPr>
          <w:rFonts w:eastAsia="IRNazanin" w:cs="IRNazanin"/>
          <w:color w:val="111111"/>
          <w:sz w:val="28"/>
          <w:szCs w:val="28"/>
          <w:rtl w:val="true"/>
          <w:lang w:bidi="fa-IR"/>
        </w:rPr>
        <w:t>.</w:t>
      </w:r>
    </w:p>
    <w:p>
      <w:pPr>
        <w:pStyle w:val="Heading2"/>
        <w:numPr>
          <w:ilvl w:val="1"/>
          <w:numId w:val="1"/>
        </w:numPr>
        <w:rPr/>
      </w:pPr>
      <w:bookmarkStart w:id="260" w:name="__RefHeading___Toc11691253_1280447820"/>
      <w:bookmarkStart w:id="261" w:name="_Toc94"/>
      <w:bookmarkEnd w:id="260"/>
      <w:r>
        <w:rPr>
          <w:rtl w:val="true"/>
        </w:rPr>
        <w:t>حکم تعلّق النهي بالشرط</w:t>
      </w:r>
      <w:bookmarkEnd w:id="261"/>
    </w:p>
    <w:p>
      <w:pPr>
        <w:pStyle w:val="BookText"/>
        <w:rPr/>
      </w:pPr>
      <w:r>
        <w:rPr>
          <w:rFonts w:ascii="Amiri" w:hAnsi="Amiri" w:eastAsia="Amiri" w:cs="Amiri"/>
          <w:color w:val="111111"/>
          <w:sz w:val="28"/>
          <w:sz w:val="28"/>
          <w:szCs w:val="28"/>
          <w:rtl w:val="true"/>
          <w:lang w:bidi="ar-SA"/>
        </w:rPr>
        <w:t>إذا تعلّق النهي بالشرط كالتستر بالحرير فهل يوجب فساد العبادة أم لا؟</w:t>
      </w:r>
    </w:p>
    <w:p>
      <w:pPr>
        <w:pStyle w:val="BookText"/>
        <w:rPr/>
      </w:pPr>
      <w:r>
        <w:rPr>
          <w:rFonts w:ascii="IRNazanin" w:hAnsi="IRNazanin" w:eastAsia="IRNazanin"/>
          <w:color w:val="111111"/>
          <w:sz w:val="28"/>
          <w:sz w:val="28"/>
          <w:szCs w:val="28"/>
          <w:rtl w:val="true"/>
          <w:lang w:bidi="fa-IR"/>
        </w:rPr>
        <w:t>ذهب المحقّق الخراساني إلى التفصيل بين أن يكون الشرط عبادة، كالطهارات الثلاث فانّ فسادها يوجب فساد المشروط، و ما لا يكون عبادة كالتستر فانّ النهي يجتمع مع الصحة لعدم لزوم قصد القربة حتّى لا تجتمع مع الحرمة فقال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القسم الثالث فلا يكون حرمة الشرط و النهي عنه موجبا لفساد العبادة إلّا في ما كان عبادة كي تكون حرمته موجبة لفساده المستلزم لفساد المشروط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يكاد يكون النهي عن الشرط موجبا لفساد العبادة المشروطة به لو لم يكن موجبا لفساده كما إذا كانت عبادة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عبادة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توصلياً، كتطهير البدن و الثوب عن النجاسة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 كالنهي عن الوضوء بالماء المغصوب، فالنهي عنه يوجب بطلان الشرط المستلزم لبطلان المشروط، فلو صلى بهذا الوضوء بطلت صلاته لانتفاء شرطها و هو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القسم الثاني كالنهي عن إزالة النجاسة عن الثوب و البدن بالماء المغصوب فالنهي عنه لا يوجب الفساد، فلو طهر بدنه أو ثوبه بالماء المغصوب لا تبطل صلاته، إذ الشرط خارج عن المشروط، و ليس عبادة حتى يسري بطلانه إلى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غير العبادي إذا كان متقدّماً على المشروط صح ما ذكره كغسل الثوب النجس بالماء المغصوب، و الصلاة فيه بعد جفافه و أمّا إذا كان الشرط مقارناً مع الصلاة كالتستر، فانّ النهي عنه كاشف عن مبغوضيته و عدم إمكان التقرّب بالصلاة المتّحدة مع الشرط المبغوض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ذات القيد أي الثوب و إن كان خارجاً عن الصلاة، لكن التقيّد داخل فيها، فالأمر يتعلّق بالصلاة التي تكون العورة فيها مستورة، فإذا كان الشرط أي التستّر محرماً، يمتنع تعلّق الأمر الصلاتي به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صاحب الايراد يرجع الی ان تقيّد الصلاة بالتستر باللباس المحلل شرط تعبدي لا توصلي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فالايراد غير 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الجزء و الشرط حيث إنّ بطلان الجزء بما هو هو لا يوجب بطلان الكل، بخلاف الشرط فانّ محرميّة الشرط أي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بطلان العبادة؟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واضح فانّه ليس للجزء المنهي أيُّ دور في قوام الصلاة و انّما هو فعل زائد في الصلاة موصوف بالحرمة، بمعنى أنّه لا يسري بطلانه إلى الكلّ إذا استدركه بإتيان فرد منه غير ممنوع، بخلاف الشرط فانّ له دوراً في الصلاة، لأنّه من توابع الصلاة و مكمّلاً لها حيث لا تصحّ الصلاة بلا تستر</w:t>
      </w:r>
      <w:r>
        <w:rPr>
          <w:rFonts w:eastAsia="Amiri" w:cs="Amiri" w:ascii="Amiri" w:hAnsi="Amiri"/>
          <w:color w:val="111111"/>
          <w:sz w:val="28"/>
          <w:szCs w:val="28"/>
          <w:rtl w:val="true"/>
          <w:lang w:bidi="ar-SA"/>
        </w:rPr>
        <w:t xml:space="preserve">. </w:t>
      </w:r>
      <w:bookmarkStart w:id="262" w:name="pg16640_202303"/>
    </w:p>
    <w:p>
      <w:pPr>
        <w:pStyle w:val="Heading2"/>
        <w:numPr>
          <w:ilvl w:val="1"/>
          <w:numId w:val="1"/>
        </w:numPr>
        <w:rPr/>
      </w:pPr>
      <w:bookmarkStart w:id="263" w:name="__RefHeading___Toc11691255_1280447820"/>
      <w:bookmarkStart w:id="264" w:name="_Toc95"/>
      <w:bookmarkEnd w:id="262"/>
      <w:bookmarkEnd w:id="263"/>
      <w:r>
        <w:rPr>
          <w:rtl w:val="true"/>
        </w:rPr>
        <w:t>حکم تعلّق النهي بالوصف اللازم</w:t>
      </w:r>
      <w:bookmarkEnd w:id="264"/>
    </w:p>
    <w:p>
      <w:pPr>
        <w:pStyle w:val="BookText"/>
        <w:rPr/>
      </w:pPr>
      <w:r>
        <w:rPr>
          <w:rFonts w:ascii="Amiri" w:hAnsi="Amiri" w:eastAsia="Amiri" w:cs="Amiri"/>
          <w:color w:val="111111"/>
          <w:sz w:val="28"/>
          <w:sz w:val="28"/>
          <w:szCs w:val="28"/>
          <w:rtl w:val="true"/>
          <w:lang w:bidi="ar-SA"/>
        </w:rPr>
        <w:t>إذا تعلّق النهي بالوصف اللازم كالجهر بالقراءة في الصلوات النهارية، فهل يدلّ على فساد القراءة أم 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الخراساني إلى أنّ النهي عن الوصف اللازم مساوق للنهي عن القراءة لامتناع كون القراءة التي يجهر بها مأموراً بها مع كون الجهر بها منهيّاً عنه فعلاً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القسم الرابع فالنهي عن الوصف اللازم مساوق للنهي عن موصوفه فيكون النهي عن الجهر في القراءة مثلا مساوقا للنهي عنها لاستحالةكون القراءة التي يجهر بها مأمورا بها مع كون الجهر بها منهيا عنه فعلا كما لا يخفى</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النهي عن الوصف المتحد كالجهر بالقراءة نهي عن العبادة، لاتحاده معها، و عدم المغايرة بينهما وجوداً، فالنهي عن الوصف لا ينفك عن النهي عن الموصوف الّذي هو عبادة بالفرض، فالنهي في هذا القسم يندرج في النهي عن جزء العبادة فيلحقه حكمه، فالمنهي عنه حقيقة هو الموصوف و ذلک لأن الاتحاد الوجوديّ بين القراءة و الجهر يوجب امتناع كونها مأموراً بها مع تعلق النهي بالجهر بها فعلا، لاستلزام ذلك اجتماع الحكمين المتضادين في واحد وجوداً، لانّ التحريم يتعلّق بما هو مصداق الجهر خارجاً، و المفروض انّه متّحد وجوداً مع القراءة لان وجوب القراءة يتعلّق بما هو المصداق خارجاً حسب مبناه ، و عليه فلو تعلّق الأمر بها، لزم أن يتعلّق بنفس ما تعلّق به النهي لاتحادهما في الخارج و هو محال، و لازم ذلك خروج القراءة عن تحت الأمر فيكون ما أتى به غير مأمور به، و ما هو المأمور به، غير مأتي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الوجه في فساد القراءة عند المحقّق الخراساني لا ما ذكره بعض الشرّاح </w:t>
      </w:r>
    </w:p>
    <w:p>
      <w:pPr>
        <w:pStyle w:val="BookText"/>
        <w:rPr/>
      </w:pPr>
      <w:r>
        <w:rPr>
          <w:rFonts w:ascii="IRNazanin" w:hAnsi="IRNazanin" w:eastAsia="IRNazanin"/>
          <w:color w:val="111111"/>
          <w:sz w:val="28"/>
          <w:sz w:val="28"/>
          <w:szCs w:val="28"/>
          <w:rtl w:val="true"/>
          <w:lang w:bidi="fa-IR"/>
        </w:rPr>
        <w:t>من أنّه لا يمكن عند العقل أن يكون أحد المتلازمين واجباً و الآخر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تفسير الوصف اللازم بما لا ينفك عن الملزوم، كالزوجية بالنسبة إلى الأربعة، تفسير خاطئ 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الجهر ليس من اللوازم غير المنفكّة، لإمكان القراءة بالمخافتة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الوصف ممّا لا ينفك، يمتنع تعلّق الوجوب بالملزوم و الحرمة باللازم لاستلزامه طلب الضدّين و لذلك قيل بأنّ اللّازم و إن كان لا يجب أن يكون محكوماً بحكم الملزوم لكن يجب أن لا يكون محكوماً بحكم يضادّ حكم الملزوم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اللازم ما لا يمكن سلبه مع بقاء موصوفه، و في المقام تنعدم القراءة الشخصية مع انعدام وصفها، نعم يمكن إيجاد قراءة أُخرى في ضمن صنف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للموصوف وجود مغاير للوصف حيث إنّ الجهر من كيفيّات القراءة و خصوصياتها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عدم اقتضاء النهي الفساد، لما تقدم من أنّ متعلّق الأحكام من الوجوب و الحرمة هي العناوين من حيث يراد تحقيقها، و المصاديق ليست متعلّقة للأحكام، و إنّما هي مصاديق لما هو الواجب، و القراءة و الجهر من المفاهيمالمختلفة فلا يسري الحكم المتعلّق بالجهر إلى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فلم تحصل القراءة الواجبة بالقراءة الجهرية فلو اتی بالقراءة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الاخفاتية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و الّا بطلت لانه لم يأتِ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تقتضيه القاعدة لو لم يکن دليل خاص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القول بامتناع التقرّب بهذه القراءة المنهي عنها، أو استلزام النهي كون القراءة فاقدة لوصفها الشرعي،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المخافتة، فصحيح لو اکتفی بهذه القراءة</w:t>
      </w:r>
      <w:r>
        <w:rPr>
          <w:rFonts w:eastAsia="IRNazanin" w:cs="IRNazanin"/>
          <w:color w:val="111111"/>
          <w:sz w:val="28"/>
          <w:szCs w:val="28"/>
          <w:rtl w:val="true"/>
          <w:lang w:bidi="fa-IR"/>
        </w:rPr>
        <w:t xml:space="preserve">. </w:t>
      </w:r>
      <w:bookmarkStart w:id="265" w:name="pg16640_202305"/>
    </w:p>
    <w:p>
      <w:pPr>
        <w:pStyle w:val="Heading2"/>
        <w:numPr>
          <w:ilvl w:val="1"/>
          <w:numId w:val="1"/>
        </w:numPr>
        <w:rPr/>
      </w:pPr>
      <w:bookmarkStart w:id="266" w:name="__RefHeading___Toc11691257_1280447820"/>
      <w:bookmarkStart w:id="267" w:name="_Toc96"/>
      <w:bookmarkEnd w:id="265"/>
      <w:bookmarkEnd w:id="266"/>
      <w:r>
        <w:rPr>
          <w:rtl w:val="true"/>
        </w:rPr>
        <w:t>حکم تعلّق النهي بالوصف المفارق</w:t>
      </w:r>
      <w:bookmarkEnd w:id="267"/>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بخلاف ما إذا كان مفارقا كما في القسم الخامس فإن النهي عنه لا يسري إلى الموصوف إلّا فيما إذا اتحد معه وجودا بناء على امتناع الاجتماع و أما بناء على الجواز فلا يسري إليه كما عرفت في المسألة السابقة هذا حال النهي المتعلق بالجزء أو الشرط أو الوصف</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تعلّق النهي بالوصف المفارق، كالغصب بالنسبة إلى الصلاة حيث إنّ الصلاة عبارة عن الأذكار و الأفعال، و الغصب، هو الاستيلاء على مال الغير عدواناً، و هما في الخارج حقيقتان مختلفتان، فعدم استلزام النهي فساد الموصوف واضح لا يحتاج إلى البيان، و أمّا فسادها لأجل عدم حصول بعض ما يشترط في الصلاة فهو خارج عن محط البحث</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11691259_1280447820"/>
      <w:bookmarkStart w:id="269" w:name="_Toc97"/>
      <w:bookmarkEnd w:id="268"/>
      <w:r>
        <w:rPr>
          <w:rtl w:val="true"/>
        </w:rPr>
        <w:t>حکم النهي عن العبادة لأجل أحد الأمور المتقدمة</w:t>
      </w:r>
      <w:bookmarkEnd w:id="2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النهي عن العبادة لأجل أحد هذه الأمور فحاله حال النهي عن أحدها إن كان من قبيل الوصف بحال المتعلق و بعبارة أخرى كان النهي عنها بالعرض و إن كان النهي عنها على نحو الحقيقة و الوصف بحاله و إن كان بواسطة أحدها إلّا أنه من قبيل الواسطة في الثبوت لا العروض كان حاله حال النهي في القسم الأول فلا تغفل</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حاصله أن النهي عن العبادة لأجل الجزء أو الشرط أو الوصف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الأمور واسطة في العروض، كقولك جرى الميزاب، فإنّ جريان الماء واسطة لنسبته إلى الميزاب، فلا يكون ذو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موصوفاً حقيقة بالجريان و إنّما ينسب إليه مجازاً و بالعرض، بإعطاء حكم الحالّ للمحلّ فيكون متعلق النهي حقيقة نفس هذه الأمور، و يكون النهي عن العبادة بالعناية و المجاز، كالنهي عن قراءة العزائم في الصلاة، و عن الجهر بالقراءة في الظهرين، و عن الغصب في الصلاة و الطواف و السعي و التقصير، فان النهي تعلق حقيقة عن الغصب في الصلاة، و عن غصب الثوب في حال الطواف و السعي، و عن غصب المقراض للتقصير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الأمور واسطة في الثبوت كوساطة النار لعروض الحرارة على الماء، يكون ذو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بالحرارة حقيقة، لا مجازاً، فيكون النهي المتولّد من هذه النواهي نهياً حقيقياً متعلّقاً حقيقةً بنفس العبادة لأجل تلك الأمور، فالمنهي عنه نفس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النهي من قبيل الأول، بأن تعلق حقيقة بنفس هذه الأمور، فقد تقدم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يكون ذو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حقيقة بالجريان و إنّما ينسب إليه مجازاً و بالعرض، بإعطاء حكم الحالّ للمحلّ، فيكون النهي الناجم من هذه النواهي، المتعلّق بنفس العبادة، نهياً مجازيّاً لا حقيقياً، فلا يزيد حكمه على حكم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 قبيل الثاني كان حكمه ما تقدم من تعلق النهي بنفس العبادة حقيقة فيكون النهي المتولّد من هذه النواهي نهياً حقيقياً متعلّقاً بالعبادة مباشرة فيدخل في قسم النهي عن ذات العبادة الذي سياتي بيانه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استظهار أحد النحوين فمنوط بخصوصيات الموارد</w:t>
      </w:r>
      <w:r>
        <w:rPr>
          <w:rFonts w:eastAsia="Amiri" w:cs="Amiri" w:ascii="Amiri" w:hAnsi="Amiri"/>
          <w:color w:val="111111"/>
          <w:sz w:val="28"/>
          <w:szCs w:val="28"/>
          <w:rtl w:val="true"/>
          <w:lang w:bidi="ar-SA"/>
        </w:rPr>
        <w:t xml:space="preserve">. </w:t>
      </w:r>
      <w:bookmarkStart w:id="270" w:name="pg16640_202307"/>
    </w:p>
    <w:p>
      <w:pPr>
        <w:pStyle w:val="BookText"/>
        <w:rPr/>
      </w:pPr>
      <w:bookmarkEnd w:id="270"/>
      <w:r>
        <w:rPr>
          <w:rFonts w:ascii="Amiri" w:hAnsi="Amiri" w:eastAsia="Amiri" w:cs="Amiri"/>
          <w:color w:val="111111"/>
          <w:sz w:val="28"/>
          <w:sz w:val="28"/>
          <w:szCs w:val="28"/>
          <w:rtl w:val="true"/>
          <w:lang w:bidi="ar-SA"/>
        </w:rPr>
        <w:t>إذا عرفت ذلك فلنعد إلى ما هو المقصود من عقد هذا الفصل،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النهي بنفس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النهي بنفس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11691261_1280447820"/>
      <w:bookmarkStart w:id="272" w:name="_Toc98"/>
      <w:bookmarkEnd w:id="271"/>
      <w:r>
        <w:rPr>
          <w:rtl w:val="true"/>
        </w:rPr>
        <w:t>المقام الأوّل</w:t>
      </w:r>
      <w:r>
        <w:rPr>
          <w:rtl w:val="true"/>
        </w:rPr>
        <w:t xml:space="preserve">: </w:t>
      </w:r>
      <w:r>
        <w:rPr>
          <w:rtl w:val="true"/>
        </w:rPr>
        <w:t>حکم تعلّق النهي بالعبادة</w:t>
      </w:r>
      <w:bookmarkEnd w:id="272"/>
    </w:p>
    <w:p>
      <w:pPr>
        <w:pStyle w:val="BookText"/>
        <w:rPr/>
      </w:pPr>
      <w:r>
        <w:rPr>
          <w:rFonts w:ascii="Amiri" w:hAnsi="Amiri" w:eastAsia="Amiri" w:cs="Amiri"/>
          <w:color w:val="111111"/>
          <w:sz w:val="28"/>
          <w:sz w:val="28"/>
          <w:szCs w:val="28"/>
          <w:rtl w:val="true"/>
          <w:lang w:bidi="ar-SA"/>
        </w:rPr>
        <w:t>إذا تعلّق النهي بالعبادة، فهو إمّا مولوي، و إمّا 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المولوي إمّا ذاتي أو تشريعي، فتصير الأقسام ثلاثة، و إليك بيان أحكامها</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11691263_1280447820"/>
      <w:bookmarkStart w:id="274" w:name="_Toc99"/>
      <w:bookmarkEnd w:id="273"/>
      <w:r>
        <w:rPr>
          <w:rtl w:val="true"/>
        </w:rPr>
        <w:t>الأول</w:t>
      </w:r>
      <w:r>
        <w:rPr>
          <w:rtl w:val="true"/>
        </w:rPr>
        <w:t xml:space="preserve">: </w:t>
      </w:r>
      <w:r>
        <w:rPr>
          <w:rtl w:val="true"/>
        </w:rPr>
        <w:t>النهي التحريمي المولوي الذاتي</w:t>
      </w:r>
      <w:bookmarkEnd w:id="2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النهي المتعلق بالعبادة بنفسها و لو كانت جزء عبادة بما هو عبادة كما عرفت مقتض لفسادها لدلالته على حرمتها ذاتا و لا يكاد يمكن اجتماع الصحة بمعنى موافقة الأمر أو الشريعة مع الحرمة و كذا بمعنى سقوط الإعادة فإنه مترتب على إتيانها بقصد القربة و كانت مما يصلح لأن يتقرب به و مع الحرمة لا تكاد تصلح لذلك و يتأتى قصدها من الملتفت إلى حرمتها كما لا يخفى</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بالعبادة سواء كان المنهي عنه عبادة مستقلة كصلاة الحائض فيما ورد من قوله صلى الله </w:t>
      </w:r>
    </w:p>
    <w:p>
      <w:pPr>
        <w:pStyle w:val="BookText"/>
        <w:rPr/>
      </w:pPr>
      <w:r>
        <w:rPr>
          <w:rFonts w:ascii="IRNazanin" w:hAnsi="IRNazanin" w:eastAsia="IRNazanin"/>
          <w:color w:val="111111"/>
          <w:sz w:val="28"/>
          <w:sz w:val="28"/>
          <w:szCs w:val="28"/>
          <w:rtl w:val="true"/>
          <w:lang w:bidi="fa-IR"/>
        </w:rPr>
        <w:t>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حيضک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يوم الفطر فيما ورد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صيام ستة أيام يوم الفطر، و يوم النحر </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جزء لها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العزائم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شرطاً لها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تتوضأ بالماء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الفساد، فان العبادة بوصف كونها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فسادها بالنهي المتعلق بها بين هذه الأقسام الثلاثة، لوجود ملاك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دلالة النهي بطبعه مجرداً عن القرينة على الحرمة الذاتيّة الملازمة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العبادات، و ذلک لامتناع اجتماع الصحة عند المتكلم و الفقيه مع النهي الدال على الحرمة 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المتكلم فلأنه مع الحرمة لا أمر حتى يتحقق موافقة الأمر أو الشريعة، ضرورة أن الإتيان بالحرام الذاتي معصية، و معها كيف يكون المنهي عنه موافقاً للأمر أو الشريعة ، فلا محالة يكون النهي رافعاً للأمر، فيفسد المنهي عنه سواء كان نفس العبادة أم جزئها أم شرطها، غاية الأمر أن سراية فساد الجزء أو الشرط إلى نفس العبادة منوطة بالاكتفاء به، و عدم تداركه على 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عند الفقيه، فلإناطة الصحة عنده بأمرين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 العمل بقصد القربة، إذ بدونه لا تصح العبادة حتى تسقط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صالحاً لأن يقرب العبد إلى مولاه، فان لم يكن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كانحراماً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يکون مسقطا للإعادة و ان فرض تمشي قصد القربة منه کما اذا لم يکن ملتفتا إلى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المحقّق الخراساني أورد على نفسه إشكالاً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النهي لا يدل على الفساد إلّا إذا دل على الحرمة الذاتيّة، و المفروض عدم دلالته على ذلك، لامتناع اتصاف العبادة </w:t>
      </w:r>
    </w:p>
    <w:p>
      <w:pPr>
        <w:pStyle w:val="BookText"/>
        <w:rPr/>
      </w:pPr>
      <w:r>
        <w:rPr>
          <w:rFonts w:ascii="Amiri" w:hAnsi="Amiri" w:eastAsia="Amiri" w:cs="Amiri"/>
          <w:color w:val="111111"/>
          <w:sz w:val="28"/>
          <w:sz w:val="28"/>
          <w:szCs w:val="28"/>
          <w:rtl w:val="true"/>
          <w:lang w:bidi="ar-SA"/>
        </w:rPr>
        <w:t>بالحرمة الذاتيّة، لأنه ان أتى بالعمل بدون قصد القربة كصلاة الحائض لتمرين الصبي فلا يتصف بالحرمة، لأن المحرم هو العبادة التي تتقوم بقصد القربة، و بدون قصدها لا يكون العمل عبادة حتى تفسد بحرمتها الناشئة عن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أتى بالعمل مع قصد القربة كان مشرِّعاً، إذ لا أمر به مع حرمته، فلا يقدر على نية القربة الّا بتشريع أمر ليقصد التقرب به، و حينئذ يحرم العمل للتشريع، و مع هذه الحرمة التشريعية يمتنع اتصافه بالحرمة الذاتيّة، لاجتماع المثلين و هو مستحيل و بالنتيجة يصبح النهي تشريعيّاً لا ذاتياً و الكلام في النهي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لما لم يدل على الحرمة الذاتيّة، لامتناع اتصاف العبادة بها، فلم يدل على الفساد أيضا، فكيف يمكن الالتزام بدلالته على فساد العبادة كما التزموا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اتصاف الفعل بالحرمة التشريعية لا يمتنع اتصافه بالحرمة الذاتيّة، لاستحالة اجتماع المثلين فان استحالة اجتماع المثلين انما هي في عالم التکوين لا التشريع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النهي عن العبادة لما لم يدل على الحرمة الذاتيّة لم يدل على الفساد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سالبة بانتفاء الموضوع لا انه لا يدل علی الفساد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هذه الموارد و ما شابهها ليس نهياً ذاتيّاً كالنهي عن الخمر و القمار كما يدّعيه المحقّق الخراساني، و لا نهياً تشريعيّاً كما يدّعيه المستشكل، بل النهي في هذه الموارد إرشادي إلى فساد العبادة و عدم تحقّقها و الذي يدلّ على ذلك هو فهم العرف في امثال هذه الموارد</w:t>
      </w:r>
      <w:r>
        <w:rPr>
          <w:rFonts w:eastAsia="Amiri" w:cs="Amiri" w:ascii="Amiri" w:hAnsi="Amiri"/>
          <w:color w:val="111111"/>
          <w:sz w:val="28"/>
          <w:szCs w:val="28"/>
          <w:rtl w:val="true"/>
          <w:lang w:bidi="ar-SA"/>
        </w:rPr>
        <w:t xml:space="preserve">. </w:t>
      </w:r>
      <w:bookmarkStart w:id="275" w:name="pg16640_202310"/>
    </w:p>
    <w:p>
      <w:pPr>
        <w:pStyle w:val="BookText"/>
        <w:rPr/>
      </w:pPr>
      <w:bookmarkEnd w:id="275"/>
      <w:r>
        <w:rPr>
          <w:rFonts w:ascii="IRNazanin" w:hAnsi="IRNazanin" w:eastAsia="IRNazanin"/>
          <w:color w:val="111111"/>
          <w:sz w:val="28"/>
          <w:sz w:val="28"/>
          <w:szCs w:val="28"/>
          <w:rtl w:val="true"/>
          <w:lang w:bidi="fa-IR"/>
        </w:rPr>
        <w:t>مثلًا إذا كان العنوان موضوعاً لحكم و لم يكن العنوان مطلوباً بالذات و إنّما أمر به لأجل مصالح تترتّب عليه، غير أنّ المأمور جاهل بتركيب العنوان و أجزائه و شرائطه و موانعه، فعندئذ كلّما يصدر من الآمر أمر أو نهي فكلّها تحمل على الإرشاد إلى أجزاء الموضوع و شرائطه و موانعه، فإذا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الصلاة أيّام حيضک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إرشاد إلى أنّ الحيض مانع عن صحّة الصلاة فلا يحصل ما هو المطلوب</w:t>
      </w:r>
      <w:r>
        <w:rPr>
          <w:rFonts w:eastAsia="IRNazanin" w:cs="IRNazanin"/>
          <w:color w:val="111111"/>
          <w:sz w:val="28"/>
          <w:szCs w:val="28"/>
          <w:rtl w:val="true"/>
          <w:lang w:bidi="fa-IR"/>
        </w:rPr>
        <w:t>.</w:t>
      </w:r>
    </w:p>
    <w:p>
      <w:pPr>
        <w:pStyle w:val="Heading2"/>
        <w:numPr>
          <w:ilvl w:val="1"/>
          <w:numId w:val="1"/>
        </w:numPr>
        <w:rPr/>
      </w:pPr>
      <w:bookmarkStart w:id="276" w:name="__RefHeading___Toc11691265_1280447820"/>
      <w:bookmarkStart w:id="277" w:name="_Toc100"/>
      <w:bookmarkEnd w:id="276"/>
      <w:r>
        <w:rPr>
          <w:rtl w:val="true"/>
        </w:rPr>
        <w:t>جواب المحقّق الخراساني</w:t>
      </w:r>
      <w:bookmarkEnd w:id="277"/>
    </w:p>
    <w:p>
      <w:pPr>
        <w:pStyle w:val="BookText"/>
        <w:rPr/>
      </w:pPr>
      <w:r>
        <w:rPr>
          <w:rFonts w:ascii="IRNazanin" w:hAnsi="IRNazanin" w:eastAsia="IRNazanin"/>
          <w:color w:val="111111"/>
          <w:sz w:val="28"/>
          <w:sz w:val="28"/>
          <w:szCs w:val="28"/>
          <w:rtl w:val="true"/>
          <w:lang w:bidi="fa-IR"/>
        </w:rPr>
        <w:t>ثمّ ان المحقّق الخراساني اجاب عن الإشكال بوجوه أربعة نذکر ملخصها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الشق الأوّل و انّه يأتي بالعمل بدون قصد القربة فلا يکون عبادة بالفعل لکنه من شأنه ان يکون عبادة،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تعلّق الأمر بالفعل لکان عبادة و إن لم يتعلّق به الأمر الفعلي كصوم يوم العيدين فانّه لو تعلّق به الأمر لکان عبادة فالإتيان به و الحال هذه حرام ذاتي، فسقط قول المعترض من أنّه بدون قصد القربة ليس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مصادرة علی المطلوب فباي دليل يکون حراما ذاتيا؟ مضافا الی ان المراد من عنوان البحث، أعني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النهي عن العبادة يدلّ على الفساد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العبادة الفعلية لا الشأنية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الثاني أي كون متعلّق النهي العبادة الفعلية و لكنّها ليست رهن أمر فعلي، بل ربّما تكون عبادة ذاتية كما في نهي الحائض عن السجود للّه فتكون عبادة محرّمة ذاتاً بلا حاجة إلى الأمر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وجود العبادة الذاتية كالسجود للّه، و قد تقدم ضعفها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ما قاله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الأمر التشريعي يصير حراماً تشريعيّاً و يمتنع تعلّق النهي الذاتي به لاستلزامه اجتماع المثلين، و ذلك لاختلاف متعلّق الحرمتين، لأنّ النهي الذاتي تعلّق بذات الفعل و الحرمة التشريعية تتعلّق بعقد القلب بأنّه ممّا أمر به الشارع مع أنّه لم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تصوير النهيين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و التشريعي و القول باختلاف متعلّقها صحيح على القول بإمكان التشريع وراء البدعة، و أمّا على ما حقّقناه من امتناع التشريع بالمعنى الرائج عند العلماء و هو عقد القلب بوجوب شي‌ء يعلم بعدم وجوبه شرعاً، فهو غير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يتأتّى عقد القلب بما يعلم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يتصوّر هو البدعة، و هو القيام العملي بنشر البدع بين الناس و القول بأنّها من الشارع، و هو غير التشريع</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امکان تصور التشريع بالمعنى الرائج عند العلماء و هو عقد القلب بوجوب شي‌ء يعلم بعدم وجوبه شرعاً لانه يعلم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الواقع فان اهل التعصب و العناد يفعلونه بکامل الفخر و الاعتزاز و هم ليسواباقل ممن قال الله تعالی بحقهم </w:t>
      </w:r>
      <w:r>
        <w:rPr>
          <w:rFonts w:ascii="Amiri" w:hAnsi="Amiri" w:eastAsia="Amiri" w:cs="Amiri"/>
          <w:color w:val="111111"/>
          <w:sz w:val="28"/>
          <w:sz w:val="28"/>
          <w:szCs w:val="28"/>
          <w:rtl w:val="true"/>
          <w:lang w:bidi="ar-SA"/>
        </w:rPr>
        <w:t>و جحدوها و استيقنتها انفسهم</w:t>
      </w:r>
      <w:r>
        <w:rPr>
          <w:rFonts w:ascii="IRNazanin" w:hAnsi="IRNazanin" w:eastAsia="IRNazanin"/>
          <w:color w:val="111111"/>
          <w:sz w:val="28"/>
          <w:sz w:val="28"/>
          <w:szCs w:val="28"/>
          <w:rtl w:val="true"/>
          <w:lang w:bidi="fa-IR"/>
        </w:rPr>
        <w:t xml:space="preserve"> و عليه فالتشريع متصور و ان لم يرجع الی البدعة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التشريع من مصاديق البدعة لانها ادخال في الدين ما ليس فيه و هو من ابرز مصاديقها نعم البدعة اعم من التشريع لانها تشمل کل احداث في الدين و لو لم يقصد فيه التشريع کما ابتدع الثاني التکتف تعظيما لله جل و علا لانه رأی بعض الاعاجم هکذا يعظمون ملوکهم فامر بهذه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فالتشريع و البدعة هنا شيء واحد و لازمه عدم صحة کلام المحقق الخراساني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متعلّق الحرمتين، لأنّ النهي الذاتي تعلّق </w:t>
      </w:r>
      <w:bookmarkStart w:id="278" w:name="pg16640_202312"/>
    </w:p>
    <w:p>
      <w:pPr>
        <w:pStyle w:val="BookText"/>
        <w:rPr/>
      </w:pPr>
      <w:bookmarkEnd w:id="278"/>
      <w:r>
        <w:rPr>
          <w:rFonts w:ascii="IRNazanin" w:hAnsi="IRNazanin" w:eastAsia="IRNazanin"/>
          <w:color w:val="111111"/>
          <w:sz w:val="28"/>
          <w:sz w:val="28"/>
          <w:szCs w:val="28"/>
          <w:rtl w:val="true"/>
          <w:lang w:bidi="fa-IR"/>
        </w:rPr>
        <w:t>بذات الفعل و الحرمة التشريعية تتعلّق بعقد القلب بأنّه ممّا أمر به الشارع مع أنّه لم يأمر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الحرمة التشريعية متعلقة بذات الفعل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أنّ النهي ليس ذاتياً بل نهي تشريعي فيكون دالاً على الفساد و لا أقلّ يدلّ على أنّها ليست بمأمور بها و ان عمّها إطلاق دليل الأمر أو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يقيد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عدول عن القول بالحرمة الذاتية و تسليم للقول بالحرمة التشريعية</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11691267_1280447820"/>
      <w:bookmarkStart w:id="280" w:name="_Toc101"/>
      <w:bookmarkEnd w:id="279"/>
      <w:r>
        <w:rPr>
          <w:rtl w:val="true"/>
        </w:rPr>
        <w:t>الثاني</w:t>
      </w:r>
      <w:r>
        <w:rPr>
          <w:rtl w:val="true"/>
        </w:rPr>
        <w:t xml:space="preserve">: </w:t>
      </w:r>
      <w:r>
        <w:rPr>
          <w:rtl w:val="true"/>
        </w:rPr>
        <w:t>النهي المولوي التشريعي</w:t>
      </w:r>
      <w:bookmarkEnd w:id="280"/>
    </w:p>
    <w:p>
      <w:pPr>
        <w:pStyle w:val="BookText"/>
        <w:rPr/>
      </w:pPr>
      <w:r>
        <w:rPr>
          <w:rFonts w:ascii="Amiri" w:hAnsi="Amiri" w:eastAsia="Amiri" w:cs="Amiri"/>
          <w:color w:val="111111"/>
          <w:sz w:val="28"/>
          <w:sz w:val="28"/>
          <w:szCs w:val="28"/>
          <w:rtl w:val="true"/>
          <w:lang w:bidi="ar-SA"/>
        </w:rPr>
        <w:t>إذا أوجب الإنسان على نفسه شيئاً لم يوجبه الشرع أو حرّم عليها ما لم يُحرّمه فأتى به أو تركه بنيّة أمره و نهيه، يكون الفعل و الترك حراماً تشريعياً لا ذاتياً، فالفعل و الترك ربّما لا يكون واجباً و لا حراماً بالذات، لكن ادّعاء تعلّق الأمر أو النهي به شرعاً، يصيِّره حراماً تشريعياً، و يحكم عليه بالفساد، سواء أقلنا بأنّ الصحة رهن الأمر، فالمفروض انّه لا أمر له و إلّا لم يكن حراماً تشريعاً أو رهن الملاك و المفروض عدم العلم به، لأنّ الكاشف عنه هو الأمر و المفروض عدمه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صاحب الکفاية استثنی مما تقدم موردا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لم يكن النهي عنها إلّا عرضا كما إذا نهي عنها فيما كانت ضد الواجب مثلا لا يكون مقتضيا للفساد بناء على عدم اقتضاء الأمر بالشي‌ء للنهي عن الضد إلا كذلك أي عرضا ف يخصص به أو يقيد</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من دلالة النهي على الفساد لدلالته على الحرمة التشريعية انما هو </w:t>
      </w:r>
      <w:bookmarkStart w:id="281" w:name="pg16640_202313"/>
    </w:p>
    <w:p>
      <w:pPr>
        <w:pStyle w:val="BookText"/>
        <w:rPr/>
      </w:pPr>
      <w:bookmarkEnd w:id="281"/>
      <w:r>
        <w:rPr>
          <w:rFonts w:ascii="Amiri" w:hAnsi="Amiri" w:eastAsia="Amiri" w:cs="Amiri"/>
          <w:color w:val="111111"/>
          <w:sz w:val="28"/>
          <w:sz w:val="28"/>
          <w:szCs w:val="28"/>
          <w:rtl w:val="true"/>
          <w:lang w:bidi="ar-SA"/>
        </w:rPr>
        <w:t>فيما إذا لم يكن النهي عرضياً، كالنهي عن ضدالواجب كالصلاة المضادة للإزالة بناء على كون النهي عن ضد الواجب عرضياً، حيث ان المنهي عنه حقيقة هو ترك الإزالة مثلا، فالنهي عن الصلاة و نحوها مما يلازم ترك الإزالة يكون عرضياً، لا حقيقياً و النهي العرضي لا يقتضي الفساد، إذ ليس هنا إلّا واجب واحد، و هو الإزالة، و نسبة النهي إلى ضده،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نسبة مجازية</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11691269_1280447820"/>
      <w:bookmarkStart w:id="283" w:name="_Toc102"/>
      <w:bookmarkEnd w:id="282"/>
      <w:r>
        <w:rPr>
          <w:rtl w:val="true"/>
        </w:rPr>
        <w:t>الثالث</w:t>
      </w:r>
      <w:r>
        <w:rPr>
          <w:rtl w:val="true"/>
        </w:rPr>
        <w:t xml:space="preserve">: </w:t>
      </w:r>
      <w:r>
        <w:rPr>
          <w:rtl w:val="true"/>
        </w:rPr>
        <w:t>النهي الإرشادي</w:t>
      </w:r>
      <w:bookmarkEnd w:id="283"/>
    </w:p>
    <w:p>
      <w:pPr>
        <w:pStyle w:val="BookText"/>
        <w:rPr/>
      </w:pPr>
      <w:r>
        <w:rPr>
          <w:rFonts w:ascii="IRNazanin" w:hAnsi="IRNazanin" w:eastAsia="IRNazanin"/>
          <w:color w:val="111111"/>
          <w:sz w:val="28"/>
          <w:sz w:val="28"/>
          <w:szCs w:val="28"/>
          <w:rtl w:val="true"/>
          <w:lang w:bidi="fa-IR"/>
        </w:rPr>
        <w:t>کما في النواهي المبيّنة، لإجزاء الواجبات و شرائطها و موانعها، فانها نواهي إرشادية إلى بيان الأجزاء و الشرائط و الموانع، و ربما يكون المرشد إليه هو الكراهة كما في النهي عن الصلاة في الحمام، و في البيت و هو جار للمسجد، فانّ المتبادر بعد الإجماع على الصحة هو الإرشاد إلى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يكون النهي المتعلّق بالعنوان، إرشاداً إلى كونه فاسداً كما في النهي عن صوم العيدين و غيرهما کما قد تقدم </w:t>
      </w:r>
      <w:r>
        <w:rPr>
          <w:rFonts w:eastAsia="IRNazanin" w:cs="IRNazanin"/>
          <w:color w:val="111111"/>
          <w:sz w:val="28"/>
          <w:szCs w:val="28"/>
          <w:rtl w:val="true"/>
          <w:lang w:bidi="fa-IR"/>
        </w:rPr>
        <w:t>.</w:t>
      </w:r>
    </w:p>
    <w:p>
      <w:pPr>
        <w:pStyle w:val="Heading2"/>
        <w:numPr>
          <w:ilvl w:val="1"/>
          <w:numId w:val="1"/>
        </w:numPr>
        <w:rPr/>
      </w:pPr>
      <w:bookmarkStart w:id="284" w:name="__RefHeading___Toc11691271_1280447820"/>
      <w:bookmarkStart w:id="285" w:name="_Toc103"/>
      <w:bookmarkEnd w:id="284"/>
      <w:r>
        <w:rPr>
          <w:rtl w:val="true"/>
        </w:rPr>
        <w:t>تبصرة</w:t>
      </w:r>
      <w:bookmarkEnd w:id="285"/>
    </w:p>
    <w:p>
      <w:pPr>
        <w:pStyle w:val="BookText"/>
        <w:rPr/>
      </w:pPr>
      <w:r>
        <w:rPr>
          <w:rFonts w:ascii="Amiri" w:hAnsi="Amiri" w:eastAsia="Amiri" w:cs="Amiri"/>
          <w:color w:val="111111"/>
          <w:sz w:val="28"/>
          <w:sz w:val="28"/>
          <w:szCs w:val="28"/>
          <w:rtl w:val="true"/>
          <w:lang w:bidi="ar-SA"/>
        </w:rPr>
        <w:t>لا يخفى أن النهي عن جزء العبادة أو شرطها أو وصفها اللازم كالجهر و الإخفات كالنهي عن نفس العبادة يتصور ثبوتاً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النهي مولوياً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وارداً في مقام توهم وجوب شي‌ء في العبادة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وارداً في مقام دفع توهم مشروعية الإتيان بشي‌ء في العبادة</w:t>
      </w:r>
      <w:r>
        <w:rPr>
          <w:rFonts w:eastAsia="Amiri" w:cs="Amiri" w:ascii="Amiri" w:hAnsi="Amiri"/>
          <w:color w:val="111111"/>
          <w:sz w:val="28"/>
          <w:szCs w:val="28"/>
          <w:rtl w:val="true"/>
          <w:lang w:bidi="ar-SA"/>
        </w:rPr>
        <w:t xml:space="preserve">. </w:t>
      </w:r>
      <w:bookmarkStart w:id="286" w:name="pg16640_202314"/>
    </w:p>
    <w:p>
      <w:pPr>
        <w:pStyle w:val="BookText"/>
        <w:rPr/>
      </w:pPr>
      <w:bookmarkEnd w:id="286"/>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وارداً في مقام دفع توهم جزئية شي‌ء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وارداً في مقام الإرشاد إلى مانعية المنهي عنه للصلاة، بمعنى كونه منافياً 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الوجوه المتصورة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مقام الإثبات، فان شك في إرادة أحد هذه الوجوه من النهي، فالضابط في حمل النهي على خلاف ظاهره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كان النهي وارداً لبيان دفع توهم وجوب شي‌ء في العبادة، أو جزئيته لها، أو مشروعيته فيها، فوروده في هذا المقام يوجب ظهوره في نفي الأمر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النهي عن الشي‌ء وارداً في شي‌ء من هذه المقامات، و كان ناظراً إلى حال المأمور به،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ما لا يؤكل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أيضا موجباً لظهوره في الإرشاد إلى المانعية التي هي خلاف ظاهره الأولي و هو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ظاهراً في المولوية إلّا أن وروده في المقامات المزبورة يوجب انقلاب ظهوره في المولوية إلى ظهوره في الإرشاد إلى المانعية، أو عدم الجزئية، أو عدم المشروعية، أو غيرها</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11691273_1280447820"/>
      <w:bookmarkStart w:id="288" w:name="_Toc104"/>
      <w:bookmarkEnd w:id="287"/>
      <w:r>
        <w:rPr>
          <w:rtl w:val="true"/>
        </w:rPr>
        <w:t>المقام الثاني</w:t>
      </w:r>
      <w:r>
        <w:rPr>
          <w:rtl w:val="true"/>
        </w:rPr>
        <w:t xml:space="preserve">: </w:t>
      </w:r>
      <w:r>
        <w:rPr>
          <w:rtl w:val="true"/>
        </w:rPr>
        <w:t>حکم تعلق النهي في المعاملات</w:t>
      </w:r>
      <w:bookmarkEnd w:id="28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نخبة القول أن النهي الدال على حرمتها لا يقتضي الفساد لعدم الملازمة فيها لغة و لا عرفا بين حرمتها و فسادها أصلا كانت الحرمة متعلقة بنفس المعاملة بما هو فعل بالمباشرة أو بمضمونها بما هو فعل بالتسبيب أو بالتسبب بها إليه و إن لم يكن السبب و لا المسبب بما هو فعل من الأفعال بحرام و إنما يقتضي الفساد فيما إذا كان دالا </w:t>
      </w:r>
    </w:p>
    <w:p>
      <w:pPr>
        <w:pStyle w:val="BookText"/>
        <w:rPr/>
      </w:pPr>
      <w:r>
        <w:rPr>
          <w:rFonts w:ascii="Amiri" w:hAnsi="Amiri" w:eastAsia="Amiri" w:cs="Amiri"/>
          <w:color w:val="111111"/>
          <w:sz w:val="28"/>
          <w:sz w:val="28"/>
          <w:szCs w:val="28"/>
          <w:rtl w:val="true"/>
          <w:lang w:bidi="ar-SA"/>
        </w:rPr>
        <w:t>على حرمة ما لا يكاد يحرم مع صحتها مثل النهي عن أكل الثمن أو المثمن في بيع أو بيع شي‌ء</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هاهنا أقساماً خمسة لا دلالة للنهي فيها على الفساد إلّا في القسم الرابع و الخامس،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النهي بنفس المعاملة بما هو فعل مباشري، لا بما هو فعل يترتب عليه الملكية مثلا، فلا ينافي هذا النهي ترتب المسبب أعني النقل و الانتقال كالعقد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يلازم الفساد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حرمة السبب يعني ان نفس الإيجاب و القبول بما هما لفظان محرمين، و هذا غير ثابت في المثال، لان المحرم في وقت صلاة الجمعة هو الاشتغال بالأمور الدنيوية المزاحمة للصلاة، و التجارات التي أهمها البيع من تلك الأمور، فلا خصوصية للبيع، بل ذكره انما هو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النهي في البيع وقت النداء من باب تعلق النهي بضد الواجب الّذي لا ملاك له الّا مصلحة الواجب، فليس الأمر بالشي‌ء و النهي عن ضده حكمين مستقلينناشئين عن 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فالنهي عن البيع وقت النداء يؤكد الأمر بصلاة الجمعة، فلا نهي حقيقة حتى يحرم به التلفظ بالإيجاب و القبول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استنتجه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ملاک النهي عن البيع هو نفس ملاك له مصلحة الواجب و عليه فلا نهي عن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بصحيح و لم يقل به احد بل النهي هنا يدل علی حرمة البيع حقيقةً نعم العلة في النهي ناشیء من مصلحة الواجب لا انه لا نهي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النهي بمضمون المعاملة بما هو فعل بالتسبيب كالنهي عن بيع المصحف من الكافر فالمنهي عنه هو مالكيته المتحققة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النهي تعلق بالمسبب و هو الملكية، فالمنهي عنه هو جعل إضافة الملكية للكافر عليهما، و النهي انما تعلق بالمعاملة من حيث كونها موجبة لترتب مسبب مبغوض في نفسه كسلطنة الكافر على المصحف و العبد المسلم لا من حيث كونها فعلا مباشريا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لا دلالة فيه على الفساد، و اٌستدِل له بأنّ غاية ما يدلّ عليه النهي هو كونه مبغوضاً، و أمّا كونه فاسداً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النائيني إلى دلالته على الفساد بالبيان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المعاملة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لا يكون محجوراً عن التصرّف فيها من جهة تعلّق حقّ الغير بها أو لغير ذلك من أسباب الحجر لتكون له السلطنة الفعلية على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إذا تعلّق النهي بالمسبب و بنفس الملكية المنشأة كالنهي عن بيع المصحف، كان النهي معجزاً مولوياً للمكلّف و رافعاً للسلطنة عليه، فلا يكون المكلّف مسلّطاً على المعاملة في حكم الشارع و يترتب على ذلك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على ما رامه بأنّ الفقهاء حكموا بفساد البيع في الموارد التالية لأجل فقدان هذا الشرط أي ما يكون محجوراً عليه عن التصرّف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الإجارة على إنجاز الواجبات المجّانية، لأنّ العمل لوجوبه عليه، خارج عن سلطانه و مملوك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منذور الصدقة فانّ النذر يجعل المكلّف محجوراً عن التصرّف المنافي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حجر المشتري عن بيع خاص كما إذا باع الدار، و شرط على المشتري عدم بيعه من زيد، فيبطل لو باعه، لحجر المكلّف حسب ما التزم في هذا النوع من التصرّف فيترتّب عليه الفساد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صحّة المعاملة عبارة عن عدم كون البائع محجوراً عليه شرعاً كالسفيه، و عدم كون مورد المعاملة متعلّقاً لحقّ الغير كالعين المرهونة التي تعلّق بها حقّ المرتهن، و كأموال المفلّس التي تعلّق بها حقّ الديّان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اشتراط كون التصرّف حلالاً و غير حرام، فلم يقم عليه دليل، فإذا كان التصرّف مبغوضاً، لا لأجل تعلّق حق الغير به، و لا لأجل كون المتصرّف محجوراً، بل لنهي الشارع عن التصرّف كالنهي عن بيع المصحف فلا دليل على كونه شرطاً في الصحّة، نعم هو حرام لكن ليس كلّ حرام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في النهي علی محجورية المنهي بالنسبة الی العمل المنهي عنه و بذلک يظهر ضعف الاستدلال بالموارد التي استشهد بها على مدّعاه کما في فساد الإجارة على الواجبات المجانية لاجل أنّ العمل واجب عليه، خارج عن سلطانه و مملوك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غض النظر عن صحة هذا الاستدلال او سقمه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له بالمقام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بيع المنذور، فهو بيع صحيح ولکنه حرام و ذلک لانّ النذر تعلّق بالفعل، فلو لم يفعل فقد حنث نذره و لكن المنذور باق على ملكه له أن يبيع و يهب، و هذا ما يعبّر عنه بنذر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تعلّق النذر بالنتيجة أي التزم أن يكون قطيع الغنم صدقة إذا قضيت </w:t>
      </w:r>
    </w:p>
    <w:p>
      <w:pPr>
        <w:pStyle w:val="BookText"/>
        <w:rPr/>
      </w:pPr>
      <w:r>
        <w:rPr>
          <w:rFonts w:ascii="Amiri" w:hAnsi="Amiri" w:eastAsia="Amiri" w:cs="Amiri"/>
          <w:color w:val="111111"/>
          <w:sz w:val="28"/>
          <w:sz w:val="28"/>
          <w:szCs w:val="28"/>
          <w:rtl w:val="true"/>
          <w:lang w:bidi="ar-SA"/>
        </w:rPr>
        <w:t>حاجته، فبعد القضاء تكون العين خارجة عن ملك الناذر و لا يجوز له البيع لعدم كونه مالكاً و هذا ما يعبّر عنه بنذر النتيجة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كان النذر نذر فعل فالمعاملة صحيحة و ليس عليه إلّا كفّارة الحنث، و إن كان نذر نتيجة فالبيع باطل لعدم كونه مالكاً للعين عند البيع لدخولها في ملك المنذور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الامرين لا علاقة لهما بالمقام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إذا شرط في البيع، عدم بيعها من زيد فالصحيح انّه لو باعه منه صحّ البيع و للبائع الأوّل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ما رتّب عليه من المسائل الثلاث لا تصلح للاستشهاد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النهي بالتسبيب بها إليه و إن لم يكن السبب و لا المسبب بما هو فعل من الأفعال بحرام، کما في تعلق النهي عن بيع العنب و الخشب لمن يعمل العنب خمراً و الخشب صنماً، فان النهي لم يتعلق بالسبب و هو العقد، و لابالمسبب و هو التمليك، بل تعلق بأمر خارج عنهما و هو الإعانة على الإثم، فالنهي تعلق بالتسبب بهذه المعاملة للإعانة على الإثم، فليس شي‌ء من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إضافة الملكية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منهياً عنه 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تلازم بين الحرمة التکليفية و فساد المعاملة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بما لا يكاد يحرم مع صحّة المعاملة مثل النهي عن أكل الثمن و المثمن في بيع المنابذة، أو بيع شي‌ء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الفساد هو ان هذا النهي لا يجتمع مع صحة المعاملة، ضرورة أن صحتها تقتضي حلية تصرف كل من المتعاقدين فيما انتقل إليه، فالنهي التحريمي عن التصرف في الثمن أو المثمن يكشف عن فساد المعاملة، و إلّا يلزم عدم جواز التصرف في مال نفسه</w:t>
      </w:r>
      <w:r>
        <w:rPr>
          <w:rFonts w:eastAsia="Amiri" w:cs="Amiri" w:ascii="Amiri" w:hAnsi="Amiri"/>
          <w:color w:val="111111"/>
          <w:sz w:val="28"/>
          <w:szCs w:val="28"/>
          <w:rtl w:val="true"/>
          <w:lang w:bidi="ar-SA"/>
        </w:rPr>
        <w:t xml:space="preserve">. </w:t>
      </w:r>
      <w:bookmarkStart w:id="289" w:name="pg16640_202319"/>
    </w:p>
    <w:p>
      <w:pPr>
        <w:pStyle w:val="BookText"/>
        <w:rPr/>
      </w:pPr>
      <w:bookmarkEnd w:id="289"/>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الإرشاد إلى الفساد و خصّ الدلالة على الفساد بالمعاملات بالمعنى الأخص و هي العقود و الإيقاعات، لا بمعناها الأعم و هو ما لا يعتبر فيه قصد القربة، بل لو أمر به كان أمره توصلياً كالأمر بتطهير الثوب و البدن، فان النهي عن المعاملة بالمعنى الأعم يحمل على ما تقتضيه القرينة الخارجية ان كانت، و إلّا فيحمل على معناه الحقيقي و هو الحرمة، لكنها لا تدل على الفساد، لعدم الملازمة بين الحرمة و الفساد لا لغة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نفي البعد عن ظهور النهي عن المعاملة في الإرشاد إلى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الحرمة التكليفية التي هي ظهوره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الأصلي في المعاملات بيان صحتها و فسادها، و لذا يكون الأمر بها إرشاداً إلى صحتها من دون دلالته على وجوبها أو استحبابها، فلا يدل مثل أَوْفُوا بِالْعُقُود إلّا على صحة العقود، لا على وجوبها أو استحبابها، فالنهي عن المعاملة نظير نهي الطبيب في الإرشاد إلى ما يضر المريض، و أمره في الإرشاد إلى ما ينفعه من دفع مرضه و عود صحته و نظير النواهي الشرعية لإفادة المانعية في العبادات، كالنهي عن التكتف و الضحك و الكلام و الاستدبار و قول آمين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المعاملة نظير الأمر الواقع عقيب الحظر، فكما أن الأمر حينئذ لا يدل على الوجوب، بل على رفع المنع، فكذلك النهي عنها لا يدل إلّا على رفع الصحة التي تقتضيها أدلة الإمضاء مثل أَوْفُوا بِالْعُقُود</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0" w:name="__RefHeading___Toc11691275_1280447820"/>
      <w:bookmarkStart w:id="291" w:name="_Toc105"/>
      <w:bookmarkEnd w:id="290"/>
      <w:r>
        <w:rPr>
          <w:rtl w:val="true"/>
        </w:rPr>
        <w:t>الاستدلال على اقتضاء الحرمة للفساد بالأخبار</w:t>
      </w:r>
      <w:bookmarkEnd w:id="291"/>
    </w:p>
    <w:p>
      <w:pPr>
        <w:pStyle w:val="BookText"/>
        <w:rPr/>
      </w:pPr>
      <w:r>
        <w:rPr>
          <w:rFonts w:ascii="IRNazanin" w:hAnsi="IRNazanin" w:eastAsia="IRNazanin"/>
          <w:color w:val="111111"/>
          <w:sz w:val="28"/>
          <w:sz w:val="28"/>
          <w:szCs w:val="28"/>
          <w:rtl w:val="true"/>
          <w:lang w:bidi="fa-IR"/>
        </w:rPr>
        <w:t>ربّما يستدلّ ببعض الاخبار على الملازمة الشرعية بين النهي المولوي التحريمي و الفساد مثل صحيحة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مملوك تزوج بغير إذن سيّده،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سيّده إن شاء أجازه و إن شاء فرّق بينهما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الحكم بن عتيبة و إبراهيم النخعي و أصحابَهما،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النكاح فاسد و لا تُحِلُّ إجازة السيّد له،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يعص اللّه، و إنّما عصى سيّده، فإذا أجاز فهو له جائز</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عدم فساد نكاح العبد الفاقد لإذن سيده بأنه 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فساد كل ما يكون عصياناً له تبارك و تعالى، و المراد من العصيان هو العصيان التكليفي فالحرمة التكليفية تقتضي الفساد، فعدم فساد النكاح هنا انما هو لأجل عدم كونه معصية 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فكلّ ما تعلّق به النهي التحريمي فهو يدلّ على فساد متعلّقه إذا أتى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هذا الجواب في التقريرات إلى جماعة منهم الوحيد البهبهاني و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مخالفة الحرمة التي هي المقصودة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أجنبية عن المعصية المرادة من هذه الروايات،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المراد بالمعصية في الجملتين الموجبة و السالبة، و هما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يعص اللَّه و انما عصى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الحرمة التكليفية حتى يدل على الفساد، و يصح الاستدلال به، إذ لو كان المراد بها الحرمة التكليفية لم يستقم معنى الحديث، إذ لا إشكال في كون مخالفة السيد عصياناً له تبارك و تعالى، ضرورة وجوب إطاعة المولى على العبد، فهو حكم إلهي، فمخالفته مخالفة للَّه سبحانه و عصيان له، مع أن الإمام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فنفي المعصية عن </w:t>
      </w:r>
    </w:p>
    <w:p>
      <w:pPr>
        <w:pStyle w:val="BookText"/>
        <w:rPr/>
      </w:pPr>
      <w:r>
        <w:rPr>
          <w:rFonts w:ascii="Amiri" w:hAnsi="Amiri" w:eastAsia="Amiri" w:cs="Amiri"/>
          <w:color w:val="111111"/>
          <w:sz w:val="28"/>
          <w:sz w:val="28"/>
          <w:szCs w:val="28"/>
          <w:rtl w:val="true"/>
          <w:lang w:bidi="ar-SA"/>
        </w:rPr>
        <w:t>مخالفته لسيده قرينة على ما ذكرنا من عدم كون المراد بالمعصية مخالفة الحرمة التكليفية، و على أن العبد لم يرتكب حراماً، ذلك لأن ما صدر منه لم يكن مما لم يمضه الشارع و لم يشرعه كتزويج المحارم، أو التزويج في العدة، بل كان مما أمضاه و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بالمعصية المنفية في هذا الحديث إيجاد النكاح بدون اذن سيده، فإذا أجازه السيد تم المقتضي و يترتب عليه الأثر أعني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مشروع ذاتاً أي ليس مما لم يشرعه اللَّه تعالى، غاية الأمر أن تحققه مشروط بإذن السيد، فلا يتصور هنا حرمة تكليفية حتى يدعى دلالتها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نهاه السيد عن التزويج و تزوج صح الاستدلال على الفساد، لكون مخالفة نهي السيد عصياناً له تعالى شأنه أيضا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يشهد لذلک أنّ الإمام أبا جعفر علیه السلام فسّر العصيان في رواية أُخرى بالنكاح في عدّة و أشباهه الذي يكون نكاحها على خلاف الشريعة و قوانينها، ففي معتبر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عبدُه امرأةً بغير إذنه فدخل بها ثمّ اطّلع على ذلك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لمولاه إن شاء فرّق بينهما و إن شاء أجاز نكاحهما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أصل النكاح كان عاصياً،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أتى شيئاً حلالاً و ليس بعاص للّه و إنّما عصى سيده و لم يعص اللّه إنّ ذلك ليس كإتيان ما حرّم اللّه عليه من نكاح في عدة و أشباهه</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 الإمام العصيان المنفي في المقام بما حرّم اللّه عليه من النكاح في العدة، فتكون النتيجة أنّ الإمام ينفي العصيان الوضعي في المورد من غير تعرّض للعصيان التكليفي، و من المعلوم أنّ العصيان الوضعي يلازم الفساد، لأنّ كون </w:t>
      </w:r>
      <w:bookmarkStart w:id="292" w:name="pg16640_202322"/>
    </w:p>
    <w:p>
      <w:pPr>
        <w:pStyle w:val="BookText"/>
        <w:rPr/>
      </w:pPr>
      <w:bookmarkEnd w:id="292"/>
      <w:r>
        <w:rPr>
          <w:rFonts w:ascii="Amiri" w:hAnsi="Amiri" w:eastAsia="Amiri" w:cs="Amiri"/>
          <w:color w:val="111111"/>
          <w:sz w:val="28"/>
          <w:sz w:val="28"/>
          <w:szCs w:val="28"/>
          <w:rtl w:val="true"/>
          <w:lang w:bidi="ar-SA"/>
        </w:rPr>
        <w:t>العمل غير موافق للضابطة عبارة أُخرى عن عدم إمضاء الشارع له، و هو لا ينفك عن الفساد، بخلاف العصيان التكليفي الذي نحن بصدد بيان حكمه فلا يلازم الفساد</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11691277_1280447820"/>
      <w:bookmarkStart w:id="294" w:name="_Toc106"/>
      <w:bookmarkEnd w:id="293"/>
      <w:r>
        <w:rPr>
          <w:rtl w:val="true"/>
        </w:rPr>
        <w:t>تذنيب</w:t>
      </w:r>
      <w:r>
        <w:rPr>
          <w:rtl w:val="true"/>
        </w:rPr>
        <w:t xml:space="preserve">: </w:t>
      </w:r>
      <w:r>
        <w:rPr>
          <w:rtl w:val="true"/>
        </w:rPr>
        <w:t>في ملازمة النهي للصحّة</w:t>
      </w:r>
      <w:bookmarkEnd w:id="294"/>
    </w:p>
    <w:p>
      <w:pPr>
        <w:pStyle w:val="BookText"/>
        <w:rPr/>
      </w:pPr>
      <w:r>
        <w:rPr>
          <w:rFonts w:ascii="IRNazanin" w:hAnsi="IRNazanin" w:eastAsia="IRNazanin"/>
          <w:color w:val="111111"/>
          <w:sz w:val="28"/>
          <w:sz w:val="28"/>
          <w:szCs w:val="28"/>
          <w:rtl w:val="true"/>
          <w:lang w:bidi="fa-IR"/>
        </w:rPr>
        <w:t>ادعی ابو حنيفة و تلميذاه أبا يوسف و محمد بن الحسن الشيباني انّ النهي يدل على الصحّة مكان دلالته على الفساد، و لم ينقل عنهم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المحقّق القمي نقل في المقام بيانين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هو الصوم الشرعي لا اللغوي</w:t>
      </w:r>
    </w:p>
    <w:p>
      <w:pPr>
        <w:pStyle w:val="BookText"/>
        <w:rPr/>
      </w:pPr>
      <w:r>
        <w:rPr>
          <w:rFonts w:ascii="Amiri" w:hAnsi="Amiri" w:eastAsia="Amiri" w:cs="Amiri"/>
          <w:color w:val="111111"/>
          <w:sz w:val="28"/>
          <w:sz w:val="28"/>
          <w:szCs w:val="28"/>
          <w:rtl w:val="true"/>
          <w:lang w:bidi="ar-SA"/>
        </w:rPr>
        <w:t>ليس المراد دلالة النهي على الصحة بالدلالة المطابقية أو التضمنية، إذ ليست الصحة نفس مفاد النهي لا عيناً و لا جزءاً، بل المراد انّه يستلزم الصحة، فقول الشارع لا تصم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للحائض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إطلاق الصوم على صومها و الصلاة على صلاتها، و الأصل في الإطلاق الحقيقة، فلو لم يكن مورد النهي صحيحاً لم يصدق تعلّق النهي على أمر شرعي فيكون المنهي عنه مثل الإمساك و الدعاء و نحو ذلك و هو باطل إذ نحن نجزم بأنّ المنهي عنه أمرشرعي</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المنهي عنه إمّا الصوم أو الصلاة بمفهومهما الشرعي أو بمفهومهما اللغوي، و الثاني غير منهيّ عنه، و الأوّل يلازم الصحة، فإذا تعلّق النهي بالصوم الشرعي فقد تعلّق بالصوم الصحيح، لأنّ كلّ صوم شرعي صحيح، و هذا ما قلنا من أنّ النهي يدلّ على الصحة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الذاتية لا تتعلّق بالفاسد </w:t>
      </w:r>
      <w:bookmarkStart w:id="295" w:name="pg16640_202323"/>
    </w:p>
    <w:p>
      <w:pPr>
        <w:pStyle w:val="BookText"/>
        <w:rPr/>
      </w:pPr>
      <w:bookmarkEnd w:id="295"/>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 تكليفي لا يتعلق إلّا بما هو مقدور للمكلف بحيث يكون كل من الفعل و الترك تحت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فالنهي كالأمر لا بد أن يتعلق بما هو مقدور للمنهي، و لا يكون متعلق النهي مقدوراً إلّا إذا كان بجميع أجزائه و شرائطه التي هي مورد النهي مقدوراً كما في الأمر، فلو فرض أن المكلف خالف و أتى بالمنهي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بجميع أجزائه و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لترتب عليه الأثر بالضرورة و هذا هو معنى كونه صحيحاً، و حينئذ فالنهي عن الشي‌ء يدل على صحته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کون هذه النواهي ارشادية الی فساد المنهي عنه و عليه فالامر علی العکس فلا يمکن استفادة الصحة منها</w:t>
      </w:r>
      <w:r>
        <w:rPr>
          <w:rFonts w:eastAsia="IRNazanin" w:cs="IRNazanin"/>
          <w:color w:val="111111"/>
          <w:sz w:val="28"/>
          <w:szCs w:val="28"/>
          <w:rtl w:val="true"/>
          <w:lang w:bidi="fa-IR"/>
        </w:rPr>
        <w:t>.</w:t>
      </w:r>
    </w:p>
    <w:p>
      <w:pPr>
        <w:pStyle w:val="Heading2"/>
        <w:numPr>
          <w:ilvl w:val="1"/>
          <w:numId w:val="1"/>
        </w:numPr>
        <w:rPr/>
      </w:pPr>
      <w:bookmarkStart w:id="296" w:name="__RefHeading___Toc11691279_1280447820"/>
      <w:bookmarkStart w:id="297" w:name="_Toc107"/>
      <w:bookmarkEnd w:id="296"/>
      <w:r>
        <w:rPr>
          <w:rtl w:val="true"/>
        </w:rPr>
        <w:t>إجابة المحقّق الخراساني في مورد العبادات</w:t>
      </w:r>
      <w:bookmarkEnd w:id="297"/>
    </w:p>
    <w:p>
      <w:pPr>
        <w:pStyle w:val="BookText"/>
        <w:rPr/>
      </w:pPr>
      <w:r>
        <w:rPr>
          <w:rFonts w:ascii="Amiri" w:hAnsi="Amiri" w:eastAsia="Amiri" w:cs="Amiri"/>
          <w:color w:val="111111"/>
          <w:sz w:val="28"/>
          <w:sz w:val="28"/>
          <w:szCs w:val="28"/>
          <w:rtl w:val="true"/>
          <w:lang w:bidi="ar-SA"/>
        </w:rPr>
        <w:t>و اجاب المحقّق الخراساني عن هذا 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العبادات فما كان منها عبادة ذاتية كالسجود و الركوع و الخشوع و الخضوع له تبارك و تعالى فمع النهي عنه يكون مقدوراً، كما إذا كان مأموراً به و ما كان منها عبادة لاعتبار قصد القربة فيه لو كان مأموراً به، فلا يكاد يقدر عليه إلّا إذا قيل باجتماع الأمر و النهي في شي‌ء و لو بعنوان واحد و هو محال، و قد عرفت أنّ النهي في هذا القسم إنّما يكون نهياً عن العبادة بمعنى انّه لو كان مأموراً به كان الأمر به أمر عبادة لا يسقط إلّا بقصد القربة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العبادة على قسمين امّا الذاتي فلا تتغيّر و لا تتبدّل أوصافها فهي عبادة بالذات قبل النهي و بعد النهي و لا يؤثر النهي في حالها</w:t>
      </w:r>
      <w:r>
        <w:rPr>
          <w:rFonts w:eastAsia="Amiri" w:cs="Amiri" w:ascii="Amiri" w:hAnsi="Amiri"/>
          <w:color w:val="111111"/>
          <w:sz w:val="28"/>
          <w:szCs w:val="28"/>
          <w:rtl w:val="true"/>
          <w:lang w:bidi="ar-SA"/>
        </w:rPr>
        <w:t xml:space="preserve">. </w:t>
      </w:r>
      <w:bookmarkStart w:id="298" w:name="pg16640_202324"/>
    </w:p>
    <w:p>
      <w:pPr>
        <w:pStyle w:val="BookText"/>
        <w:rPr/>
      </w:pPr>
      <w:bookmarkEnd w:id="298"/>
      <w:r>
        <w:rPr>
          <w:rFonts w:ascii="Amiri" w:hAnsi="Amiri" w:eastAsia="Amiri" w:cs="Amiri"/>
          <w:color w:val="111111"/>
          <w:sz w:val="28"/>
          <w:sz w:val="28"/>
          <w:szCs w:val="28"/>
          <w:rtl w:val="true"/>
          <w:lang w:bidi="ar-SA"/>
        </w:rPr>
        <w:t>و أمّا العبادات المجعولة التي قوام عباديتها بتعلّق الأمر بها، فهي تنقسم إلى عبادة فعلية و عبادة 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الأُولى ما يكون متعلّقاً للأمر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الثانية ما لو تعلّق به الأمر لكان أمره عبادية و لما سقط إلّا بالقصد، فالقسم الأوّل لا يقع متعلّقاً للنهي، لأنّ العبادة و الصحّة الفعلية عبارة عمّا تعلّق به الأمر، و ما هو كذلك يمتنع أن يقع متعلّقاً للنهي و المفروض انّه تعلّق به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أي العبادة الشأنية يقع متعلّقاً للنهي و يكشف عن صحّة المتعلّق لكن صحّة شأنية، و هو غير مطلوب المستدلّ فانّه يريد أن يستدلّ بتعلّق النهي على الصحّة الفعلية دون الشأنية، و لكن النهي لا يكشف إلّا عن الصحّة الشأنية، أي ما لو تعلّق به الأمر يكون أمره عبادياً و فعله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المطلوب أي الصحّة الفعلية لا يعطيه النهي و ما يعطيه النهي، أي العبادة الشأنية ليس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اول کلامه ما لا يخفی من الاشکال کما تقدم</w:t>
      </w:r>
      <w:r>
        <w:rPr>
          <w:rFonts w:eastAsia="IRNazanin" w:cs="IRNazanin"/>
          <w:color w:val="111111"/>
          <w:sz w:val="28"/>
          <w:szCs w:val="28"/>
          <w:rtl w:val="true"/>
          <w:lang w:bidi="fa-IR"/>
        </w:rPr>
        <w:t>.</w:t>
      </w:r>
    </w:p>
    <w:p>
      <w:pPr>
        <w:pStyle w:val="Heading2"/>
        <w:numPr>
          <w:ilvl w:val="1"/>
          <w:numId w:val="1"/>
        </w:numPr>
        <w:rPr/>
      </w:pPr>
      <w:bookmarkStart w:id="299" w:name="__RefHeading___Toc11691281_1280447820"/>
      <w:bookmarkStart w:id="300" w:name="_Toc108"/>
      <w:bookmarkEnd w:id="299"/>
      <w:r>
        <w:rPr>
          <w:rtl w:val="true"/>
        </w:rPr>
        <w:t>إجابة المحقّق الخراساني في مورد المعاملات</w:t>
      </w:r>
      <w:bookmarkEnd w:id="3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أجاب عن الاستدلال في مجال المعاملة بالنحو التالي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المعاملات انّه كذلك إذا كان في السبب أو التسبيب لاعتبار القدرة في متعلّق النهي كالأمر و لا يكاد يقدر عليهما إلّا فيما كانت المعاملة مؤثرة صحيحة، و أمّا إذا كان عن السبب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مقدوراً و إن لم يكن صحيحاً</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 النهي عن السبب لا </w:t>
      </w:r>
      <w:bookmarkStart w:id="301" w:name="pg16640_202325"/>
    </w:p>
    <w:p>
      <w:pPr>
        <w:pStyle w:val="BookText"/>
        <w:rPr/>
      </w:pPr>
      <w:bookmarkEnd w:id="301"/>
      <w:r>
        <w:rPr>
          <w:rFonts w:ascii="Amiri" w:hAnsi="Amiri" w:eastAsia="Amiri" w:cs="Amiri"/>
          <w:color w:val="111111"/>
          <w:sz w:val="28"/>
          <w:sz w:val="28"/>
          <w:szCs w:val="28"/>
          <w:rtl w:val="true"/>
          <w:lang w:bidi="ar-SA"/>
        </w:rPr>
        <w:t>يكشف عن الصحّة،حيث ان المنهي عنه هو العقد المفوت لصلاة الجمعة لا العقد المؤثر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الصحة، إذ المبغوض هو إيجاد ذات السبب، لكونه من أفعاله المباشرية لا لكونه مؤثراً في الملكية و سبباً لها، و من المعلوم أن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إيجاد ذات السبب مع الغض عن سببيته و تأثيره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له من دون توقف للقدرة على صحته، نعم يكشف النهي عن الصحّة فيما إذا تعلّق النهي بمضمون المعاملة، أي تملّك الكافر المصحفَ و العبدَ أو تعلّق النهي بالتسبب، فانّ النهي كاشف عن كون المعاملة المنهية مؤثرة في حصول السبب و هو آية الصحة</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11691283_1280447820"/>
      <w:bookmarkStart w:id="303" w:name="_Toc109"/>
      <w:bookmarkEnd w:id="302"/>
      <w:r>
        <w:rPr>
          <w:rtl w:val="true"/>
        </w:rPr>
        <w:t>تطبيقات</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النهي بالإيجاب دون القبول فهل تسري الحرمة إلى القبول؟ كما إذا كان الموجب محرماً دون القابل؟ الظاهر عدم الحرمة لعدم الملاك إلّا من جهة الإعانة على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اختلاف حكم المتعاقدين في البيع وقت النداء إذا كان أحدهما مخاطباً بالجمعة دون الآخر، فخصّوا المنع بمن خوطب بالسعي و حكموا بجواز البيع من طرف الآخر، نعم رجّح جماعة آخرون عموم المنع من حيث الإعانة بالإثم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المعاملة باطلة من جانب واحد كما إذا كانت غررية من جانب الموجب دون القابل، فهل يسري الحكم الوضعي إلى الطرف الآخر؟ الظاهر هو البطلان لأنّها غررية و المعاملة الغررية باطلة و لا تقبل التبعض، فالملكية المنشأة إمّا موجودة أو لا</w:t>
      </w:r>
      <w:r>
        <w:rPr>
          <w:rFonts w:eastAsia="Amiri" w:cs="Amiri" w:ascii="Amiri" w:hAnsi="Amiri"/>
          <w:color w:val="111111"/>
          <w:sz w:val="28"/>
          <w:szCs w:val="28"/>
          <w:rtl w:val="true"/>
          <w:lang w:bidi="ar-SA"/>
        </w:rPr>
        <w:t xml:space="preserve">. </w:t>
      </w:r>
      <w:bookmarkStart w:id="304" w:name="pg16640_202326"/>
    </w:p>
    <w:p>
      <w:pPr>
        <w:pStyle w:val="BookText"/>
        <w:rPr/>
      </w:pPr>
      <w:bookmarkEnd w:id="304"/>
      <w:r>
        <w:rPr>
          <w:rFonts w:ascii="Amiri" w:hAnsi="Amiri" w:eastAsia="Amiri" w:cs="Amiri"/>
          <w:color w:val="111111"/>
          <w:sz w:val="28"/>
          <w:sz w:val="28"/>
          <w:szCs w:val="28"/>
          <w:rtl w:val="true"/>
          <w:lang w:bidi="ar-SA"/>
        </w:rPr>
        <w:t>فعلى الأوّل يلزم صحة المعاملة في كلا الجانبين، و هو خلاف الفرض، و الثاني هو المطلوب</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11691285_1280447820"/>
      <w:bookmarkStart w:id="306" w:name="_Toc110"/>
      <w:bookmarkEnd w:id="305"/>
      <w:r>
        <w:rPr>
          <w:rtl w:val="true"/>
        </w:rPr>
        <w:t>المقصد الثالث المفاهيم</w:t>
      </w:r>
      <w:bookmarkEnd w:id="306"/>
    </w:p>
    <w:p>
      <w:pPr>
        <w:pStyle w:val="Heading2"/>
        <w:numPr>
          <w:ilvl w:val="1"/>
          <w:numId w:val="1"/>
        </w:numPr>
        <w:rPr/>
      </w:pPr>
      <w:bookmarkStart w:id="307" w:name="__RefHeading___Toc11691287_1280447820"/>
      <w:bookmarkStart w:id="308" w:name="_Toc111"/>
      <w:bookmarkEnd w:id="307"/>
      <w:r>
        <w:rPr>
          <w:rtl w:val="true"/>
        </w:rPr>
        <w:t>تمهيد</w:t>
      </w:r>
      <w:bookmarkEnd w:id="308"/>
    </w:p>
    <w:p>
      <w:pPr>
        <w:pStyle w:val="BookText"/>
        <w:rPr/>
      </w:pP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النزاع في حجيّته، و في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مباحث</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1691289_1280447820"/>
      <w:bookmarkStart w:id="310" w:name="_Toc112"/>
      <w:bookmarkEnd w:id="309"/>
      <w:r>
        <w:rPr>
          <w:rtl w:val="true"/>
        </w:rPr>
        <w:t>الاول</w:t>
      </w:r>
      <w:r>
        <w:rPr>
          <w:rtl w:val="true"/>
        </w:rPr>
        <w:t xml:space="preserve">: </w:t>
      </w:r>
      <w:r>
        <w:rPr>
          <w:rtl w:val="true"/>
        </w:rPr>
        <w:t>في تعريف المفهوم</w:t>
      </w:r>
      <w:bookmarkEnd w:id="310"/>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المدلول للّفظ الذي يفهم منه، فيساوي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مدلولا لمفرد أو جملة، و سواء كان مدلولا حقيقيّا أم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المنطوق، و هو أخصّ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المقصود بالبحث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اصطلاح أصوليّ يختصّ بالمدلولات الالتزاميّة للجمل التركيبيّة، سواء كانت إنشائيّة أو إخباريّة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منه ما يدلّ عليه اللفظ في حدّ ذاته على وجه يكون اللفظ المنطوق حاملا لذلك المعنى، و قالبا له، فيسمّى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للمدلول باسم الدالّ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فالمفهوم الذي يقابله ما لم يكن اللفظ حاملا له دالّا عليه، و لكن يدلّ عليه باعتباره لازما لمفاد الجملة بنحو اللزوم البيّن بالمعنى الأخصّ او الاعم</w:t>
      </w:r>
      <w:r>
        <w:rPr>
          <w:rStyle w:val="FootnoteAnchor"/>
          <w:rtl w:val="true"/>
        </w:rPr>
        <w:footnoteReference w:id="166"/>
      </w:r>
      <w:r>
        <w:rPr>
          <w:rFonts w:ascii="IRNazanin" w:hAnsi="IRNazanin" w:eastAsia="IRNazanin"/>
          <w:color w:val="111111"/>
          <w:sz w:val="28"/>
          <w:sz w:val="28"/>
          <w:szCs w:val="28"/>
          <w:rtl w:val="true"/>
          <w:lang w:bidi="fa-IR"/>
        </w:rPr>
        <w:t>و لأجل هذا يختصّ المفهوم بالمدلول الالتزاميّ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حكم إنشائي أو إخباري لازم للمعنى المراد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هذا التعريف ذهب المحقق الخراساني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عبارة عن حكم إنشائي أو إخباري تستتبعه خصوصية المعنى الذي أريد من اللفظ بتلك الخصوصية و لو بقرينة الحكمة و كان يلزمه لذلك وافقه في الإيجاب و السلب أو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إن جاءك زيد فأكرمه مثلا لو قيل به قضية شرطية سالبة بشرطها و جزائها لازمة للقضية الشرطية التي تكون معنى القضية اللفظية و تكون لها خصوصية بتلك الخصوصية كانت مستلزمة لها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فالمنطوق فيه هو مضمون الجملة و هو عدم تنجّس الماء البالغ كرّا بشي‌ء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يكون لمثل هذه الجملة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يبلغ كرّا يتنجّس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تعريف ابن الحاجب من ان المفهوم ما دلّ عليه اللفظ في غير محل النطق و المنطوق ما دلّ عليه اللفظ في محل النطق</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العضدي في شرح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فهو إن كان محمولًا على موضوع مذكور فهو منطوق، و إن كان محمولًا على موضوع غير مذكور فهو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محلّ النطق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 إلى المنطوق بما انّ الموضوع مذكور فيه،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محل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المفهوم لعدم ذكر الموضوع في محله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بين المنطوق و المفهوم ليس هو ذكر الموضوع في الأوّل، و عدمه في الثاني، بل الموضوع مذكور في كلتا القضيتين، و إنّما الاختلاف في وجود القيد في المنطوق و عدمه في المفهوم و بالتالي اختلاف القضيتين في الكيف أي الإيجاب و السلب،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زيد أكرمه، فالموضوع هو زيد لكنّه في صورة التسليم يحكم عليه بالإكرام، و في صورة عدمه بعدمه فالاختلاف في الحكم رهن الاختلاف في الشرط، فعند وجوده يترتّب عليه الجزاء، و عند عدمه يرتفع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بذلک يظهر ان هذه الخصوصية ليست من مداليل مواد القضية من الموضوع أو المحمول لعدم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جاءك و 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جاءك زيد فأكرمه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تلك الخصوصية كما هو واضح جداً، بل الدال على تلك الخصوصية هي الهيئة 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في المفهوم الموافق، فان الخصوصية المستتبعة للمفهوم الموافق ليست في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في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مدلول المركب بما هو مركب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الدلالة و الكشف و الحكاية قائمة بالدال و هو هنا اللفظ، فان كان المحكي به نفس معناه اتصف المحكي بالمنطوقية، و ان كان لازم معناه اتصف ذلك اللازم بالمفهومية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فالمنطوقية و المفهومية من صفات المدلول، و الدلالة من صفات اللفظ الدال، فهي تتصف بالصراحة و الظهور، و لكن لا تتصف بالمنطوقية و المفهومية</w:t>
      </w:r>
      <w:r>
        <w:rPr>
          <w:rFonts w:eastAsia="Amiri" w:cs="Amiri" w:ascii="Amiri" w:hAnsi="Amiri"/>
          <w:color w:val="111111"/>
          <w:sz w:val="28"/>
          <w:szCs w:val="28"/>
          <w:rtl w:val="true"/>
          <w:lang w:bidi="ar-SA"/>
        </w:rPr>
        <w:t xml:space="preserve">. </w:t>
      </w:r>
      <w:bookmarkStart w:id="311" w:name="pg16640_202329"/>
    </w:p>
    <w:p>
      <w:pPr>
        <w:pStyle w:val="BookText"/>
        <w:rPr/>
      </w:pPr>
      <w:bookmarkEnd w:id="311"/>
      <w:r>
        <w:rPr>
          <w:rFonts w:ascii="IRNazanin" w:hAnsi="IRNazanin" w:eastAsia="IRNazanin"/>
          <w:color w:val="111111"/>
          <w:sz w:val="28"/>
          <w:sz w:val="28"/>
          <w:szCs w:val="28"/>
          <w:rtl w:val="true"/>
          <w:lang w:bidi="fa-IR"/>
        </w:rPr>
        <w:t>ثم لا يخفی حصر المداليل في المنطوق و المفهوم و لا ثالث لها، و ذلک لان المنطوق ما نطق به المتكلّم باعتبار كون اللفظ مرآة للمعنى، و ينحصر في الدلالة المطابقية و التضمنية باعتبار انّ النطق بالكل، نطق بالجزء، كما أنّ المراد من المفهوم هو الدلالة الالتزامية، أي لازم المعنى، من غير فرق بين لازم المفرد، أو لازم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فالأوّلان يشكّلان المداليل المنطوقية، و الأخير يشكّل المدلول المفهومي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تقدم اتضح ان الدلالات الالتزامية وضعية لفظية لا عقلية کما قد يتوهم کون مسألة المفهوم مسألة عقليّة لا لفظيّة </w:t>
      </w:r>
      <w:r>
        <w:rPr>
          <w:rFonts w:eastAsia="IRNazanin" w:cs="IRNazanin"/>
          <w:color w:val="111111"/>
          <w:sz w:val="28"/>
          <w:szCs w:val="28"/>
          <w:rtl w:val="true"/>
          <w:lang w:bidi="fa-IR"/>
        </w:rPr>
        <w:t>.</w:t>
      </w:r>
    </w:p>
    <w:p>
      <w:pPr>
        <w:pStyle w:val="Heading2"/>
        <w:numPr>
          <w:ilvl w:val="1"/>
          <w:numId w:val="1"/>
        </w:numPr>
        <w:rPr/>
      </w:pPr>
      <w:bookmarkStart w:id="312" w:name="__RefHeading___Toc11691291_1280447820"/>
      <w:bookmarkStart w:id="313" w:name="_Toc113"/>
      <w:bookmarkEnd w:id="312"/>
      <w:r>
        <w:rPr>
          <w:rtl w:val="true"/>
        </w:rPr>
        <w:t>موقع المداليل السياقية</w:t>
      </w:r>
      <w:bookmarkEnd w:id="313"/>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المداليل السياقية أ هي مداليل منطوقية، أو مفهومية، أو لا هذه و لا تلك بل هي أُمور برأسها، و يجمع الكل انّها دلالات سياقية، فعندئذ تنثلم كلية القضية المذكورة،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المداليل إمّا منطوقية أو مفهومية؟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البروجردي إلى أنّها دلالات منطوقية فأنّ المنطوق منقسم إلى الصريح و غير الصريح، و الثاني ما دلّ عليه اللفظ بدلالة الاقتضاء و التنبيه و الإشارة، لأنّ ما يدلّ عليه إن كان غير مقصود للمتكلّم فهو المدلول عليه بدلالة الإشارة كدلالة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أقلّ الحمل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مقصوداً بأن كان صدق الكلام أو صحته يتوقّف عليه فهو المدلول بدلالة الاقتضاء، نحو 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w:t>
      </w:r>
      <w:r>
        <w:rPr>
          <w:rStyle w:val="FootnoteAnchor"/>
          <w:rtl w:val="true"/>
        </w:rPr>
        <w:footnoteReference w:id="170"/>
      </w:r>
      <w:r>
        <w:rPr>
          <w:rFonts w:ascii="Amiri" w:hAnsi="Amiri" w:eastAsia="Amiri" w:cs="Amiri"/>
          <w:color w:val="111111"/>
          <w:sz w:val="28"/>
          <w:sz w:val="28"/>
          <w:szCs w:val="28"/>
          <w:rtl w:val="true"/>
          <w:lang w:bidi="ar-SA"/>
        </w:rPr>
        <w:t>فانّهما يدلّان على مقدّر مصحّح للكلام</w:t>
      </w:r>
      <w:r>
        <w:rPr>
          <w:rFonts w:eastAsia="Amiri" w:cs="Amiri" w:ascii="Amiri" w:hAnsi="Amiri"/>
          <w:color w:val="111111"/>
          <w:sz w:val="28"/>
          <w:szCs w:val="28"/>
          <w:rtl w:val="true"/>
          <w:lang w:bidi="ar-SA"/>
        </w:rPr>
        <w:t xml:space="preserve">. </w:t>
      </w:r>
      <w:bookmarkStart w:id="314" w:name="pg16640_202330"/>
    </w:p>
    <w:p>
      <w:pPr>
        <w:pStyle w:val="BookText"/>
        <w:rPr/>
      </w:pPr>
      <w:bookmarkEnd w:id="314"/>
      <w:r>
        <w:rPr>
          <w:rFonts w:ascii="Amiri" w:hAnsi="Amiri" w:eastAsia="Amiri" w:cs="Amiri"/>
          <w:color w:val="111111"/>
          <w:sz w:val="28"/>
          <w:sz w:val="28"/>
          <w:szCs w:val="28"/>
          <w:rtl w:val="true"/>
          <w:lang w:bidi="ar-SA"/>
        </w:rPr>
        <w:t>و إن اقترن بالحكم ما فهم منه العلية فهو المدلول عليه بدلالة الإيماء و التنبيه، كما لو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في نهار رمضان،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 فإنّ اقتران الجواب بسؤال السائل يفهم منه، عليّة الوقاع للكفّارة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للمحقّق النائيني حيث خصّ المفهوم باللازم البيّن بالمعنى الأخص، و جعل الدلالات الثلاث من اللازم البيّن بالمعنى الأعمّ و أسماها دلالة سياقية، و ظاهره انّها ليست منطوقية و لا مفهومية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يرجع الی لازم المعنی فهو من المفهوم بلا فرق بين کونه لازما بينا بالمعنی الاخص او الاعم و کل ما يفهم من حاق الکلام لا باللازم فهو من المنطوق و عليه فالدلالات الثلاث هي من الدلالات الالتزامية حيث إنّها من لوازم المعنى، سواء كان مقصوداً أم لا</w:t>
      </w:r>
      <w:r>
        <w:rPr>
          <w:rFonts w:eastAsia="IRNazanin" w:cs="IRNazanin"/>
          <w:color w:val="111111"/>
          <w:sz w:val="28"/>
          <w:szCs w:val="28"/>
          <w:rtl w:val="true"/>
          <w:lang w:bidi="fa-IR"/>
        </w:rPr>
        <w:t>.</w:t>
      </w:r>
    </w:p>
    <w:p>
      <w:pPr>
        <w:pStyle w:val="Heading2"/>
        <w:numPr>
          <w:ilvl w:val="1"/>
          <w:numId w:val="1"/>
        </w:numPr>
        <w:rPr/>
      </w:pPr>
      <w:bookmarkStart w:id="315" w:name="__RefHeading___Toc11691293_1280447820"/>
      <w:bookmarkStart w:id="316" w:name="_Toc114"/>
      <w:bookmarkEnd w:id="315"/>
      <w:r>
        <w:rPr>
          <w:rtl w:val="true"/>
        </w:rPr>
        <w:t>الثاني</w:t>
      </w:r>
      <w:r>
        <w:rPr>
          <w:rtl w:val="true"/>
        </w:rPr>
        <w:t xml:space="preserve">: </w:t>
      </w:r>
      <w:r>
        <w:rPr>
          <w:rtl w:val="true"/>
        </w:rPr>
        <w:t>النزاع في حجّيّة المفهوم</w:t>
      </w:r>
      <w:bookmarkEnd w:id="316"/>
    </w:p>
    <w:p>
      <w:pPr>
        <w:pStyle w:val="BookText"/>
        <w:rPr/>
      </w:pPr>
      <w:r>
        <w:rPr>
          <w:rFonts w:ascii="Amiri" w:hAnsi="Amiri" w:eastAsia="Amiri" w:cs="Amiri"/>
          <w:color w:val="111111"/>
          <w:sz w:val="28"/>
          <w:sz w:val="28"/>
          <w:szCs w:val="28"/>
          <w:rtl w:val="true"/>
          <w:lang w:bidi="ar-SA"/>
        </w:rPr>
        <w:t>لا شكّ أنّ الكلام إذا كان له مفهوم يدلّ عليه فهو ظاهر فيه، فيكون حجّة من المتكلّم على السامع، و من السامع على المتكلّم، كسائر الظواهر الأخرى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ما معنى النّزاع في حجيّة المفهوم حينما 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مفهوم الشرط حجّة أو لا؟ </w:t>
      </w:r>
    </w:p>
    <w:p>
      <w:pPr>
        <w:pStyle w:val="BookText"/>
        <w:rPr/>
      </w:pPr>
      <w:r>
        <w:rPr>
          <w:rFonts w:ascii="Amiri" w:hAnsi="Amiri" w:eastAsia="Amiri" w:cs="Amiri"/>
          <w:color w:val="111111"/>
          <w:sz w:val="28"/>
          <w:sz w:val="28"/>
          <w:szCs w:val="28"/>
          <w:rtl w:val="true"/>
          <w:lang w:bidi="ar-SA"/>
        </w:rPr>
        <w:t>و على تقديره، لا يدخل هذا النزاع في مباحث الألفاظ التي كان الغرض منها تشخيص الظهور في الكلام و تنقيح صغريات حجيّة الظهور، بل ينبغي أن يدخل في مباحث الحجّة، كالبحث عن حجّيّة الظهور و حجّيّة الكتاب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النزاع هنا في الحقيقة إنّما هو في وجود الدلالة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أصل ظهور الجملة فيه و عدم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هنا في حصول المفهوم للجملة لا في حجّيّته بعد فرض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النزاع في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مع قطع النظر عن القرائن الخاصّة هل تدلّ على انتفاء الحكم عند انتفاء الشرط؟ و هل هي ظاهرة في ذلك؟ لا أنّه بعد دلالتها على هذا المفهوم و ظهورها فيه يتنازع في حجّيته، فإنّ هذا لا معنى له، و إن أوهم ذلك ظاهر بعض تعبيراتهم، كما يقولون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الشرط حجّة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غرضهم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نزاع في دلالة بعض الجمل على مفهوم لها إذا كانت لها قرينة خاصّة على ذلك المفهوم، فإنّ هذا ليس موضع كلامهم؛ بل موضوع الكلام و محلّ النزاع في دلالة نوع تلك الجملة، كنوع الجملة الشرطيّة على المفهوم مع تجرّدها عن القرائن الخاصّة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فالنزاع في باب المفاهيم صغروي و مرجعه إلى دلالة القضية الشرطية الوصفية بالوضع أو الإطلاق على كون الشرط أو الوصف علّة منحصرة للحكم، و عدم دلالتها، فلو ثبت الانحصار، و دلّ على المفهوم، يكون حجّة بلا كلام، بخلاف ما إذا لم يثبت، فالنزاع في دلالة القضية على الانحصار، و بالتالي في وجود المفهوم للقضية و عدمه، الذي هو نزاع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ثبت انّ للقضية مفهوماً فهو حجّة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مسلك علمائنا المتأخّرين</w:t>
      </w:r>
      <w:r>
        <w:rPr>
          <w:rFonts w:eastAsia="Amiri" w:cs="Amiri" w:ascii="Amiri" w:hAnsi="Amiri"/>
          <w:color w:val="111111"/>
          <w:sz w:val="28"/>
          <w:szCs w:val="28"/>
          <w:rtl w:val="true"/>
          <w:lang w:bidi="ar-SA"/>
        </w:rPr>
        <w:t xml:space="preserve">. </w:t>
      </w:r>
      <w:bookmarkStart w:id="317" w:name="pg16640_202332"/>
    </w:p>
    <w:p>
      <w:pPr>
        <w:pStyle w:val="BookText"/>
        <w:rPr/>
      </w:pPr>
      <w:bookmarkEnd w:id="317"/>
      <w:r>
        <w:rPr>
          <w:rFonts w:ascii="IRNazanin" w:hAnsi="IRNazanin" w:eastAsia="IRNazanin"/>
          <w:color w:val="111111"/>
          <w:sz w:val="28"/>
          <w:sz w:val="28"/>
          <w:szCs w:val="28"/>
          <w:rtl w:val="true"/>
          <w:lang w:bidi="fa-IR"/>
        </w:rPr>
        <w:t>و اما علی مسلك القدماء فذهب السيّد البروجردي إلى أنّ مسلکهم في استفادة العموم من القضايا، يختلف مع مسلك المتأخرين، فإنّ دلالة الخصوصية المذكورة في الكلام من الشرط أو الوصف أو الغاية أو اللقب أو نحوها ليست دلالة لفظيّة، بل هي من باب بناء العقلاء على حمل الفعل الصادر عن الغير، على كونه صادراً لغاية، و كون الغاية المنظورة منه، غايته النوعية العادية، و الغاية المنظورة عند العقلاء من نفس الكلام، حكايته لمعناه، و من خصوصياته، دخالتها في المطلوب، فإذا قال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جاءك زيد فأكرمه، حَكَمَ العقلاءُ بمدخلية مجي‌ءزيد في وجوب إكرامه قائلًا بأنّه لو لا دخله فيه لما ذكره المتكلّم، و كذا سائر القيود، و على ذلك فاستفادة المفهوم ليست مبنيّة على دلالة الجملة على الانتفاء عند الانتفاء، بل مبني على أنّ الأصل في فعل الإنسان أن لا يكون لاغياً، بل يكون كلّ فعل منه، و منه الإتيان بالقيد صادراً لغايته الطبيعية و هو دخله في الحكم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هذا يکون النزاع كبرويا، لأنّ البحث حينئذ يکون في حجية بناء العقلاء، لأنّه قد استقر بناؤهم على حمل الخصوصيات الموجودة في الكلام على كونها صادرة عنه بداعي غايتها النوعية، و انّ الغاية النوعية هي دخلها في المطلوب، و هذا البناء من العقلاء موجود فيقع الكلام في حجّيته</w:t>
      </w:r>
      <w:r>
        <w:rPr>
          <w:rFonts w:eastAsia="IRNazanin" w:cs="IRNazanin"/>
          <w:color w:val="111111"/>
          <w:sz w:val="28"/>
          <w:szCs w:val="28"/>
          <w:rtl w:val="true"/>
          <w:lang w:bidi="fa-IR"/>
        </w:rPr>
        <w:t>.</w:t>
      </w:r>
    </w:p>
    <w:p>
      <w:pPr>
        <w:pStyle w:val="Heading2"/>
        <w:numPr>
          <w:ilvl w:val="1"/>
          <w:numId w:val="1"/>
        </w:numPr>
        <w:rPr/>
      </w:pPr>
      <w:bookmarkStart w:id="318" w:name="__RefHeading___Toc11691295_1280447820"/>
      <w:bookmarkStart w:id="319" w:name="_Toc115"/>
      <w:bookmarkEnd w:id="318"/>
      <w:r>
        <w:rPr>
          <w:rtl w:val="true"/>
        </w:rPr>
        <w:t>الثالث</w:t>
      </w:r>
      <w:r>
        <w:rPr>
          <w:rtl w:val="true"/>
        </w:rPr>
        <w:t xml:space="preserve">: </w:t>
      </w:r>
      <w:r>
        <w:rPr>
          <w:rtl w:val="true"/>
        </w:rPr>
        <w:t>في أقسام المفهوم</w:t>
      </w:r>
      <w:bookmarkEnd w:id="3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المفهوم إلى مفهوم الموافقة و مفهوم المخالفة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الموافقة ما كان الحكم في المفهوم موافقا في السنخ للحكم الموجود في المنطوق، فإن كان الحكم في المنطوق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المفهوم الوجوب أيضا، و هكذا، كدلالة الأولويّة في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تَقُلْ لَهُما أُفٍ‌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النهي عن الضرب و السب للأبوين، و نحو ذلك ممّا هو أشدّ إهانة و إذاءا من التأفيف المحرّم بحكم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المفهوم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فحوى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نزاع في حجّيّة مفهوم الموافقة، بمعنى دلالة الأولويّة على تعدّي الحكم إلى ما هو أولى في علّة الحكم، و سيأتي تفصيل الكلام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المخالفة ما كان الحكم فيه مخالفا في السنخ للحكم الموجود في المنطوق، و يسمّى هذا المفهوم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فالفرق بين المفهوم المخالف و الموافق هو انّ الحكم في القضيتين لو كان مخالفاً بالنفي و الإثبات، فالمفهوم مخالف، و لو كان موافقاً فالمفهوم موافق، فإذا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حرمة الضرب و الشتم، فالحكممنطوقاً و مفهوماً هو الحرمة، و القضية سالبة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زيد أكرمه، فالمنطوق قضية موجبة، و المفهوم قضية 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موارده ستّة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اللقب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فلندخل في اصل الموضوع، و الكلام فيه ضمن فصول</w:t>
      </w:r>
      <w:r>
        <w:rPr>
          <w:rFonts w:eastAsia="Amiri" w:cs="Amiri" w:ascii="Amiri" w:hAnsi="Amiri"/>
          <w:color w:val="111111"/>
          <w:sz w:val="28"/>
          <w:szCs w:val="28"/>
          <w:rtl w:val="true"/>
          <w:lang w:bidi="ar-SA"/>
        </w:rPr>
        <w:t xml:space="preserve">: </w:t>
      </w:r>
      <w:bookmarkStart w:id="320" w:name="pg16640_202334"/>
    </w:p>
    <w:p>
      <w:pPr>
        <w:pStyle w:val="Heading2"/>
        <w:numPr>
          <w:ilvl w:val="1"/>
          <w:numId w:val="1"/>
        </w:numPr>
        <w:rPr/>
      </w:pPr>
      <w:bookmarkStart w:id="321" w:name="__RefHeading___Toc11691297_1280447820"/>
      <w:bookmarkStart w:id="322" w:name="_Toc116"/>
      <w:bookmarkEnd w:id="320"/>
      <w:bookmarkEnd w:id="321"/>
      <w:r>
        <w:rPr>
          <w:rtl w:val="true"/>
        </w:rPr>
        <w:t>الفصل الأوّل في مفهوم الشرط</w:t>
      </w:r>
      <w:bookmarkEnd w:id="322"/>
    </w:p>
    <w:p>
      <w:pPr>
        <w:pStyle w:val="BookText"/>
        <w:rPr/>
      </w:pPr>
      <w:r>
        <w:rPr>
          <w:rFonts w:ascii="Amiri" w:hAnsi="Amiri" w:eastAsia="Amiri" w:cs="Amiri"/>
          <w:color w:val="111111"/>
          <w:sz w:val="28"/>
          <w:sz w:val="28"/>
          <w:szCs w:val="28"/>
          <w:rtl w:val="true"/>
          <w:lang w:bidi="ar-SA"/>
        </w:rPr>
        <w:t>تحرير محلّ النزاع</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 تكون مسوقة لبيان موضوع الحكم، أي إنّ المقدّم هو نفس موضوع الحكم، حيث يكون الحكم في التالي منوطا بالشرط في المقدّم على وجه لا يعقل فرض الحكم بدونه،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المثال لا يعقل فرض ختان الولد إلّا بعد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تُكْرِهُوا فَتَياتِكُمْ عَلَى الْبِغاءِ إِنْ أَرَدْنَ تَحَصُّناً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لا يعقل فرض الإكراه على البغاء إلّا بعد فرض إرادة التحصّن من قبل الفتيات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الأصوليّون على أنّه لا مفهوم لهذا النحو من الجملة الشرطيّة؛ لأنّ انتفاء الشرط معناه انتفاء موضوع الحكم، فلا معنى للحكم بانتفاء التالي على تقدير انتفاء المقدّم إلّا على نحو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حكم حينئذ بالانتفاء، بل هو انتفاء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مفهوم للشرطيّة في المثالين،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ترزق ولدا فلا تختنه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يردن تحصّنا فأكرهوهنّ على البغاء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لا تكون مسوقة لبيان الموضوع، کما اذا کان الحكم في التالي منوطا بالشرط على وجه يمكن فرض الحكم بدونه، نحو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صديقك فأحسن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فرض الإحسان إلى الصديق لا يتوقّف عقلا على فرض صدور الإحسان منه، فإنّه يمكن الإحسان إليه، أحسن أو لم يحسن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النحو الثاني من الشرطيّة هو محلّ النزاع في مسألتنا، و مرجعه إلى النزاع في دلالة الشرطيّة على انتفاء الحكم عند انتفاء الشرط، بمعنى أنّه هل يستكشفمن التعليق على الشرط انتفاء نوع الحكم و سنخه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انتفاء الشرط؟</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سنخ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شخص كلّ حكم في القضيّة الشرطيّة أو غيرها ينتفي بانتفاء موضوعه، أو أحد قيود الموضوع، سواء كان للقضيّة مفهوم،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الحكم الشخصيّ عند انتفاء القيد ضروريّ لا يقبل النزاع،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عدم المجى‌ء لا يتحقّق وجوب الإكرام المسبّب عن المجي‌ء، قطعا؛ إنّما الكلام في انتفاء وجوب الإكرام رأسا عند انتفاء المجي‌ء، بمعنى أنّ زيدا عند انتفاء المجي‌ء محكوم بعدم وجوب إكرامه مطلقا، أي حتى الوجوب الذي يفرض عند تحقّق شي‌ء 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المعلق طبيعة الحكم، بل كان شخصه، فلا يكون انتفاؤه بانتفاء موضوعه من المفهوم أصلا، بل يكون انتفاؤه عقلياً كانتفاء العرض بانتفاء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القضية المسوقة لفرض وجود الموضوع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مثل هذه القضية لا مفهوم لها، و ليست مورداً للنفي و الإثبات عند المثبتين للمفهوم و لا المنكرين له، فلا بد أن يكون مورد النزاع هو الحكم الّذي يمكن وجوده مع انتفاء ما علق عليه من الشرط و غيره، كوجوب الإكرام الّذي يمكن وجوده حين انتفاء المجي‌ء أيضا، فلا محيص حينئذ عن كون الحكم المعلق في المنطوق على الشرط أو غيره كلياً ذا أفراد حتى يمكن بقاؤه بعد انتفاء ما علق عليه، و يصح البحث عن كون انتفاء الشرط موجباً لانتفاء الحكم أم لا، فلو كان الحكم شخصياً، فلا معنى لهذا النزاع فيه، إذ لا يعقل بقاء الحكم الشخصي بعد انتفاء موضوعه حتى ينازع في بقائه و انتفائه بانتفاء ما علق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المعيار في المفهوم كون المنفي شخص الحكم، بل المعيار فيه كون المنفي سنخ الحكم، بحيث إذا قام دليل على ثبوت الحكم في صورة انتفاء الشرط أو الوصف كان معارضاً للمفهوم، فإذا دل دليل على وجوب الإكرام عند انتفاء المجي‌ء كان معارضاً للمفهوم، و هو عدم وجوب الإكرام عند انتفاء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المفهوم إمكان بقاء الحكم عند ارتفاع ما علق عليه من الشرط أو الوصف، فلو لم يمكن بقاؤه كذلك، فهو خارج عن المفهوم،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ينتفي الحكم بانتفاء موضوعه عقلا، و كما في مثل الوقف أو الوصية أو النذر على الفقهاء ان كانوا متهجدين فإذا انتفى التهجد عنهم انتفت الوقفية و غيرها أيضا، لكن لا من ناحية المفهوم،بل من جهة عدم قابلية مال لإنشاء الوقف له ثانياً، فبعد حكم الشارع بعدم جعل الوقفية لمال مرتين يكون الحكم بها شخصياً، و قد عرفت أن انتفاء الحكم بانتفاء موضوعه عقلي، و ليس من باب المفهوم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الفرق بين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داري على أولادي ان كانوا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تشخص الموضوع في الأول حقيقي لا يحتاج إلى جعل و إنشاء، بخلاف الثاني، فان عدم قابلية مال لإنشاء الوقفية له مرتين انما هو بحكم الشارع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يظهر ما في كلام الشهيد الثاني في تمهيد القواعد حيث زعم انّ انتفاء الحكم في هذه الموارد من باب المفهوم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دلالة الشرط و الرهن في مثل الوقف و الوصايا و النذور و الأيمان،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على أولادي الفقراء، أو إن كانوا فقراء، و نحو ذلك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323" w:name="pg16640_202337"/>
    </w:p>
    <w:p>
      <w:pPr>
        <w:pStyle w:val="Heading2"/>
        <w:numPr>
          <w:ilvl w:val="1"/>
          <w:numId w:val="1"/>
        </w:numPr>
        <w:rPr/>
      </w:pPr>
      <w:bookmarkStart w:id="324" w:name="__RefHeading___Toc11691299_1280447820"/>
      <w:bookmarkStart w:id="325" w:name="_Toc117"/>
      <w:bookmarkEnd w:id="323"/>
      <w:bookmarkEnd w:id="324"/>
      <w:r>
        <w:rPr>
          <w:rtl w:val="true"/>
        </w:rPr>
        <w:t>نظرية المحقق البروجردي</w:t>
      </w:r>
      <w:bookmarkEnd w:id="325"/>
    </w:p>
    <w:p>
      <w:pPr>
        <w:pStyle w:val="BookText"/>
        <w:rPr/>
      </w:pPr>
      <w:r>
        <w:rPr>
          <w:rFonts w:ascii="IRNazanin" w:hAnsi="IRNazanin" w:eastAsia="IRNazanin"/>
          <w:color w:val="111111"/>
          <w:sz w:val="28"/>
          <w:sz w:val="28"/>
          <w:szCs w:val="28"/>
          <w:rtl w:val="true"/>
          <w:lang w:bidi="fa-IR"/>
        </w:rPr>
        <w:t>لکنّ المحقّق البروجردي أنكر وجوب سنخ الحكم و نوعه، وراء شخص الحكم و انّه لا يعقل لسنخ الحكم وراء شخصه مفهوم معقول،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علّل لانتفاء شخص الحكم بانتفاء قيده بوجهين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الى بعض مقرّري بحث الشيخ الأنصاري رحمه اللّه من عدم دلالة الكلام على الحكم بعد انتفاء القيد، بل الحكم ينتفي بمجرد انتهاء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الكفاية من أنّ الانتفاء عند انتفاء موضوعه و لو ببعض قيوده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 على الأول أنّ لازم هذا الكلام كون الحكم تابعا حدوثا و بقاء للكلام، و ليس كذلك، بل هو أمر واقعي يكشف عنه بهذا الكلام، فوجوده ثابت قارّ غير تابع لوجود الكلام، و لذا يرى المخاطب نفسه مكلفا بهذا الفعل حتى بعد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الثاني أنه غير مناسب لما اختاره في المفهوم تبعا لجماعة من المتأخرين من كون الشرط علّة للحكم، فإنه حينئذ ليس جزءً للموضوع، لأنّ كون شي‌ء جزءً لشي‌ء يقتضي معيّتهما وجودا، و كونه علّة له يقتضي تقدمه على المعلول، فلا تجتمع الجزئية مع العلّية 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نتعقّل الفرقهاهنا بين كون الحكم شخصا أو سنخا، بل لا معنى لسنخيته، فإنّ وجوب إكرام زيد عند مجيئه حكم شخصي ينتفي بانتفاء قيده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الوجه الاول فعهدته علی مدعيه و کذلک الوجه الثاني فنحن لا نقول بکون الشرط جزءً من الموضوع بل هو علة له</w:t>
      </w:r>
      <w:r>
        <w:rPr>
          <w:rFonts w:eastAsia="IRNazanin" w:cs="IRNazanin"/>
          <w:color w:val="111111"/>
          <w:sz w:val="28"/>
          <w:szCs w:val="28"/>
          <w:rtl w:val="true"/>
          <w:lang w:bidi="fa-IR"/>
        </w:rPr>
        <w:t xml:space="preserve">. </w:t>
      </w:r>
      <w:bookmarkStart w:id="326" w:name="pg16640_202338"/>
    </w:p>
    <w:p>
      <w:pPr>
        <w:pStyle w:val="BookText"/>
        <w:rPr/>
      </w:pPr>
      <w:bookmarkEnd w:id="326"/>
      <w:r>
        <w:rPr>
          <w:rFonts w:ascii="Amiri" w:hAnsi="Amiri" w:eastAsia="Amiri" w:cs="Amiri"/>
          <w:color w:val="111111"/>
          <w:sz w:val="28"/>
          <w:sz w:val="28"/>
          <w:szCs w:val="28"/>
          <w:rtl w:val="true"/>
          <w:lang w:bidi="ar-SA"/>
        </w:rPr>
        <w:t>و قال في نهاية الاصول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نتعقّل وجهاً معقولًا لسنخ الحكم لوضوح أنّ المعلّق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هو الوجوب المحمول على إكرامه و التعليق يدلّ على انتفاء نفس المعلّق عند انتفاء المعلّق عليه فما فرضته سنخاً إن كان متّحداً مع هذا المعلّق، موضوعاً و محمولًا فهو شخصه لا سنخه إذ لا تكرّر في وجوب إكرام زيد بما هو هو و إن كان مختلفاً معه في الموضوع كإكرام عمرو أو محمولًا كاستحباب إكرام زيد فلا معنى للنزاع في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يدلُّ على انتفائه أو لا يدل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نختار الشقّ الأوّل و لكن اتّحاده معه، ليس من قبيل اتّحاد المتساويين بل من قبيل اتّحاد الكلّي مع فرده، و العام مع مصداقه، فينحلّ الجزاءُ المعلّق على الموضوع المقيّد بالشرط إلى شخص الحكم و الوجوب الجزئي المترتّب على الموضوع الخاص و المرتفع بارتفاع قيد الموضوع، و إلى طبيعة الوجوب الذي هو أحد مصاديقه و لا يرتفع ذلك إلّا بإثبات الانحصار و لولاه لما كان هناك دليل على ارتفاعه إذ من الممكن ثبوته بدليل و قيام شرط آخر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هناك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جزئي مترتّب على موضوع متقيّد و وجوب كلّي مترتّب على الموضوع غير مقيّد بشي‌ء و ارتفاع الأوّل من تبعات ارتفاع القيد و ارتفاع الثاني من بركة كون العلّة منحصرة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7" w:name="__RefHeading___Toc11691301_1280447820"/>
      <w:bookmarkStart w:id="328" w:name="_Toc118"/>
      <w:bookmarkEnd w:id="327"/>
      <w:r>
        <w:rPr>
          <w:rtl w:val="true"/>
        </w:rPr>
        <w:t>اثبات حجية مفهوم الشرط</w:t>
      </w:r>
      <w:bookmarkEnd w:id="328"/>
    </w:p>
    <w:p>
      <w:pPr>
        <w:pStyle w:val="BookText"/>
        <w:rPr/>
      </w:pPr>
      <w:r>
        <w:rPr>
          <w:rFonts w:ascii="Amiri" w:hAnsi="Amiri" w:eastAsia="Amiri" w:cs="Amiri"/>
          <w:color w:val="111111"/>
          <w:sz w:val="28"/>
          <w:sz w:val="28"/>
          <w:szCs w:val="28"/>
          <w:rtl w:val="true"/>
          <w:lang w:bidi="ar-SA"/>
        </w:rPr>
        <w:t>هل الجملة الشرطية، تدلّ على الثبوت لدى الثبوت و الانتفاء عند الانتفاء، أم لا؟ و القائل بالدلالة، إمّا يدّعيها عن طريق الوضع و ان هيئة الجملة الشرطية وضعت لذلك، أو يدّعيها عن طريق الإطلاق و مقدّمات الحكمة، باعتبار انّالاقتصار على بيان شرط واحد، مع كونه في مقام البيان، شاهد على أنّه السبب المنحصر، أو يدّعيها عن طريق الانصراف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مفهوم الجملة الشرطيّة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أنّها تدلّ على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في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الجملة الشرطيّة على المفهوم تتوقّف على أمور ثلاثة مترتّبة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دلالتها على الارتباط و الملازمة بين المقدّم 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على الارتباط و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التالي معلّق على المقدّم، و مترتّب عليه، و تابع له، فيكون المقدّم سببا للتالي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السبب هنا هو كلّ ما يترتّب عليه الشي‌ء و إن كان شرطا و نحوه، فيكون أعمّ من السبب المصطلح في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انحصار السببيّة في المقدّم، بمعنى أنّه لا سبب بديل له يترتّب عليه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المفهوم للجملة الشرطيّة على هذه الأمور الثلاثة واضح؛ لأنّه لو كانت الجملة اتّفاقيّة أو كان التالي غير مترتّب على المقدّم أو كان مترتّبا و لكن لا على نحو الانحصار فيه فإنّه في جميع ذلك لا يلزم من انتفاء المقدّم انتفاء التالي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إثبات ظهور الجملة الشرطية في هذه الأمور الثلاثة وضعا أو إطلاقا او انصرافا حتی تكون حجّة في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فنقول</w:t>
      </w:r>
      <w:r>
        <w:rPr>
          <w:rFonts w:eastAsia="IRNazanin" w:cs="IRNazanin"/>
          <w:color w:val="111111"/>
          <w:sz w:val="28"/>
          <w:szCs w:val="28"/>
          <w:rtl w:val="true"/>
          <w:lang w:bidi="fa-IR"/>
        </w:rPr>
        <w:t xml:space="preserve">: </w:t>
      </w:r>
      <w:bookmarkStart w:id="329" w:name="pg16640_202340"/>
    </w:p>
    <w:p>
      <w:pPr>
        <w:pStyle w:val="Heading2"/>
        <w:numPr>
          <w:ilvl w:val="1"/>
          <w:numId w:val="1"/>
        </w:numPr>
        <w:rPr/>
      </w:pPr>
      <w:bookmarkStart w:id="330" w:name="__RefHeading___Toc11691303_1280447820"/>
      <w:bookmarkStart w:id="331" w:name="_Toc119"/>
      <w:bookmarkEnd w:id="329"/>
      <w:bookmarkEnd w:id="330"/>
      <w:r>
        <w:rPr>
          <w:rtl w:val="true"/>
        </w:rPr>
        <w:t>دلالة الجملة الشرطية علی السببية</w:t>
      </w:r>
      <w:bookmarkEnd w:id="331"/>
    </w:p>
    <w:p>
      <w:pPr>
        <w:pStyle w:val="BookText"/>
        <w:rPr/>
      </w:pPr>
      <w:r>
        <w:rPr>
          <w:rFonts w:ascii="Amiri" w:hAnsi="Amiri" w:eastAsia="Amiri" w:cs="Amiri"/>
          <w:color w:val="111111"/>
          <w:sz w:val="28"/>
          <w:sz w:val="28"/>
          <w:szCs w:val="28"/>
          <w:rtl w:val="true"/>
          <w:lang w:bidi="ar-SA"/>
        </w:rPr>
        <w:t>أمّا دلالتها على الارتباط و وجود العلقة اللزوميّة بين الطرفين، فالظاهر أنّه بالوضع بحكم التبادر؛ و لكن لا بوضع خصوص أدوات الشرط</w:t>
      </w:r>
      <w:r>
        <w:rPr>
          <w:rStyle w:val="FootnoteAnchor"/>
          <w:rtl w:val="true"/>
        </w:rPr>
        <w:footnoteReference w:id="178"/>
      </w:r>
      <w:r>
        <w:rPr>
          <w:rFonts w:ascii="Amiri" w:hAnsi="Amiri" w:eastAsia="Amiri" w:cs="Amiri"/>
          <w:color w:val="111111"/>
          <w:sz w:val="28"/>
          <w:sz w:val="28"/>
          <w:szCs w:val="28"/>
          <w:rtl w:val="true"/>
          <w:lang w:bidi="ar-SA"/>
        </w:rPr>
        <w:t>حتّى ينكر وضعها لذلك، بل بوضع الهيئة التركيبيّة للجملة الشرطيّة بمجموعها</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فاستعمالها في الاتّفاقيّة يكون بالعناية و ادّعاء التلازم و الارتباط بين المقدّم و التالي إذا اتّفقت لهما المقارنة في الوجود</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11691305_1280447820"/>
      <w:bookmarkStart w:id="333" w:name="_Toc120"/>
      <w:bookmarkEnd w:id="332"/>
      <w:r>
        <w:rPr>
          <w:rtl w:val="true"/>
        </w:rPr>
        <w:t>دلالة الجملة الشرطية علی الترتب</w:t>
      </w:r>
      <w:bookmarkEnd w:id="333"/>
    </w:p>
    <w:p>
      <w:pPr>
        <w:pStyle w:val="BookText"/>
        <w:rPr/>
      </w:pPr>
      <w:r>
        <w:rPr>
          <w:rFonts w:ascii="Amiri" w:hAnsi="Amiri" w:eastAsia="Amiri" w:cs="Amiri"/>
          <w:color w:val="111111"/>
          <w:sz w:val="28"/>
          <w:sz w:val="28"/>
          <w:szCs w:val="28"/>
          <w:rtl w:val="true"/>
          <w:lang w:bidi="ar-SA"/>
        </w:rPr>
        <w:t>و أمّا دلالتها على أنّ التالي مترتّب على المقدّم بأيّ نحو من أنحاء الترتّب فهو بالوضع أيضا، و لكن لا بمعنى أنّها موضوعة بوضعين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للتلازم، و وضعآخر للترتّب، بل بمعنى أنّها موضوعة بوضع واحد؛ للارتباط الخاصّ و هو ترتّب التالي على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تبادر ترتّب التالي على المقدّم منها، فإنّها تدلّ على أنّ المقدّم وضع فيها موضع الفرض و التقدير، و على تقدير حصوله فالتالي حاصل عنده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يتلوه في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منها لابديّة الجزاء عند فرض حصول الشرط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يمكن أن ينكره إلّا مكابر أو غافل، فإنّ هذا هو معنى التعليق الذي هو مفاد الجملة الشرطيّة التي لا مفاد 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سمّوا الجزء الأوّل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و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سمّوا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و تاليا</w:t>
      </w:r>
      <w:r>
        <w:rPr>
          <w:rFonts w:eastAsia="Amiri" w:cs="Amiri" w:ascii="Amiri" w:hAnsi="Amiri"/>
          <w:color w:val="111111"/>
          <w:sz w:val="28"/>
          <w:szCs w:val="28"/>
          <w:rtl w:val="true"/>
          <w:lang w:bidi="ar-SA"/>
        </w:rPr>
        <w:t xml:space="preserve">». </w:t>
      </w:r>
      <w:bookmarkStart w:id="334" w:name="pg16640_202341"/>
    </w:p>
    <w:p>
      <w:pPr>
        <w:pStyle w:val="BookText"/>
        <w:rPr/>
      </w:pPr>
      <w:bookmarkEnd w:id="334"/>
      <w:r>
        <w:rPr>
          <w:rFonts w:ascii="Amiri" w:hAnsi="Amiri" w:eastAsia="Amiri" w:cs="Amiri"/>
          <w:color w:val="111111"/>
          <w:sz w:val="28"/>
          <w:sz w:val="28"/>
          <w:szCs w:val="28"/>
          <w:rtl w:val="true"/>
          <w:lang w:bidi="ar-SA"/>
        </w:rPr>
        <w:t>فإذا كانت جملة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التالي متضمّن لإنشاء حكم تكليفيّ أو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تعليق الحكم على الشرط، فتدلّ على انتفاء الحكم عند انتفاء الشرط المعلّق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جملة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التالي متضمّن لحكاية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تعليق حكايته على المقدّم، سواء كان المحكيّ عنه خارجا و في الواقع مترتّبا على المقدّم، فتتطابق الحكاية مع المحكيّ عنه،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الشمس طالعة فالنهار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مترتّبا عليه بأن كان العكس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النهار موجودا فالشمس طالعة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لا ترتّب بينهما، كالمتضايفين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خالد ابنا لزيد فزيد 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القضية في هذين الامرين ممّا لا ريب فيه، إنّما الكلام في ثبوت الأمر الثالث و اليک الکلام فيه</w:t>
      </w:r>
      <w:r>
        <w:rPr>
          <w:rFonts w:eastAsia="IRNazanin" w:cs="IRNazanin"/>
          <w:color w:val="111111"/>
          <w:sz w:val="28"/>
          <w:szCs w:val="28"/>
          <w:rtl w:val="true"/>
          <w:lang w:bidi="fa-IR"/>
        </w:rPr>
        <w:t>:</w:t>
      </w:r>
    </w:p>
    <w:p>
      <w:pPr>
        <w:pStyle w:val="Heading2"/>
        <w:numPr>
          <w:ilvl w:val="1"/>
          <w:numId w:val="1"/>
        </w:numPr>
        <w:rPr/>
      </w:pPr>
      <w:bookmarkStart w:id="335" w:name="__RefHeading___Toc11691307_1280447820"/>
      <w:bookmarkStart w:id="336" w:name="_Toc121"/>
      <w:bookmarkEnd w:id="335"/>
      <w:r>
        <w:rPr>
          <w:rtl w:val="true"/>
        </w:rPr>
        <w:t>دلالة الجملة الشرطية علی الانحصار</w:t>
      </w:r>
      <w:bookmarkEnd w:id="3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دلالتها على أنّ الشرط منحصر، فاستدل لذلک المحقق الخراساني بوجوه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ناقش في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کالتالي</w:t>
      </w:r>
      <w:r>
        <w:rPr>
          <w:rFonts w:eastAsia="IRNazanin" w:cs="IRNazanin"/>
          <w:color w:val="111111"/>
          <w:sz w:val="28"/>
          <w:szCs w:val="28"/>
          <w:rtl w:val="true"/>
          <w:lang w:bidi="fa-IR"/>
        </w:rPr>
        <w:t xml:space="preserve">: </w:t>
      </w:r>
      <w:bookmarkStart w:id="337" w:name="pg16640_202342"/>
    </w:p>
    <w:p>
      <w:pPr>
        <w:pStyle w:val="Heading2"/>
        <w:numPr>
          <w:ilvl w:val="1"/>
          <w:numId w:val="1"/>
        </w:numPr>
        <w:rPr/>
      </w:pPr>
      <w:bookmarkStart w:id="338" w:name="__RefHeading___Toc11691309_1280447820"/>
      <w:bookmarkStart w:id="339" w:name="_Toc122"/>
      <w:bookmarkEnd w:id="337"/>
      <w:bookmarkEnd w:id="338"/>
      <w:r>
        <w:rPr>
          <w:rtl w:val="true"/>
        </w:rPr>
        <w:t>الوجه الأوّل</w:t>
      </w:r>
      <w:r>
        <w:rPr>
          <w:rtl w:val="true"/>
        </w:rPr>
        <w:t xml:space="preserve">: </w:t>
      </w:r>
      <w:r>
        <w:rPr>
          <w:rtl w:val="true"/>
        </w:rPr>
        <w:t>التبادر</w:t>
      </w:r>
      <w:bookmarkEnd w:id="339"/>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دعوى تبادر اللزوم و الترتب بنحو الترتب على العلة المنحصرة مع كثرة استعمالها في الترتب على نحو الترتب على الغير المنحصرة منها بل في مطلق اللزوم بعيدة عهدتها على مدعيها كيف و لا يرى في استعمالها فيهما عناية و رعاية علاقة بل إنما تكون إرادته كإرادة الترتب على العلة المنحصرة بلا عناية كما يظهر على من أمعن النظر و أجال البصر في موارد الاستعمالات و في عدم الإلزام و الأخذ بالمفهوم في مقام المخاصمات و الاحتجاجات و صحة الجواب بأنه لم يكن لكلامه مفهوم و عدم صحته لو كان له ظهور فيه معلوم</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مناقشته امران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التبادر آية الوضع، أي وضع الجملة الشرطية على كون الشرط علّة منحصرة، و يترتّب على ذلك انّه لو استعملت في غير العلة المنحصرة صار مجازاً و هو كما ترى، إذ لا يرى في استعمالها في غير المنحصرة عناية و رعاية علاقة، بل إنّما تكون إرادته كإرادة الترتّب على العلة المنحصرة بلا عناية، فلا ترى أي عناية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الكرّيّة ليست علّة منحصرة للعاصمية، بل ينوب عنها كون الماء جارياً، أو ورود المطر عليه عند ورود النجاسة على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صحّة التمسك بمفهوم كلام المتهم في المحاكمات و المخاصمات و أنّ له أن يعتذر بخلو كلامه عن المفهوم، مع أنّه لو كان موضوعاً له، لم يصحّ الاعتذار</w:t>
      </w:r>
      <w:r>
        <w:rPr>
          <w:rFonts w:eastAsia="Amiri" w:cs="Amiri" w:ascii="Amiri" w:hAnsi="Amiri"/>
          <w:color w:val="111111"/>
          <w:sz w:val="28"/>
          <w:szCs w:val="28"/>
          <w:rtl w:val="true"/>
          <w:lang w:bidi="ar-SA"/>
        </w:rPr>
        <w:t xml:space="preserve">. </w:t>
      </w:r>
      <w:bookmarkStart w:id="340" w:name="pg16640_202343"/>
    </w:p>
    <w:p>
      <w:pPr>
        <w:pStyle w:val="BookText"/>
        <w:rPr/>
      </w:pPr>
      <w:bookmarkEnd w:id="340"/>
      <w:r>
        <w:rPr>
          <w:rFonts w:ascii="IRNazanin" w:hAnsi="IRNazanin" w:eastAsia="IRNazanin"/>
          <w:color w:val="111111"/>
          <w:sz w:val="28"/>
          <w:sz w:val="28"/>
          <w:szCs w:val="28"/>
          <w:rtl w:val="true"/>
          <w:lang w:bidi="fa-IR"/>
        </w:rPr>
        <w:t>و يرد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منافاة بين التبادر المزبور و بين كثرة الاستعمال في غير الترتب على نحو الترتب على العلة المنحصرة، نظير كثرة استعمال صيغة الأمر في الندب مع كونها حقيقة في الوجوب، فان كثرة الاستعمال في المعنى المجازي لا توجب رفع اليد عن المعنى الحقيقي، و عن حمل اللفظ عليه مع التجرد عن 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يرد عليه انه غير ناشئ من حاق اللفظ فلا دلالة فيه علی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الاطلاق کما سيأتي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يرد علی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مصادرة علی المطلوب </w:t>
      </w:r>
      <w:r>
        <w:rPr>
          <w:rFonts w:eastAsia="IRNazanin" w:cs="IRNazanin"/>
          <w:color w:val="111111"/>
          <w:sz w:val="28"/>
          <w:szCs w:val="28"/>
          <w:rtl w:val="true"/>
          <w:lang w:bidi="fa-IR"/>
        </w:rPr>
        <w:t>.</w:t>
      </w:r>
    </w:p>
    <w:p>
      <w:pPr>
        <w:pStyle w:val="Heading2"/>
        <w:numPr>
          <w:ilvl w:val="1"/>
          <w:numId w:val="1"/>
        </w:numPr>
        <w:rPr/>
      </w:pPr>
      <w:bookmarkStart w:id="341" w:name="__RefHeading___Toc11691311_1280447820"/>
      <w:bookmarkStart w:id="342" w:name="_Toc123"/>
      <w:bookmarkEnd w:id="341"/>
      <w:r>
        <w:rPr>
          <w:rtl w:val="true"/>
        </w:rPr>
        <w:t>الوجه الثاني</w:t>
      </w:r>
      <w:r>
        <w:rPr>
          <w:rtl w:val="true"/>
        </w:rPr>
        <w:t xml:space="preserve">: </w:t>
      </w:r>
      <w:r>
        <w:rPr>
          <w:rtl w:val="true"/>
        </w:rPr>
        <w:t>الانصراف</w:t>
      </w:r>
      <w:bookmarkEnd w:id="342"/>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ينصرف إلى أكمل أفراده، فإذا كان السبب دالًا على الترتّب العلّي فهو ينصرف إلى أكمل الأفراد، و هي 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صغروي و الآخر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العلّة المنحصرة، أكمل في العلّية من غيرها إذ عدم قيام شي‌ء آخر مقامه، أو قيامه، لا يؤثر في شؤون العلية و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انّ المنحصرة أكمل أفراد العلّة فلا وجه لانصراف المطلق إليه، لأنّ الانصراف معلول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الاستعمال، أو كثرة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منتفيان في العلّة المنحصرة</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11691313_1280447820"/>
      <w:bookmarkStart w:id="344" w:name="_Toc124"/>
      <w:bookmarkEnd w:id="343"/>
      <w:r>
        <w:rPr>
          <w:rtl w:val="true"/>
        </w:rPr>
        <w:t>التمسّك بالإطلاق</w:t>
      </w:r>
      <w:bookmarkEnd w:id="3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قرره المحقّق الخراساني بتقارير ثلاثة</w:t>
      </w:r>
      <w:r>
        <w:rPr>
          <w:rFonts w:eastAsia="Amiri" w:cs="Amiri" w:ascii="Amiri" w:hAnsi="Amiri"/>
          <w:color w:val="111111"/>
          <w:sz w:val="28"/>
          <w:szCs w:val="28"/>
          <w:rtl w:val="true"/>
          <w:lang w:bidi="ar-SA"/>
        </w:rPr>
        <w:t xml:space="preserve">: </w:t>
      </w:r>
      <w:bookmarkStart w:id="345" w:name="pg16640_202344"/>
    </w:p>
    <w:p>
      <w:pPr>
        <w:pStyle w:val="Heading2"/>
        <w:numPr>
          <w:ilvl w:val="1"/>
          <w:numId w:val="1"/>
        </w:numPr>
        <w:rPr/>
      </w:pPr>
      <w:bookmarkStart w:id="346" w:name="__RefHeading___Toc11691315_1280447820"/>
      <w:bookmarkStart w:id="347" w:name="_Toc125"/>
      <w:bookmarkEnd w:id="345"/>
      <w:bookmarkEnd w:id="346"/>
      <w:r>
        <w:rPr>
          <w:rtl w:val="true"/>
        </w:rPr>
        <w:t>الوجه الثالث</w:t>
      </w:r>
      <w:r>
        <w:rPr>
          <w:rtl w:val="true"/>
        </w:rPr>
        <w:t xml:space="preserve">: </w:t>
      </w:r>
      <w:r>
        <w:rPr>
          <w:rtl w:val="true"/>
        </w:rPr>
        <w:t>الانحصار مقتضى إطلاق أداة الشرط</w:t>
      </w:r>
      <w:bookmarkEnd w:id="347"/>
    </w:p>
    <w:p>
      <w:pPr>
        <w:pStyle w:val="BookText"/>
        <w:rPr/>
      </w:pPr>
      <w:r>
        <w:rPr>
          <w:rFonts w:ascii="Amiri" w:hAnsi="Amiri" w:eastAsia="Amiri" w:cs="Amiri"/>
          <w:color w:val="111111"/>
          <w:sz w:val="28"/>
          <w:sz w:val="28"/>
          <w:szCs w:val="28"/>
          <w:rtl w:val="true"/>
          <w:lang w:bidi="ar-SA"/>
        </w:rPr>
        <w:t>و هو التقرير الاول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الشرط أو هيئة الجملة الشرطية موضوعة لمطلق اللزوم الترتّبي إلّا أنّ له فردين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اللزوم الترتّبي بنحو الانحصار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اللزوم الترتّبي لا بنحو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المتكلّم بالقضية الشرطية لم يستعمل صرف الشرط أو هيئة الجملة الشرطية في الجامع،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الترتبي بما هو هو، بل أراد منه أحد الفردين، فمقتضى مقدمات الحكمة حملها على الفرد الذي لا يحتاج إلى بيان زائد،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المنحصرة لا على الفرد الآخر، أي العلّة غير المنحصرة و لو أراد الثاني لقيّده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المستدل قاس المقام بما إذا دار الأمر بين الواجب النفسي و الغيري، فانّ الضابطة هي حمل الصيغة على الأمر النفسي دون الغيري، و ذلك لأنّ النفسي هو الواجب على الإطلاق بلا قيد و لكن الثاني هو الواجب لغيره، أو إذا وجب الغير فمقتضى مقدّمات الحكمة حمله على ما يكون المطلق وافياً ببيانه كالنفسي دون الفرد الآخر الذي يحتاج وراء المطلق إلى وجود 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و التقييد من شؤون المعاني الاسمية التي تقع في أُفق النفس، فيلاحظها تارة مطلقة و أُخرى مقيدة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المعاني الحرفية كمعنى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هيئة الجملة الشرطية فكلّها معان حرفية آلية فلا توصف بالإطلاق و لا التقييد، إذ لا يمكن لحاظها على وجه الاستقلال حتّى توصف بأحدهما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الفارق بين المقيس و المقيس عليه،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النفسيّ الّذي يتعين بالإطلاق في غير محله، لكونه مع الفارق، و ذلك لأن الوجوب النفسيّ وجوب بقول مطلق سواء وجب هناك شي‌ء آخر أم لا، فيكون لفظ الوجوب منطبقاً عليه، و قالباً له، فلا مانع من تعيينه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الوجوب الغيري، فانه مشروط بوجوب الغير، فيحتاج إلى مؤونة زائدة،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الصلاة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إثبات الوجوب النفسيّ بإطلاق صيغة الأمر، لأن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بيان وجوب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النفسيّ، فان النفسيّة ليست قيداً وجودياً حتى يحتاج إلى البيان، بل هي أمر عدمي أعني عدم وجوبه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العلة المنحصرة فليست كالوجوب النفسيّ، حيث انها خصوصية في مقابل الخصوصيات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فرد مساوٍ لسائر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الإطلاق إلى جميع الخصوصيات واحدة من دون مرجح لخصوص العلة المنحصرة، فلا يمكن إثباتها بالإطلاق، فالفارق بينها و بين الوجوب النفسيّ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هنا في وصف المعاني الحرفية يغاير مختاره في مقدّمات الكتاب عند البحث عن المعاني الاسمية و الحرفية، فقد ذهب هناك إلى وحدة المعنى الاسمي و الحرفي جوهراً و ان الاستقلالية و الآلية من طوارئ الاستعمال و عوارضه، فعندئذ تصبح المعاني الحرفية كالاسمية مصباً للإطلاق، إذ ليس الآلية جزءاً، كما أنّ الاستقلالية ليست جزءاً بل ذات المعنى عارية عن الآلية و الاستقلالية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انّ الآلية جزء للمعنى الحرفي و لكن كون الشي‌ء مفهوماً آلياً ليس بمعنى كونه مغفولًا عنه من رأس حتّى يمتنع التقييد، بل انّ كثيراً من القيود في الكلام يرجع </w:t>
      </w:r>
    </w:p>
    <w:p>
      <w:pPr>
        <w:pStyle w:val="BookText"/>
        <w:rPr/>
      </w:pPr>
      <w:r>
        <w:rPr>
          <w:rFonts w:ascii="Amiri" w:hAnsi="Amiri" w:eastAsia="Amiri" w:cs="Amiri"/>
          <w:color w:val="111111"/>
          <w:sz w:val="28"/>
          <w:sz w:val="28"/>
          <w:szCs w:val="28"/>
          <w:rtl w:val="true"/>
          <w:lang w:bidi="ar-SA"/>
        </w:rPr>
        <w:t>إلى المعاني الحرفية،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في الدار، فالظرف قيد للنسبة، أي كونه في الدار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ويرد عليه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التفريق بين المقيس و المقيس عليه غير تام لأنّه بعد تبادر ترتّب التالي على المقدّم من الجملة الشرطية، اي انّها تدلّ على أنّ المقدّم وضع فيها موضع الفرض و التقدير، و على تقدير حصوله فالتالي حاصل عنده تبعا أي يتلوه في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فلو كان هناك شرط آخر للجزاء بديل لذلك الشرط، و كذا لو كان معه شي‌ء آخر يكونان معا شرطا للحكم، لاحتاج ذلك إلى بيان زائد إمّا بالعطف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الأولى، أو العطف بالواو في الصورة الثانية؛ لأنّ الترتّب على الشرط ظاهر في أنّه بعنوانه الخاصّ مستقلّا هو الشرط المعلّق عليه الجزاء، فإذا أطلق تعليق الجزاء على الشرط فإنّه يستكشف منه أنّ الشرط مستقلّ لا قيد آخر معه، و أنّه منحصر لا بديل، و لا عدل له، و إلّا لوجب على الحكيم بيانه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ظهور الجملة الشرطية باطلاقها في العلة المنحصرة و بين ظهور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 في الوجوب العينيّ و التعيينيّ و النفسي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العلة المنحصرة ليست كالوجوب النفسيّ، حيث انها خصوصية في مقابل الخصوصيات الأخر و نسبة الإطلاق إلى جميع الخصوصيات واحدة من دون مرجح لخصوص 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قبال الظهور </w:t>
      </w:r>
      <w:r>
        <w:rPr>
          <w:rFonts w:eastAsia="Amiri" w:cs="Amiri" w:ascii="Amiri" w:hAnsi="Amiri"/>
          <w:color w:val="111111"/>
          <w:sz w:val="28"/>
          <w:szCs w:val="28"/>
          <w:rtl w:val="true"/>
          <w:lang w:bidi="ar-SA"/>
        </w:rPr>
        <w:t xml:space="preserve">. </w:t>
      </w:r>
      <w:bookmarkStart w:id="348" w:name="pg16640_202347"/>
    </w:p>
    <w:p>
      <w:pPr>
        <w:pStyle w:val="Heading2"/>
        <w:numPr>
          <w:ilvl w:val="1"/>
          <w:numId w:val="1"/>
        </w:numPr>
        <w:rPr/>
      </w:pPr>
      <w:bookmarkStart w:id="349" w:name="__RefHeading___Toc11691317_1280447820"/>
      <w:bookmarkStart w:id="350" w:name="_Toc126"/>
      <w:bookmarkEnd w:id="348"/>
      <w:bookmarkEnd w:id="349"/>
      <w:r>
        <w:rPr>
          <w:rtl w:val="true"/>
        </w:rPr>
        <w:t>الوجه الرابع</w:t>
      </w:r>
      <w:r>
        <w:rPr>
          <w:rtl w:val="true"/>
        </w:rPr>
        <w:t xml:space="preserve">: </w:t>
      </w:r>
      <w:r>
        <w:rPr>
          <w:rtl w:val="true"/>
        </w:rPr>
        <w:t>الانحصار مقتضى إطلاق فعل الشرط</w:t>
      </w:r>
      <w:bookmarkEnd w:id="350"/>
    </w:p>
    <w:p>
      <w:pPr>
        <w:pStyle w:val="BookText"/>
        <w:rPr/>
      </w:pPr>
      <w:r>
        <w:rPr>
          <w:rFonts w:ascii="IRNazanin" w:hAnsi="IRNazanin" w:eastAsia="IRNazanin"/>
          <w:color w:val="111111"/>
          <w:sz w:val="28"/>
          <w:sz w:val="28"/>
          <w:szCs w:val="28"/>
          <w:rtl w:val="true"/>
          <w:lang w:bidi="fa-IR"/>
        </w:rPr>
        <w:t>و هو التقرير الثاني للاطلاق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ربما يتمسك للدلالة على المفهوم بإطلاق الشرط بتقريب أنه لو لم يكن بمنحصر يلزم تقييده ضرورة أنه لو قارنه أو سبقه الآخر لما أثر وحده و قضية إطلاقه أنه يؤثر كذلك مطلقا</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الاستدلال هنا هو التمسک بالإطلاق الأحوالي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فمصب الإطلاق هنا هو المجي‌ء مثلا في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جاءك زيد فأكرمه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مصبه في الوجه السابق كان في مفاد إن 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هيئة الجملة الشرطية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أيضا من القرائن العامة الدالة على ثبوت المفهوم،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 ان كان علة منحصرة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تحقق المقدم ترتب عليه التالي،و ان لم يكن علة منحصرة لم يصح ذلك، إذ الشرط المؤثر في وجود التالي حينئذ هو الجامع بينه و بين الأمر الآخر مع فرض المقارنة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فيستند الأثر إليه، و يلغو الشرط الآخر، ففي المثال المتقدم ان لم يكن شرط الإكرام منحصراً في المجي‌ء، بل كان له شرط آخر كالسلام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جاءك زيد و سلم عليك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الجامع بين الشرطين هو المؤثر في وجود التالي أعني الإكرام، لا المجي‌ء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إطلاق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الحالات يقتضي أن يكون في حال انفراده و عدم انضمامه إلى غيره مؤثراً، و لذا 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ظاهر الجملة الشرطية يفيد وجود الجزاء عند وجود الشرط على وجه الاستقلال سواء فرض وجود شي‌ء آخر معه أو لم </w:t>
      </w:r>
      <w:bookmarkStart w:id="351" w:name="pg16640_202348"/>
    </w:p>
    <w:p>
      <w:pPr>
        <w:pStyle w:val="BookText"/>
        <w:rPr/>
      </w:pPr>
      <w:bookmarkEnd w:id="351"/>
      <w:r>
        <w:rPr>
          <w:rFonts w:ascii="Amiri" w:hAnsi="Amiri" w:eastAsia="Amiri" w:cs="Amiri"/>
          <w:color w:val="111111"/>
          <w:sz w:val="28"/>
          <w:sz w:val="28"/>
          <w:szCs w:val="28"/>
          <w:rtl w:val="true"/>
          <w:lang w:bidi="ar-SA"/>
        </w:rPr>
        <w:t>يفرض</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لم يكن منحصراً لزم تقييد تأثيره بما إذا لم يقارنه أو لم يسبقه شرط آخر ضرورة انّه لو قارنه أو سبقه شرط آخر لما أثّر وحدة كما في عاصمية الكر فانّه إنّما يؤثر إذا لم يكن ماء جارياً عن مبدأ و إلّا فلا يكون مؤثراً مع أنّ قضية إطلاقه أنّه مؤثر مطلقاً، قارنه شي‌ء أم لم يقارنه، سبقه شي‌ء أم لم يسبقه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الشرط لو تم لدل على المفهوم قطعاً، لكن الكلام في تماميته، لأن إحراز كون المتكلم في مقام بيان انحصار الشرط و ترتب الجزاء عليه فقط مشكل جداً، إذ الظاهر أنه في مقام بيان كون الجزاء مترتباً على الشرط من دون بيان كيفية الترتب، و أنه بنحو الترتب على العلة المنحصرة أم لا، فبيان كيفيته مما لا سبيل إلى إحرازه</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11691319_1280447820"/>
      <w:bookmarkStart w:id="353" w:name="_Toc127"/>
      <w:bookmarkEnd w:id="352"/>
      <w:r>
        <w:rPr>
          <w:rtl w:val="true"/>
        </w:rPr>
        <w:t>الوجه الخامس</w:t>
      </w:r>
      <w:r>
        <w:rPr>
          <w:rtl w:val="true"/>
        </w:rPr>
        <w:t xml:space="preserve">: </w:t>
      </w:r>
      <w:r>
        <w:rPr>
          <w:rtl w:val="true"/>
        </w:rPr>
        <w:t>التمسّك بإطلاق الشرط</w:t>
      </w:r>
      <w:bookmarkEnd w:id="3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التقرير الثالث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إطلاق الشرط، انحصارُه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القرائن العامة التي استدل بها على ثبوت المفهوم للجملة الشرطية</w:t>
      </w:r>
      <w:r>
        <w:rPr>
          <w:rStyle w:val="FootnoteAnchor"/>
          <w:rtl w:val="true"/>
        </w:rPr>
        <w:footnoteReference w:id="184"/>
      </w:r>
      <w:r>
        <w:rPr>
          <w:rFonts w:ascii="Amiri" w:hAnsi="Amiri" w:eastAsia="Amiri" w:cs="Amiri"/>
          <w:color w:val="111111"/>
          <w:sz w:val="28"/>
          <w:sz w:val="28"/>
          <w:szCs w:val="28"/>
          <w:rtl w:val="true"/>
          <w:lang w:bidi="ar-SA"/>
        </w:rPr>
        <w:t>،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 الشرط كالمجي‌ء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يكون شرطاً، فالجزاء مستند إلى ذاته، و مترتب عليه، و مقيد به، ضرورة أن أداة الشرط تقيد الجزاء بالشرط، فلا يكون ثابتاً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بيان عدل للشرط كالمجي‌ء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 منحصراً بحيث يدل على الانتفاء عند الانتفاء، و الإطلاق هنا عدلي ينفي العدل الّذي يقتضيه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الإطلاق السابق كان </w:t>
      </w:r>
    </w:p>
    <w:p>
      <w:pPr>
        <w:pStyle w:val="BookText"/>
        <w:rPr/>
      </w:pPr>
      <w:r>
        <w:rPr>
          <w:rFonts w:ascii="Amiri" w:hAnsi="Amiri" w:eastAsia="Amiri" w:cs="Amiri"/>
          <w:color w:val="111111"/>
          <w:sz w:val="28"/>
          <w:sz w:val="28"/>
          <w:szCs w:val="28"/>
          <w:rtl w:val="true"/>
          <w:lang w:bidi="ar-SA"/>
        </w:rPr>
        <w:t>انضمامياً نافياً للانضمام الّذي يقتضيه العطف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 السابق بالإطلاق الواوي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شي‌ء دخيلا في تأثير الشرط في الجزاء لكان معطوفاً على الشرط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 زيد و حفظ درسه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هذا بالإطلاق الأوي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شي‌ء آخر أيضا علة لتحقق الجزاء لكان معطوفاً 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 زيد أو سلم عليك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الإطلاق المبحوث عنه نظير إطلاق صيغة الأمر في كونه معيناً للوجوب التعييني، فان الوجوب التخييري و ان كان من أقسام الوجوب إلّا أنه محتاج إلى بيان زائد على أصل الوجوب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أطعم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الإطلاق كإطلاق صيغة الأمر مثبت للتعيين و الانحصار، و نافٍ للعدل، و مترتب على الإطلاق السابق المثبت لكون الشرط علة تامة، حيث كان مقتضاه عدم دخل شي‌ء في علية الشرط و تأثيره في الجزاء و أنه لو كان شي‌ء آخر دخيلا في عليته و ترتب الجزاء عليه لعطفه المتكلم بالواو كالمثال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الإطلاق هنا يثبت عدم وجود عدل للشرط مؤثر وحده في تحقق الجزاء، و لو كان لعطفه المتكلم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المتقدم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العدلي الّذي هو المقصود من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يقتضيه مقايسته مع إطلاق صيغة الأمر المثبت للتعيينية النافي لجعل العِدل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المحقّق الخراساني ،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العلة المنحصرة بالوجوب التعييني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التعييني مغاير للوجوب التخييري ثبوتاً و إثباتاً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مغايرتهما ثبوتاً، فلان مصلحة الوجوب التعييني غير مصلحة الوجوب التخييري، حيث ان المصلحة في التعييني قائمة بنفس الواجب، و في التخييري قائمة بالجامع بين الأمرين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قائمة بكل منهما مع عدم إمكان الجمع بين المصلحتين، لسقوط الوجوب بإتيان أحد الشيئين اللذين تقوم بهما المصلحتان</w:t>
      </w:r>
      <w:r>
        <w:rPr>
          <w:rFonts w:eastAsia="Amiri" w:cs="Amiri" w:ascii="Amiri" w:hAnsi="Amiri"/>
          <w:color w:val="111111"/>
          <w:sz w:val="28"/>
          <w:szCs w:val="28"/>
          <w:rtl w:val="true"/>
          <w:lang w:bidi="ar-SA"/>
        </w:rPr>
        <w:t xml:space="preserve">. </w:t>
      </w:r>
      <w:bookmarkStart w:id="354" w:name="pg16640_202350"/>
    </w:p>
    <w:p>
      <w:pPr>
        <w:pStyle w:val="BookText"/>
        <w:rPr/>
      </w:pPr>
      <w:bookmarkEnd w:id="354"/>
      <w:r>
        <w:rPr>
          <w:rFonts w:ascii="Amiri" w:hAnsi="Amiri" w:eastAsia="Amiri" w:cs="Amiri"/>
          <w:color w:val="111111"/>
          <w:sz w:val="28"/>
          <w:sz w:val="28"/>
          <w:szCs w:val="28"/>
          <w:rtl w:val="true"/>
          <w:lang w:bidi="ar-SA"/>
        </w:rPr>
        <w:t xml:space="preserve">و أما مغايرتهما إثباتاً، فلاحتياج التخييري إلى بيان العدل بمثل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التعييني، فانه لا يحتاج إلى بيان زائد على بيان أصل الوجوب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كان الإطلاق أمراً عدمياً، فمقتضاه عدم جعل العِدل، و ليس الوجوب التعييني إلّا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بخلاف العلة المنحصرة و غيرها، فانه لا تفاوت بينهما في التأثير في المعلول، لأن صفة الشرطية منتزعة عن خصوصية ذاتية محضة، و الذاتيات لاتقبل التخيير، لأنها لا تتخلف، فالشرطية قائمة بالشرط الواحد و المتعدد على وزان واحد، لا أنها قائمة بالمتعدد تخييراً و بالواحد تعييناً حتى يكون الإطلاق مقتضياً للثاني، كإطلاق صيغة الأمر المقتضي لتعين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اتضح فساد قياس العلة المنحصرة و غيرها بالوجوب التعييني و التخييري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يرد علی جوابه ما اجبنا به اشکاله علی الوجه الاول من تقرير الاطلاق بقولنا ثالثا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هنا تمّت الوجوه الخمسة التي ذكرها المحقّق الخراساني و اليک باقي الوجوه التي ذکرها العلماء</w:t>
      </w:r>
      <w:r>
        <w:rPr>
          <w:rFonts w:eastAsia="IRNazanin" w:cs="IRNazanin"/>
          <w:color w:val="111111"/>
          <w:sz w:val="28"/>
          <w:szCs w:val="28"/>
          <w:rtl w:val="true"/>
          <w:lang w:bidi="fa-IR"/>
        </w:rPr>
        <w:t>:</w:t>
      </w:r>
    </w:p>
    <w:p>
      <w:pPr>
        <w:pStyle w:val="Heading2"/>
        <w:numPr>
          <w:ilvl w:val="1"/>
          <w:numId w:val="1"/>
        </w:numPr>
        <w:rPr/>
      </w:pPr>
      <w:bookmarkStart w:id="355" w:name="__RefHeading___Toc11691321_1280447820"/>
      <w:bookmarkStart w:id="356" w:name="_Toc128"/>
      <w:bookmarkEnd w:id="355"/>
      <w:r>
        <w:rPr>
          <w:rtl w:val="true"/>
        </w:rPr>
        <w:t>الوجه السادس</w:t>
      </w:r>
      <w:r>
        <w:rPr>
          <w:rtl w:val="true"/>
        </w:rPr>
        <w:t xml:space="preserve">: </w:t>
      </w:r>
      <w:r>
        <w:rPr>
          <w:rtl w:val="true"/>
        </w:rPr>
        <w:t>ما عن السيد المحقّق البروجردي</w:t>
      </w:r>
      <w:bookmarkEnd w:id="3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الترتّب العلّي على المقدّم، أن يكون المقدّم بعنوانه الخاص علّة، و هو محفوظ عند ما كانت العلّة منحصرة و لو لم يكن كذلك لزم استناد الثاني إلى الجامع بينهما لامتناع استناد الواحد إلى الكثير، و هو خلاف ظاهر الترتّب على المقدّم بعنوانه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57" w:name="pg16640_202351"/>
    </w:p>
    <w:p>
      <w:pPr>
        <w:pStyle w:val="BookText"/>
        <w:rPr/>
      </w:pPr>
      <w:bookmarkEnd w:id="357"/>
      <w:r>
        <w:rPr>
          <w:rFonts w:ascii="Amiri" w:hAnsi="Amiri" w:eastAsia="Amiri" w:cs="Amiri"/>
          <w:color w:val="111111"/>
          <w:sz w:val="28"/>
          <w:sz w:val="28"/>
          <w:szCs w:val="28"/>
          <w:rtl w:val="true"/>
          <w:lang w:bidi="ar-SA"/>
        </w:rPr>
        <w:t>قال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ذلك التقريب على المحقّق الخراساني، فأجاب عنه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المفهوم رهن الظهور العرفي، و الظهور العرفي لا يثبت بهذه المسائل الفلسفية البعيدة عن الأذهان العرفية، و أنّى للعرف دراسة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للجزاء علل مختلفة يجب أن يستند إلى الجامع و حيث إنّه خلاف ظاهر القضية فهو مستند إلى شخص الشرط و تصير نتيجته انّه علة منحصرة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قاعدة الواحد لا يصدر الّا من واحد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حققناه في کتابنا الرؤية الفلسفية نقد و تحليل و سيأتي الکلام عنها في التنبيه الاول من هذا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تجري في الاعتباريات و أنّ مصب القاعدة على فرض صحتها هو الأُمور التكوينية لا الاعتبارية فانها تابعة لاعتبار المعتبر</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11691323_1280447820"/>
      <w:bookmarkStart w:id="359" w:name="_Toc129"/>
      <w:bookmarkEnd w:id="358"/>
      <w:r>
        <w:rPr>
          <w:rtl w:val="true"/>
        </w:rPr>
        <w:t>الوجه السابع</w:t>
      </w:r>
      <w:r>
        <w:rPr>
          <w:rtl w:val="true"/>
        </w:rPr>
        <w:t xml:space="preserve">: </w:t>
      </w:r>
      <w:r>
        <w:rPr>
          <w:rtl w:val="true"/>
        </w:rPr>
        <w:t>ما ذكره المحقّق النائيني</w:t>
      </w:r>
      <w:bookmarkEnd w:id="359"/>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المذكور في القضية الشرطية إمّا أن يكون في حدّ ذاته ممّا يتوقف عليه عقلًا، وجود ما هو متعلّق الحكم في الجزاء، و إمّا أن لا يكون كذلك، و على الأوّل لا يكون للقضية مفهوم لا محالة،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و بما انّ كلّ قضية حملية تنحل إلى قضية شرطية يكون مقدّمها وجود الموضوع، و تاليها ثبوت المحمول له و يكون التعليق عقلياً لا يكون هناك مفهوم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الآخر في أنّ الحكم الثابت في الجزاء ليس بمتوقّف على وجود الشرط عقلًا، فلا يخلو إمّا أن يكون مطلقاً بالإضافة إلى وجود الشرط، أو يكون مقيّداً به، و بما انّه </w:t>
      </w:r>
      <w:bookmarkStart w:id="360" w:name="pg16640_202352"/>
    </w:p>
    <w:p>
      <w:pPr>
        <w:pStyle w:val="BookText"/>
        <w:rPr/>
      </w:pPr>
      <w:bookmarkEnd w:id="360"/>
      <w:r>
        <w:rPr>
          <w:rFonts w:ascii="Amiri" w:hAnsi="Amiri" w:eastAsia="Amiri" w:cs="Amiri"/>
          <w:color w:val="111111"/>
          <w:sz w:val="28"/>
          <w:sz w:val="28"/>
          <w:szCs w:val="28"/>
          <w:rtl w:val="true"/>
          <w:lang w:bidi="ar-SA"/>
        </w:rPr>
        <w:t>رتب في ظاهر القضية على وجود الشرط، يمتنع الإطلاق فيكون مقيّداً بوجود الشرط و بما انّ المتكلّم في مقام البيان قد أتى بقيد واحد و لم يقيده بشي‌ء آخر، سواء أ كان التقييد بذكر عدل له في الكلام أم كان بمثل العطف بالواو ليكون قيد الحكم في الحقيقة مركباً من أمرين،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زيد و أكرمك فأكرمه، يستكشف من ذلك، انحصار القيد بخصوص ما ذكر في القضية الشرطية، و بالجملة فكما أنّ إطلاق الشرط و عدم تقييده بمثل العطف بالواو، يدلّ على عدم كون الشرط مركباً، كذلك إطلاقه و عدم تقييده بشي‌ء مثل العطف، يدلّ على انحصار الشرط بما هو مذكور في القضية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تقريباً جديداً، بل هو نفس التقريب الثالث للمحقّق الخراساني للإطلاق و قد تقدم البحث عنه فلا نطيل </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11691325_1280447820"/>
      <w:bookmarkStart w:id="362" w:name="_Toc130"/>
      <w:bookmarkEnd w:id="361"/>
      <w:r>
        <w:rPr>
          <w:rtl w:val="true"/>
        </w:rPr>
        <w:t>الوجه الثامن الاستدلال بالاخبار</w:t>
      </w:r>
      <w:bookmarkEnd w:id="362"/>
    </w:p>
    <w:p>
      <w:pPr>
        <w:pStyle w:val="BookText"/>
        <w:rPr/>
      </w:pPr>
      <w:r>
        <w:rPr>
          <w:rFonts w:ascii="IRNazanin" w:hAnsi="IRNazanin" w:eastAsia="IRNazanin"/>
          <w:color w:val="111111"/>
          <w:sz w:val="28"/>
          <w:sz w:val="28"/>
          <w:szCs w:val="28"/>
          <w:rtl w:val="true"/>
          <w:lang w:bidi="fa-IR"/>
        </w:rPr>
        <w:t>و يشهد لذلك الاخبار و النصوص الدالة علی حجية مفهوم الشرط و هي کالتالي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الشاة تذبح فلا تتحرّك و يهراق منها دم كثير عبيط؟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ركضت الرّجل أو طرفت العين فكل</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فإنّ استدلال الإمام بقول عليّ علیه السلام لا يكون إلّا إذا كان له مفهوم، و هو إذا لم تركض الرّجل أو لم تطرف العين فلا تأكل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أيوب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أن نتعجل السير و كانت ليلة النفر حين سألته فأي ساعة ننفر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اليوم الثاني فلا تنفرحتى تزول الشمس </w:t>
      </w:r>
    </w:p>
    <w:p>
      <w:pPr>
        <w:pStyle w:val="BookText"/>
        <w:rPr/>
      </w:pPr>
      <w:r>
        <w:rPr>
          <w:rFonts w:ascii="Amiri" w:hAnsi="Amiri" w:eastAsia="Amiri" w:cs="Amiri"/>
          <w:color w:val="111111"/>
          <w:sz w:val="28"/>
          <w:sz w:val="28"/>
          <w:szCs w:val="28"/>
          <w:rtl w:val="true"/>
          <w:lang w:bidi="ar-SA"/>
        </w:rPr>
        <w:t>و كانت ليلة النفر و أما اليوم الثالث فإذا ابيضت الشمس فانفر على بركة الله فإن الله جل ثناؤه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وَ مَنْ تَأَخَّرَ فَلا إِثْمَ عَلَيْه فلو سكت لم يبق أحد إلّا تعجل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فَلا إِثْمَ عَلَيْه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علیه السلام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 من شهد فليصمه و من سافر فلا يصمه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مسلم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الماء تبول فيه الدواب و تلغ فيه الكلاب و يغتسل فيه الجنب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قدر كر لم ينجسه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مسلم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فيه ماء مجتمع تبول فيه الدواب و تلغ فيه الكلاب و يغتسل فيه الجنب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قدر كر لم ينجسه شي‌ء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الاستدلال بهذه الأخبار و تقريبه فيها هو اكتفاء الأئمة عليهم السلام بالشرط في الجواب مع وقوع السؤال عما يتوقف فهمه على المفهوم و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قدماء الاصحاب ايضا فروي عن هشام بن الحكم أنه تناظر هو و بعض المخالفين في الحكمين بصفين عمرو بن العاص و أبي موسى الأشعري فقال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بقبولهما الحكم كانا مريدين الإصلاح بين الطائفتين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كانا غير مريدين للإصلاح بينهما، فقال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في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 علمنا أنهما لم يريدا الإصلاح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ظهور الجملة الشرطيّة في المفهوم ممّا لا ينبغي أن يتطرّق إليه الشكّ، إلّا مع قرينة صارفة، أو تكون واردة لبيان الموضوع</w:t>
      </w:r>
      <w:r>
        <w:rPr>
          <w:rFonts w:eastAsia="Amiri" w:cs="Amiri" w:ascii="Amiri" w:hAnsi="Amiri"/>
          <w:color w:val="111111"/>
          <w:sz w:val="28"/>
          <w:szCs w:val="28"/>
          <w:rtl w:val="true"/>
          <w:lang w:bidi="ar-SA"/>
        </w:rPr>
        <w:t xml:space="preserve">. </w:t>
      </w:r>
      <w:bookmarkStart w:id="363" w:name="pg16640_202354"/>
    </w:p>
    <w:p>
      <w:pPr>
        <w:pStyle w:val="Heading2"/>
        <w:numPr>
          <w:ilvl w:val="1"/>
          <w:numId w:val="1"/>
        </w:numPr>
        <w:rPr/>
      </w:pPr>
      <w:bookmarkStart w:id="364" w:name="__RefHeading___Toc11691327_1280447820"/>
      <w:bookmarkStart w:id="365" w:name="_Toc131"/>
      <w:bookmarkEnd w:id="363"/>
      <w:bookmarkEnd w:id="364"/>
      <w:r>
        <w:rPr>
          <w:rtl w:val="true"/>
        </w:rPr>
        <w:t>استدلال المنكرين للمفهوم</w:t>
      </w:r>
      <w:bookmarkEnd w:id="365"/>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ربما استدل المنكرون للمفهوم بوجوه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عزي إلى السيد من أن تأثير الشرط إنما هو تعليق الحكم به و ليس بممتنع أن يخلفه و ينوب منابه شرط آخر يجري مجراه و لا يخرج عن كونه شرطا فإن قوله تعالى وَ اسْتَشْهِدُوا شَهِيدَيْنِ مِنْ رِجالِكُم</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89"/>
      </w:r>
      <w:r>
        <w:rPr>
          <w:rFonts w:ascii="Amiri" w:hAnsi="Amiri" w:eastAsia="Amiri" w:cs="Amiri"/>
          <w:color w:val="111111"/>
          <w:sz w:val="28"/>
          <w:sz w:val="28"/>
          <w:szCs w:val="28"/>
          <w:rtl w:val="true"/>
          <w:lang w:bidi="ar-SA"/>
        </w:rPr>
        <w:t>يمنع من قبول الشاهدالواحد حتى ينضم إليه شاهد آخر فانضمام الثاني إلى الأول شرط في القبول ثم علمنا أن ضم امرأتين إلى الشاهد الأول شرط في القبول ثم علمنا أن ضم اليمين يقوم مقامه أيضا فنيابة بعض الشروط عن بعض أكثر من أن تحصى مثل الحرارة فإن انتفاء الشمس لا يلزم انتفاء الحرارة لاحتمال قيام النار مقامها و الأمثلة لذلك كثيرة شرعا و عقلا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المستفاد من الأداة ليس إلّا شرطيّة التالي و الشرطيّة غير ملازمة لعدم البدل و ما يقوم مقامه؛ إذ الشرائط التي لها بدل لا تعدّ و لا تحصى، مثلا شهادة العدلين شرط للقبول، و قيام امرأتين يقوم مقام العدل الواحد، و كذا اليمين و أربع نساء يقوم مقام العدلين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الاولى غير مفروغ عنها و ذلك لأنّ مدّعي المفهوم لا يستند إلى ملازمة الشرطيّة لعدم البدل حتّى يرد عليه ما ذكر، بل إلى ظهور القضيّة في الانحصار كما عرفت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بآية لا تُكْرِهُوا فَتَياتِكُمْ عَلَى الْبِغاءِ إِنْ أَرَدْنَ تَحَصُّناً؛ إذ لازم القول بالمفهوم عدم حرمة الإكراه في صورة عدم إرادة التعفّف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محلّ الكلام في القضيّة الشرطيّة هو ما إذا كان للقضيّة موضوع و محمول و شرط، و كان الموضوع ثابتا في صورتي وجود الشرط و عدمه و لم يكن لوجود الشرط و عدمه دخل في وجود الموضوع، بل كان وجوده محفوظا في كلتا الحالتين، ففي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فأكرمه، الموضوع زيد، و المحمول وجوب الإكرام، و الشرط هو المجي‌ء، فالقائل بالمفهوم يقول بأنّ الحكم المحمول على زيد في صورة وجود المجي‌ء وجوب الإكرام و في صورة عدمه عدم وجوبه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إذا كان الشرط محقّقا لوجود الموضوع بحيث لزم من انتفائه انتفاء الموضوع فعدم الحكم حينئذ عند عدمه ليس من باب المفهوم، بل لأجل ارتفاعالموضوع، و قد عرفت أنّ ارتفاع الحكم بارتفاع موضوعه عقلي خارج عن محلّ الكلام،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فاختنه أو إن ركب الأمير فخذ ركابه، فعدم وجوب الختان و أخذ الركاب عند عدم الشرط إنّما هو لأجل انتفاء الموضوع و هو الولد في الأوّل و الركاب في الثاني، و الآية الشريفة من هذا القبيل، إذ في صورة عدم إرادتهن التحفّظ و التعفّف لا يبقى </w:t>
      </w:r>
      <w:bookmarkStart w:id="366" w:name="pg16640_202356"/>
    </w:p>
    <w:p>
      <w:pPr>
        <w:pStyle w:val="BookText"/>
        <w:rPr/>
      </w:pPr>
      <w:bookmarkEnd w:id="366"/>
      <w:r>
        <w:rPr>
          <w:rFonts w:ascii="Amiri" w:hAnsi="Amiri" w:eastAsia="Amiri" w:cs="Amiri"/>
          <w:color w:val="111111"/>
          <w:sz w:val="28"/>
          <w:sz w:val="28"/>
          <w:szCs w:val="28"/>
          <w:rtl w:val="true"/>
          <w:lang w:bidi="ar-SA"/>
        </w:rPr>
        <w:t>موضوع للإكراه، فعدم حرمة الإكراه حينئذ سالبة بانتفاء الموضوع،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في هذه الصورة ليس بحرام و تجب الممانعة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دل لكان بإحدى الدلالات و الملازمة كبطلان التالي ظاهرة و قد أجيب عنه بمنع بطلان التالي و أن الالتزام ثابت و قد عرفت بما لا مزيد عليه ما قيل أو يمكن أن يقال في إثباته أو منعه فلا تغفل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11691329_1280447820"/>
      <w:bookmarkStart w:id="368" w:name="_Toc132"/>
      <w:bookmarkEnd w:id="367"/>
      <w:r>
        <w:rPr>
          <w:rtl w:val="true"/>
        </w:rPr>
        <w:t>دفع و وهم</w:t>
      </w:r>
      <w:bookmarkEnd w:id="368"/>
    </w:p>
    <w:p>
      <w:pPr>
        <w:pStyle w:val="BookText"/>
        <w:rPr/>
      </w:pPr>
      <w:r>
        <w:rPr>
          <w:rFonts w:ascii="IRNazanin" w:hAnsi="IRNazanin" w:eastAsia="IRNazanin"/>
          <w:color w:val="111111"/>
          <w:sz w:val="28"/>
          <w:sz w:val="28"/>
          <w:szCs w:val="28"/>
          <w:rtl w:val="true"/>
          <w:lang w:bidi="fa-IR"/>
        </w:rPr>
        <w:t xml:space="preserve">حكی الشيخ الأنصاري في تقريراته عن بعضهم، الاستشكال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مطلق القضايا 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كون المنفي سنخ الحكم مع أن المعلق على الشرط في المنطوق جزئي نظراً إلى أنّ الشرط المذكور إنّما وقع شرطاً بالنسبة إلى الإنشاء الخاص، الحاصل بذلك الكلام دون غيره فأقصى ما تفيده الشرطية انتفاء ذلك و أين ذلك، من دلالته على نوع الوجوب؟</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عنه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المشتمل على المفهوم إمّا أن يكون خبريّا،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زيد كذا إن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إنشائيّا،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مطلق الوجوب في طرف المفهوم في الأوّل ظاهر، حيث إنّ المخبر عن ثبوته في المنطوق ليس شخصا خاصّا من الوجوب، ضرورة كون الوجوب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هنا إشكال حتّى يدفع بما ذكره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ارتفاع مطلق الوجوب فيما إذا كان </w:t>
      </w:r>
    </w:p>
    <w:p>
      <w:pPr>
        <w:pStyle w:val="BookText"/>
        <w:rPr/>
      </w:pPr>
      <w:r>
        <w:rPr>
          <w:rFonts w:ascii="Amiri" w:hAnsi="Amiri" w:eastAsia="Amiri" w:cs="Amiri"/>
          <w:color w:val="111111"/>
          <w:sz w:val="28"/>
          <w:sz w:val="28"/>
          <w:szCs w:val="28"/>
          <w:rtl w:val="true"/>
          <w:lang w:bidi="ar-SA"/>
        </w:rPr>
        <w:t>الكلام إنشائيّا فهو من فوائد العلّية و السببيّة المستفادة من الجملة الشرطيّة، حيث إنّ ارتفاع شخص الطلب و الوجوب ليس مستندا إلى ارتفاع العلّة و السبب المأخوذ في الجملة الشرطيّة، فإنّ ذلك يرتفع ولو لم يؤخذ المذكور في حيال أداة الشرط علّة له، كما هو ظاهر في اللقب 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العلّية و السببيّة ارتفاع نوع الوجوب الذي أنشأه الآمر و صار بواسطة إنشائه شخصا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وقوع الشرط شرطا للإنشاء الخاصّ فهو بملاحظة نوع الوجوب المتعلّق به الإنشاء و إن لم يكن ذلك على ذلك الوجه مدلولا للّفظ، إذ يكفي فيه ارتفاع شخصه من حيث إنّه عنوان لارتفاع نوعه، نظرا إلى العلّية المذكورة</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المعلق على الشرط ان كان بالأخبار،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زيد ان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إشكال، لكون الوجوب فيه كلياً، حيث ان المادة قد استعملت في معناها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بالإنشاء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و ان كان جزئياً، لكونه معنى الهيئة الّذي هو حرفي، لأنها موضوعة لإنشاء النسبة الطلبية بين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المخاطب، و النسبة قائمة بالطرفين، فهي معنى حرفي، إلّا أن أداة الشرط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انحصار علة سنخ الحكم و طبيعته بالشرط المذكور في المنطوق، و ان كان الحكم المذكور فيه فرداً من أفراد طبيعة الحكم، كما إذا كان بلسان الإنشاء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قرينية أداة الشرط على انحصار علية الشرط لسنخ الحكم لا لشخصه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الحكم جزئياً لا كلياً، كان انتفاؤه بانتفاء الشرط عقلياً و أجنبياً عن باب المفهوم، و إلّا كان للقضية اللقبية أيضا مفهوم، لانتفاء شخص الحكم فيها بانتفاء موضوعه، و هو باطل بالضرورة، لما مر من أن انتفاء شخص الحكم في كل قضية بانتفاء موضوعه عقلي </w:t>
      </w:r>
      <w:bookmarkStart w:id="369" w:name="pg16640_202358"/>
    </w:p>
    <w:p>
      <w:pPr>
        <w:pStyle w:val="BookText"/>
        <w:rPr/>
      </w:pPr>
      <w:bookmarkEnd w:id="369"/>
      <w:r>
        <w:rPr>
          <w:rFonts w:ascii="Amiri" w:hAnsi="Amiri" w:eastAsia="Amiri" w:cs="Amiri"/>
          <w:color w:val="111111"/>
          <w:sz w:val="28"/>
          <w:sz w:val="28"/>
          <w:szCs w:val="28"/>
          <w:rtl w:val="true"/>
          <w:lang w:bidi="ar-SA"/>
        </w:rPr>
        <w:t>و أجنبي عن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فأداة الشرط تدل على انحصار علة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القضية الشرطية على المفهوم مطلقاً سواء كان الحكم المذكور في المنطوق بلسان الاخبار أم الإنشاء</w:t>
      </w:r>
      <w:r>
        <w:rPr>
          <w:rFonts w:eastAsia="Amiri" w:cs="Amiri" w:ascii="Amiri" w:hAnsi="Amiri"/>
          <w:color w:val="111111"/>
          <w:sz w:val="28"/>
          <w:szCs w:val="28"/>
          <w:rtl w:val="true"/>
          <w:lang w:bidi="ar-SA"/>
        </w:rPr>
        <w:t>.</w:t>
      </w:r>
    </w:p>
    <w:p>
      <w:pPr>
        <w:pStyle w:val="Heading2"/>
        <w:numPr>
          <w:ilvl w:val="1"/>
          <w:numId w:val="1"/>
        </w:numPr>
        <w:rPr/>
      </w:pPr>
      <w:bookmarkStart w:id="370" w:name="__RefHeading___Toc11691331_1280447820"/>
      <w:bookmarkStart w:id="371" w:name="_Toc133"/>
      <w:bookmarkEnd w:id="370"/>
      <w:r>
        <w:rPr>
          <w:rtl w:val="true"/>
        </w:rPr>
        <w:t>جواب صاحب الکفاية</w:t>
      </w:r>
      <w:bookmarkEnd w:id="371"/>
    </w:p>
    <w:p>
      <w:pPr>
        <w:pStyle w:val="BookText"/>
        <w:rPr/>
      </w:pPr>
      <w:r>
        <w:rPr>
          <w:rFonts w:ascii="IRNazanin" w:hAnsi="IRNazanin" w:eastAsia="IRNazanin"/>
          <w:color w:val="111111"/>
          <w:sz w:val="28"/>
          <w:sz w:val="28"/>
          <w:szCs w:val="28"/>
          <w:rtl w:val="true"/>
          <w:lang w:bidi="fa-IR"/>
        </w:rPr>
        <w:t>و أجاب عن الاشکال في الکفاية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الخصوصية غير مأخوذة في المستعمل فيه و ذلك لوجهين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الخصوصية الإنشائية كالخصوصية الاخبارية غير مأخوذة في المعنى، مثلًا كلمة بعت وقعت لنسبة البيع إلى المتكلم، و أمّا كونه موجداً للبيع أو حاكياً عنه في الخارج فهو يستفاد من القرائن و يعد من طوارئ الاستعمال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اللحاظ الآلي في الحروف و الاستقلالية في الأسماء ليس جزءاً للمعنى الموضوع له و المستعمل فيه، و إنّما تعرضه الآلية عند الاستعمال كما يعرضه الاستقلال عنده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الإشكال هو ما يتبادر من ظاهر المطارح من أنّ الجزاء مقيّد بالشرط حيث إنّ الظاهر انّ الشرط، شرط للحكم الحاصل بإنشائه دون غيره فبانتفاء الشرط ينتفي شخص الحكم دون سنخه، فيصح الذب عنه بما اختاره المحقّق الخراساني من أنّ الخصوصيات غير مأخوذة لا في الإخبار و لا في الإنشاء، لا في الأسماء و لا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قرر الإشكال حسب ما قرره السيد المحقّق البروجردي في درسه الشريف، و يستفاد من بعض مواضع المطارح أيضاً، و هو انّ شأن صيغة الأمر في جانب الجزاء هو </w:t>
      </w:r>
      <w:bookmarkStart w:id="372" w:name="pg16640_202359"/>
    </w:p>
    <w:p>
      <w:pPr>
        <w:pStyle w:val="BookText"/>
        <w:rPr/>
      </w:pPr>
      <w:bookmarkEnd w:id="372"/>
      <w:r>
        <w:rPr>
          <w:rFonts w:ascii="Amiri" w:hAnsi="Amiri" w:eastAsia="Amiri" w:cs="Amiri"/>
          <w:color w:val="111111"/>
          <w:sz w:val="28"/>
          <w:sz w:val="28"/>
          <w:szCs w:val="28"/>
          <w:rtl w:val="true"/>
          <w:lang w:bidi="ar-SA"/>
        </w:rPr>
        <w:t>إيجاد البعث و الوجوب، فإذاً المنشأ أمر جزئي، لا نوعي فليس هنا دال على سنخ الوجوب، فعندئذ لا يصلح ما في الكفاية ردّاً 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بطلان کلا المبنيين فلا يصلحان للجواب </w:t>
      </w:r>
      <w:r>
        <w:rPr>
          <w:rFonts w:eastAsia="IRNazanin" w:cs="IRNazanin"/>
          <w:color w:val="111111"/>
          <w:sz w:val="28"/>
          <w:szCs w:val="28"/>
          <w:rtl w:val="true"/>
          <w:lang w:bidi="fa-IR"/>
        </w:rPr>
        <w:t>.</w:t>
      </w:r>
    </w:p>
    <w:p>
      <w:pPr>
        <w:pStyle w:val="Heading2"/>
        <w:numPr>
          <w:ilvl w:val="1"/>
          <w:numId w:val="1"/>
        </w:numPr>
        <w:rPr/>
      </w:pPr>
      <w:bookmarkStart w:id="373" w:name="__RefHeading___Toc11691333_1280447820"/>
      <w:bookmarkStart w:id="374" w:name="_Toc134"/>
      <w:bookmarkEnd w:id="373"/>
      <w:r>
        <w:rPr>
          <w:rtl w:val="true"/>
        </w:rPr>
        <w:t>تنبيهات</w:t>
      </w:r>
      <w:r>
        <w:rPr>
          <w:rtl w:val="true"/>
        </w:rPr>
        <w:t>:</w:t>
      </w:r>
      <w:bookmarkEnd w:id="374"/>
    </w:p>
    <w:p>
      <w:pPr>
        <w:pStyle w:val="Heading2"/>
        <w:numPr>
          <w:ilvl w:val="1"/>
          <w:numId w:val="1"/>
        </w:numPr>
        <w:rPr/>
      </w:pPr>
      <w:bookmarkStart w:id="375" w:name="__RefHeading___Toc11691335_1280447820"/>
      <w:bookmarkStart w:id="376" w:name="_Toc135"/>
      <w:bookmarkEnd w:id="375"/>
      <w:r>
        <w:rPr>
          <w:rtl w:val="true"/>
        </w:rPr>
        <w:t>التنبيه الاول إذا تعدّد الشرط و اتّحد الجزاء</w:t>
      </w:r>
      <w:bookmarkEnd w:id="376"/>
    </w:p>
    <w:p>
      <w:pPr>
        <w:pStyle w:val="BookText"/>
        <w:rPr/>
      </w:pPr>
      <w:r>
        <w:rPr>
          <w:rFonts w:ascii="IRNazanin" w:hAnsi="IRNazanin" w:eastAsia="IRNazanin"/>
          <w:color w:val="111111"/>
          <w:sz w:val="28"/>
          <w:sz w:val="28"/>
          <w:szCs w:val="28"/>
          <w:rtl w:val="true"/>
          <w:lang w:bidi="fa-IR"/>
        </w:rPr>
        <w:t>إذا تعدّد الشرط و اتّحد الجزاء کما إذا وردت جملتان شرطيّتان أو أكثر، و قد تعدّد الشرط فيهما و كان الجزاء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يقع على نحوين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الجزاء غير قابل للتكرار، نحو التقصير في السفر فيما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النحو عقد هذا التنبيه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الجزاء قابلا للتكرار، كما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أجنبت فاغتسل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مسست ميّتا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البحث عنه في التنبيه الثاني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فيقع فيه التعارض بين الدليلين، بناء على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اذا قلنا بخلوّ الجملة الشرطية عن المفهوم فلا تعارض بين الدليلين و يؤخذ بظهورهما في انّ كلّ واحد سبب تام، و ليس سبباً ناقصاً فيكفي خفاء واحد منهما في وجوب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التعارض إنّما هو بين مفهوم كلّ منهما مع منطوق الآخر،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خفي الأذان فقصّر، و ورد أيضاً إذا خفيت الجدران فقصّر، و ذلك لأنّ مفهوم قوله</w:t>
      </w:r>
      <w:r>
        <w:rPr>
          <w:rFonts w:eastAsia="IRNazanin" w:cs="IRNazanin"/>
          <w:color w:val="111111"/>
          <w:sz w:val="28"/>
          <w:szCs w:val="28"/>
          <w:rtl w:val="true"/>
          <w:lang w:bidi="fa-IR"/>
        </w:rPr>
        <w:t xml:space="preserve">: </w:t>
      </w:r>
      <w:bookmarkStart w:id="377" w:name="pg16640_202360"/>
    </w:p>
    <w:p>
      <w:pPr>
        <w:pStyle w:val="BookText"/>
        <w:rPr/>
      </w:pPr>
      <w:bookmarkEnd w:id="377"/>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لم يخف الأذان لا تقصّر الصلاة، سواء أخفيت الجدران أم لا، فهذا المفهوم يعارض منطوق القضية الثانية التي تحكم بوجوب القصر عند خفاء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القضية الأُولى القضية الثانية فانّ مفهومها انّه إذا لم تخف الجدران فلا تقصّر، سواء أ خفي الأذان أم لا، فيعارض مفهومُها منطوق القضية الأُولى التي مفادها انّه إذا خفي الأذان، فقصّر، فلا بدّ من علاج التعارض بين القضيتين</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11691337_1280447820"/>
      <w:bookmarkStart w:id="379" w:name="_Toc136"/>
      <w:bookmarkEnd w:id="378"/>
      <w:r>
        <w:rPr>
          <w:rtl w:val="true"/>
        </w:rPr>
        <w:t>وجوه لرفع التعارض بين مفهوم إحدى القضيتين مع منطوق الأخرى</w:t>
      </w:r>
      <w:bookmarkEnd w:id="379"/>
    </w:p>
    <w:p>
      <w:pPr>
        <w:pStyle w:val="BookText"/>
        <w:rPr/>
      </w:pPr>
      <w:r>
        <w:rPr>
          <w:rFonts w:ascii="Amiri" w:hAnsi="Amiri" w:eastAsia="Amiri" w:cs="Amiri"/>
          <w:color w:val="111111"/>
          <w:sz w:val="28"/>
          <w:sz w:val="28"/>
          <w:szCs w:val="28"/>
          <w:rtl w:val="true"/>
          <w:lang w:bidi="ar-SA"/>
        </w:rPr>
        <w:t>و قد ذكر المحقّق الخراساني في رفع التعارض وجوهاً خمسة، و المقبول منها وجهان</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11691339_1280447820"/>
      <w:bookmarkStart w:id="381" w:name="_Toc137"/>
      <w:bookmarkEnd w:id="380"/>
      <w:r>
        <w:rPr>
          <w:rtl w:val="true"/>
        </w:rPr>
        <w:t>تخصيص مفهوم كلّ بمنطوق الآخر</w:t>
      </w:r>
      <w:bookmarkEnd w:id="381"/>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نقيّد كلّا من الشرطيّتين من ناحية ظهورهما في الاستقلال بالسببيّة، ذلك الظهور الناشئ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يقابله التقييد بالعطف بالواو، فيكون الشرط في الحقيقة هو المركّب من الشرطين، و كلّ منهما يكون جزء السبب، و الجملتان تكونان حينئذ كجملة واحدة مقدّمها المركّب من الشرطين، بأن يكون مؤدّاهما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و الجدران معا فقصّر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لهاتين الجملتين معا حينئذ مفهوم واحد، و هو انتفاء الجزاء عند انتفاء الشرطين معا، أو أحدهما، كما لو كانا جملة واحدة</w:t>
      </w:r>
      <w:r>
        <w:rPr>
          <w:rFonts w:eastAsia="Amiri" w:cs="Amiri" w:ascii="Amiri" w:hAnsi="Amiri"/>
          <w:color w:val="111111"/>
          <w:sz w:val="28"/>
          <w:szCs w:val="28"/>
          <w:rtl w:val="true"/>
          <w:lang w:bidi="ar-SA"/>
        </w:rPr>
        <w:t xml:space="preserve">. </w:t>
      </w:r>
      <w:bookmarkStart w:id="382" w:name="pg16640_202361"/>
    </w:p>
    <w:p>
      <w:pPr>
        <w:pStyle w:val="Heading2"/>
        <w:numPr>
          <w:ilvl w:val="1"/>
          <w:numId w:val="1"/>
        </w:numPr>
        <w:rPr/>
      </w:pPr>
      <w:bookmarkStart w:id="383" w:name="__RefHeading___Toc11691341_1280447820"/>
      <w:bookmarkStart w:id="384" w:name="_Toc138"/>
      <w:bookmarkEnd w:id="382"/>
      <w:bookmarkEnd w:id="383"/>
      <w:r>
        <w:rPr>
          <w:rtl w:val="true"/>
        </w:rPr>
        <w:t>تقييد منطوق كلّ بالآخر</w:t>
      </w:r>
      <w:bookmarkEnd w:id="384"/>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نقيّدهما من ناحية ظهورهما في الانحصار، ذلك الظهور الناشئ من الإطلاق المقابل للتقييد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الشرط أحدهما على البدليّة أو الجامع بينهما على أن يكون كلّ منهما مصداقا له، و ذلك حينما يمكن فرض الجامع بينهما و لو كان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القضية الشرطية على القول بالمفهوم انّ للشرط 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سبب تام لا 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سبب منحصر ليس له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في مفهوم كلّ بمنطوق الآخر بمعنى سلب الانحصار عن كلّ مع حفظ سببية كلّ، للقصر، كما أنّ التصرف في منطوق كلّ هو التصرف في تمامية السبب، و انّ كلّ واحد ليس سبباً تاماً، بل سبب ناقص لا يتمّ إلّا بضمّ جزء آخر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هذان الوجهان معقولان، و مقتضی القاعدة انّ الترجيح بأي واحد منهما انما هو رهن القرينة الخارجية</w:t>
      </w:r>
      <w:r>
        <w:rPr>
          <w:rFonts w:eastAsia="IRNazanin" w:cs="IRNazanin"/>
          <w:color w:val="111111"/>
          <w:sz w:val="28"/>
          <w:szCs w:val="28"/>
          <w:rtl w:val="true"/>
          <w:lang w:bidi="fa-IR"/>
        </w:rPr>
        <w:t>.</w:t>
      </w:r>
    </w:p>
    <w:p>
      <w:pPr>
        <w:pStyle w:val="Heading2"/>
        <w:numPr>
          <w:ilvl w:val="1"/>
          <w:numId w:val="1"/>
        </w:numPr>
        <w:rPr/>
      </w:pPr>
      <w:bookmarkStart w:id="385" w:name="__RefHeading___Toc11691343_1280447820"/>
      <w:bookmarkStart w:id="386" w:name="_Toc139"/>
      <w:bookmarkEnd w:id="385"/>
      <w:r>
        <w:rPr>
          <w:rtl w:val="true"/>
        </w:rPr>
        <w:t>دوران الأمر بين الوجهين</w:t>
      </w:r>
      <w:bookmarkEnd w:id="386"/>
    </w:p>
    <w:p>
      <w:pPr>
        <w:pStyle w:val="BookText"/>
        <w:rPr/>
      </w:pPr>
      <w:r>
        <w:rPr>
          <w:rFonts w:ascii="Amiri" w:hAnsi="Amiri" w:eastAsia="Amiri" w:cs="Amiri"/>
          <w:color w:val="111111"/>
          <w:sz w:val="28"/>
          <w:sz w:val="28"/>
          <w:szCs w:val="28"/>
          <w:rtl w:val="true"/>
          <w:lang w:bidi="ar-SA"/>
        </w:rPr>
        <w:t>و إذ يدور الأمر بين الوجهين في التصرّف، فأيّهما أولى؟ هل الأولى تقييد ظهور الشرطيّتين في الاستقلال أو تقييد ظهورهما في الانحصار؟ قولان في المسألة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هو التصرّف الثاني؛ لأنّ منشأ التعارض بينهما هو ظهورهما في الانحصار الذي يلزم منه الظهور في المفهوم، فيتعارض منطوق كلّ منهما مع مفهوم الأخرى كما تقدّم، </w:t>
      </w:r>
      <w:bookmarkStart w:id="387" w:name="pg16640_202362"/>
    </w:p>
    <w:p>
      <w:pPr>
        <w:pStyle w:val="BookText"/>
        <w:rPr/>
      </w:pPr>
      <w:bookmarkEnd w:id="387"/>
      <w:r>
        <w:rPr>
          <w:rFonts w:ascii="Amiri" w:hAnsi="Amiri" w:eastAsia="Amiri" w:cs="Amiri"/>
          <w:color w:val="111111"/>
          <w:sz w:val="28"/>
          <w:sz w:val="28"/>
          <w:szCs w:val="28"/>
          <w:rtl w:val="true"/>
          <w:lang w:bidi="ar-SA"/>
        </w:rPr>
        <w:t>فلا بدّ من رفع اليد عن ظهور كلّ منهما في الانحصار بالإضافة إلى المقدار الذي دلّ عليه منطوق الشرطيّة الأخرى؛ لأنّ ظهور المنطوق أقوى؛ أمّا ظهور كلّ من الشرطيّتين في الاستقلال فلا معارض له حتّى ترفع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ترجّح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في ظهور الشرطيّتين في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 الشرطين مستقلّا في التأثير، فإذا انفرد أحدهما كان له التأثير في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حصلا معا، فإن كان حصولهما بالتعاقب كان التأثير للسابق، و إن تقارنا كان الأثر لهما معا و يكونان كالسبب الواحد؛ لامتناع تكرار الجزاء حسب الفرض</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11691345_1280447820"/>
      <w:bookmarkStart w:id="389" w:name="_Toc140"/>
      <w:bookmarkEnd w:id="388"/>
      <w:r>
        <w:rPr>
          <w:rtl w:val="true"/>
        </w:rPr>
        <w:t>رأي المحقّق النائيني</w:t>
      </w:r>
      <w:bookmarkEnd w:id="389"/>
    </w:p>
    <w:p>
      <w:pPr>
        <w:pStyle w:val="BookText"/>
        <w:rPr/>
      </w:pPr>
      <w:r>
        <w:rPr>
          <w:rFonts w:ascii="Amiri" w:hAnsi="Amiri" w:eastAsia="Amiri" w:cs="Amiri"/>
          <w:color w:val="111111"/>
          <w:sz w:val="28"/>
          <w:sz w:val="28"/>
          <w:szCs w:val="28"/>
          <w:rtl w:val="true"/>
          <w:lang w:bidi="ar-SA"/>
        </w:rPr>
        <w:t>و ذهب المحقّق النائيني إلى عدم الترجيح و بالتالي صيرورة القضيتين مجملتين، فتصل النوبة إلى الأُصول العملية،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القضيتين ظاهر في العلّة المنحصرة و لكن تعدّدها ينافي ذلك، فلا بدّ إمّا من رفع اليد عن كونه علّة تامة و جعله جزء العلة فيكون المجموع من الشرطين علة تامة منحصرة ينتفي الجزاء عند انتفائهما معاً، فتكون القضيتان قضية واحدة، مثلًا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فقصّر و إذا خفي الجدران فقصّر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و الجدران فقصّر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رفع اليد عن كونه علّة منحصرة مع بقائه على كونه علّة تامّة فيكون الشرط أحدهما تخييراً و تكون القضيتان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أو خفي الجدران فقصّر، و يكفي حينئذ أحدهما في ترتب الجزاء، و حينئذٍ لا بدّ من رفع اليد عن أحد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ظهور الشرط في كونه علة تامة و إمّا ظهوره في كونه علّة منحصرة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لم يكن أحد الظهورين أقوى من ظهور الآخر و لا أحدهما حاكماً على الآخر لمكان انّ كلا من الظهورين إنّما يكون بالإطلاق و مقدّمات الحكمة كان اللازم الجري على ما يقتضيه العلم الإجمالي من ورود التقييد على أحد الإطلاقين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إنّ دلالة القضية الشرطية على السببية التامة أظهر من دلالتها على السببية المنحصرة، و الدلالة الأُولى مورد اتفاق إذا كان المتكلّم في مقام البيان، بخلاف الدلالة الثانية فقد عرفت إنكار جمع المحقّقين لها، و التصرف في مفهوم كلّ من القضيتين بمنطوق الآخر تصرف في 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انحصار العلّية و السببية في واحد من الشرطين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التصرف في منطوق كلّ بالآخر فانّه تصرف في سببية كلّ للجزاء و دلالة القضية الشرطية للسببية التامة أقوى و أظهر من دلالتها على الانحصار، و مع دوران الأمر بين أحد التقييدين يتصرف في الأضعف دون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انّا نعلم علماً وجدانياً بزوال الانحصار إمّا بزواله وحده أو في ضمن زوال الاستقلال، فعند ذلك ينحل العلم الإجمالي إلى علم تفصيلي، و هو زوال الانحصار و شك بدوي و هو الشك في زوال الاستقلال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يؤيّد ما ذكرنا من أنّ اللازم رفع اليد عن الانحصار دون السببيّة بأنّ مصب التعارض و إن كان هو المفهوم من جانب و المنطوق من جانب آخر إلّا أنّه يستحيل التصرف في المفهوم نفسه، لأنّه مدلول تبعي و لازم عقلي للمنطوق، فلا بدّ من رفع اليد عن ملزوم المفهوم بمقدار يرتفع به التعارض، و لا يكون ذلك إلّا بتقييد المنطوق و رفع اليد عن </w:t>
      </w:r>
      <w:bookmarkStart w:id="390" w:name="pg16640_202364"/>
    </w:p>
    <w:p>
      <w:pPr>
        <w:pStyle w:val="BookText"/>
        <w:rPr/>
      </w:pPr>
      <w:bookmarkEnd w:id="390"/>
      <w:r>
        <w:rPr>
          <w:rFonts w:ascii="Amiri" w:hAnsi="Amiri" w:eastAsia="Amiri" w:cs="Amiri"/>
          <w:color w:val="111111"/>
          <w:sz w:val="28"/>
          <w:sz w:val="28"/>
          <w:szCs w:val="28"/>
          <w:rtl w:val="true"/>
          <w:lang w:bidi="ar-SA"/>
        </w:rPr>
        <w:t>انحصاره، دون كونه علة تامة، لعدم الحاجة إلى التصرف في تمامية كل واحد من الشرطين بعد إلغاء الانحصار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إذا صار حجة يكون كالمنطوق في قابلية كلّ للتقييد فكيف يقول باستحالة التصرف في المفهوم بحجّة انّه مدلول تبعي و لازم عقلي للمنطوق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صار المنطوق واسطة في الثبوت في ظهور هذه الحجة، و عندئذ لا مانع بعد ظهورها أن يكون طرفاً للمعارضة بينه و بين المنطوق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کيف کان فالقول بأنّ كلّ واحد سبب مستقل هو الظاهر فلا يصار الی القول بأنّهما معاً سبب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الوجوه الثلاثة و هي</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11691347_1280447820"/>
      <w:bookmarkStart w:id="392" w:name="_Toc141"/>
      <w:bookmarkEnd w:id="391"/>
      <w:r>
        <w:rPr>
          <w:rtl w:val="true"/>
        </w:rPr>
        <w:t>الوجه الثالث</w:t>
      </w:r>
      <w:r>
        <w:rPr>
          <w:rtl w:val="true"/>
        </w:rPr>
        <w:t xml:space="preserve">: </w:t>
      </w:r>
      <w:r>
        <w:rPr>
          <w:rtl w:val="true"/>
        </w:rPr>
        <w:t>رفع اليد عن المفهوم منهما</w:t>
      </w:r>
      <w:bookmarkEnd w:id="392"/>
    </w:p>
    <w:p>
      <w:pPr>
        <w:pStyle w:val="BookText"/>
        <w:rPr/>
      </w:pPr>
      <w:r>
        <w:rPr>
          <w:rFonts w:ascii="Amiri" w:hAnsi="Amiri" w:eastAsia="Amiri" w:cs="Amiri"/>
          <w:color w:val="111111"/>
          <w:sz w:val="28"/>
          <w:sz w:val="28"/>
          <w:szCs w:val="28"/>
          <w:rtl w:val="true"/>
          <w:lang w:bidi="ar-SA"/>
        </w:rPr>
        <w:t>و حاصل هذا الوجه هو سلب المفهوم عن القضيتين و انّهما لا تدلّان وراء المنطوق على شي‌ء آخر حتّى يخصص منطوق كلّ بمفهوم الآخر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المراد من سلب المفهوم فهل المراد انکار المفهوم للشرط ام المراد تعارض المفهومين مع المنطوقين و تساقطهما؟ و الاول خلاف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 يرجع الی الوجه الاول و قد عرفت ضعفه </w:t>
      </w:r>
      <w:r>
        <w:rPr>
          <w:rFonts w:eastAsia="IRNazanin" w:cs="IRNazanin"/>
          <w:color w:val="111111"/>
          <w:sz w:val="28"/>
          <w:szCs w:val="28"/>
          <w:rtl w:val="true"/>
          <w:lang w:bidi="fa-IR"/>
        </w:rPr>
        <w:t xml:space="preserve">. </w:t>
      </w:r>
      <w:bookmarkStart w:id="393" w:name="pg16640_202365"/>
    </w:p>
    <w:p>
      <w:pPr>
        <w:pStyle w:val="Heading2"/>
        <w:numPr>
          <w:ilvl w:val="1"/>
          <w:numId w:val="1"/>
        </w:numPr>
        <w:rPr/>
      </w:pPr>
      <w:bookmarkStart w:id="394" w:name="__RefHeading___Toc11691349_1280447820"/>
      <w:bookmarkStart w:id="395" w:name="_Toc142"/>
      <w:bookmarkEnd w:id="393"/>
      <w:bookmarkEnd w:id="394"/>
      <w:r>
        <w:rPr>
          <w:rtl w:val="true"/>
        </w:rPr>
        <w:t>الوجه الرابع</w:t>
      </w:r>
      <w:r>
        <w:rPr>
          <w:rtl w:val="true"/>
        </w:rPr>
        <w:t xml:space="preserve">: </w:t>
      </w:r>
      <w:r>
        <w:rPr>
          <w:rtl w:val="true"/>
        </w:rPr>
        <w:t>جعل الشرط هو القدر المشترك</w:t>
      </w:r>
      <w:bookmarkEnd w:id="395"/>
    </w:p>
    <w:p>
      <w:pPr>
        <w:pStyle w:val="BookText"/>
        <w:rPr/>
      </w:pPr>
      <w:r>
        <w:rPr>
          <w:rFonts w:ascii="Amiri" w:hAnsi="Amiri" w:eastAsia="Amiri" w:cs="Amiri"/>
          <w:color w:val="111111"/>
          <w:sz w:val="28"/>
          <w:sz w:val="28"/>
          <w:szCs w:val="28"/>
          <w:rtl w:val="true"/>
          <w:lang w:bidi="ar-SA"/>
        </w:rPr>
        <w:t>و حاصل هذا الوجه، هو جعل الشرط القدر الجامع المشترك بين الخفاءين، فليس الميزان خفاء الأذان بما هو هو و لا خفاء الجدران كذلك، بل الميزان في وجوب القصر، هو البعد عن الوطن أو محل الإقامة بمقدار خاص يلازمه خفاء الأذان و الجدران، فخفاؤهما أمارتان للموضوع أي الابتعاد بمقدار خاص و طريقان إليه، و ليس لهما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وحدة المعلول أي وجوب القصر كاشف عن وحدة العلّة لامتناع صدور الواحد عن الكثير بما هو كثير من دون جامع بينهما، فهذه القاعدة تجرّ الباحث إلى القول بأنّ هنا علّة واحدة و هي البعد عن الوطن أو محل الإقامة للمعلول الواحد أي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تجري في الاعتباريات فانها تابعة لاعتبار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مصب القاعدة على فرض صحتها هو الأُمور التكوينية لا الاعتبارية، و أين هذه الضابطة من الوجوب الاعتباري النوعي اي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يتكثر بتكثر أفراده؟</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11691351_1280447820"/>
      <w:bookmarkStart w:id="397" w:name="_Toc143"/>
      <w:bookmarkEnd w:id="396"/>
      <w:r>
        <w:rPr>
          <w:rtl w:val="true"/>
        </w:rPr>
        <w:t>بطلان قاعدة الواحد</w:t>
      </w:r>
      <w:bookmarkEnd w:id="3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قاعدة الواحد لا يصدر الّا من واحد عقلا کما حققناه في کتابنا الرؤية الفلسفية نقد و تحليل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يظهر من تاريخ الفلسفة و اعتقادات الملل؛ إن الأصل في هذه القاعدة هو تبرير القول بإلهين،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الخير و الشر و إنه يستحيل صدور الضد من الاله الذي هو محض الخير و المراد من الضّد هو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الضد هنا بالمعنی الاعم من النقيض و الضد المنطقي فهو شامل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أجاب عن هذه الشبهة السيد الکبير عبد الله شبر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اللازم من ذلك ان يکون لکل ضد إله مستقل وإنه يلزم تعدد الآلهة بتعدد الأضداد؛ کالبياض و السواد، و الحرارة و البرودة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اجاب عن هذه القاعده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الفلاسفة هم أنفسهم لا يلتزمون بالقاعدة فإن مقتضی القاعدة أن لا يصدر إلّا شيء واحد في حين إنهم يقولون إن الصادر الأول من الله سبحانه و تعالی مشتمل علی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الجهة الثانية مستندة في وجودها الی الله جل و علا فيلزم تعدد الجهة في ذاته و هم لا يقولون بذلك و إن لم تکن مستندة اليه فلازم ذلک استناد الموجود الی المعدوم اي يکون حصوله بلا علة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اجاب عن ذلك 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هاتين الجهتين انتزاعيتان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الأمر الإنتزاعي معدوم؛ فيلزم استناد الموجود الی المعدوم، حيث أنهم قائلون بصدور عقل و فلك من الصادر الأول و لازمه استناد الموجود الی المعدوم اي انه لا علة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استدل به من أن الشيء لا يکون علة لضده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ينطبق علی الله جل و علا لأنه تعالی لا ضد له بمعنی الممانع کما ثبت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واحد لا يتثنی و 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فوق الحد لان التناهي بمعنی الامتداد و عدمه من صفات الموجودات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مثيل و لا شبيه و عليه فجميع الأضداد الصادرة منه ليست ضداً له فالضدان أمران وجوديان لايجتمعان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بعد عدم إمکان التعدد فيه يستحيل أن يکون له ممانعاً في وجوده فالأضداد في عالم المخلوقات لا علاقة لها بعالم الخالقية فلايمکن قياس عالم الآثار علی عالم المؤثر فقد قام البرهان أن الأثر غير المؤثر و أن الحاد غير </w:t>
      </w:r>
    </w:p>
    <w:p>
      <w:pPr>
        <w:pStyle w:val="BookText"/>
        <w:rPr/>
      </w:pPr>
      <w:r>
        <w:rPr>
          <w:rFonts w:ascii="IRNazanin" w:hAnsi="IRNazanin" w:eastAsia="IRNazanin"/>
          <w:color w:val="111111"/>
          <w:sz w:val="28"/>
          <w:sz w:val="28"/>
          <w:szCs w:val="28"/>
          <w:rtl w:val="true"/>
          <w:lang w:bidi="fa-IR"/>
        </w:rPr>
        <w:t>المحدود فالمؤثر هنا لا يتطرق اليه التحديد و لا مقهورية في ذاته و بعد عدم وجود مقهورية في ذاته فهو غير الأثر الذي هو مقهور و مغلوب علی أمره و محدود في ذاته و وجوده فان وجوده مجعول قابل للعدم فلا سنخية بين الاثار وبين ذات الله تعالی حيث لا تکون مجعولة و لا قابلة للوجود و العدم فالآثار فيما بينها متضادة لانها من سنخ واحد أما بالنسبة الی مؤثرها فلا تضاد بينها و بينه لانه تعالی ليس من سنخها بل هي کلها تحت سلطانه يوجدها و يعدمها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لايوجد دليل عقلي بديهي او برهاني علی صحة هذه القاعدة الواحد لايصدر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يکفينا عدم الدليل في بطلانها، وما ذکر من الاستدلال عليها فأنه ليس ببرهان عقلي، بل الدليل فيه عين المدعی،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يمکن أن يصدر الکثير بما هو کثير من الواحد بما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عين محتوی الواحد لا يصدر منه الّا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يستدل لها بإنه لو لم نقل بان الواحد لا يصدر منه الّا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أن يکون کل شيء علة لکل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الاستدلال باطل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يبتني علی ثبوت السنخية و هي باطلة من وجوه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الوجود، لا تدل علی حقيقة الوجود، و لا يمکن أن تشخص لنا کنه الوجود، و ليست هي مرادفة للذات المقدسة الالهية و ما هي إلّا عبارة عن التحقق و الثبوت، و لا معنی لأن يکون التحقق علة للتحقق کما لايخفی و عليه فما يقوله الفلاسفة من کون الله جل وعلا وجوداً لايصدر منه الّا الوجود مصادرة علی المطلوب بمعنی انه قد فرض سابقاً بان طبيعة و حقيقة واحدة مشترکة بين الخالقوالمخلوق تسمی بالوجود و الحال ان هذا اول الکلام و ذلک لان کلمه الوجود لا تشخص لنا کنه و حقيقة الوجود بل ما هي الّا عباره عن التحقق والثبوت لاغير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أي دليل عقلي علی ضرورة المسانخة بين العلة و المعلول إلّا ما يظهر من السنخية بين العلل و المعاليل الطبيعة، و لا شك أنه لا يمکن قياسها علی العلل و المعاليل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يثبت کقانون في الطبيعة لا يکون دليلاً علی ثبوته کقانون يحکم الوجود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فلنفرض أن هنالك مسانخة بين النار و الحرارة فليس معنی ذلك أن ثبوت هذا القانون الطبيعي غير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ضروري الوجود و الثبوت حتی في الواقع، و لايمکن تبدله و تغيره و قد اوضحنا ذلک في کتابنا الرؤية الفلسفية نقد و تحليل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يستلزم اجتماع النقيضين فالذي يقول بالسنخية بين العلة والمعلول لابد و أن يعتقد باجتماع النقيضين أو يقول بعدم وجود الممكن اصلا كما فعل كثير من الفلاسفة وقالوا ان ممكن الوجود لا وجود له و ذلك لان السنخية لو كانت موجودة بين المرتبة غير المتناهية و المرتبة الضعيفة فمعنى ذلك هو الاشتراك في حقيقة واحدة و هذه الحقيقة الواحدة بالنسبة الى مرتبتها الضعيفة ليست بواجبة الوجود بل هي ممكنة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الی مرتبتها العالية هي واجبة الوجود و لازم ذلك هو اجتماع وجوب الوجود مع عدم وجوب الوجود و هذا هو اجتماع النقيضين وهو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في الواقع علل متعددة و إنما هنالك علة واحدة و هي الذات المقدسة الالهية و ما سواها فإنما يستمد الوجود منها و لا يملك من أمره شيئاً ما لم تهب له الذات المقدسة من وجود و قدرة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تعرف وجه المغالطة في الإستدلال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لجاز أن يکون کل شيء علة لکل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في الواقع مصاديق کل شيء حتی يصدر منها کل شيء و إنما الواقع إله واحد و قدرة واحدة و ما سواها إنما يستمد القدرة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إذن ساقطة من الحساب</w:t>
      </w:r>
      <w:r>
        <w:rPr>
          <w:rFonts w:eastAsia="IRNazanin" w:cs="IRNazanin"/>
          <w:color w:val="111111"/>
          <w:sz w:val="28"/>
          <w:szCs w:val="28"/>
          <w:rtl w:val="true"/>
          <w:lang w:bidi="fa-IR"/>
        </w:rPr>
        <w:t xml:space="preserve">. </w:t>
      </w:r>
      <w:bookmarkStart w:id="398" w:name="pg16640_202369"/>
    </w:p>
    <w:p>
      <w:pPr>
        <w:pStyle w:val="BookText"/>
        <w:rPr/>
      </w:pPr>
      <w:bookmarkEnd w:id="398"/>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قيام البرهان القاطع علی ثبوت الذات الأحدية الواحدة المنفردة في الألوهية و بعد ثبوت الکثرة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الفلاسفة يعترفون بثبوت الکثرة في الخارج و من أجلها افترضوا عقولاً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هذه الکثرات لم تستند في وجودها و ما تملك من قدرة وسعة في الوجود إلّا إليه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يعترفون بذلك لکن بتوسط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نعلم علم اليقين أن هذه الکثرة صادرة منه تعالی لا من غيره لأن غيره لا يملك من أمره شيئاً ما لم يملّکه باريه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يملّکون معاليله من قدرة علی خلق الجهات المتعددة و هم لايملکون إلّا ما وهبهم و ملکهم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العقل ينادي إن الوجود من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بلا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مستحيل</w:t>
      </w:r>
      <w:r>
        <w:rPr>
          <w:rFonts w:eastAsia="IRNazanin" w:cs="IRNazanin"/>
          <w:color w:val="111111"/>
          <w:sz w:val="28"/>
          <w:szCs w:val="28"/>
          <w:rtl w:val="true"/>
          <w:lang w:bidi="fa-IR"/>
        </w:rPr>
        <w:t>.</w:t>
      </w:r>
    </w:p>
    <w:p>
      <w:pPr>
        <w:pStyle w:val="Heading2"/>
        <w:numPr>
          <w:ilvl w:val="1"/>
          <w:numId w:val="1"/>
        </w:numPr>
        <w:rPr/>
      </w:pPr>
      <w:bookmarkStart w:id="399" w:name="__RefHeading___Toc11691353_1280447820"/>
      <w:bookmarkStart w:id="400" w:name="_Toc144"/>
      <w:bookmarkEnd w:id="399"/>
      <w:r>
        <w:rPr>
          <w:rtl w:val="true"/>
        </w:rPr>
        <w:t>الوجه الخامس</w:t>
      </w:r>
      <w:r>
        <w:rPr>
          <w:rtl w:val="true"/>
        </w:rPr>
        <w:t xml:space="preserve">: </w:t>
      </w:r>
      <w:r>
        <w:rPr>
          <w:rtl w:val="true"/>
        </w:rPr>
        <w:t>رفع اليد عن مفهوم إحدى القضيتين</w:t>
      </w:r>
      <w:bookmarkEnd w:id="400"/>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يرفع اليد عن خصوص إحدى القضيتين و يؤخذ بمفهوم القضية الأُخرى، و هذا هو المنقول عن ابن إدريس الحلي فزعم انّه يُلغى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بمفهوم القضية الأُخرى، فعندئذ يرتفع التعارض</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ترجيح بلا مرجح، مضافا الی انّ التعارض باق على حاله أيضاً، و ذلك لأنّ القول بعدم اشتمال القضية الأُولى على المفهوم و إن كان يعالج التعارض في جانب مفهوم تلك القضية، و لكنّه باق على حاله في الجانب الآخر، فإذا كان مفهوم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خفيت الجدران فقصّر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انّه إذا لم تخف الجدران فلا تقصر، و عندئذ يقع التعارض بين هذا المفهوم و منطوق القضية الأُولى، فعلى المفهوم لا يجوز القصر، و على منطوق القضية الأُولى يجب القصر و بذلك ظهر انّ الطريق منحصر في الأوّلين، أي إمّا تقييد </w:t>
      </w:r>
      <w:bookmarkStart w:id="401" w:name="pg16640_202370"/>
    </w:p>
    <w:p>
      <w:pPr>
        <w:pStyle w:val="BookText"/>
        <w:rPr/>
      </w:pPr>
      <w:bookmarkEnd w:id="401"/>
      <w:r>
        <w:rPr>
          <w:rFonts w:ascii="Amiri" w:hAnsi="Amiri" w:eastAsia="Amiri" w:cs="Amiri"/>
          <w:color w:val="111111"/>
          <w:sz w:val="28"/>
          <w:sz w:val="28"/>
          <w:szCs w:val="28"/>
          <w:rtl w:val="true"/>
          <w:lang w:bidi="ar-SA"/>
        </w:rPr>
        <w:t>مفهوم كل بمنطوق الآخر، أو تقييد منطوق كلّ بالآخر، فمقتضى الصناعة هو الأوّل كما عرفت، غير أنّ الفتاوى على الثاني</w:t>
      </w:r>
      <w:r>
        <w:rPr>
          <w:rFonts w:eastAsia="Amiri" w:cs="Amiri" w:ascii="Amiri" w:hAnsi="Amiri"/>
          <w:color w:val="111111"/>
          <w:sz w:val="28"/>
          <w:szCs w:val="28"/>
          <w:rtl w:val="true"/>
          <w:lang w:bidi="ar-SA"/>
        </w:rPr>
        <w:t>.</w:t>
      </w:r>
    </w:p>
    <w:p>
      <w:pPr>
        <w:pStyle w:val="Heading2"/>
        <w:numPr>
          <w:ilvl w:val="1"/>
          <w:numId w:val="1"/>
        </w:numPr>
        <w:rPr/>
      </w:pPr>
      <w:bookmarkStart w:id="402" w:name="__RefHeading___Toc11691355_1280447820"/>
      <w:bookmarkStart w:id="403" w:name="_Toc145"/>
      <w:bookmarkEnd w:id="402"/>
      <w:r>
        <w:rPr>
          <w:rtl w:val="true"/>
        </w:rPr>
        <w:t>التنبيه الثاني في تداخل الأسباب و عدمه</w:t>
      </w:r>
      <w:bookmarkEnd w:id="403"/>
    </w:p>
    <w:p>
      <w:pPr>
        <w:pStyle w:val="BookText"/>
        <w:rPr/>
      </w:pPr>
      <w:r>
        <w:rPr>
          <w:rFonts w:ascii="Amiri" w:hAnsi="Amiri" w:eastAsia="Amiri" w:cs="Amiri"/>
          <w:color w:val="111111"/>
          <w:sz w:val="28"/>
          <w:sz w:val="28"/>
          <w:szCs w:val="28"/>
          <w:rtl w:val="true"/>
          <w:lang w:bidi="ar-SA"/>
        </w:rPr>
        <w:t>ثم ان الجزاء اذا كان قابلا للتكرار فهو على 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يثبت بالدليل أنّ كلّا من الشرطين جزء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كلام حينئذ في أنّ الجزاء واحد يحصل عند حصول الشرطين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من دليل مستقلّ، أو من ظاهر دليل الشرط أنّ كلّا من الشرطين سبب مستقلّ، سواء كان للقضيّة الشرطيّة مفهوم أم لم يكن، و يقع البحث تارة في أنّ كلّ سبب هل يقتضي مسبباً مستقلًا أم لا؟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 إذا نمت فتوضأ، فهل يقتضي كلّ من البول و النوم مسبباً مستقلًا، أي إيجاباً متعدّداً أو لا؟و على فرض اقتضائه وجوباً متعدداً، يقع الكلام في كفاية الوضوء الواحد لامتثال الوجوبين أم لا، و يعبر عن الأوّل و هو اقتضاء كلّ سبب وجوباً مستقلًا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التداخل في الأسباب و تداخله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يعبر عن الثاني اي كفاية وضوء واحد عن امتثال وجوبين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بالتداخل في المسببات و عدمه و يأتي البحث عنه في التنبيه الثالث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البحث في کلا المقامين عقلي لان البحث عن تداخل الأسباب انما هو في مقام التأثير و عدمه، و على فرض عدم التداخل، فالبحث عن تداخل المسببات في مقام الامتثال و عدمه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 النزاع كما يجري في القضايا الشرطية، يجري في القضايا الخبرية،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تغتسل، و الجنب يغتسل، نعم يمكن إرجاع القضايا الخبرية إلى الشرطية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تغتسل كما يمكن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مسالة تداخل الاسباب و عدمه فقد وقع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اتّفق وقوع الشرطين معا في وقت واحد أو متعاقبين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القاعدة أيّ شي‌ء تقتضي؟ هل تقتضي تداخل الأسباب فيكون لها جزاء واحد كما في مثال تداخل موجبات الوضوء من خروج البول أو الغائط و النوم و نحوهما، أم تقتضي عدم التداخل فيتكرّر الجزاء بتكرّر الشروط، كما في مثال تعدّد وجوب الصلاة بتعدّد أسبابه من دخول وقت اليوميّة و حصول الآيات؟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إذا ورد دليل خاصّ على التداخل أو عدمه وجب الأخذ بذلك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ورود الدليل الخاصّ فهو محلّ الخلاف و فيه اقوال و هي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التداخل مطلقاً، و هو المحکي عن المشهور و إليه ذهب الشيخ الأعظم و المحقّق الخراساني و هو مذهب أساطين العلماء الأعلام قدّس اللّه أسرارهم</w:t>
      </w:r>
      <w:r>
        <w:rPr>
          <w:rStyle w:val="FootnoteAnchor"/>
          <w:rtl w:val="true"/>
        </w:rPr>
        <w:footnoteReference w:id="202"/>
      </w:r>
      <w:r>
        <w:rPr>
          <w:rFonts w:ascii="Amiri" w:hAnsi="Amiri" w:eastAsia="Amiri" w:cs="Amiri"/>
          <w:color w:val="111111"/>
          <w:sz w:val="28"/>
          <w:sz w:val="28"/>
          <w:szCs w:val="28"/>
          <w:rtl w:val="true"/>
          <w:lang w:bidi="ar-SA"/>
        </w:rPr>
        <w:t>، إلّا ما خرج بالدليل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التداخل مطلقاً، و هو خيرة المحقّق الخونساري و السيد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بين اختلاف الشرطين ماهية أو اتحادهما كذلك و تعدّدهما مصداقاً، فالأوّل كما مرّ كالنوم و البول، و الجنابة و مس الميت و الزيادة و النقيصة في الصلاة فانّ زيادة الركوع، غير زيادة السجود، و كذلك نقيصتهما؛ و أمّا الثانيفمعلوم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ابن إدريس </w:t>
      </w:r>
      <w:bookmarkStart w:id="404" w:name="pg16640_202372"/>
    </w:p>
    <w:p>
      <w:pPr>
        <w:pStyle w:val="BookText"/>
        <w:rPr/>
      </w:pPr>
      <w:bookmarkEnd w:id="404"/>
      <w:r>
        <w:rPr>
          <w:rFonts w:ascii="Amiri" w:hAnsi="Amiri" w:eastAsia="Amiri" w:cs="Amiri"/>
          <w:color w:val="111111"/>
          <w:sz w:val="28"/>
          <w:sz w:val="28"/>
          <w:szCs w:val="28"/>
          <w:rtl w:val="true"/>
          <w:lang w:bidi="ar-SA"/>
        </w:rPr>
        <w:t>إلى عدم التداخل في الأوّل، و التداخل في الثاني، و لذلك أفتى بعدم تكرر الكفّارة، لو تكرر وطء الحائض</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11691357_1280447820"/>
      <w:bookmarkStart w:id="406" w:name="_Toc146"/>
      <w:bookmarkEnd w:id="405"/>
      <w:r>
        <w:rPr>
          <w:rtl w:val="true"/>
        </w:rPr>
        <w:t>الاول</w:t>
      </w:r>
      <w:r>
        <w:rPr>
          <w:rtl w:val="true"/>
        </w:rPr>
        <w:t xml:space="preserve">: </w:t>
      </w:r>
      <w:r>
        <w:rPr>
          <w:rtl w:val="true"/>
        </w:rPr>
        <w:t>القول بعدم التداخل في الأسباب</w:t>
      </w:r>
      <w:bookmarkEnd w:id="406"/>
    </w:p>
    <w:p>
      <w:pPr>
        <w:pStyle w:val="BookText"/>
        <w:rPr/>
      </w:pPr>
      <w:r>
        <w:rPr>
          <w:rFonts w:ascii="Amiri" w:hAnsi="Amiri" w:eastAsia="Amiri" w:cs="Amiri"/>
          <w:color w:val="111111"/>
          <w:sz w:val="28"/>
          <w:sz w:val="28"/>
          <w:szCs w:val="28"/>
          <w:rtl w:val="true"/>
          <w:lang w:bidi="ar-SA"/>
        </w:rPr>
        <w:t>استدلّ القائل بعدم التداخل في الأسباب بظهور القضية الشرطية في حدوث الجزاء اي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حدوث الشرط، سواء أقلنا إنّه هو السبب أم كاشف عن السبب الواقعي و لازم ذلك تعدّد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لكلّ شرطيّة ظهورين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الشرط فيها في الاستقلال بالسببيّة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الظهور يقتضي أن يتعدّد الجزاء في الشرطيّتين موضوعتي البحث، فلا تتداخل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الجزاء فيها في أنّ متعلّق الحكم فيه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صرف الشي‌ء لا يمكن أن يكون محكوما بحكمين، فيقتضي ذلك أن يكون لجميع الأسباب جزاء واحد و حكم واحد عند فرض اجتماعها، فتتداخل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فيقع التنافي بين هذين الظهورين، فإذا قدّمنا الظهور الأوّل لا بدّ أن نقول بعدم التداخل، و إذا قدّمنا الظهور الثاني لا بدّ أن نقول بالتداخل، فأيّهما أولى بالتقديم؟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هو تقديم ظهور الشرط على ظهور الجزاء، و ذكروا لتقديم ظهور القضية الشرطية في الحدوث عند الحدوث، الذي هو الأساس لعدم التداخل وجوهاً و هي</w:t>
      </w:r>
      <w:r>
        <w:rPr>
          <w:rFonts w:eastAsia="IRNazanin" w:cs="IRNazanin"/>
          <w:color w:val="111111"/>
          <w:sz w:val="28"/>
          <w:szCs w:val="28"/>
          <w:rtl w:val="true"/>
          <w:lang w:bidi="fa-IR"/>
        </w:rPr>
        <w:t xml:space="preserve">: </w:t>
      </w:r>
      <w:bookmarkStart w:id="407" w:name="pg16640_202373"/>
    </w:p>
    <w:p>
      <w:pPr>
        <w:pStyle w:val="Heading2"/>
        <w:numPr>
          <w:ilvl w:val="1"/>
          <w:numId w:val="1"/>
        </w:numPr>
        <w:rPr/>
      </w:pPr>
      <w:bookmarkStart w:id="408" w:name="__RefHeading___Toc11691359_1280447820"/>
      <w:bookmarkStart w:id="409" w:name="_Toc147"/>
      <w:bookmarkEnd w:id="407"/>
      <w:bookmarkEnd w:id="408"/>
      <w:r>
        <w:rPr>
          <w:rtl w:val="true"/>
        </w:rPr>
        <w:t>الوجه الاول</w:t>
      </w:r>
      <w:r>
        <w:rPr>
          <w:rtl w:val="true"/>
        </w:rPr>
        <w:t>:</w:t>
      </w:r>
      <w:bookmarkEnd w:id="409"/>
    </w:p>
    <w:p>
      <w:pPr>
        <w:pStyle w:val="BookText"/>
        <w:rPr/>
      </w:pPr>
      <w:r>
        <w:rPr>
          <w:rFonts w:ascii="Amiri" w:hAnsi="Amiri" w:eastAsia="Amiri" w:cs="Amiri"/>
          <w:color w:val="111111"/>
          <w:sz w:val="28"/>
          <w:sz w:val="28"/>
          <w:szCs w:val="28"/>
          <w:rtl w:val="true"/>
          <w:lang w:bidi="ar-SA"/>
        </w:rPr>
        <w:t>و اليه ذهب المحقّق الخراساني تبعاً للمشهور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دوران بين ظهور الجملة في حدوث الجزاء، و ظهور الإطلاق، ضرورة انّ ظهور الإطلاق، يكون معلّقاً على عدم البيان، و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لأن يكون بياناً فلا ظهور للجزاء مع ظهورها فلا يلزم على القول بعدم التداخل تصرف أصلًا، بخلاف القول بالتداخل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القضية الشرطية على الحدوث عند الحدوث و إن كانت لفظية لكن دلالتها على أنّ الشرط في عامة الأحوال كذلك، سواء سبقه الشرط الآخر أم قارنه أو تأخّر عنه، إنّما هو بالإطلاق و سكوت المتكلّم مع كونه في مقام البيان، فالمقام من قبيل تعارض الإطلاقين، لا من قبيل تعارض الدلالة اللفظية مع الدلالة الإطلاقية، فكما أنّ إطلاق الشرط يصلح لأن يكون قرينة على تقييد متعلّق الجزاء، أي الوجوب، و انّ المحكوم بالوجوب في الشرط الثاني غير الأوّل، كذلك إطلاق الجزاء يصلح لأن يكون قرينة على أنّ الحدوث عند الحدوث فيما إذا تفرّد الشرط، لا ما إذا سبقه الآخر أو قارنه، فعندئذ يكون الوجوب مؤكّداً لا مؤسّساً لحكم جديد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القضية الشرطيّة على أنّ كلّ سبب تامّ للجزاء و تعلّق الوجوب، و إن كان بالوضع، لكن كونه كذلك في عامة الحالات سواء كان قبله أو معه شي‌ء أو لا، إنّما هو بالإطلاق ببيان انّه لو كان المؤثر هو الشرط، بشرط أن لا يسبقه شي‌ء أو يقارنه شي‌ء، لكان عليه البيان و رفع الجهل، و حيث لم يبين يؤخذ بالإطلاق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مؤثر في عامة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النوع من الإطلاق موجود في جانب الجزاء ببيان انّ الموضوع هو الطبيعة، فلو كان الموضوع الطبيعة الموجودة في ضمن فرد آخر، لكان عليه البيان و حيث لم يبين نستكشف انّ الموضوع هو الطبيعة، و يستحيل تعلّق إرادتين مستقلتين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إطلاق القضية الشرطية صالح للتصرّف في جانب الجزاء بإضافة قيد عليه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فهكذا إطلاق الجزاء صالح للتصرّف في جانب القضية الشرطية بأحد الوجهين الماضيين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عند الحدوث، أو الوجوب المؤكّد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الجزاء لمّا كان معلّقا على الشرط فهو تابع له ثبوتا و إثباتا، فإن كان واحدا كان الجزاء واحدا و إن كان متعدّدا كان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المقدّم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فرض ظهور الشرطيّتين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الجزاء تابعا له؛ و عليه، لا يستقيم للجزاء ظهور في وحدة المطلوب؛ فيخرج المقام عن باب التعارض بين الظهورين، بل يكون الظهور في التعدّد رافعا للظهور في الوحدة؛ لأنّ الظهور في الوحدة لايكون إلّا بعد فرض سقوط الظهور في التعدّد، أو بعد فرض عدمه، أمّا مع وجوده فلا ينعقد الظهور في الوحدة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ما ذكرنا يرجع قول المحقّق الأصفهاني في بيان وجه عدم التداخل من انّ العرف إذا أُلقيت إليه القضيتان، فكأنّه يرى مقام الإثبات مقروناً بمقام الثبوت و يحكم بمقتضى تعدّد السبب بتعدّد الجزاء من غير التفات إلى أنّ مقتضى إطلاق المتعلّق خلافه، و هذا المقدار من الظهور كاف في المقام</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فمقتضی القاعدة في المقام هو عدم التداخل</w:t>
      </w:r>
      <w:r>
        <w:rPr>
          <w:rFonts w:eastAsia="IRNazanin" w:cs="IRNazanin"/>
          <w:color w:val="111111"/>
          <w:sz w:val="28"/>
          <w:szCs w:val="28"/>
          <w:rtl w:val="true"/>
          <w:lang w:bidi="fa-IR"/>
        </w:rPr>
        <w:t xml:space="preserve">. </w:t>
      </w:r>
      <w:bookmarkStart w:id="410" w:name="pg16640_202375"/>
    </w:p>
    <w:p>
      <w:pPr>
        <w:pStyle w:val="BookText"/>
        <w:rPr/>
      </w:pPr>
      <w:bookmarkEnd w:id="410"/>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بناء على ما يظهر من الشيخ الانصاري رحمه الله من كون ظهور الإطلاق معلقاً على عدم البيان مطلقاً و لو كان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أنه انما يكون معلقاً على عدم البيان في مقام التخاطب لا مطلقاً فالدوران حقيقة بين الظهورين حينئذ و ان كان، إلّا أنه لا دوران بينهما حكماً، لأن العرف لا يكاد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الاطلاع على تعدد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قضيته تعدد الجزاء، و أنه في كل قضية وجوب فرد غير ما وجب في الأخرى، كما إذا اتصلت القضايا و كانت في كلام واحد</w:t>
      </w:r>
    </w:p>
    <w:p>
      <w:pPr>
        <w:pStyle w:val="Heading2"/>
        <w:numPr>
          <w:ilvl w:val="1"/>
          <w:numId w:val="1"/>
        </w:numPr>
        <w:rPr/>
      </w:pPr>
      <w:bookmarkStart w:id="411" w:name="__RefHeading___Toc11691361_1280447820"/>
      <w:bookmarkStart w:id="412" w:name="_Toc148"/>
      <w:bookmarkEnd w:id="411"/>
      <w:r>
        <w:rPr>
          <w:rtl w:val="true"/>
        </w:rPr>
        <w:t>الوجه الثاني</w:t>
      </w:r>
      <w:r>
        <w:rPr>
          <w:rtl w:val="true"/>
        </w:rPr>
        <w:t>:</w:t>
      </w:r>
      <w:bookmarkEnd w:id="412"/>
    </w:p>
    <w:p>
      <w:pPr>
        <w:pStyle w:val="BookText"/>
        <w:rPr/>
      </w:pPr>
      <w:r>
        <w:rPr>
          <w:rFonts w:ascii="Amiri" w:hAnsi="Amiri" w:eastAsia="Amiri" w:cs="Amiri"/>
          <w:color w:val="111111"/>
          <w:sz w:val="28"/>
          <w:sz w:val="28"/>
          <w:szCs w:val="28"/>
          <w:rtl w:val="true"/>
          <w:lang w:bidi="ar-SA"/>
        </w:rPr>
        <w:t>ما أفاده المحقّق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نسبة الصدر إلى الذيل نسبة ذات الاقتضاء إلى فاقد الاقتضاء حيث إنّ متعلّق الجزاء نفس الماهية المهملة، و الوحدة و التعدّد، خارجان عنها، بخلاف أداة الشرط فانّها ظاهرة في السببية المطلقة و لا تعارض بين المقتضي و الاقتضاء</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خروج الوحدة و التعدّد من مدلول الجزاء و إن كان صحيحاً لكن دلالة القضية الشرطية على السببية المطلقة ليس إلّا كونه سبباً لحدوث الجزاء عند حدوث الشرط و هذا المقدار من الدلالة لا يكفي، لأنّ كونه سبباً مطلقاً في جميع الأحوال ليس مدلول الدلالة اللفظية، بل مدلول الدلالةالإطلاقية حيث إنّ المتكلّم لم يخص السببية بحال دون حال و عند ذاك تصبح السببية في عامة الأحوال مدلول الإطلاق، فكيف يقدّم على إطلاق الجزاء؟</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413" w:name="pg16640_202376"/>
    </w:p>
    <w:p>
      <w:pPr>
        <w:pStyle w:val="BookText"/>
        <w:rPr/>
      </w:pPr>
      <w:bookmarkEnd w:id="413"/>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الوحدة و التعدّد من مدلول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التعارض بينهما من قبيل تعارض الظاهر و 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فالظاهر هو المحکم</w:t>
      </w:r>
      <w:r>
        <w:rPr>
          <w:rFonts w:eastAsia="IRNazanin" w:cs="IRNazanin"/>
          <w:color w:val="111111"/>
          <w:sz w:val="28"/>
          <w:szCs w:val="28"/>
          <w:rtl w:val="true"/>
          <w:lang w:bidi="fa-IR"/>
        </w:rPr>
        <w:t>.</w:t>
      </w:r>
    </w:p>
    <w:p>
      <w:pPr>
        <w:pStyle w:val="Heading2"/>
        <w:numPr>
          <w:ilvl w:val="1"/>
          <w:numId w:val="1"/>
        </w:numPr>
        <w:rPr/>
      </w:pPr>
      <w:bookmarkStart w:id="414" w:name="__RefHeading___Toc11691363_1280447820"/>
      <w:bookmarkStart w:id="415" w:name="_Toc149"/>
      <w:bookmarkEnd w:id="414"/>
      <w:r>
        <w:rPr>
          <w:rtl w:val="true"/>
        </w:rPr>
        <w:t>الوجه الثالث</w:t>
      </w:r>
      <w:r>
        <w:rPr>
          <w:rtl w:val="true"/>
        </w:rPr>
        <w:t>:</w:t>
      </w:r>
      <w:bookmarkEnd w:id="415"/>
    </w:p>
    <w:p>
      <w:pPr>
        <w:pStyle w:val="BookText"/>
        <w:rPr/>
      </w:pPr>
      <w:r>
        <w:rPr>
          <w:rFonts w:ascii="Amiri" w:hAnsi="Amiri" w:eastAsia="Amiri" w:cs="Amiri"/>
          <w:color w:val="111111"/>
          <w:sz w:val="28"/>
          <w:sz w:val="28"/>
          <w:szCs w:val="28"/>
          <w:rtl w:val="true"/>
          <w:lang w:bidi="ar-SA"/>
        </w:rPr>
        <w:t>ما أفاده المحقّق النائيني و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ظهور القضية الشرطية في كونها انحلالية أظهر من اتحاد الجزاء في القضيتين، و ذلك لأنّه لا شبهة في أنّ القضية الشرطية، كالقضية الحقيقية، فكما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المستطيع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لمن استطاع في كلّ وقت، فكذلك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استطعت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لمن استطاع في وقت و لازم الانحلال ان يترتّب على كلّ شرط جزاء غير ما رتب على الآخر، فيكون هذا قرينة للجزاء و يصير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 إذا نِمْت ثانياً فتوضأ وضوءاً آخر</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وصفه المحقق الخوئي رحمه الله في محاضراته بأنّه في غاية الصحة و الجودة و انّه يتمّ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 ظاهرة في الانحلال و تعدد الطلب، لأنّها ترجع إلى القضية الحقيقية، و لا إشكال انّ الحكم في القضية الحقيقية ينحلّ بانحلال موضوعه إلى أحكام متعددة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تعدّد القضية الشرطية في نفسها، تعدّد الطلب أيضاً، فإذا فرض تعلّق طلبين بماهية واحدة كان مقتضى كلّ، إيجادَ تلك الماهية، فيكون المطلوب في الحقيقة هو إيجادها مرّتين فإذا فرض ظهور القضية الشرطية في الانحلالية و تعدّد الطلب، كان </w:t>
      </w:r>
      <w:bookmarkStart w:id="416" w:name="pg16640_202377"/>
    </w:p>
    <w:p>
      <w:pPr>
        <w:pStyle w:val="BookText"/>
        <w:rPr/>
      </w:pPr>
      <w:bookmarkEnd w:id="416"/>
      <w:r>
        <w:rPr>
          <w:rFonts w:ascii="Amiri" w:hAnsi="Amiri" w:eastAsia="Amiri" w:cs="Amiri"/>
          <w:color w:val="111111"/>
          <w:sz w:val="28"/>
          <w:sz w:val="28"/>
          <w:szCs w:val="28"/>
          <w:rtl w:val="true"/>
          <w:lang w:bidi="ar-SA"/>
        </w:rPr>
        <w:t xml:space="preserve">ظهور القضية في تعدّد الحكم لكونه لفظياً مقدماً على ظهور الجزاء في وحدة الطلب لو سلمنا ظهوره فيها، و يكون مقتضى القاعدة عدم التداخل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أُريد من الانحلال كون الحكم المتعلّق بالعنوان حجّة على كلّ منهم، أو حجّة على ثبوت الحكم، للموضوع كالقوم مهما وجد، فهو صحيح، لكن دلالته على ثبوت الحكم له، في عامة الأحوال، متقدماً، أو متأخراً أو لاحقاً إنّما هوبالإطلاق و سكوت المولى عن القيد، فعندئذ يكون ذلك الإطلاق نظير الإطلاق الموجود في الذيل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11691365_1280447820"/>
      <w:bookmarkStart w:id="418" w:name="_Toc150"/>
      <w:bookmarkEnd w:id="417"/>
      <w:r>
        <w:rPr>
          <w:rtl w:val="true"/>
        </w:rPr>
        <w:t>الثاني</w:t>
      </w:r>
      <w:r>
        <w:rPr>
          <w:rtl w:val="true"/>
        </w:rPr>
        <w:t xml:space="preserve">: </w:t>
      </w:r>
      <w:r>
        <w:rPr>
          <w:rtl w:val="true"/>
        </w:rPr>
        <w:t>القول بالتداخل</w:t>
      </w:r>
      <w:bookmarkEnd w:id="418"/>
    </w:p>
    <w:p>
      <w:pPr>
        <w:pStyle w:val="BookText"/>
        <w:rPr/>
      </w:pPr>
      <w:r>
        <w:rPr>
          <w:rFonts w:ascii="Amiri" w:hAnsi="Amiri" w:eastAsia="Amiri" w:cs="Amiri"/>
          <w:color w:val="111111"/>
          <w:sz w:val="28"/>
          <w:sz w:val="28"/>
          <w:szCs w:val="28"/>
          <w:rtl w:val="true"/>
          <w:lang w:bidi="ar-SA"/>
        </w:rPr>
        <w:t>ثمّ إنّ القائل بالتداخل يتصرف في ظهور الشرط في الحدوث عند الحدوث، بأحد الوجهين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دلالة القضية الشرطية على الحدوث عند الحدوث، بل على الثبوت عند الحدوث، أي ثبوت الوجوب، أعمّ من كونه نفس الوجوب السابق أو الوجوب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تصرف في ناحية الشرط، و منع دلالته على الحدوث عند الحدوث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الالتزام بحدوث الأثر عند وجود كلّ شرط إلّا أنّ الأثر وجوب الوضوء في المثال عند الشرط الأوّل، و تأكّده عند الآخر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تصرف في ناحية الجزاء و انّ الهيئة الجزائية لا تدلّ على الوجوب التأسيسي، بل إذا سبقه شرط آخر، يدل على الوجوب التأكيدي </w:t>
      </w:r>
      <w:r>
        <w:rPr>
          <w:rFonts w:eastAsia="Amiri" w:cs="Amiri" w:ascii="Amiri" w:hAnsi="Amiri"/>
          <w:color w:val="111111"/>
          <w:sz w:val="28"/>
          <w:szCs w:val="28"/>
          <w:rtl w:val="true"/>
          <w:lang w:bidi="ar-SA"/>
        </w:rPr>
        <w:t xml:space="preserve">. </w:t>
      </w:r>
      <w:bookmarkStart w:id="419" w:name="pg16640_202378"/>
    </w:p>
    <w:p>
      <w:pPr>
        <w:pStyle w:val="BookText"/>
        <w:rPr/>
      </w:pPr>
      <w:bookmarkEnd w:id="419"/>
      <w:r>
        <w:rPr>
          <w:rFonts w:ascii="Amiri" w:hAnsi="Amiri" w:eastAsia="Amiri" w:cs="Amiri"/>
          <w:color w:val="111111"/>
          <w:sz w:val="28"/>
          <w:sz w:val="28"/>
          <w:szCs w:val="28"/>
          <w:rtl w:val="true"/>
          <w:lang w:bidi="ar-SA"/>
        </w:rPr>
        <w:t>و هذان الوجهان ممّا اعتمد عليه القائل بالتداخل و بهما تخلّص عن التعارض اللازم من الأخذ بالإطلاقين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بوجهين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بأنّ متعلّق الجزاء و إن كان واحداً صورة، إلّا أنّه حقائق متعدّدة حسب تعدّد الشرط، كصلاة الفجر و نافلته فهما واحدتان صورة و مختلفتان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نقول الوضوء لأجل النوم غير الوضوء لأجل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تصرّف في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يقيّد إطلاق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بُلت فتوضّأ مرّة أُخرى، و يكون الموضوع للوجوب الأوّل هو الطبيعة و للوجوب الثاني، هو الفرد الثاني، و يرتفع محذور اجتماع المثلين و هما الوجوبانالمتعلقان بطبيعة الوضوء، لو قلنا بامتناعه في المقام</w:t>
      </w:r>
      <w:r>
        <w:rPr>
          <w:rStyle w:val="FootnoteAnchor"/>
          <w:rtl w:val="true"/>
        </w:rPr>
        <w:footnoteReference w:id="211"/>
      </w:r>
      <w:r>
        <w:rPr>
          <w:rFonts w:ascii="Amiri" w:hAnsi="Amiri" w:eastAsia="Amiri" w:cs="Amiri"/>
          <w:color w:val="111111"/>
          <w:sz w:val="28"/>
          <w:sz w:val="28"/>
          <w:szCs w:val="28"/>
          <w:rtl w:val="true"/>
          <w:lang w:bidi="ar-SA"/>
        </w:rPr>
        <w:t>، و هذا أيضاً تصرّف في الجزاء</w:t>
      </w:r>
      <w:r>
        <w:rPr>
          <w:rFonts w:eastAsia="Amiri" w:cs="Amiri" w:ascii="Amiri" w:hAnsi="Amiri"/>
          <w:color w:val="111111"/>
          <w:sz w:val="28"/>
          <w:szCs w:val="28"/>
          <w:rtl w:val="true"/>
          <w:lang w:bidi="ar-SA"/>
        </w:rPr>
        <w:t>.</w:t>
      </w:r>
    </w:p>
    <w:p>
      <w:pPr>
        <w:pStyle w:val="Heading2"/>
        <w:numPr>
          <w:ilvl w:val="1"/>
          <w:numId w:val="1"/>
        </w:numPr>
        <w:rPr/>
      </w:pPr>
      <w:bookmarkStart w:id="420" w:name="__RefHeading___Toc11691367_1280447820"/>
      <w:bookmarkStart w:id="421" w:name="_Toc151"/>
      <w:bookmarkEnd w:id="420"/>
      <w:r>
        <w:rPr>
          <w:rtl w:val="true"/>
        </w:rPr>
        <w:t>رأي المحقّق البروجردي</w:t>
      </w:r>
      <w:bookmarkEnd w:id="42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السيد المحقّق البروجردي ذهب إلى ترجيح ظهور الجزاء في الوحدة على ظهور الشرط في تعدّد الوجوب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 فإمّا أن يكون متعلّق الوجوب نفس الحيثية المطلقة،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الوضوء، أو شي‌ء وراء </w:t>
      </w:r>
      <w:bookmarkStart w:id="422" w:name="pg16640_202379"/>
    </w:p>
    <w:p>
      <w:pPr>
        <w:pStyle w:val="BookText"/>
        <w:rPr/>
      </w:pPr>
      <w:bookmarkEnd w:id="422"/>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يصحّ تعلّق وجوبين على أمر واحد، و على الثاني فلا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 و إذا بلت فتوضأ وضوءاً آخر، و هذا لا يصحّ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يكون البول متقدّماً، فعندئذ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وضوءاً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النوع من التقييد إنّما يصحّ إذا كان أحد الخطابين ناظراً إلى الآخر، لا فيما إذا لم يكن كذلك كما في المقام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لا ينحصر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يُقيّد الطبيعة بقيد آخر،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لأجل البول، و إذا نمت فتوضّأ وضوءاً لأجل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المتفرقات في كلام إمام واحد بل الأئمة عليهم السلام كحكم كلام واحد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البحث هو تقدّم ظهور القضية الشرطية الدالة على تعدّد الوجوب على ظهور الجزاء في وحدة المتعلّق، و تكون النتيجة هو عدم تداخل الأسباب و انّ لكلّ سبب تأثيراً</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11691369_1280447820"/>
      <w:bookmarkStart w:id="424" w:name="_Toc152"/>
      <w:bookmarkEnd w:id="423"/>
      <w:r>
        <w:rPr>
          <w:rtl w:val="true"/>
        </w:rPr>
        <w:t>الثالث</w:t>
      </w:r>
      <w:r>
        <w:rPr>
          <w:rtl w:val="true"/>
        </w:rPr>
        <w:t xml:space="preserve">: </w:t>
      </w:r>
      <w:r>
        <w:rPr>
          <w:rtl w:val="true"/>
        </w:rPr>
        <w:t>التفصيل بين وحدة الأسباب جنساً و عدمها</w:t>
      </w:r>
      <w:bookmarkEnd w:id="4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التفصيل لابن إدريس و هو التفصيل بين ما كان السبب من جنس واحد كتكرر وطء الحائض، أو من أجناس متعددة كزيادة العمل و الذكر في الصلاة، فاختار في الأوّل التداخل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ذكر ذلك التفصيل في ضمن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سها فلم يدر أربعاً صلّى أم خمساً و تساوت ظنونه في ذلك فعليه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سها المصلّي في صلاته بما يوجب سجدتي السهو مرّات كثيرة، في صلاة واحدة، أ يجب عليه بكلّ مرّة سجدتا السهو، أو سجدتا السهو عن الجميع؟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المرّات من جنس واحد، فمرّة واحدة تجب سجدتا السهو، مثلًا تكلّم ساهياً في الركعة الأُولى، و كذلك في باقي الركعات، فانّه لا يجب عليه تكرار السجدات، بل يجب عليه سجدتا السهو فحسب؛ لأنّه لا دليل عليه، 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صلاته ساهياً يجب عليه سجدتا السهو</w:t>
      </w:r>
      <w:r>
        <w:rPr>
          <w:rStyle w:val="FootnoteAnchor"/>
          <w:rtl w:val="true"/>
        </w:rPr>
        <w:footnoteReference w:id="214"/>
      </w:r>
      <w:r>
        <w:rPr>
          <w:rFonts w:ascii="Amiri" w:hAnsi="Amiri" w:eastAsia="Amiri" w:cs="Amiri"/>
          <w:color w:val="111111"/>
          <w:sz w:val="28"/>
          <w:sz w:val="28"/>
          <w:szCs w:val="28"/>
          <w:rtl w:val="true"/>
          <w:lang w:bidi="ar-SA"/>
        </w:rPr>
        <w:t>، و ما قالوا دفعة واحدة أو دفعات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إذا اختلف الجنس، فالأولى عندي بل الواجب، الإتيان عن كلّ جنس بسجدتي السهو؛ لأنّه لا دليل على تداخل الأجناس، بل الواجب إعطاء كلّ جنس ما تناوله اللفظ؛ لأنّ هذا قد تكلّم مثلًا، و قام في حال قعود، و أخلّ بإحدى السجدتين، و شكّ بين الأربع و الخمس، و أخلّ بالتشهد الأوّل، و لم يذكره إلّا بعد الركوع في الثالثة، و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يجب عليه سجدتا السهو، و من فعل كذا في صلاته ساهياً يجب عليه سجدتا السهو، و هذا قد فعل الفعلين فيجب عليه امتثال الأمر، و لا دليل على تداخلهما، لأنّ الفرضين لا يتداخلان بلا خلاف من محقّق</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الأسباب الشرعية من نوع واحد يمكن التمسّك بإطلاق الجزاء و هو وجوب سجدتا السهو من دون تقييد بالمرّات، و أمّا إذا كانت الأسباب الشرعية من جنسين فليس هناك ما يمكن التمسّك بإطلاقه، بل يجب امتثال كلّ على حدة، لأنّ الفرضين لا يتداخلان</w:t>
      </w:r>
      <w:r>
        <w:rPr>
          <w:rFonts w:eastAsia="Amiri" w:cs="Amiri" w:ascii="Amiri" w:hAnsi="Amiri"/>
          <w:color w:val="111111"/>
          <w:sz w:val="28"/>
          <w:szCs w:val="28"/>
          <w:rtl w:val="true"/>
          <w:lang w:bidi="ar-SA"/>
        </w:rPr>
        <w:t xml:space="preserve">. </w:t>
      </w:r>
      <w:bookmarkStart w:id="425" w:name="pg16640_202381"/>
    </w:p>
    <w:p>
      <w:pPr>
        <w:pStyle w:val="BookText"/>
        <w:rPr/>
      </w:pPr>
      <w:bookmarkEnd w:id="425"/>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الجملة الشرطية حدوث الوجوب عقيب كل شرط، فتعدد النوم مثلا يوجب تعدد وجوب الوضوء، لصدق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فردمن أفراد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كون كل وجود من وجوداته شرطاً للجزاء، فيتعدد الوضوء بتعدد أفراد النوم، لا أنه يتداخل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لصدق القضية الشرطية على كل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فيما إذا كان موضوع الحكم في الجزاء قابلا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الواجب، حيث يمكن تعدده بتعدد سببه، اختلف جنسه كالبول و النوم، أم اتحد كفردين من البول أو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يكون موضوع الحكم في الجزاء قابلا للتعدد كالقتل، فلا بد حينئذ من الالتزام بتداخل الأسباب فيه،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السببين مع تقارنهما سبب واحد، لأن لهما تأثيراً واحداً، و مع سبق أحدهما على الآخر يؤثر السابق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المسبب قابلا للتأكد كالملكية و الطهارة و النجاسة فانه إذا حدث سببان للملكية و تقدم أحدهما على الآخر، فالمؤثر هو المتقدم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المسبب قابلا للتأكد، كما إذا وجب قتل شخص للقصاص و الارتداد فيتأكد الحكم و هو وجوب القتل حينئذ، و يكون من التداخل في المسبب بمعنى حصول وجوب متأكد من سببين</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11691371_1280447820"/>
      <w:bookmarkStart w:id="427" w:name="_Toc153"/>
      <w:bookmarkEnd w:id="426"/>
      <w:r>
        <w:rPr>
          <w:rtl w:val="true"/>
        </w:rPr>
        <w:t>التفصيل بين كون الأسباب معرفات أو مؤثّرات</w:t>
      </w:r>
      <w:bookmarkEnd w:id="4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فخر المحقّقين المسألة على أنّ الأسباب الشرعية هل هي معرفات و كواشف، أو مؤثرات؟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انّ هذا الخلاف يرجع إلى أنّ الأسباب الشرعية، </w:t>
      </w:r>
    </w:p>
    <w:p>
      <w:pPr>
        <w:pStyle w:val="BookText"/>
        <w:rPr/>
      </w:pPr>
      <w:r>
        <w:rPr>
          <w:rFonts w:ascii="Amiri" w:hAnsi="Amiri" w:eastAsia="Amiri" w:cs="Amiri"/>
          <w:color w:val="111111"/>
          <w:sz w:val="28"/>
          <w:sz w:val="28"/>
          <w:szCs w:val="28"/>
          <w:rtl w:val="true"/>
          <w:lang w:bidi="ar-SA"/>
        </w:rPr>
        <w:t>هل هي مؤثرات أو علامات</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باب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الأسباب الشرعية علامات فلا يستحيل تعدّدها</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الأصل التداخل بخلافه على الثاني، و حكاه الشيخ الأنصاريّ عن المحقّق النراقي في عوائده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كلام فخر المحقّقين انّه لا بد من الالتزام بالتداخل بناء على المعرفية، لإمكان أمارية أمور متعددة على مؤثر واحد، و حكايتها عنه، و مع احتمال وحدةالسبب و المؤثر واقعاً لا وجه للحكم بتعدد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المؤثرية لا بد من الالتزام بعدم التداخل، لاقتضاء كل مؤثر أثراً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كلّ من البول و النوم موضوعاً للحكم، و علّة و سبباً له فيطلب كلّ، حكماً و معلولًا وجوباً غير ما يطلبه الآخر، لامتناع توارد العلّتين المستقلّتين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كلّ منها معرفاً لما هو الموضوع واقعاً، فلا مانع من تعدد المعرّف لموضوع واحد، و ذلك كمبطلات الوضوء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المحقّق الخراساني، أنّ مجرد معرفية الأسباب الشرعية لا تقتضي المصير إلى التداخل، لإمكان معرفية الأسباب الشرعية المتعددة لأسباب حقيقية متعددة، و يكفي في إرادة احتمال تعدد السبب الحقيقي من الأسباب الشرعية المتعددة ظهور الشرطية في تعدد المسبب بتعدد السبب، فان هذا الظهور يدل على تعدد السبب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الأسباب الشرعية معرفات لا يوجب القول بالتداخل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428" w:name="pg16640_202383"/>
    </w:p>
    <w:p>
      <w:pPr>
        <w:pStyle w:val="Heading2"/>
        <w:numPr>
          <w:ilvl w:val="1"/>
          <w:numId w:val="1"/>
        </w:numPr>
        <w:rPr/>
      </w:pPr>
      <w:bookmarkStart w:id="429" w:name="__RefHeading___Toc11691373_1280447820"/>
      <w:bookmarkStart w:id="430" w:name="_Toc154"/>
      <w:bookmarkEnd w:id="428"/>
      <w:bookmarkEnd w:id="429"/>
      <w:r>
        <w:rPr>
          <w:rtl w:val="true"/>
        </w:rPr>
        <w:t>التنبيه الثالث في تداخل المسببات و عدمه</w:t>
      </w:r>
      <w:bookmarkEnd w:id="430"/>
    </w:p>
    <w:p>
      <w:pPr>
        <w:pStyle w:val="BookText"/>
        <w:rPr/>
      </w:pPr>
      <w:r>
        <w:rPr>
          <w:rFonts w:ascii="Amiri" w:hAnsi="Amiri" w:eastAsia="Amiri" w:cs="Amiri"/>
          <w:color w:val="111111"/>
          <w:sz w:val="28"/>
          <w:sz w:val="28"/>
          <w:szCs w:val="28"/>
          <w:rtl w:val="true"/>
          <w:lang w:bidi="ar-SA"/>
        </w:rPr>
        <w:t>و أمّا البحث عن تداخل المسببات و عدمه فهو يرجع إلى دعوى صدق الامتثال بالإتيان بفرد واحد عند تعدّد التكليف و الاشتغال، و عدم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الإتيان بفرد واحد مع تعدّد التكليف فلازمه تداخل المسببات، أو لا يكفي فلازمه عدم تداخلها؟</w:t>
      </w:r>
    </w:p>
    <w:p>
      <w:pPr>
        <w:pStyle w:val="BookText"/>
        <w:rPr/>
      </w:pPr>
      <w:r>
        <w:rPr>
          <w:rFonts w:ascii="Amiri" w:hAnsi="Amiri" w:eastAsia="Amiri" w:cs="Amiri"/>
          <w:color w:val="111111"/>
          <w:sz w:val="28"/>
          <w:sz w:val="28"/>
          <w:szCs w:val="28"/>
          <w:rtl w:val="true"/>
          <w:lang w:bidi="ar-SA"/>
        </w:rPr>
        <w:t>و من هنا يظهر انّ البحث في تداخل المسببات و عدمه، فرع القول بعدم تداخل الأسباب، و تعدد الوجوب و التكليف، و إلّا فعلى القول بتداخل الأسباب، و انّه ليس في المقام إلّا وجوب واحد فلا موضوع للبحث عن تداخل المسببات و عدمه، لوضوح انّ التكليف الواحد، لا يقتضي إلّا امتثالًا واحداً، و يكون الإتيان بفرد من أفراد الطبيعة، مسقطاً قطعاً، فالبحث هنا مبنيّ على ظهور القضية الشرطية في استقلال تأثير كلّ شرط، و انّ أثر كلّ شرط غير أثر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الكلام يقع تارة في مقام الثبوت، أي إمكان تداخل المسببات و عدم إمكانه، و أُخرى في مقام الإثبات، و ما هو مقتضى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التداخل ثبوتاً و عدمه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الشيخ الأعظم إلى امتناع التداخل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قرّرنا فيما تقدّم انّ متعلّق التكاليف هو الفرد المغاير للفرد الواجب بالسبب الأوّل و لا يعقل تداخل فردين من ماهية واحدة، بل </w:t>
      </w:r>
      <w:bookmarkStart w:id="431" w:name="pg16640_202384"/>
    </w:p>
    <w:p>
      <w:pPr>
        <w:pStyle w:val="BookText"/>
        <w:rPr/>
      </w:pPr>
      <w:bookmarkEnd w:id="431"/>
      <w:r>
        <w:rPr>
          <w:rFonts w:ascii="Amiri" w:hAnsi="Amiri" w:eastAsia="Amiri" w:cs="Amiri"/>
          <w:color w:val="111111"/>
          <w:sz w:val="28"/>
          <w:sz w:val="28"/>
          <w:szCs w:val="28"/>
          <w:rtl w:val="true"/>
          <w:lang w:bidi="ar-SA"/>
        </w:rPr>
        <w:t>و لا يعقل ورود دليل على التداخل أيضاً على ذلك التقدير إلّا أن يكون ناسخاً لحكم السببية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الشيخ إنّما يتمّ اذا کانت النسبة بين الموضوعين، هو التباين مثل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نجحت فأكرم إنسانا أبيض، و اذا رزقت ولدا فأكرم إنسانا أسود، فعندئذ يمتنع تداخل المسببين، بل لا بد من إكرام انسانين بلونين مختلفين لعدم إمكان التداخل إذ لا موضوع للتداخل حينئذ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بينهما هي العموم و الخصوص المطلق او من وجه كما في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نجحت فأكرم هاشمياً، و اذا رزقت ولدا فأضف عالماً، فأكرم العالم الهاشمي بالضيافة فلابد من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بضيافته بداعي الأمرين تبرء ذمته من كليهما، لأنه يصدق حينئذ انه امتثلهما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مقتضى الأدلة إثباتاً؟</w:t>
      </w:r>
    </w:p>
    <w:p>
      <w:pPr>
        <w:pStyle w:val="BookText"/>
        <w:rPr/>
      </w:pPr>
      <w:r>
        <w:rPr>
          <w:rFonts w:ascii="Amiri" w:hAnsi="Amiri" w:eastAsia="Amiri" w:cs="Amiri"/>
          <w:color w:val="111111"/>
          <w:sz w:val="28"/>
          <w:sz w:val="28"/>
          <w:szCs w:val="28"/>
          <w:rtl w:val="true"/>
          <w:lang w:bidi="ar-SA"/>
        </w:rPr>
        <w:t>إذا ثبت إمكان التداخل ثبوتاً، يقع الكلام فيما هو مقتضى الأدلّة الاجتهادية إثباتاً، فقد استدل القائل بعدم التداخل و لزوم تعدّد الامتثال بوجهين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2" w:name="__RefHeading___Toc11691375_1280447820"/>
      <w:bookmarkStart w:id="433" w:name="_Toc155"/>
      <w:bookmarkEnd w:id="432"/>
      <w:r>
        <w:rPr>
          <w:rtl w:val="true"/>
        </w:rPr>
        <w:t>حجّة القول بعدم التداخل</w:t>
      </w:r>
      <w:bookmarkStart w:id="434" w:name="pg16640_202385"/>
      <w:bookmarkEnd w:id="433"/>
    </w:p>
    <w:p>
      <w:pPr>
        <w:pStyle w:val="Heading2"/>
        <w:numPr>
          <w:ilvl w:val="1"/>
          <w:numId w:val="1"/>
        </w:numPr>
        <w:rPr/>
      </w:pPr>
      <w:bookmarkStart w:id="435" w:name="__RefHeading___Toc11691377_1280447820"/>
      <w:bookmarkStart w:id="436" w:name="_Toc156"/>
      <w:bookmarkEnd w:id="434"/>
      <w:bookmarkEnd w:id="435"/>
      <w:r>
        <w:rPr>
          <w:rtl w:val="true"/>
        </w:rPr>
        <w:t>الأوّل</w:t>
      </w:r>
      <w:r>
        <w:rPr>
          <w:rtl w:val="true"/>
        </w:rPr>
        <w:t xml:space="preserve">: </w:t>
      </w:r>
      <w:r>
        <w:rPr>
          <w:rtl w:val="true"/>
        </w:rPr>
        <w:t>ما استدلّ به الشيخ الاعظم</w:t>
      </w:r>
      <w:bookmarkEnd w:id="436"/>
    </w:p>
    <w:p>
      <w:pPr>
        <w:pStyle w:val="BookText"/>
        <w:rPr/>
      </w:pPr>
      <w:r>
        <w:rPr>
          <w:rFonts w:ascii="Amiri" w:hAnsi="Amiri" w:eastAsia="Amiri" w:cs="Amiri"/>
          <w:color w:val="111111"/>
          <w:sz w:val="28"/>
          <w:sz w:val="28"/>
          <w:szCs w:val="28"/>
          <w:rtl w:val="true"/>
          <w:lang w:bidi="ar-SA"/>
        </w:rPr>
        <w:t>ما استدلّ به الشيخ الاعظم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ذكر بعض أجلّاء السادة الأعلام‌</w:t>
      </w:r>
      <w:r>
        <w:rPr>
          <w:rStyle w:val="FootnoteAnchor"/>
          <w:rtl w:val="true"/>
        </w:rPr>
        <w:footnoteReference w:id="221"/>
      </w:r>
      <w:r>
        <w:rPr>
          <w:rFonts w:ascii="Amiri" w:hAnsi="Amiri" w:eastAsia="Amiri" w:cs="Amiri"/>
          <w:color w:val="111111"/>
          <w:sz w:val="28"/>
          <w:sz w:val="28"/>
          <w:szCs w:val="28"/>
          <w:rtl w:val="true"/>
          <w:lang w:bidi="ar-SA"/>
        </w:rPr>
        <w:t>وجوها للقول المشهور، أقواها ما احتجّ به الفاضل في محكيّ المختلف‌</w:t>
      </w:r>
      <w:r>
        <w:rPr>
          <w:rStyle w:val="FootnoteAnchor"/>
          <w:rtl w:val="true"/>
        </w:rPr>
        <w:footnoteReference w:id="222"/>
      </w:r>
      <w:r>
        <w:rPr>
          <w:rFonts w:ascii="Amiri" w:hAnsi="Amiri" w:eastAsia="Amiri" w:cs="Amiri"/>
          <w:color w:val="111111"/>
          <w:sz w:val="28"/>
          <w:sz w:val="28"/>
          <w:szCs w:val="28"/>
          <w:rtl w:val="true"/>
          <w:lang w:bidi="ar-SA"/>
        </w:rPr>
        <w:t>، و تبعه عليه السيّد في شرح الوافية</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تعاقب السببان أو اقترنا، فإمّا أنيقتضيا مسبّبين مستقلّين أو مسبّبا واحدا أو لا يقتضيا شيئا أو يقتضي أحدهما شيئا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الأخيرة باطلة، فتعيّن الأوّل،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فلانحصار الصور في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عرفت سابقا من أنّ النزاع المذكور إنّما هو مبنيّ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ذلك خلاف ما فرضناه من سببيّة كلّ واحد منهما على ما يقتضيه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فلأنّ استناده إلى المعيّن يوجب الترجيح بلا مرجّح مع أنّه خلاف المفروض من دليل السببية، و إلى غير المعيّن يوجب الخلف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محصّل الوجه المذكور ينحلّ إلى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تأثير 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أثره غير أثر الأوّل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الأثر يوجب تعدّد الفعل</w:t>
      </w:r>
      <w:r>
        <w:rPr>
          <w:rFonts w:eastAsia="Amiri" w:cs="Amiri" w:ascii="Amiri" w:hAnsi="Amiri"/>
          <w:color w:val="111111"/>
          <w:sz w:val="28"/>
          <w:szCs w:val="28"/>
          <w:rtl w:val="true"/>
          <w:lang w:bidi="ar-SA"/>
        </w:rPr>
        <w:t xml:space="preserve">. </w:t>
      </w:r>
      <w:bookmarkStart w:id="437" w:name="pg16640_202386"/>
    </w:p>
    <w:p>
      <w:pPr>
        <w:pStyle w:val="BookText"/>
        <w:rPr/>
      </w:pPr>
      <w:bookmarkEnd w:id="437"/>
      <w:r>
        <w:rPr>
          <w:rFonts w:ascii="Amiri" w:hAnsi="Amiri" w:eastAsia="Amiri" w:cs="Amiri"/>
          <w:color w:val="111111"/>
          <w:sz w:val="28"/>
          <w:sz w:val="28"/>
          <w:szCs w:val="28"/>
          <w:rtl w:val="true"/>
          <w:lang w:bidi="ar-SA"/>
        </w:rPr>
        <w:t>فالقائل بالتداخل لا بدّ له من منع إحدى المقدّمات المفروضة على سبيل منع الخلوّ</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بالتداخل له أن يمنع كلّية المقدّمة الثالثة و يفصِّل بين كون النسبة بين المتعلّقين هي التباين أو العموم و الخصوص من وجه أو المطلق، فعلى الأوّل تعدّد الأثر يقتضي تعدّد الفعل كما مثلنا، بخلاف الثاني فيكفي في امتثال الأمرين، امتثال واحد</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11691379_1280447820"/>
      <w:bookmarkStart w:id="439" w:name="_Toc157"/>
      <w:bookmarkEnd w:id="438"/>
      <w:r>
        <w:rPr>
          <w:rtl w:val="true"/>
        </w:rPr>
        <w:t>الثاني</w:t>
      </w:r>
      <w:r>
        <w:rPr>
          <w:rtl w:val="true"/>
        </w:rPr>
        <w:t xml:space="preserve">: </w:t>
      </w:r>
      <w:r>
        <w:rPr>
          <w:rtl w:val="true"/>
        </w:rPr>
        <w:t>ما استدلّ به المحقّق النائيني</w:t>
      </w:r>
      <w:bookmarkEnd w:id="439"/>
    </w:p>
    <w:p>
      <w:pPr>
        <w:pStyle w:val="BookText"/>
        <w:rPr/>
      </w:pPr>
      <w:r>
        <w:rPr>
          <w:rFonts w:ascii="Amiri" w:hAnsi="Amiri" w:eastAsia="Amiri" w:cs="Amiri"/>
          <w:color w:val="111111"/>
          <w:sz w:val="28"/>
          <w:sz w:val="28"/>
          <w:szCs w:val="28"/>
          <w:rtl w:val="true"/>
          <w:lang w:bidi="ar-SA"/>
        </w:rPr>
        <w:t>ما استدلّ به المحقّق النائيني و هو انّ الأصل عدم سقوط الواجبات المتعدّدة بفعل واحد، و لو كان ذلك بقصد امتثال الجميع في غير ما دلّ الدليل على سقوطها به، كما هو الحال في سقوط أغسال متعدّدة بغسل الجنابة، أو بغسل واحد نوى به سقوط الجميع و كما في ارتفاع أفراد الحدث الأصغر بوضوء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الأصل العملي يقتضي عدم سقوط الواجبات المتعدّدة ما لم يدلّ على سقوطها دليل بالخصوص</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ذلك مورد واحد، و هو ما إذا كانت النسبة بين الواجبين عموماً و خصوصاً من وجه كما في قضية أكرم عالماً و أكرم هاشمياً، فإنّ إكرام العالم الهاشمي يكون مسقطاً لكلا الخطابين، و لا يعتبر في تحقّق الامتثال إلّا الإتيان بما ينطبق عليه متعلّق الأمر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440" w:name="pg16640_202387"/>
    </w:p>
    <w:p>
      <w:pPr>
        <w:pStyle w:val="BookText"/>
        <w:rPr/>
      </w:pPr>
      <w:bookmarkEnd w:id="440"/>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المقام من التداخل و عدمه حول مقتضى الأدلّة الاجتهادية و ليس الكلام في مقتضى الأُصول العملية، فالاستدلال بالأصل مع إمكان الاستدلال بالدليل الاجتهادي،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الفرق بين المقام و مسألة العموم و الخصوص من وجه الذي استثناه من الضابطة، إذ لو كان المعتبر عند العقل في تحقّق الامتثال، الإتيان بما ينطبق عليه متعلّق الأمر خارجاً، فيجب القول بالتداخل في المقام، لأنّه ينطبق على الوضوء الواحد عنوان التوضّؤ المأخوذ في كلا الجزاءين، إذ المفروض أنّ الجزاء عبارة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الوضوء الناشئ من جانب البول أو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فالتداخل عندئذ يكون مقتضى القاعدة من دون حاجة إلى دليل خارجيّ كما هو ظاهر كلامه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جوابه الثاني غير تام و ذلک لانّ مقتضی الدليل ان كلّ وجوب يقتضي امتثالا خاصّا به، فلا يغني عنه امتثال الآخر و إن اشتركت الواجبات في الاسم و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يصدق الامتثال لکليهما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كان بين الواجبين نسبة العموم و الخصوص من وجه، و كان دليل كلّ منهما مطلقا بالإضافة إلى مورد الاجتماع فانه يصدق الإتيان بما ينطبق عليه متعلّق الأمر</w:t>
      </w:r>
      <w:r>
        <w:rPr>
          <w:rFonts w:eastAsia="IRNazanin" w:cs="IRNazanin"/>
          <w:color w:val="111111"/>
          <w:sz w:val="28"/>
          <w:szCs w:val="28"/>
          <w:rtl w:val="true"/>
          <w:lang w:bidi="fa-IR"/>
        </w:rPr>
        <w:t>.</w:t>
      </w:r>
    </w:p>
    <w:p>
      <w:pPr>
        <w:pStyle w:val="Heading2"/>
        <w:numPr>
          <w:ilvl w:val="1"/>
          <w:numId w:val="1"/>
        </w:numPr>
        <w:rPr/>
      </w:pPr>
      <w:bookmarkStart w:id="441" w:name="__RefHeading___Toc11691381_1280447820"/>
      <w:bookmarkStart w:id="442" w:name="_Toc158"/>
      <w:bookmarkEnd w:id="441"/>
      <w:r>
        <w:rPr>
          <w:rtl w:val="true"/>
        </w:rPr>
        <w:t>حجّة القول بالتداخل</w:t>
      </w:r>
      <w:bookmarkEnd w:id="44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يظهر ضعف ما احتجّ به القائل بالتداخل بأنّه إذا كان ما به الامتثال مصداقاً لكلا العنوانين، كالإكرام و الضيافة، يتلقّاه العرف امتثالًا بكلا الأمرين، نظير ما إذا أمر الطبيب رجلًا سميناً بأكل الفاكهة مكان الطعام حتّى يخفّ وزنه ثمّ أمره بأكل فاكهة خاصة </w:t>
      </w:r>
      <w:bookmarkStart w:id="443" w:name="pg16640_202388"/>
    </w:p>
    <w:p>
      <w:pPr>
        <w:pStyle w:val="BookText"/>
        <w:rPr/>
      </w:pPr>
      <w:bookmarkEnd w:id="443"/>
      <w:r>
        <w:rPr>
          <w:rFonts w:ascii="Amiri" w:hAnsi="Amiri" w:eastAsia="Amiri" w:cs="Amiri"/>
          <w:color w:val="111111"/>
          <w:sz w:val="28"/>
          <w:sz w:val="28"/>
          <w:szCs w:val="28"/>
          <w:rtl w:val="true"/>
          <w:lang w:bidi="ar-SA"/>
        </w:rPr>
        <w:t>لتداوي مرض خاص فيه، فإذا أكل تلك الفاكهة بدل الطعام أيضاً، فقد امتثل كلا الأمرين الإرشاديين، و نظيره الأمران المولويان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ان مقتضی القاعدة هو عدم التداخل و أنّ سقوط الواجبات المتعدّدة بفعل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أتي به بنيّة امتثال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دليل خاصّ، كما ورد في الأغسال بالاكتفاء بغسل الجنابة عن باقي الأغسال</w:t>
      </w:r>
      <w:r>
        <w:rPr>
          <w:rStyle w:val="FootnoteAnchor"/>
          <w:rtl w:val="true"/>
        </w:rPr>
        <w:footnoteReference w:id="227"/>
      </w:r>
      <w:r>
        <w:rPr>
          <w:rFonts w:ascii="Amiri" w:hAnsi="Amiri" w:eastAsia="Amiri" w:cs="Amiri"/>
          <w:color w:val="111111"/>
          <w:sz w:val="28"/>
          <w:sz w:val="28"/>
          <w:szCs w:val="28"/>
          <w:rtl w:val="true"/>
          <w:lang w:bidi="ar-SA"/>
        </w:rPr>
        <w:t>، و ورد أيضا جواز الاكتفاء بغسل واحد عن أغسال متعدّدة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11691383_1280447820"/>
      <w:bookmarkStart w:id="445" w:name="_Toc159"/>
      <w:bookmarkEnd w:id="444"/>
      <w:r>
        <w:rPr>
          <w:rtl w:val="true"/>
        </w:rPr>
        <w:t>الأصل العمليّ في المسألتين</w:t>
      </w:r>
      <w:bookmarkEnd w:id="445"/>
    </w:p>
    <w:p>
      <w:pPr>
        <w:pStyle w:val="BookText"/>
        <w:rPr/>
      </w:pPr>
      <w:r>
        <w:rPr>
          <w:rFonts w:ascii="Amiri" w:hAnsi="Amiri" w:eastAsia="Amiri" w:cs="Amiri"/>
          <w:color w:val="111111"/>
          <w:sz w:val="28"/>
          <w:sz w:val="28"/>
          <w:szCs w:val="28"/>
          <w:rtl w:val="true"/>
          <w:lang w:bidi="ar-SA"/>
        </w:rPr>
        <w:t>إنّ مقتضى الأصل العملي عند الشكّ في تداخل الأسباب هو التداخل؛ لأنّ تأثير السببين في تكليف واحد متيقّن، و إنّما الشكّ في تكليف ثان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مثله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بعكسه في مسألة تداخل المسبّبات؛ فإنّ الأصل يقتضي فيه عدم التداخل؛ لأنّه بعد ثبوت التكاليف المتعدّدة بتعدّد الأسباب يشكّ في سقوط التكاليف الثابتة لو فعل فعلا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بمعنى أنّ الاشتغال اليقينيّ يستدعي الفراغ اليقينيّ، فلا يكتفى بفعل واحد في مقام الامتثال</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11691385_1280447820"/>
      <w:bookmarkStart w:id="447" w:name="_Toc160"/>
      <w:bookmarkEnd w:id="446"/>
      <w:r>
        <w:rPr>
          <w:rtl w:val="true"/>
        </w:rPr>
        <w:t>تطبيقات</w:t>
      </w:r>
      <w:bookmarkEnd w:id="44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في المقام بعض الفروع المترتبة على هذه المسألة و هي كالتالي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وجبت عليه الزكاة فهل يجوز دفعها إلى واجب النفقة إذا كان فقيراً من جهة الإنفاق؟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لكونه ليس إيتاءً للزكاة، لأصالة عدم تداخل الأسباب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اجتمع للمستحق سببان أو ما زاد، يستحقّ بها الزكاة، كالفقر، و الكتابة و الغرم جاز أن يعطى بحسب كل سبب نصيباً، لاندراجه حينئذ في الصنفين مثلًا فيستحقّ بكلّ منها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اجتمع سببان للخيار كالمجلس و العيب و خيار الحيوان، فلا يتداخل السببان و فائدته بقاء أحدهما مع سقوط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تكرر منه وطء الحائض في وقت واحد كالثلث الأوّل، أو في وقتين، كما إذا كان الثاني في الثلث الثاني يقع الكلام في تكرر الكفّارة و عدمه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وقعت نجاسات مختلفة في البئر لكلّ تقدير خاص بناء علی وجوبه الشرطي، فهل يجب نزح كلّ ما قدر أو لا؟ مبنيّ على التداخل و عدمه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تغير أحد أوصاف ماء البئر و مع ذلك وقع فيه من النجاسات ما له مقدّر، فهل يكفي نزح الجميع أو يجب معه نزح ما هو المقدّر؟ مبني على مسألة التداخل و عدمه</w:t>
      </w:r>
      <w:r>
        <w:rPr>
          <w:rFonts w:eastAsia="Amiri" w:cs="Amiri" w:ascii="Amiri" w:hAnsi="Amiri"/>
          <w:color w:val="111111"/>
          <w:sz w:val="28"/>
          <w:szCs w:val="28"/>
          <w:rtl w:val="true"/>
          <w:lang w:bidi="ar-SA"/>
        </w:rPr>
        <w:t xml:space="preserve">. </w:t>
      </w:r>
      <w:bookmarkStart w:id="448" w:name="pg16640_202390"/>
    </w:p>
    <w:p>
      <w:pPr>
        <w:pStyle w:val="Heading2"/>
        <w:numPr>
          <w:ilvl w:val="1"/>
          <w:numId w:val="1"/>
        </w:numPr>
        <w:rPr/>
      </w:pPr>
      <w:bookmarkStart w:id="449" w:name="__RefHeading___Toc11691387_1280447820"/>
      <w:bookmarkStart w:id="450" w:name="_Toc161"/>
      <w:bookmarkEnd w:id="448"/>
      <w:bookmarkEnd w:id="449"/>
      <w:r>
        <w:rPr>
          <w:rtl w:val="true"/>
        </w:rPr>
        <w:t>السالبة الكلية و مفهومها</w:t>
      </w:r>
      <w:bookmarkEnd w:id="450"/>
    </w:p>
    <w:p>
      <w:pPr>
        <w:pStyle w:val="BookText"/>
        <w:rPr/>
      </w:pPr>
      <w:r>
        <w:rPr>
          <w:rFonts w:ascii="Amiri" w:hAnsi="Amiri" w:eastAsia="Amiri" w:cs="Amiri"/>
          <w:color w:val="111111"/>
          <w:sz w:val="28"/>
          <w:sz w:val="28"/>
          <w:szCs w:val="28"/>
          <w:rtl w:val="true"/>
          <w:lang w:bidi="ar-SA"/>
        </w:rPr>
        <w:t>قد عرفت أنّ المفهوم عبارة عن انتفاء الجزاء عند انتفاء الشرط فيعتبر في مفهوم القضية الشرطية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القضيتين في الإيجاب و السلب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القضيتين موضوعاً و محمولًا و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يوم الجمعة راكباً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مفهومه إن لم يجئ زيد يوم الجمعة راكباً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انّ القضيتين تشتركان في الموضوع و المحمول و عامة القيود، و تختلفان في السلب و الإيجاب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الضابطة في أخذ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يقع الکلام في مفهوم السالبة الكلية في مثل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لا ينجّسه شي‌ء</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مفهومه هو الموجبة الجزئية بمعنى إذا لم يبلغ الماء قدر كرّ ينجّسه شي‌ء، أي بعض النجاسات على سبيل الإهمال، فلا يكون المفهوم عندئذ دليلاً على انفعال الماء القليل بكلّ نجس</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جرى الشيخ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الحاشية على المعالم</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مفهومه هو الموجبة الكلية بمعنى انّه إذا لم يبلغ الماء قدر كرّ ينجسه كلّ شي‌ء، أي عامّة النجاسات، فيكون المفهوم دليلاً على انفعال الماءالقليل بكلّ نجس، و علی هذا المعنی جری الشيخ الأنصاري على ما في تقريراته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استدلّ صاحب الحاشية بأنّ نقيض السالبة الكلية هو الموجبة الجزئية، لأنّ نقيض كلّ شي‌ء رفعه، و السالبة الكلّية ترتفع بالموجبة الجزئية، فمفهوم هذه الرواية لا يدلّ على تنجّس الماء القليل بكلّ واحد من النجاسات؛ لأنّ مفاد مفهومها كما ذكرنا هو ارتفاع العاصمية بارتفاع الكرّية، و أمّا أنّ جميع النجاسات تؤثّر في انفعاله و نجاسته إذا لاقى أحدها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للمفهوم دور إلّا أنّه نقيض المنطوق، فإذا كان المنطوق سالباً كلّياً يكون مفهومه، أي نقيضه موجباً جزئياً، و تبعه المحقّق البروجردي على ما في تقريراته‌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المنطوق قضية حقيقية تنحلّ إلى قضايا متعدّدة، ففي الحقيقة المنطوق عبارة عن أنّ الماء الذي بلغ مقدار الكرّ لا يتنجّس بملاقاة العذرة و البول و الدم و غير ذلك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 في الرواية عدم انفعال الماء بأحد المذكورات على الكرّية، فمفهومه رفع هذا الحكم بارتفاع الكرّية، و رفع عدم الانفعال بأحد المذكورات عبارة اخرى عن الانفعال بأحدها عند ارتفاع الكرّية و هو المطلوب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أنّ لفظة شي‌ء أخذت مرآة إلى العناوين العشرة التي هي موضوعات للحكم عليها بالنجاسة،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ينجسه الدم و لا البول و لا الكلب و لا الخنزير و لا الميتة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يكون مفهومها موجبة كلية، أي إذا لم يبلغ الماء قدر كرّ ينجسه الدم و البول و الكلب و الخنزير و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يجب الاحتفاظ بعامة القيود الواردة في المنطوق، و بما انّ الكليّة من إحدى القيود في المنطوق فيجب أن يحتفظ بها في المفهوم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هذا المبنى تكون الكلية قيداً محفوظاً في جانبي المنطوق و المفهوم و يصبح المفهوم موجبة كلية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الضابط أي الاحتفاظ بكلّ القيود الموجودة في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بالقيود المذكورة في الكلام، كالقيود المذكورة في المثال السابق يوم الجمعة راكباً، دونالقيود المستفادة من سياق الكلام كالاستغراق المستفاد من وقوع النكرة في سياق النفي،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ينجسه شي‌ء، ففي مثله لا يؤخذ القيد في جانب المفهوم،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لا تكرم أحداً، يصير مفهومه إذا لم يجئ زيد فأكرم أحداً، لا أكرم كلّ أحد، و ذلك لأنّ العموم كان مستفاداً من سياق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النكرة في سياق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انقلابه إلى سياق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التحفّظ بهذا القيد في جانب المفهوم؟</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مذكور في الكلام فلا بدّ من أخذه في جانب المفهوم طابق النعل بالنعل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قيد مفهوم من سياق الكلام، أي وقوع النكرة في سياق النفي و النهي، فهذا النوع من القيد رهن حفظ السياق و المفروض انّ السياق يتغير في المفهوم، و معه كيف يمكن الاحتفاظ بهذا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إنّما يتم إذا كان القيد، المفهوم منه العموم، مجموعياً كان أو استغراقياً قابلًا للانتقال إلى المفهوم حتّى يكون الاستغراق الموجود في المنطوق مأخوذاً في المفهوم،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أكرم كلّ واحد ممّن معه، فيكون مفهومه استغراقياً أيضاً، و أمّا إذا كان العموم مستفاداً من سياق النفي، فيكون قائماً بالسياق فإذا تبدل سياق النفي إلى الإيجاب ينتفي ما يدلّ على العموم فلا </w:t>
      </w:r>
      <w:bookmarkStart w:id="451" w:name="pg16640_202393"/>
    </w:p>
    <w:p>
      <w:pPr>
        <w:pStyle w:val="BookText"/>
        <w:rPr/>
      </w:pPr>
      <w:bookmarkEnd w:id="451"/>
      <w:r>
        <w:rPr>
          <w:rFonts w:ascii="Amiri" w:hAnsi="Amiri" w:eastAsia="Amiri" w:cs="Amiri"/>
          <w:color w:val="111111"/>
          <w:sz w:val="28"/>
          <w:sz w:val="28"/>
          <w:szCs w:val="28"/>
          <w:rtl w:val="true"/>
          <w:lang w:bidi="ar-SA"/>
        </w:rPr>
        <w:t>يمكن أخذه في المفهوم حتّى يكون إيجاباً استغراقياً و يكون مفهومه موجبة كلية، بل يتعيّن أن يكون موجبة جزئية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الصحيح و الرواية لا يکون مفهومها موجبة کلية حسب ما تقتضيه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حيث انها في مقام البيان و لم تفصل بين ما يوجب التنجيس و بين ما لا يوجبه فهي دالة باطلاقها علی عموم المفهوم </w:t>
      </w:r>
      <w:r>
        <w:rPr>
          <w:rFonts w:eastAsia="IRNazanin" w:cs="IRNazanin"/>
          <w:color w:val="111111"/>
          <w:sz w:val="28"/>
          <w:szCs w:val="28"/>
          <w:rtl w:val="true"/>
          <w:lang w:bidi="fa-IR"/>
        </w:rPr>
        <w:t>.</w:t>
      </w:r>
    </w:p>
    <w:p>
      <w:pPr>
        <w:pStyle w:val="Heading2"/>
        <w:numPr>
          <w:ilvl w:val="1"/>
          <w:numId w:val="1"/>
        </w:numPr>
        <w:rPr/>
      </w:pPr>
      <w:bookmarkStart w:id="452" w:name="__RefHeading___Toc11691389_1280447820"/>
      <w:bookmarkStart w:id="453" w:name="_Toc162"/>
      <w:bookmarkEnd w:id="452"/>
      <w:r>
        <w:rPr>
          <w:rtl w:val="true"/>
        </w:rPr>
        <w:t>الفصل الثاني في مفهوم الوصف</w:t>
      </w:r>
      <w:bookmarkEnd w:id="453"/>
    </w:p>
    <w:p>
      <w:pPr>
        <w:pStyle w:val="Heading2"/>
        <w:numPr>
          <w:ilvl w:val="1"/>
          <w:numId w:val="1"/>
        </w:numPr>
        <w:rPr/>
      </w:pPr>
      <w:bookmarkStart w:id="454" w:name="__RefHeading___Toc11691391_1280447820"/>
      <w:bookmarkStart w:id="455" w:name="_Toc163"/>
      <w:bookmarkEnd w:id="454"/>
      <w:r>
        <w:rPr>
          <w:rtl w:val="true"/>
        </w:rPr>
        <w:t>موضوع البحث</w:t>
      </w:r>
      <w:bookmarkEnd w:id="455"/>
    </w:p>
    <w:p>
      <w:pPr>
        <w:pStyle w:val="BookText"/>
        <w:rPr/>
      </w:pPr>
      <w:r>
        <w:rPr>
          <w:rFonts w:ascii="IRNazanin" w:hAnsi="IRNazanin" w:eastAsia="IRNazanin"/>
          <w:color w:val="111111"/>
          <w:sz w:val="28"/>
          <w:sz w:val="28"/>
          <w:szCs w:val="28"/>
          <w:rtl w:val="true"/>
          <w:lang w:bidi="fa-IR"/>
        </w:rPr>
        <w:t>المقصود بالوصف هنا ما يعمّ النعت و غيره، فيشمل الحال و التمييز و نحوهما ممّا يصلح أن يكون قيدا لموضوع التكليف و ذلک لكونها وصفا معنويا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فالمراد بالوصف مطلق القيد الوارد في الكلام الأعم من الوصف الأُصولي أي المشتق أو الوصف النحوي التابع لموصوفه، و لذلك يعمّ القيود الزمانية و المكانية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يختصّ بما إذا كان معتمدا على موصوف کما ذهب إليه المحقّق النائينيّ</w:t>
      </w:r>
      <w:r>
        <w:rPr>
          <w:rStyle w:val="FootnoteAnchor"/>
          <w:rtl w:val="true"/>
        </w:rPr>
        <w:footnoteReference w:id="239"/>
      </w:r>
      <w:r>
        <w:rPr>
          <w:rFonts w:ascii="Amiri" w:hAnsi="Amiri" w:eastAsia="Amiri" w:cs="Amiri"/>
          <w:color w:val="111111"/>
          <w:sz w:val="28"/>
          <w:sz w:val="28"/>
          <w:szCs w:val="28"/>
          <w:rtl w:val="true"/>
          <w:lang w:bidi="ar-SA"/>
        </w:rPr>
        <w:t>، فلا يشمل ما إذا كان الوصف نفسه موضوعا للحكم،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إنّ مثل هذا يدخل في باب مفهوم اللقب</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يختص کما عن </w:t>
      </w:r>
    </w:p>
    <w:p>
      <w:pPr>
        <w:pStyle w:val="BookText"/>
        <w:rPr/>
      </w:pPr>
      <w:r>
        <w:rPr>
          <w:rFonts w:ascii="Amiri" w:hAnsi="Amiri" w:eastAsia="Amiri" w:cs="Amiri"/>
          <w:color w:val="111111"/>
          <w:sz w:val="28"/>
          <w:sz w:val="28"/>
          <w:szCs w:val="28"/>
          <w:rtl w:val="true"/>
          <w:lang w:bidi="ar-SA"/>
        </w:rPr>
        <w:t>الشيخ الأنصاريّ و صاحب الفصول، فإنّ الظاهر من عباراتهم أنّ موضوع البحث لا يختصّ بما إذا اعتمد الوصف على الموصوف، بل يعمّ ما إذا كان الحكم محمولا على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الاقوی هو الاول و استدلّ له بوجهين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غيره داخلًا في محلّ النزاع لدخلت الجوامد فيه أيضاً بداهة انّه لا فرق بين الجامد و غير المعتمد من الوصف، إلّا في أنّ المبدأ في الجامد جعلي و في غير المعتمد غير 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يكون فارقاً بينهما في الدلالة على المفهوم و عدمها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ذكر الموضوع بصورة الوصف غير المعتمد كالعالم لا يحتاج إلى نكتة غير إثبات الحكم له، لا إثباته له و انتفاؤه عن غيره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شجرة،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عالماً، فانّ الأوّل لا ينحل إلى ذات و وصف، بخلاف الثاني فانّه ينحل إلى ذات و علم، فارتفاع الوصف و المبدأ الجعلي في الأوّل مساوق لارتفاع الذات، فانّ رفع الشجرية رفع لتمام الموضوع، و هذا بخلاف الثاني حيث تبقى الذات مع ارتفاع الوصف كالإنسان غير العالم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انحلال الوصف إلى ذات و علم، حيث تبقى الذات مع ارتفاع الوصف انما هو بالتحليل العقلي لا بالظهور العرفي فأنّ الدلالة على انتفاء الحكم عند انتفاء الوصف لا بدّ فيها من فرض موضوع ثابت للحكم يقيّد بالوصف مرّة، و يتجرّد عنه أخرى، حتّى يمكن فرض نفي الحكم عنه و مع انتفاء الوصف غيرالمعتمد علی الموصوف ينتفي </w:t>
      </w:r>
      <w:bookmarkStart w:id="456" w:name="pg16640_202395"/>
    </w:p>
    <w:p>
      <w:pPr>
        <w:pStyle w:val="BookText"/>
        <w:rPr/>
      </w:pPr>
      <w:bookmarkEnd w:id="456"/>
      <w:r>
        <w:rPr>
          <w:rFonts w:ascii="IRNazanin" w:hAnsi="IRNazanin" w:eastAsia="IRNazanin"/>
          <w:color w:val="111111"/>
          <w:sz w:val="28"/>
          <w:sz w:val="28"/>
          <w:szCs w:val="28"/>
          <w:rtl w:val="true"/>
          <w:lang w:bidi="fa-IR"/>
        </w:rPr>
        <w:t>الموضوع بالمرة عرفا ففي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انتفاء العالم ينتفي موضوع الحکم و لا تبقی دلالة للجملة عرفا علی ذاته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عن الموضوع بالوصف العنواني مع إمكان التعبير عنه بغيره يشعر بمدخلية الوصف في ثبوت الحكم عند ثبوته و ارتفاعه عند ارتفاعه،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إنسان بخبر يفيد، انّ للفسق مدخلية في عدم القبول، و عندئذ يكون الإنسان تمام الموضوع، و الفسق قيداً زائداً أتي به لنكتة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نضايق في ان التعبير عن الموضوع بالوصف العنواني يشعر بمدخلية الوصف في ثبوت الحكم عند ثبوته و ارتفاعه عند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الی درجة الظهور العرفي الذي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شخص الحکم لا شک في ارتفاعه عند ارتفاعه و اما سنخ الحکم فمسکوت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المبحوث عنه هنا أن يكون أخصّ من الموصوف مطلقا أو من وجه؛ لأنّه لو كان مساويا، أو أعمّ مطلقا لا يوجب تضييقا و تقييدا في الموصوف، حتّى يصحّ فرض انتفاء الحكم عن الموصوف عند انتفاء الوصف</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11691393_1280447820"/>
      <w:bookmarkStart w:id="458" w:name="_Toc164"/>
      <w:bookmarkEnd w:id="457"/>
      <w:r>
        <w:rPr>
          <w:rtl w:val="true"/>
        </w:rPr>
        <w:t>أقسام الوصف</w:t>
      </w:r>
      <w:bookmarkEnd w:id="458"/>
    </w:p>
    <w:p>
      <w:pPr>
        <w:pStyle w:val="BookText"/>
        <w:rPr/>
      </w:pPr>
      <w:r>
        <w:rPr>
          <w:rFonts w:ascii="Amiri" w:hAnsi="Amiri" w:eastAsia="Amiri" w:cs="Amiri"/>
          <w:color w:val="111111"/>
          <w:sz w:val="28"/>
          <w:sz w:val="28"/>
          <w:szCs w:val="28"/>
          <w:rtl w:val="true"/>
          <w:lang w:bidi="ar-SA"/>
        </w:rPr>
        <w:t>إنّ النسبة بين الوصف و الموصوف لا تخلو عن وجوه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النسبة بينهما هو التساوي،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المتعجّب 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الوصف أعمّ مطلقاً من الموضوع، كالإنسان الماشي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الوصف أخصّ مطلقاً من الموضوع،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النسبة بينهما أعمّ من وجه،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القسمين الأوّلين خارجان عن محط البحث، لأنّ الميزان في حجّية مفهوم الوصف، هو بقاء الموضوع و ارتفاع الوصف، ففيما إذا كانت النسبة بينها هو التساوي أو كان الوصف هو الأعم، ينتفي الموضوع بانتفاء الوصف أمّا لأجل التساوي او لأجل كون الوصف أعمّ و انتفاؤه يستلزم انتفاء الأخصّ، فلا يبقى بحث في انتفاء الحكم عن الموضوع عند انتفاء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القسم الثالث داخل في محلّ النزاع قطعاً،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إنساناً كريماً، فعلى القول بالمفهوم يكون مفهومه انّه لا تكرم إنساناً لئيماً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الرابع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الافتراق من جانب الوصف مع بقاء الموضوع،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سائمة الغنم زكاة، فيكون مفهومه في معلوفة الغنم ليست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الافتراق من جانب الموضوع بأن يرتفع الغنم و يحلّ مكانه الإبل، و عندئذ يقع الكلام في أنّه هل يحتج بمفهوم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الزكاة في الإبل المعلوفة أو لا؟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دلالة له على المفهوم قطعا، فلا يدلّ المثال على عدم الزكاة في غير الغنم السائمة أو غير السائمة كالإبل مثلا ؛ لأنّ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الموصوف الذي هو الغنم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محفوظا في المفهوم، و لا يكون متعرّضا لموضوع آخر، و لا نفيا و 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الشافعيّة</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الزكاة في الإبل المعلوفة لا وجه له قطعا، لأنّه يشترط في صحّة الاحتجاج وحدة </w:t>
      </w:r>
      <w:bookmarkStart w:id="459" w:name="pg16640_202397"/>
    </w:p>
    <w:p>
      <w:pPr>
        <w:pStyle w:val="BookText"/>
        <w:rPr/>
      </w:pPr>
      <w:bookmarkEnd w:id="459"/>
      <w:r>
        <w:rPr>
          <w:rFonts w:ascii="Amiri" w:hAnsi="Amiri" w:eastAsia="Amiri" w:cs="Amiri"/>
          <w:color w:val="111111"/>
          <w:sz w:val="28"/>
          <w:sz w:val="28"/>
          <w:szCs w:val="28"/>
          <w:rtl w:val="true"/>
          <w:lang w:bidi="ar-SA"/>
        </w:rPr>
        <w:t>الموضوع في جانبي المنطوق و المفهوم، و الاختلاف في وجود الوصف و عدمه، و أمّا إذا كان الموضوع مرتفعاً كالإبل، فسائمتها و معلوفتها خارجتان عن موضوع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الخطاب نقيض المنطوق، فلمّا تناول المنطوق سائمة الغنم كان نقيضه مقتضياً لمعلوفة الغنم دون غيرها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0" w:name="__RefHeading___Toc11691395_1280447820"/>
      <w:bookmarkStart w:id="461" w:name="_Toc165"/>
      <w:bookmarkEnd w:id="460"/>
      <w:r>
        <w:rPr>
          <w:rtl w:val="true"/>
        </w:rPr>
        <w:t>هل مفهوم الوصف حجة؟</w:t>
      </w:r>
      <w:bookmarkEnd w:id="461"/>
    </w:p>
    <w:p>
      <w:pPr>
        <w:pStyle w:val="BookText"/>
        <w:rPr/>
      </w:pPr>
      <w:r>
        <w:rPr>
          <w:rFonts w:ascii="Amiri" w:hAnsi="Amiri" w:eastAsia="Amiri" w:cs="Amiri"/>
          <w:color w:val="111111"/>
          <w:sz w:val="28"/>
          <w:sz w:val="28"/>
          <w:szCs w:val="28"/>
          <w:rtl w:val="true"/>
          <w:lang w:bidi="ar-SA"/>
        </w:rPr>
        <w:t>لا شكّ في دلالة التقييد بالوصف على المفهوم عند وجود القرينة الخاصّة، و لا شكّ في عدم الدلالة عند وجود القرينة على ذلك، مثل ما إذا ورد الوصف مورد الغالب الذي يفهم منه عدم إناطة الحكم به وجودا و عدما،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w:t>
      </w:r>
      <w:r>
        <w:rPr>
          <w:rStyle w:val="FootnoteAnchor"/>
          <w:rtl w:val="true"/>
        </w:rPr>
        <w:footnoteReference w:id="248"/>
      </w:r>
      <w:r>
        <w:rPr>
          <w:rFonts w:ascii="Amiri" w:hAnsi="Amiri" w:eastAsia="Amiri" w:cs="Amiri"/>
          <w:color w:val="111111"/>
          <w:sz w:val="28"/>
          <w:sz w:val="28"/>
          <w:szCs w:val="28"/>
          <w:rtl w:val="true"/>
          <w:lang w:bidi="ar-SA"/>
        </w:rPr>
        <w:t>فإنّه لا مفهوم لمثل هذه القضيّة مطلقا؛ إذ يفهم منه أنّ وصف الربائب بأنّها في حجوركم لأنّها غالبا تكون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منه الإشعار بعلّة الحكم؛ إذ أنّ اللّائي تربّى في الحجور تكون كالبنات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الخلاف عند تجرّد القضيّة عن القرائن الخاصّة، فإنّهم اختلفوا في أنّ مجرّد التقييد بالوصف هل يدلّ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انتفاء حكم الموصوف عند انتفاء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يدلّ؟ </w:t>
      </w:r>
      <w:bookmarkStart w:id="462" w:name="pg16640_202398"/>
    </w:p>
    <w:p>
      <w:pPr>
        <w:pStyle w:val="BookText"/>
        <w:rPr/>
      </w:pPr>
      <w:bookmarkEnd w:id="462"/>
      <w:r>
        <w:rPr>
          <w:rFonts w:ascii="Amiri" w:hAnsi="Amiri" w:eastAsia="Amiri" w:cs="Amiri"/>
          <w:color w:val="111111"/>
          <w:sz w:val="28"/>
          <w:sz w:val="28"/>
          <w:szCs w:val="28"/>
          <w:rtl w:val="true"/>
          <w:lang w:bidi="ar-SA"/>
        </w:rPr>
        <w:t>نظير الاختلاف المتقدّم في التقييد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القول الثاني، يعني عدم المفهوم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11691397_1280447820"/>
      <w:bookmarkStart w:id="464" w:name="_Toc166"/>
      <w:bookmarkEnd w:id="463"/>
      <w:r>
        <w:rPr>
          <w:rtl w:val="true"/>
        </w:rPr>
        <w:t>ادلة القول بالحجية</w:t>
      </w:r>
      <w:bookmarkEnd w:id="464"/>
    </w:p>
    <w:p>
      <w:pPr>
        <w:pStyle w:val="BookText"/>
        <w:rPr/>
      </w:pPr>
      <w:r>
        <w:rPr>
          <w:rFonts w:ascii="IRNazanin" w:hAnsi="IRNazanin" w:eastAsia="IRNazanin"/>
          <w:color w:val="111111"/>
          <w:sz w:val="28"/>
          <w:sz w:val="28"/>
          <w:szCs w:val="28"/>
          <w:rtl w:val="true"/>
          <w:lang w:bidi="fa-IR"/>
        </w:rPr>
        <w:t>ذكر العلماءتبعاً للمحقّق القمي و غيره وجوهاً لإثبات حجّية مفهوم الوصف و هي کالتالي</w:t>
      </w:r>
      <w:r>
        <w:rPr>
          <w:rFonts w:eastAsia="IRNazanin" w:cs="IRNazanin"/>
          <w:color w:val="111111"/>
          <w:sz w:val="28"/>
          <w:szCs w:val="28"/>
          <w:rtl w:val="true"/>
          <w:lang w:bidi="fa-IR"/>
        </w:rPr>
        <w:t>:</w:t>
      </w:r>
    </w:p>
    <w:p>
      <w:pPr>
        <w:pStyle w:val="Heading2"/>
        <w:numPr>
          <w:ilvl w:val="1"/>
          <w:numId w:val="1"/>
        </w:numPr>
        <w:rPr/>
      </w:pPr>
      <w:bookmarkStart w:id="465" w:name="__RefHeading___Toc11691399_1280447820"/>
      <w:bookmarkStart w:id="466" w:name="_Toc167"/>
      <w:bookmarkEnd w:id="465"/>
      <w:r>
        <w:rPr>
          <w:rtl w:val="true"/>
        </w:rPr>
        <w:t>الاول</w:t>
      </w:r>
      <w:r>
        <w:rPr>
          <w:rtl w:val="true"/>
        </w:rPr>
        <w:t xml:space="preserve">: </w:t>
      </w:r>
      <w:r>
        <w:rPr>
          <w:rtl w:val="true"/>
        </w:rPr>
        <w:t>التبادر</w:t>
      </w:r>
      <w:bookmarkEnd w:id="466"/>
    </w:p>
    <w:p>
      <w:pPr>
        <w:pStyle w:val="BookText"/>
        <w:rPr/>
      </w:pPr>
      <w:r>
        <w:rPr>
          <w:rFonts w:ascii="Amiri" w:hAnsi="Amiri" w:eastAsia="Amiri" w:cs="Amiri"/>
          <w:color w:val="111111"/>
          <w:sz w:val="28"/>
          <w:sz w:val="28"/>
          <w:szCs w:val="28"/>
          <w:rtl w:val="true"/>
          <w:lang w:bidi="ar-SA"/>
        </w:rPr>
        <w:t>فان المتبادر من الهيئة الوصفية، الانتفاءُ عند الانتفاء و هو آية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هو رفع الحكم الشخصي عند رفع الوصف، و أمّا انتفاء أصل الحكم و سنخه بأن لا يخلفه شي‌ء آخر فهو ممنوع</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11691401_1280447820"/>
      <w:bookmarkStart w:id="468" w:name="_Toc168"/>
      <w:bookmarkEnd w:id="467"/>
      <w:r>
        <w:rPr>
          <w:rtl w:val="true"/>
        </w:rPr>
        <w:t>الثاني</w:t>
      </w:r>
      <w:r>
        <w:rPr>
          <w:rtl w:val="true"/>
        </w:rPr>
        <w:t xml:space="preserve">: </w:t>
      </w:r>
      <w:r>
        <w:rPr>
          <w:rtl w:val="true"/>
        </w:rPr>
        <w:t>لزوم اللغوية</w:t>
      </w:r>
      <w:bookmarkEnd w:id="46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 للوصف مفهوم لم تبق فيه فائدة و يلزم اللغو في كلام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لعدّه العقلاء مستهجناً،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الغربي لا يعلم الغيب مع أنّ مطلق الإنسان لا يعلمه</w:t>
      </w:r>
      <w:r>
        <w:rPr>
          <w:rFonts w:eastAsia="Amiri" w:cs="Amiri" w:ascii="Amiri" w:hAnsi="Amiri"/>
          <w:color w:val="111111"/>
          <w:sz w:val="28"/>
          <w:szCs w:val="28"/>
          <w:rtl w:val="true"/>
          <w:lang w:bidi="ar-SA"/>
        </w:rPr>
        <w:t xml:space="preserve">. </w:t>
      </w:r>
      <w:bookmarkStart w:id="469" w:name="pg16640_202399"/>
    </w:p>
    <w:p>
      <w:pPr>
        <w:pStyle w:val="BookText"/>
        <w:rPr/>
      </w:pPr>
      <w:bookmarkEnd w:id="469"/>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غير منحصرة برجوعه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فائدة فيه تحديد موضوع الحكم و تقييده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يلزم اللغو لو لم يكن له دخل في الحكم أبداً، و أمّا إذا كان له دخل و لو بنحو العلّة التامّة و إن كان يخلفه وصف آخر أحياناً فلا تلزم اللغوية و تخصيص ذاك الوصف بالذكر دون غيره لكونه مورد السؤال أو الابتلاء للمخاطب أو التأكيد،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ظلم الطفل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الظلم قبيح على اليتيم و غيره، لكن لمّا كان المخاطب مبتلى به 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ظلم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الوجه هو دفع توهم عدم الحرمة في مورد الوصف،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مِنْ إِمْلاقٍ‌</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قتل الأولاد حرام، سواء أ كان لغاية الإطلاق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مثال المستدلّ فوجه الاستهجان فيه، عدم مدخلية الغربي في الحكم، لا بنحو العلّة الناقصة، و لا التامّة و لا المنحصرة، بخلاف سائر الأمثلة</w:t>
      </w:r>
      <w:r>
        <w:rPr>
          <w:rFonts w:eastAsia="Amiri" w:cs="Amiri" w:ascii="Amiri" w:hAnsi="Amiri"/>
          <w:color w:val="111111"/>
          <w:sz w:val="28"/>
          <w:szCs w:val="28"/>
          <w:rtl w:val="true"/>
          <w:lang w:bidi="ar-SA"/>
        </w:rPr>
        <w:t>.</w:t>
      </w:r>
    </w:p>
    <w:p>
      <w:pPr>
        <w:pStyle w:val="Heading2"/>
        <w:numPr>
          <w:ilvl w:val="1"/>
          <w:numId w:val="1"/>
        </w:numPr>
        <w:rPr/>
      </w:pPr>
      <w:bookmarkStart w:id="470" w:name="__RefHeading___Toc11691403_1280447820"/>
      <w:bookmarkStart w:id="471" w:name="_Toc169"/>
      <w:bookmarkEnd w:id="470"/>
      <w:r>
        <w:rPr>
          <w:rtl w:val="true"/>
        </w:rPr>
        <w:t>الثالث</w:t>
      </w:r>
      <w:r>
        <w:rPr>
          <w:rtl w:val="true"/>
        </w:rPr>
        <w:t xml:space="preserve">: </w:t>
      </w:r>
      <w:r>
        <w:rPr>
          <w:rtl w:val="true"/>
        </w:rPr>
        <w:t>الأصل في القيود أنها احترازية</w:t>
      </w:r>
      <w:bookmarkEnd w:id="471"/>
    </w:p>
    <w:p>
      <w:pPr>
        <w:pStyle w:val="BookText"/>
        <w:rPr/>
      </w:pPr>
      <w:r>
        <w:rPr>
          <w:rFonts w:ascii="Amiri" w:hAnsi="Amiri" w:eastAsia="Amiri" w:cs="Amiri"/>
          <w:color w:val="111111"/>
          <w:sz w:val="28"/>
          <w:sz w:val="28"/>
          <w:szCs w:val="28"/>
          <w:rtl w:val="true"/>
          <w:lang w:bidi="ar-SA"/>
        </w:rPr>
        <w:t>احتجّ القائل بالمفهوم بإنّ الأصل في القيود أن تكون احترازيّة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مسلّم، و لكن معنى الاحتراز هو تضييق دائرة الموضوع، و إخراج ما عدا القيد عن شمول شخص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به، و ليس هذا من المفهوم في شي‌ء؛ لأنّ إثبات الحكم لموضوع لا ينفي ثبوت سنخ الحكم لما عداه، كما في 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كون القيد احترازيّا لا يلزم إرجاعه قيدا للحكم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المستدل خلط بين القيد الاحترازي و القيد المفهومي، و القيد الاحترازي عبارة عن مدخلية القيد في الحكم في مقابل القيد الغالبي، و أمّا كونه دخيلًا على وجه </w:t>
      </w:r>
    </w:p>
    <w:p>
      <w:pPr>
        <w:pStyle w:val="BookText"/>
        <w:rPr/>
      </w:pPr>
      <w:r>
        <w:rPr>
          <w:rFonts w:ascii="Amiri" w:hAnsi="Amiri" w:eastAsia="Amiri" w:cs="Amiri"/>
          <w:color w:val="111111"/>
          <w:sz w:val="28"/>
          <w:sz w:val="28"/>
          <w:szCs w:val="28"/>
          <w:rtl w:val="true"/>
          <w:lang w:bidi="ar-SA"/>
        </w:rPr>
        <w:t>الانحصار و لا يقوم مقامه شي‌ء فهو ممّا لا يفهم من كون القيد احترازياً، و لأجل إيضاح حال القيود في الكلام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الواردة في الكلام على أقسام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الزائد،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الضاحك ناطق، فانّ الإنسان ناطق، سواء كان ضاحكاً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الأبيض لا يعلم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التوضيحي و هو القيد الذي يدلّ عليه الكلام و إن لم يذكر،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إِن أَرَدْنَ تَحَصُّناً</w:t>
      </w:r>
      <w:r>
        <w:rPr>
          <w:rStyle w:val="FootnoteAnchor"/>
          <w:rtl w:val="true"/>
        </w:rPr>
        <w:footnoteReference w:id="251"/>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أَرَدْنَ تَحَصُّناً قيد توضيحي، إذ لا يصدق الإكراه إلّا معه و يغني عن ذكره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و مع ذلك جي‌ء به لنكتة خاصة، كما هو الحال في كلّ قيد توضيحي في كلام البلغاء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القيد الوارد مورد الغالب، و مع ذلك لا مدخلية له في الحكم،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مِنْ نِسائِكُمُ اللَّاتِي دَخَلْتُمْبِهِنَ‌</w:t>
      </w:r>
      <w:r>
        <w:rPr>
          <w:rStyle w:val="FootnoteAnchor"/>
          <w:rtl w:val="true"/>
        </w:rPr>
        <w:footnoteReference w:id="252"/>
      </w:r>
      <w:r>
        <w:rPr>
          <w:rFonts w:ascii="Amiri" w:hAnsi="Amiri" w:eastAsia="Amiri" w:cs="Amiri"/>
          <w:color w:val="111111"/>
          <w:sz w:val="28"/>
          <w:sz w:val="28"/>
          <w:szCs w:val="28"/>
          <w:rtl w:val="true"/>
          <w:lang w:bidi="ar-SA"/>
        </w:rPr>
        <w:t>، فكونهن في حجور الأزواج قيد غالبي، لأنّ المرأة التي توفّي عنها زوجها إذا تزوجت مرّة أُخرى تأتي مع أطفالها إلى بيت زوجها الثاني، فلذلك تكون الربائب غالباً في حجر الزوج الثاني، و لكن الربيبة محرمة سواء أ كانت في حجره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المحقّق للموضوع،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القيد الاحترازي، و هو القيد الذي له مدخلية في الحكم و لا يحكم على الموضوع بحكم إلّا معه كالدخول في الآية المتقدّمة فانّ الدخول بالأُمّ شرط لحرمة الربيبة فلو لم يدخل بها و طلقها فلا دلالة في القيد علی جواز التزوج بالربيبة او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ينتفي شخص الحکم بانتفائه و اما سنخه فمسکوت عنه</w:t>
      </w:r>
      <w:r>
        <w:rPr>
          <w:rFonts w:eastAsia="IRNazanin" w:cs="IRNazanin"/>
          <w:color w:val="111111"/>
          <w:sz w:val="28"/>
          <w:szCs w:val="28"/>
          <w:rtl w:val="true"/>
          <w:lang w:bidi="fa-IR"/>
        </w:rPr>
        <w:t xml:space="preserve">. </w:t>
      </w:r>
      <w:bookmarkStart w:id="472" w:name="pg16640_202401"/>
    </w:p>
    <w:p>
      <w:pPr>
        <w:pStyle w:val="BookText"/>
        <w:rPr/>
      </w:pPr>
      <w:bookmarkEnd w:id="47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القيد ذات المفهوم، و هو ما يدلّ على ثبوت الحكم عند وجوده و عدمه عند انتفائه، و هذا النوع من القيد يُثبت أكثر ممّا يثبته القيد الاحترازي، فانّ الثاني يثبت الحكم في مورد القيد و يسكت عن وجوده و عدمه في غير مورده، و لكن القيد المفهومي يثبت الحكم في مورده و ينفيه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أقسام القيد و آثاره المختلفة، فاعلم أنّ أقصى ما يدلّ عليه القيد هو كونه قيداً احترازياً بالمعنى الذي مرّ عليك، و أمّا الزائد عليه أي الانتفاء لدى الانتفاء فلا دليل عليه</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11691405_1280447820"/>
      <w:bookmarkStart w:id="474" w:name="_Toc170"/>
      <w:bookmarkEnd w:id="473"/>
      <w:r>
        <w:rPr>
          <w:rtl w:val="true"/>
        </w:rPr>
        <w:t>الرابع</w:t>
      </w:r>
      <w:r>
        <w:rPr>
          <w:rtl w:val="true"/>
        </w:rPr>
        <w:t xml:space="preserve">: </w:t>
      </w:r>
      <w:r>
        <w:rPr>
          <w:rtl w:val="true"/>
        </w:rPr>
        <w:t>الاستدلال بالجمل الدالة علی المفهوم</w:t>
      </w:r>
      <w:bookmarkEnd w:id="474"/>
    </w:p>
    <w:p>
      <w:pPr>
        <w:pStyle w:val="BookText"/>
        <w:rPr/>
      </w:pPr>
      <w:r>
        <w:rPr>
          <w:rFonts w:ascii="Amiri" w:hAnsi="Amiri" w:eastAsia="Amiri" w:cs="Amiri"/>
          <w:color w:val="111111"/>
          <w:sz w:val="28"/>
          <w:sz w:val="28"/>
          <w:szCs w:val="28"/>
          <w:rtl w:val="true"/>
          <w:lang w:bidi="ar-SA"/>
        </w:rPr>
        <w:t>الاستدلال بالجمل التي ثبتت دلالتها على المفهوم،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على تقديره لا ينفع؛ لأنّا لا نمنع من دلالة التقييد بالوصف على المفهوم أحيانا لوجود قرينة، و إنّما موضوع البحث في اقتضاء طبع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خصوص المثال نجد القرينة على إناطة الحكم بالغنى من جهة مناسبة الحكم و الموضوع، فيفهم أنّ السبب في الحكم كون المدينغنيّا، فيكون مطله ظلما، بخلاف المدين الفقير؛ لعجزه عن أداء الدين، فلا يكون مطله ظلما </w:t>
      </w:r>
      <w:r>
        <w:rPr>
          <w:rFonts w:eastAsia="Amiri" w:cs="Amiri" w:ascii="Amiri" w:hAnsi="Amiri"/>
          <w:color w:val="111111"/>
          <w:sz w:val="28"/>
          <w:szCs w:val="28"/>
          <w:rtl w:val="true"/>
          <w:lang w:bidi="ar-SA"/>
        </w:rPr>
        <w:t xml:space="preserve">. </w:t>
      </w:r>
      <w:bookmarkStart w:id="475" w:name="pg16640_202402"/>
    </w:p>
    <w:p>
      <w:pPr>
        <w:pStyle w:val="Heading2"/>
        <w:numPr>
          <w:ilvl w:val="1"/>
          <w:numId w:val="1"/>
        </w:numPr>
        <w:rPr/>
      </w:pPr>
      <w:bookmarkStart w:id="476" w:name="__RefHeading___Toc11691407_1280447820"/>
      <w:bookmarkStart w:id="477" w:name="_Toc171"/>
      <w:bookmarkEnd w:id="475"/>
      <w:bookmarkEnd w:id="476"/>
      <w:r>
        <w:rPr>
          <w:rtl w:val="true"/>
        </w:rPr>
        <w:t>الخامس</w:t>
      </w:r>
      <w:r>
        <w:rPr>
          <w:rtl w:val="true"/>
        </w:rPr>
        <w:t xml:space="preserve">: </w:t>
      </w:r>
      <w:r>
        <w:rPr>
          <w:rtl w:val="true"/>
        </w:rPr>
        <w:t>فهم أبي عبيدة و هو من أهل اللسان</w:t>
      </w:r>
      <w:bookmarkEnd w:id="477"/>
    </w:p>
    <w:p>
      <w:pPr>
        <w:pStyle w:val="BookText"/>
        <w:rPr/>
      </w:pPr>
      <w:r>
        <w:rPr>
          <w:rFonts w:ascii="Amiri" w:hAnsi="Amiri" w:eastAsia="Amiri" w:cs="Amiri"/>
          <w:color w:val="111111"/>
          <w:sz w:val="28"/>
          <w:sz w:val="28"/>
          <w:szCs w:val="28"/>
          <w:rtl w:val="true"/>
          <w:lang w:bidi="ar-SA"/>
        </w:rPr>
        <w:t>إنّ أبا عبيدة البصري فهم من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عرضه و عقوبته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انّ ليّ غير الواجد لا يحل عرضه، و فهم أهل اللسان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بالمفهوم في الحديث لا يخلو من إشكال، لأنّ الليّ فرع الوجدان، فإذا لم يكن واجداً فلا يطلق عليه الليّ،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و مثله التعبير عن اللي بالمطل، ففي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و الليّ و التسويف، التعلّل في أداء الحقّ و تأخيره من وقت إلى وقت، و على هذا فليس للحديث مفهوم حتّى يبحث عن حجّيته و عدمه</w:t>
      </w:r>
      <w:r>
        <w:rPr>
          <w:rFonts w:eastAsia="Amiri" w:cs="Amiri" w:ascii="Amiri" w:hAnsi="Amiri"/>
          <w:color w:val="111111"/>
          <w:sz w:val="28"/>
          <w:szCs w:val="28"/>
          <w:rtl w:val="true"/>
          <w:lang w:bidi="ar-SA"/>
        </w:rPr>
        <w:t>.</w:t>
      </w:r>
    </w:p>
    <w:p>
      <w:pPr>
        <w:pStyle w:val="Heading2"/>
        <w:numPr>
          <w:ilvl w:val="1"/>
          <w:numId w:val="1"/>
        </w:numPr>
        <w:rPr/>
      </w:pPr>
      <w:bookmarkStart w:id="478" w:name="__RefHeading___Toc11691409_1280447820"/>
      <w:bookmarkStart w:id="479" w:name="_Toc172"/>
      <w:bookmarkEnd w:id="478"/>
      <w:r>
        <w:rPr>
          <w:rtl w:val="true"/>
        </w:rPr>
        <w:t>السادس</w:t>
      </w:r>
      <w:r>
        <w:rPr>
          <w:rtl w:val="true"/>
        </w:rPr>
        <w:t xml:space="preserve">: </w:t>
      </w:r>
      <w:r>
        <w:rPr>
          <w:rtl w:val="true"/>
        </w:rPr>
        <w:t>ظهور الجملة في مدخلية الوصف بما هو هو لا بجامعه</w:t>
      </w:r>
      <w:bookmarkEnd w:id="4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استند المحقّق الأصفهاني إلى الدليل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ظاهر القضية الوصفية يقتضي كون الحكم مستنداً إلى نفس العنوان الوصفي دون غيره،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فلو فرض كونه </w:t>
      </w:r>
      <w:bookmarkStart w:id="480" w:name="pg16640_202403"/>
    </w:p>
    <w:p>
      <w:pPr>
        <w:pStyle w:val="BookText"/>
        <w:rPr/>
      </w:pPr>
      <w:bookmarkEnd w:id="480"/>
      <w:r>
        <w:rPr>
          <w:rFonts w:ascii="Amiri" w:hAnsi="Amiri" w:eastAsia="Amiri" w:cs="Amiri"/>
          <w:color w:val="111111"/>
          <w:sz w:val="28"/>
          <w:sz w:val="28"/>
          <w:szCs w:val="28"/>
          <w:rtl w:val="true"/>
          <w:lang w:bidi="ar-SA"/>
        </w:rPr>
        <w:t>علّة منحصرة، لزم الأخذ بالظهور، و إلّا لزم استناد الحكم إلى الجامع بين ذلك الوصف و الوصف الآخر، و هو خلاف الظاهر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معلول لكلّ سبب بشخصه بلا حاجة إلى إرجاع السببين إلى الجامع، لأنّ الأُمور الاعتبارية لا تخضع لقاعدة الواحد لا يصدر الا من الواحد مع بطلان القاعدة من اصلها کما تقدم</w:t>
      </w:r>
      <w:r>
        <w:rPr>
          <w:rFonts w:eastAsia="IRNazanin" w:cs="IRNazanin"/>
          <w:color w:val="111111"/>
          <w:sz w:val="28"/>
          <w:szCs w:val="28"/>
          <w:rtl w:val="true"/>
          <w:lang w:bidi="fa-IR"/>
        </w:rPr>
        <w:t>.</w:t>
      </w:r>
    </w:p>
    <w:p>
      <w:pPr>
        <w:pStyle w:val="Heading2"/>
        <w:numPr>
          <w:ilvl w:val="1"/>
          <w:numId w:val="1"/>
        </w:numPr>
        <w:rPr/>
      </w:pPr>
      <w:bookmarkStart w:id="481" w:name="__RefHeading___Toc11691411_1280447820"/>
      <w:bookmarkStart w:id="482" w:name="_Toc173"/>
      <w:bookmarkEnd w:id="481"/>
      <w:r>
        <w:rPr>
          <w:rtl w:val="true"/>
        </w:rPr>
        <w:t>السابع</w:t>
      </w:r>
      <w:r>
        <w:rPr>
          <w:rtl w:val="true"/>
        </w:rPr>
        <w:t xml:space="preserve">: </w:t>
      </w:r>
      <w:r>
        <w:rPr>
          <w:rtl w:val="true"/>
        </w:rPr>
        <w:t>استدلال الامام الصادق علیه السلام بمفهوم الوصف</w:t>
      </w:r>
      <w:bookmarkEnd w:id="482"/>
    </w:p>
    <w:p>
      <w:pPr>
        <w:pStyle w:val="BookText"/>
        <w:rPr/>
      </w:pPr>
      <w:r>
        <w:rPr>
          <w:rFonts w:ascii="IRNazanin" w:hAnsi="IRNazanin" w:eastAsia="IRNazanin"/>
          <w:color w:val="111111"/>
          <w:sz w:val="28"/>
          <w:sz w:val="28"/>
          <w:szCs w:val="28"/>
          <w:rtl w:val="true"/>
          <w:lang w:bidi="fa-IR"/>
        </w:rPr>
        <w:t>استدلال الامام الصادق علیه السلام بمفهوم الوصف من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معتبرة زرارة عن أبي عبد الله عليه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خلاف الكلب مما تصيد الفهود و الصقور و أشباه ذلك فلا تأكل من صيده إلّا ما أدركت ذكاته لأن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خلاف الكلب فليس صيده بالذي يؤكل إلّا أن تدرك ذكاته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الظاهر أن موسی بن بکر ثقة و ذلك لأن صفوان قد شهد بأن كتاب موسى بن بكر مما لا يختلف فيه أصحابنا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صحيحة ابي عبيدة الحذاء عن ابي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أدركت ذكاته 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الفهد بمنزلة الكلب؟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شي‌ء يؤكل منه مكلب</w:t>
      </w:r>
      <w:r>
        <w:rPr>
          <w:rStyle w:val="FootnoteAnchor"/>
          <w:rtl w:val="true"/>
        </w:rPr>
        <w:footnoteReference w:id="258"/>
      </w:r>
      <w:r>
        <w:rPr>
          <w:rFonts w:ascii="Amiri" w:hAnsi="Amiri" w:eastAsia="Amiri" w:cs="Amiri"/>
          <w:color w:val="111111"/>
          <w:sz w:val="28"/>
          <w:sz w:val="28"/>
          <w:szCs w:val="28"/>
          <w:rtl w:val="true"/>
          <w:lang w:bidi="ar-SA"/>
        </w:rPr>
        <w:t>الّا الكلب</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بالحلية علق في الاية المبارکة علی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 الامام عليه السلام علی انتفاء الحکم عن باقي الحيوانات بانتفاء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وجه للاستدلال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فائدة الوصف ان انحصرت بالمفهوم فلا شک في ثبوته کما في الاية المبارکة و الّا لو لم تنحصر به الفائدة فلا وجه للمفهوم و عليه فلا نقول بمفهوم الوصف کقاعدة و نقول به لو انحصرت الفائدة به</w:t>
      </w:r>
      <w:r>
        <w:rPr>
          <w:rFonts w:eastAsia="IRNazanin" w:cs="IRNazanin"/>
          <w:color w:val="111111"/>
          <w:sz w:val="28"/>
          <w:szCs w:val="28"/>
          <w:rtl w:val="true"/>
          <w:lang w:bidi="fa-IR"/>
        </w:rPr>
        <w:t xml:space="preserve">. </w:t>
      </w:r>
      <w:bookmarkStart w:id="483" w:name="pg16640_202405"/>
    </w:p>
    <w:p>
      <w:pPr>
        <w:pStyle w:val="Heading2"/>
        <w:numPr>
          <w:ilvl w:val="1"/>
          <w:numId w:val="1"/>
        </w:numPr>
        <w:rPr/>
      </w:pPr>
      <w:bookmarkStart w:id="484" w:name="__RefHeading___Toc11691413_1280447820"/>
      <w:bookmarkStart w:id="485" w:name="_Toc174"/>
      <w:bookmarkEnd w:id="483"/>
      <w:bookmarkEnd w:id="484"/>
      <w:r>
        <w:rPr>
          <w:rtl w:val="true"/>
        </w:rPr>
        <w:t>تفصيل المحقّق النائيني</w:t>
      </w:r>
      <w:bookmarkEnd w:id="485"/>
    </w:p>
    <w:p>
      <w:pPr>
        <w:pStyle w:val="BookText"/>
        <w:rPr/>
      </w:pPr>
      <w:r>
        <w:rPr>
          <w:rFonts w:ascii="Amiri" w:hAnsi="Amiri" w:eastAsia="Amiri" w:cs="Amiri"/>
          <w:color w:val="111111"/>
          <w:sz w:val="28"/>
          <w:sz w:val="28"/>
          <w:szCs w:val="28"/>
          <w:rtl w:val="true"/>
          <w:lang w:bidi="ar-SA"/>
        </w:rPr>
        <w:t>ثمّ إنّ المحقّق النائيني فصّل بين رجوع القيد إلى الحكم و رجوعه إلى متعلّقه و موضوعه، فاختار الدلالة على المفهوم في الصورة الأُولى دون الصورة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إذا رجع إلى نفس الحكم كان لازم ذلك هو ارتفاعه بارتفاعه، إذ لو كان الحكم ثابتاً عند عدم القيد أيضاً لما كان الحكم مقيّداً به بالضرورة، ففرض تقييد الحكم بشي‌ء يستلزم فرض انتفائه بانتفائه، و أمّا إذا كان القيد راجعاً إلى الموضوع فغاية ما يترتّب على التقييد هو ثبوت الحكم على المقيّد، و من الضروري انّ ثبوت شي‌ء بشي‌ء لا يستلزم نفيه عن غيره، و إلّا لكان كلّ قضية مشتملة على ثبوت حكم على شي‌ء دالًا على المفهوم، و ذلك واضح البطلان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ثم انه اضاف 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طبعه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قيد للموضوع لا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الحكم من جهته مطلقا غير مقيّد، فلا مفهوم للوصف</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تتفاوت الجمل و القضايا فمنها ما يکون القيد راجعا الی الحکم لا الموضوع کما في 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ان المراد من الوصف ما هو الاعم من الوصف النحوي کالحال و التمييز کما تقدم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حتی لو کان الوصف راجعا الی الموضوع فقد تقدم انه له مفهوم ان لم تکن له فائدة غير المفهوم کما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فائدة للقيد الّا ثبوت المفهوم </w:t>
      </w:r>
      <w:r>
        <w:rPr>
          <w:rFonts w:eastAsia="IRNazanin" w:cs="IRNazanin"/>
          <w:color w:val="111111"/>
          <w:sz w:val="28"/>
          <w:szCs w:val="28"/>
          <w:rtl w:val="true"/>
          <w:lang w:bidi="fa-IR"/>
        </w:rPr>
        <w:t xml:space="preserve">. </w:t>
      </w:r>
      <w:bookmarkStart w:id="486" w:name="pg16640_202406"/>
    </w:p>
    <w:p>
      <w:pPr>
        <w:pStyle w:val="BookText"/>
        <w:rPr/>
      </w:pPr>
      <w:bookmarkEnd w:id="486"/>
      <w:r>
        <w:rPr>
          <w:rFonts w:ascii="IRNazanin" w:hAnsi="IRNazanin" w:eastAsia="IRNazanin"/>
          <w:color w:val="111111"/>
          <w:sz w:val="28"/>
          <w:sz w:val="28"/>
          <w:szCs w:val="28"/>
          <w:rtl w:val="true"/>
          <w:lang w:bidi="fa-IR"/>
        </w:rPr>
        <w:t>و الحاصل ان انحصرت الفائدة بالمفهوم فلا شک في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لو لم تنحصر به الفائدة فلا وجه للمفهوم و عليه فلا نقول بمفهوم الوصف کقاعدة و نقول به لو انحصرت به الفائدة </w:t>
      </w:r>
      <w:r>
        <w:rPr>
          <w:rFonts w:eastAsia="IRNazanin" w:cs="IRNazanin"/>
          <w:color w:val="111111"/>
          <w:sz w:val="28"/>
          <w:szCs w:val="28"/>
          <w:rtl w:val="true"/>
          <w:lang w:bidi="fa-IR"/>
        </w:rPr>
        <w:t>.</w:t>
      </w:r>
    </w:p>
    <w:p>
      <w:pPr>
        <w:pStyle w:val="Heading2"/>
        <w:numPr>
          <w:ilvl w:val="1"/>
          <w:numId w:val="1"/>
        </w:numPr>
        <w:rPr/>
      </w:pPr>
      <w:bookmarkStart w:id="487" w:name="__RefHeading___Toc11691415_1280447820"/>
      <w:bookmarkStart w:id="488" w:name="_Toc175"/>
      <w:bookmarkEnd w:id="487"/>
      <w:r>
        <w:rPr>
          <w:rtl w:val="true"/>
        </w:rPr>
        <w:t>أدلّة النافي للمفهوم</w:t>
      </w:r>
      <w:bookmarkEnd w:id="488"/>
    </w:p>
    <w:p>
      <w:pPr>
        <w:pStyle w:val="BookText"/>
        <w:rPr/>
      </w:pPr>
      <w:r>
        <w:rPr>
          <w:rFonts w:ascii="Amiri" w:hAnsi="Amiri" w:eastAsia="Amiri" w:cs="Amiri"/>
          <w:color w:val="111111"/>
          <w:sz w:val="28"/>
          <w:sz w:val="28"/>
          <w:szCs w:val="28"/>
          <w:rtl w:val="true"/>
          <w:lang w:bidi="ar-SA"/>
        </w:rPr>
        <w:t>استدلّ نفاة المفهوم للجملة الوصفية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القمي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 لدلّ بإحدى الدلالات الثلاث و كلّها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الدلالة بالمطابقة أو التضمّن فظاهر و إلّا لكان منطوقاً، و أمّا الالتزام فلعدم اللزوم الذهني لا عقلًا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توقّف المحقّق القمي في المسألة و استظهر انّ الوصف لا يخلو من إشعار و ذلك لأنّ التعليق بالوصف مشعر بالعلّيّة، و أمّا الانحصار فلا، و قد أوضحه السيّد المرتضى في ذريعته بأنّ نيابة علّة مكان علّة أُخرى شائع في الشريعة الإسلامية حيث إنّ الشاهد الواحد و المرأتين يقومان مقام الشاهدين، كما أنّ الشاهد الواحد مع اليمين يقوم مقام الشاهدين و أمثاله يصدنا عن القول بالملازمة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مِنْ نِسائِكُمُ اللَّاتِي دَخَلْتُمْ بِهِنَ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القائلين بحجّية مفهوم الشرط و الوصف خصّوا وجود المفهوم بما إذا لم يكن القيد وارداً على طبق الغالب، ففي مثله يسقط الاستدلال بالآية و أمثالها</w:t>
      </w:r>
      <w:r>
        <w:rPr>
          <w:rFonts w:eastAsia="Amiri" w:cs="Amiri" w:ascii="Amiri" w:hAnsi="Amiri"/>
          <w:color w:val="111111"/>
          <w:sz w:val="28"/>
          <w:szCs w:val="28"/>
          <w:rtl w:val="true"/>
          <w:lang w:bidi="ar-SA"/>
        </w:rPr>
        <w:t xml:space="preserve">. </w:t>
      </w:r>
      <w:bookmarkStart w:id="489" w:name="pg16640_202407"/>
    </w:p>
    <w:p>
      <w:pPr>
        <w:pStyle w:val="BookText"/>
        <w:rPr/>
      </w:pPr>
      <w:bookmarkEnd w:id="489"/>
      <w:r>
        <w:rPr>
          <w:rFonts w:ascii="IRNazanin" w:hAnsi="IRNazanin" w:eastAsia="IRNazanin"/>
          <w:color w:val="111111"/>
          <w:sz w:val="28"/>
          <w:sz w:val="28"/>
          <w:szCs w:val="28"/>
          <w:rtl w:val="true"/>
          <w:lang w:bidi="fa-IR"/>
        </w:rPr>
        <w:t>و مثله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فالتقصير في الآية قيّد بالخوف من فتنة الكفّار، و قد كان الضرب في الأرض يوم نزول الآية مقروناً بالخوف غالباً، و لذلك كان القيد غالبياً</w:t>
      </w:r>
      <w:r>
        <w:rPr>
          <w:rFonts w:eastAsia="Amiri" w:cs="Amiri" w:ascii="Amiri" w:hAnsi="Amiri"/>
          <w:color w:val="111111"/>
          <w:sz w:val="28"/>
          <w:szCs w:val="28"/>
          <w:rtl w:val="true"/>
          <w:lang w:bidi="ar-SA"/>
        </w:rPr>
        <w:t>.</w:t>
      </w:r>
    </w:p>
    <w:p>
      <w:pPr>
        <w:pStyle w:val="Heading2"/>
        <w:numPr>
          <w:ilvl w:val="1"/>
          <w:numId w:val="1"/>
        </w:numPr>
        <w:rPr/>
      </w:pPr>
      <w:bookmarkStart w:id="490" w:name="__RefHeading___Toc11691417_1280447820"/>
      <w:bookmarkStart w:id="491" w:name="_Toc176"/>
      <w:bookmarkEnd w:id="490"/>
      <w:r>
        <w:rPr>
          <w:rtl w:val="true"/>
        </w:rPr>
        <w:t>الفصل الثالث في مفهوم الغاية</w:t>
      </w:r>
      <w:bookmarkEnd w:id="491"/>
    </w:p>
    <w:p>
      <w:pPr>
        <w:pStyle w:val="BookText"/>
        <w:rPr/>
      </w:pPr>
      <w:r>
        <w:rPr>
          <w:rFonts w:ascii="Amiri" w:hAnsi="Amiri" w:eastAsia="Amiri" w:cs="Amiri"/>
          <w:color w:val="111111"/>
          <w:sz w:val="28"/>
          <w:sz w:val="28"/>
          <w:szCs w:val="28"/>
          <w:rtl w:val="true"/>
          <w:lang w:bidi="ar-SA"/>
        </w:rPr>
        <w:t>إذا ورد التقييد بالغاية نحو ثُمَّ أَتِمُّوا الصِّيامَ إِلَى اللَّيْل</w:t>
      </w:r>
      <w:r>
        <w:rPr>
          <w:rStyle w:val="FootnoteAnchor"/>
          <w:rtl w:val="true"/>
        </w:rPr>
        <w:footnoteReference w:id="264"/>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بعينه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فقد وقع الخلاف بين الاصوليّين فيه من جهتين</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11691419_1280447820"/>
      <w:bookmarkStart w:id="493" w:name="_Toc177"/>
      <w:bookmarkEnd w:id="492"/>
      <w:r>
        <w:rPr>
          <w:rtl w:val="true"/>
        </w:rPr>
        <w:t>الجهة الأولى</w:t>
      </w:r>
      <w:r>
        <w:rPr>
          <w:rtl w:val="true"/>
        </w:rPr>
        <w:t xml:space="preserve">: </w:t>
      </w:r>
      <w:r>
        <w:rPr>
          <w:rtl w:val="true"/>
        </w:rPr>
        <w:t>في دخول الغاية</w:t>
      </w:r>
      <w:bookmarkEnd w:id="4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الغاية في المنطوق أي في حكم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انما هو في سعة الدلالة المنطوقية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قد اختلفوا في أنّ الغاية و هي الواقعة بعد أداة الغاية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داخلة في المغيّى حكما، أو خارجة عنه و إنّما ينتهي إليها المغيّى موضوعا و حكما؟ على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قبل أن نذكر الأقوال نقول انّ بيان الغاية يتحقّق غالباً بأحد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اللفظة الثانية تستعمل في معان مختلفة فاللازم تعيين ما يستعمل في بيان الغاية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 كلمة حتّى تستعمل على ثلاثة أوجه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هِيَ حَتَّى مَطْلَعِ الْفَجْر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بمنزلة الواو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حرف تبتدأ بها الجمل مثل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حتّى كليب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كأنّأباها نهشل أو مجاشع‌</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إذا علمت هذا فاعلم أنّ حتّى الغائية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لا العاطفة و لا الابتدائية؛ لأنّ العاطفة يجب دخول ما بعدها في حكم ما قبلها؛ لأنّ هذا هو معنى العطف،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الناس حتّى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أنّ الأنبياء ماتوا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تفيد أنّ الغاية هو الفرد الفائق على سائر أفراد المغيّى في القوّة أو الضعف، فكيف يتصوّر أن لا يكون المعطوف بها داخلا في الحكم، بل قد يكون هو الأسبق في الحكم،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كلّ أب حتّى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تعرف ضعف بعض الأقوال الاتية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البحث عن دخول الغاية في حكم المغيّى و عدمه، إنّما يتصوّر إذا كان هناك قدر مشترك أمكن تصويره داخلًا في حكم المغيّى تارة و في حكم ما بعد الغاية أُخرى كالمرفق، و أمّا إذا لم يكن كذلك فلا موضوع للبحث،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 إلى خمس </w:t>
      </w:r>
    </w:p>
    <w:p>
      <w:pPr>
        <w:pStyle w:val="BookText"/>
        <w:rPr/>
      </w:pPr>
      <w:r>
        <w:rPr>
          <w:rFonts w:ascii="Amiri" w:hAnsi="Amiri" w:eastAsia="Amiri" w:cs="Amiri"/>
          <w:color w:val="111111"/>
          <w:sz w:val="28"/>
          <w:sz w:val="28"/>
          <w:szCs w:val="28"/>
          <w:rtl w:val="true"/>
          <w:lang w:bidi="ar-SA"/>
        </w:rPr>
        <w:t>ضربات، فالضربة السادسة، من أفراد بعد الغاية، و الضربة الخامسة داخلة في أجزاء المغيّى حسب التبادر، فليس هنا شي‌ء آخر يبحث عن دخوله في حكم المغيّى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البحث ما إذا كانت الغاية ذات أجزاء، كسورة الإسراء في المثال، أو الكوفة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إلى الكوفة، دون ما لم يكن كذلك، كما في الضربة الخامسة في المثال المذكور، أو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يس إلى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ذلك فالأقوال في المقام کالتالي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كونها من جنس المغيّى فتدخل فيه،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w:t>
      </w:r>
      <w:r>
        <w:rPr>
          <w:rStyle w:val="FootnoteAnchor"/>
          <w:rtl w:val="true"/>
        </w:rPr>
        <w:footnoteReference w:id="267"/>
      </w:r>
      <w:r>
        <w:rPr>
          <w:rFonts w:ascii="IRNazanin" w:hAnsi="IRNazanin" w:eastAsia="IRNazanin"/>
          <w:color w:val="111111"/>
          <w:sz w:val="28"/>
          <w:sz w:val="28"/>
          <w:szCs w:val="28"/>
          <w:rtl w:val="true"/>
          <w:lang w:bidi="fa-IR"/>
        </w:rPr>
        <w:t>، بخلاف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أَتِمُّوا الصِّيامَ إِلَى اللَّيْل فلا تدخل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نسبه ابن الحاجب إلى الأندلسي</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دليلهم في ذلك عدم التمايز فيجب إدخاله من باب المقدمة كما في إدخال المرفق في الغَسل، بخلاف ما لو اختلفا في الماهية و تميّزا في الخارج</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الامثلة المذکورة محفوفة بالقرينة فلا تصلح شاهدا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كون الغاية 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فيه، و بين كونها 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من كلام ابن الحاجب في الكافية</w:t>
      </w:r>
      <w:r>
        <w:rPr>
          <w:rStyle w:val="FootnoteAnchor"/>
          <w:rtl w:val="true"/>
        </w:rPr>
        <w:footnoteReference w:id="270"/>
      </w:r>
      <w:r>
        <w:rPr>
          <w:rFonts w:ascii="IRNazanin" w:hAnsi="IRNazanin" w:eastAsia="IRNazanin"/>
          <w:color w:val="111111"/>
          <w:sz w:val="28"/>
          <w:sz w:val="28"/>
          <w:szCs w:val="28"/>
          <w:rtl w:val="true"/>
          <w:lang w:bidi="fa-IR"/>
        </w:rPr>
        <w:t>، و ذهب إلى هذا التفصيل أيضا المحقّق العراقي استنادا الی الظاهر منهما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التفصيل مبناه الخلط بين حتّى العاطفة و الخافضة، فانّ البحث في الثانية دون الأُولى، و ما مثله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فيه عاطفة لا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مطلقاً، و هو خيرة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نجم الأئمة على هذا القول بأنّ حدود الشي‌ء خارجة عن الشي‌ء و ما يتراءى من الدخول في بعض الموارد كالمرافق في الوضوء فلقرينة خارجية</w:t>
      </w:r>
      <w:r>
        <w:rPr>
          <w:rStyle w:val="FootnoteAnchor"/>
          <w:rtl w:val="true"/>
        </w:rPr>
        <w:footnoteReference w:id="272"/>
      </w:r>
      <w:r>
        <w:rPr>
          <w:rFonts w:ascii="Amiri" w:hAnsi="Amiri" w:eastAsia="Amiri" w:cs="Amiri"/>
          <w:color w:val="111111"/>
          <w:sz w:val="28"/>
          <w:sz w:val="28"/>
          <w:szCs w:val="28"/>
          <w:rtl w:val="true"/>
          <w:lang w:bidi="ar-SA"/>
        </w:rPr>
        <w:t>، و تبعه المحقّق الخراساني في البرهنة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لا يثبت بالدليل العقلي، و المرجع في هذه المباحث هو التبادر، و أمّا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حدّ الشي‌ء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للظهور بأمر عقلي فلا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الغاية قيداً للفعل كمثال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و بين كونها غاية للحكم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المحقّق الحائري</w:t>
      </w:r>
      <w:r>
        <w:rPr>
          <w:rStyle w:val="FootnoteAnchor"/>
          <w:rtl w:val="true"/>
        </w:rPr>
        <w:footnoteReference w:id="273"/>
      </w:r>
      <w:r>
        <w:rPr>
          <w:rFonts w:ascii="Amiri" w:hAnsi="Amiri" w:eastAsia="Amiri" w:cs="Amiri"/>
          <w:color w:val="111111"/>
          <w:sz w:val="28"/>
          <w:sz w:val="28"/>
          <w:szCs w:val="28"/>
          <w:rtl w:val="true"/>
          <w:lang w:bidi="ar-SA"/>
        </w:rPr>
        <w:t xml:space="preserve">، لأنّ الظاهر دخول جزء من السير المتخصص بالكوفة، كما أنّ الظاهر منه دخول السير المتخصص بالبصرة أيضاً في المطلوب، دون الثاني فانّ المفروض أنّها موجبة لرفع الحكم فلا يمكن بعثه إلى الفعل المتخصص بها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الغاية اذا کانت قيدا للحکم فلا خلاف في خروجها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المثال المتقدم لا معنى لدخول معرفة الحرام في حكم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فالتفصيل بين كون الغاية قيداً للفعل أو للحكم خارج عن مصبّ البحث، بل البحث مركّز على ما إذا كانت الغاية قيداً للفعل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على الدخول و الخروج و إنّما يُتبع في الحكم القرائن الدالة على واحد منهما</w:t>
      </w:r>
      <w:r>
        <w:rPr>
          <w:rStyle w:val="FootnoteAnchor"/>
          <w:rtl w:val="true"/>
        </w:rPr>
        <w:footnoteReference w:id="274"/>
      </w:r>
      <w:r>
        <w:rPr>
          <w:rFonts w:ascii="Amiri" w:hAnsi="Amiri" w:eastAsia="Amiri" w:cs="Amiri"/>
          <w:color w:val="111111"/>
          <w:sz w:val="28"/>
          <w:sz w:val="28"/>
          <w:szCs w:val="28"/>
          <w:rtl w:val="true"/>
          <w:lang w:bidi="ar-SA"/>
        </w:rPr>
        <w:t>لأنّه لا ظهور لنفس التقييد بالغاية في دخولها في المغيّى، و لا في عدمه، و عليه فيتّبع ذلك الموارد و القرائن الخاصّة الحافّة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به لما وقف على كلا الاستعمالين و لم يرجّح أحدهما على الآخر توقّف في الحكم و قال بأنّه إنّما تتبع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الشيخ الأنصاري</w:t>
      </w:r>
      <w:r>
        <w:rPr>
          <w:rStyle w:val="FootnoteAnchor"/>
          <w:rtl w:val="true"/>
        </w:rPr>
        <w:footnoteReference w:id="275"/>
      </w:r>
      <w:r>
        <w:rPr>
          <w:rFonts w:ascii="Amiri" w:hAnsi="Amiri" w:eastAsia="Amiri" w:cs="Amiri"/>
          <w:color w:val="111111"/>
          <w:sz w:val="28"/>
          <w:sz w:val="28"/>
          <w:szCs w:val="28"/>
          <w:rtl w:val="true"/>
          <w:lang w:bidi="ar-SA"/>
        </w:rPr>
        <w:t>و استدلّ له بأنّ الغاية بمعنى النهاية و هي الأمر المنتزع من الجزء الأخير للشي‌ء المفروض امتداده، كما أنّالابتداء ينتزع من الجزء الأوّل للشي‌ء، فإن كانت الغاية نهاية الشي‌ء فتكون داخلة في الشي‌ء و تشاركه في الحكم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الظهور لا يثبت بالدليل العقلي، و المرجع في هذه المباحث هو التبادر، و أمّا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نهاية الشي‌ء داخلة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للظهور بأمر عقلي فلا يعتد 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 الشيخ رحمه الله هو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دالتان علی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النهاية تکون عرفا بهذا المعنی و عليه فهما ظاهرتان بهذا المعنی عرفا و لغةً و ليس من باب إثبات للظهور بأمر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الظاهر منهما الّا ما قامت القرينة علی خلافه فلا شک في وجوب غسل المرافق و لو لم تغسل لم يصدق عرفا الغسل الی المرافق بل الی ما دون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مسح الرجلين الی الکعبين و لم يقل احد بعدم دخولهما</w:t>
      </w:r>
      <w:r>
        <w:rPr>
          <w:rFonts w:eastAsia="IRNazanin" w:cs="IRNazanin"/>
          <w:color w:val="111111"/>
          <w:sz w:val="28"/>
          <w:szCs w:val="28"/>
          <w:rtl w:val="true"/>
          <w:lang w:bidi="fa-IR"/>
        </w:rPr>
        <w:t xml:space="preserve">. </w:t>
      </w:r>
      <w:bookmarkStart w:id="494" w:name="pg16640_202412"/>
    </w:p>
    <w:p>
      <w:pPr>
        <w:pStyle w:val="BookText"/>
        <w:rPr/>
      </w:pPr>
      <w:bookmarkEnd w:id="494"/>
      <w:r>
        <w:rPr>
          <w:rFonts w:ascii="IRNazanin" w:hAnsi="IRNazanin" w:eastAsia="IRNazanin"/>
          <w:color w:val="111111"/>
          <w:sz w:val="28"/>
          <w:sz w:val="28"/>
          <w:szCs w:val="28"/>
          <w:rtl w:val="true"/>
          <w:lang w:bidi="fa-IR"/>
        </w:rPr>
        <w:t>نعم کان علی الشيخ ان يجيب عما استشهد به لعدم دخولها من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أَتِمُّوا الصِّيامَ إِلَى اللَّيْل من عدم دخول الليل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Style w:val="FootnoteAnchor"/>
          <w:rtl w:val="true"/>
        </w:rPr>
        <w:footnoteReference w:id="277"/>
      </w:r>
      <w:r>
        <w:rPr>
          <w:rFonts w:ascii="IRNazanin" w:hAnsi="IRNazanin" w:eastAsia="IRNazanin"/>
          <w:color w:val="111111"/>
          <w:sz w:val="28"/>
          <w:sz w:val="28"/>
          <w:szCs w:val="28"/>
          <w:rtl w:val="true"/>
          <w:lang w:bidi="fa-IR"/>
        </w:rPr>
        <w:t>من خروج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القائل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من أوّله إلى سورة الإسراء، من انه صادق في إخباره إذا لم يقرأ شيئاً من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الايتين لابدية دخول الليل و الفجر في سقوط وجوب الصوم و استمرار العناية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الاخير فمبني علی العناية و التسامح في الدخول فيها بالوصول لها</w:t>
      </w:r>
      <w:r>
        <w:rPr>
          <w:rFonts w:eastAsia="IRNazanin" w:cs="IRNazanin"/>
          <w:color w:val="111111"/>
          <w:sz w:val="28"/>
          <w:szCs w:val="28"/>
          <w:rtl w:val="true"/>
          <w:lang w:bidi="fa-IR"/>
        </w:rPr>
        <w:t>.</w:t>
      </w:r>
    </w:p>
    <w:p>
      <w:pPr>
        <w:pStyle w:val="Heading2"/>
        <w:numPr>
          <w:ilvl w:val="1"/>
          <w:numId w:val="1"/>
        </w:numPr>
        <w:rPr/>
      </w:pPr>
      <w:bookmarkStart w:id="495" w:name="__RefHeading___Toc11691421_1280447820"/>
      <w:bookmarkStart w:id="496" w:name="_Toc178"/>
      <w:bookmarkEnd w:id="495"/>
      <w:r>
        <w:rPr>
          <w:rtl w:val="true"/>
        </w:rPr>
        <w:t>مقتضی الاصل العملي</w:t>
      </w:r>
      <w:bookmarkEnd w:id="496"/>
    </w:p>
    <w:p>
      <w:pPr>
        <w:pStyle w:val="BookText"/>
        <w:rPr/>
      </w:pPr>
      <w:r>
        <w:rPr>
          <w:rFonts w:ascii="IRNazanin" w:hAnsi="IRNazanin" w:eastAsia="IRNazanin"/>
          <w:color w:val="111111"/>
          <w:sz w:val="28"/>
          <w:sz w:val="28"/>
          <w:szCs w:val="28"/>
          <w:rtl w:val="true"/>
          <w:lang w:bidi="fa-IR"/>
        </w:rPr>
        <w:t>ثمّ لو قلنا بأحد الأقوال المتقدمة فهو، و إلّا فيصير الكلام مجملاً فيرجع إلى الأُصول العملية و المورد مجرى البراءة لكونه من قبيل الشكّ في الأقل و الأكثر الارتباطيين و عليه فيکفي غسل اليد دون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يمکن التمسّك باستصحاب بقاء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اليقين السابق بالوجوب بالنسبة الی الزائد کما هو واضح</w:t>
      </w:r>
      <w:r>
        <w:rPr>
          <w:rFonts w:eastAsia="IRNazanin" w:cs="IRNazanin"/>
          <w:color w:val="111111"/>
          <w:sz w:val="28"/>
          <w:szCs w:val="28"/>
          <w:rtl w:val="true"/>
          <w:lang w:bidi="fa-IR"/>
        </w:rPr>
        <w:t>.</w:t>
      </w:r>
    </w:p>
    <w:p>
      <w:pPr>
        <w:pStyle w:val="Heading2"/>
        <w:numPr>
          <w:ilvl w:val="1"/>
          <w:numId w:val="1"/>
        </w:numPr>
        <w:rPr/>
      </w:pPr>
      <w:bookmarkStart w:id="497" w:name="__RefHeading___Toc11691423_1280447820"/>
      <w:bookmarkStart w:id="498" w:name="_Toc179"/>
      <w:bookmarkEnd w:id="497"/>
      <w:r>
        <w:rPr>
          <w:rtl w:val="true"/>
        </w:rPr>
        <w:t>الجهة الثانية</w:t>
      </w:r>
      <w:r>
        <w:rPr>
          <w:rtl w:val="true"/>
        </w:rPr>
        <w:t xml:space="preserve">: </w:t>
      </w:r>
      <w:r>
        <w:rPr>
          <w:rtl w:val="true"/>
        </w:rPr>
        <w:t>في المفهوم</w:t>
      </w:r>
      <w:bookmarkEnd w:id="49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موضوع البحث هنا، فهل الغاية تدلّ على ارتفاع الحكم عمّا بعد الغاية بناء على دخول الغاية في المغيّى؟ أو عنها و عن ما بعدها بناء على خروجها؟ و هذا النوع من البحث، بحث في وجود الدلالة المفهومية و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إذا أمر المولى عبده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يدلّ على ارتفاع وجوب السير عن الكوفة و ما بعدها بناء على خروج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ما بعد الكوفة فقط بناء على دخولها فيه أم لا يدلّ؟ هنا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مطارح الأنظار</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القوانين و الفصول</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دلالة القضية المغيّاة على المفهوم و انها أوضح من دلالة القضية الشرطية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السيد المرتضى في الذريعة</w:t>
      </w:r>
      <w:r>
        <w:rPr>
          <w:rStyle w:val="FootnoteAnchor"/>
          <w:rtl w:val="true"/>
        </w:rPr>
        <w:footnoteReference w:id="280"/>
      </w:r>
      <w:r>
        <w:rPr>
          <w:rFonts w:ascii="Amiri" w:hAnsi="Amiri" w:eastAsia="Amiri" w:cs="Amiri"/>
          <w:color w:val="111111"/>
          <w:sz w:val="28"/>
          <w:sz w:val="28"/>
          <w:szCs w:val="28"/>
          <w:rtl w:val="true"/>
          <w:lang w:bidi="ar-SA"/>
        </w:rPr>
        <w:t>و الشيخ في العدّة</w:t>
      </w:r>
      <w:r>
        <w:rPr>
          <w:rStyle w:val="FootnoteAnchor"/>
          <w:rtl w:val="true"/>
        </w:rPr>
        <w:footnoteReference w:id="281"/>
      </w:r>
      <w:r>
        <w:rPr>
          <w:rFonts w:ascii="Amiri" w:hAnsi="Amiri" w:eastAsia="Amiri" w:cs="Amiri"/>
          <w:color w:val="111111"/>
          <w:sz w:val="28"/>
          <w:sz w:val="28"/>
          <w:szCs w:val="28"/>
          <w:rtl w:val="true"/>
          <w:lang w:bidi="ar-SA"/>
        </w:rPr>
        <w:t>إلى عدم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فصّل المحقّق الخراساني بين كون الغاية قيداً للحكم و كونها قيداً للموضوع فتدل القضية على الارتفاع في الأوّل دون الثاني</w:t>
      </w:r>
      <w:r>
        <w:rPr>
          <w:rStyle w:val="FootnoteAnchor"/>
          <w:rtl w:val="true"/>
        </w:rPr>
        <w:footnoteReference w:id="282"/>
      </w:r>
      <w:r>
        <w:rPr>
          <w:rFonts w:ascii="Amiri" w:hAnsi="Amiri" w:eastAsia="Amiri" w:cs="Amiri"/>
          <w:color w:val="111111"/>
          <w:sz w:val="28"/>
          <w:sz w:val="28"/>
          <w:szCs w:val="28"/>
          <w:rtl w:val="true"/>
          <w:lang w:bidi="ar-SA"/>
        </w:rPr>
        <w:t>، و اختاره و المحقّق العراقي‌</w:t>
      </w:r>
      <w:r>
        <w:rPr>
          <w:rStyle w:val="FootnoteAnchor"/>
          <w:rtl w:val="true"/>
        </w:rPr>
        <w:footnoteReference w:id="283"/>
      </w:r>
      <w:r>
        <w:rPr>
          <w:rFonts w:ascii="Amiri" w:hAnsi="Amiri" w:eastAsia="Amiri" w:cs="Amiri"/>
          <w:color w:val="111111"/>
          <w:sz w:val="28"/>
          <w:sz w:val="28"/>
          <w:szCs w:val="28"/>
          <w:rtl w:val="true"/>
          <w:lang w:bidi="ar-SA"/>
        </w:rPr>
        <w:t>و المحقّق النائينيّ و تلميذه المحقّق الخوئي</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توضيحه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القواعد العربية قيد، للحكم، أي كونه </w:t>
      </w:r>
    </w:p>
    <w:p>
      <w:pPr>
        <w:pStyle w:val="BookText"/>
        <w:rPr/>
      </w:pPr>
      <w:r>
        <w:rPr>
          <w:rFonts w:ascii="Amiri" w:hAnsi="Amiri" w:eastAsia="Amiri" w:cs="Amiri"/>
          <w:color w:val="111111"/>
          <w:sz w:val="28"/>
          <w:sz w:val="28"/>
          <w:szCs w:val="28"/>
          <w:rtl w:val="true"/>
          <w:lang w:bidi="ar-SA"/>
        </w:rPr>
        <w:t xml:space="preserve">حلالًا أو طاهراً، فيدلّ على ارتفاع الحكم عند حصول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حلّية و لا طهارة بعد انكشاف الواقع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تقييد الحكم بالغاية، هو ارتفاعه عند حصول الغاية و إلّا لما كان ما جعل غاية له، بغاية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الغاية، غاية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الغاية غاية للموضوع و محدّدة له،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إلى الكوفة، حيث إنّ الابتداء و الانتهاء من خصوصيات السير،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المقيّد من البصرة إلى الكوفة واجب، و عندئذ فحال الغاية حال الوصف في عدم الدلالة، حيث إنّ إثبات الحكم لموضوع محدد، لا يدلّ على انتفاء ذلك عن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 المحدّد بالابتداء من البصرة، و الانتهاء إلى الكوفة تعلّق به الطلب و لا دلالة له إلّا على ثبوت الحكم على المحدّد، و أمّا نفيه عن غيره فلا دلالة له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ثبوت الوضع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قرينة ملازمة للقضية دلّت على اختصاص الحكم بالمغيّى و عدم ثبوته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حتی لو کانت الغاية راجعة الی الموضوع يکون لها مفهوم ان لم تکن لها فائدة غير المفهوم کما 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ايديکم الی المرافق فانه لا فائدة للقيد الّا ثبوت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لذلک انه لو کانت الغاية ساکتة عما بعدها لما وجد التنافي و التهافت بين ان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ايديکم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ايديکم الی المناکب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وجود المنافاة بينهما من الواضحات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 للقيد فائدة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اكنس المسجد من الباب إلى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المتبادر من الكلام كون الغاية قيداً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للوجوب، و لا للكنس الذي يعبّر عنه بالمتعلّق و الغرض منها تحديده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في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امْسَحُوا</w:t>
      </w:r>
      <w:bookmarkStart w:id="499" w:name="pg16640_202415"/>
    </w:p>
    <w:p>
      <w:pPr>
        <w:pStyle w:val="BookText"/>
        <w:rPr/>
      </w:pPr>
      <w:bookmarkEnd w:id="499"/>
      <w:r>
        <w:rPr>
          <w:rFonts w:ascii="Amiri" w:hAnsi="Amiri" w:eastAsia="Amiri" w:cs="Amiri"/>
          <w:color w:val="111111"/>
          <w:sz w:val="28"/>
          <w:sz w:val="28"/>
          <w:szCs w:val="28"/>
          <w:rtl w:val="true"/>
          <w:lang w:bidi="ar-SA"/>
        </w:rPr>
        <w:t>بِرُؤُسِكُمْ وَ أَرْجُلَكُمْ إِلَى الْكَعْبَيْن</w:t>
      </w:r>
      <w:r>
        <w:rPr>
          <w:rFonts w:ascii="IRNazanin" w:hAnsi="IRNazanin" w:eastAsia="IRNazanin"/>
          <w:color w:val="111111"/>
          <w:sz w:val="28"/>
          <w:sz w:val="28"/>
          <w:szCs w:val="28"/>
          <w:rtl w:val="true"/>
          <w:lang w:bidi="fa-IR"/>
        </w:rPr>
        <w:t xml:space="preserve"> فانّ المتبادر أنّ الغاية قيد للأرجل، لا للوجوب و لا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الموارد لا يكون لها مفهوم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يکون التقييد بها ساكت عن وجود الحكم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انحصرت الفائدة بالمفهوم فلا شک في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لو لم تنحصر به الفائدة فلا وجه للمفهوم و عليه فلا نقول بمفهوم الغاية کقاعدة اذا کانت الغاية قيدا للموضوع و نقول به لو انحصرت به الفائدة </w:t>
      </w:r>
      <w:r>
        <w:rPr>
          <w:rFonts w:eastAsia="IRNazanin" w:cs="IRNazanin"/>
          <w:color w:val="111111"/>
          <w:sz w:val="28"/>
          <w:szCs w:val="28"/>
          <w:rtl w:val="true"/>
          <w:lang w:bidi="fa-IR"/>
        </w:rPr>
        <w:t>.</w:t>
      </w:r>
    </w:p>
    <w:p>
      <w:pPr>
        <w:pStyle w:val="Heading2"/>
        <w:numPr>
          <w:ilvl w:val="1"/>
          <w:numId w:val="1"/>
        </w:numPr>
        <w:rPr/>
      </w:pPr>
      <w:bookmarkStart w:id="500" w:name="__RefHeading___Toc11691425_1280447820"/>
      <w:bookmarkStart w:id="501" w:name="_Toc180"/>
      <w:bookmarkEnd w:id="500"/>
      <w:r>
        <w:rPr>
          <w:rtl w:val="true"/>
        </w:rPr>
        <w:t>تذييل</w:t>
      </w:r>
      <w:bookmarkEnd w:id="50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مبنی التفصيل فما علم من التقييد بالغاية أنّه راجع إلى الحكم فلا إشكال في ظهوره في المفهوم؛ مثل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طاهر حتّى تعلم أنّه نجس</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و كذلك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11691427_1280447820"/>
      <w:bookmarkStart w:id="503" w:name="_Toc181"/>
      <w:bookmarkEnd w:id="502"/>
      <w:r>
        <w:rPr>
          <w:rtl w:val="true"/>
        </w:rPr>
        <w:t>هل هناک ضابطة لتمييز ما يرجع إلى الحكم ؟</w:t>
      </w:r>
      <w:bookmarkEnd w:id="5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إن لم يعلم ذلك من القرائن، فقد حاول المحقّق الخوئي رحمه الله أن يضع ضابطة لتمييز ما يرجع إلى الحكم، عمّا يرجع إلى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القضية إن كان </w:t>
      </w:r>
    </w:p>
    <w:p>
      <w:pPr>
        <w:pStyle w:val="BookText"/>
        <w:rPr/>
      </w:pPr>
      <w:r>
        <w:rPr>
          <w:rFonts w:ascii="Amiri" w:hAnsi="Amiri" w:eastAsia="Amiri" w:cs="Amiri"/>
          <w:color w:val="111111"/>
          <w:sz w:val="28"/>
          <w:sz w:val="28"/>
          <w:szCs w:val="28"/>
          <w:rtl w:val="true"/>
          <w:lang w:bidi="ar-SA"/>
        </w:rPr>
        <w:t>مستفاداً من الهيئة فالظاهر من الغاية هو كونها قيداً للمتعلق لا للموضوع</w:t>
      </w:r>
      <w:r>
        <w:rPr>
          <w:rStyle w:val="FootnoteAnchor"/>
          <w:rtl w:val="true"/>
        </w:rPr>
        <w:footnoteReference w:id="286"/>
      </w:r>
      <w:r>
        <w:rPr>
          <w:rFonts w:ascii="Amiri" w:hAnsi="Amiri" w:eastAsia="Amiri" w:cs="Amiri"/>
          <w:color w:val="111111"/>
          <w:sz w:val="28"/>
          <w:sz w:val="28"/>
          <w:szCs w:val="28"/>
          <w:rtl w:val="true"/>
          <w:lang w:bidi="ar-SA"/>
        </w:rPr>
        <w:t xml:space="preserve">، والوجه فيه ليس ما ذكره جماعة منهم شيخنا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من أنّ مفاد الهيئة معنىً حرفي، والمعنى الحرفي غير قابل للتقييد، و ذلك لما حققناه في بحث الواجب المشروط</w:t>
      </w:r>
      <w:r>
        <w:rPr>
          <w:rStyle w:val="FootnoteAnchor"/>
          <w:rtl w:val="true"/>
        </w:rPr>
        <w:footnoteReference w:id="288"/>
      </w:r>
      <w:r>
        <w:rPr>
          <w:rFonts w:ascii="Amiri" w:hAnsi="Amiri" w:eastAsia="Amiri" w:cs="Amiri"/>
          <w:color w:val="111111"/>
          <w:sz w:val="28"/>
          <w:sz w:val="28"/>
          <w:szCs w:val="28"/>
          <w:rtl w:val="true"/>
          <w:lang w:bidi="ar-SA"/>
        </w:rPr>
        <w:t>من أ نّه لا مانع من رجوع القيد إلى مفاد الهيئة، بل الوجه فيه هو أنّ القضية في أمثال الموارد في نفسها ظاهرة في رجوع القيد إلى المتعلق و المعنى الاسمي دون الحكم و مفاد الهيئة، وإن كان الحكم مستفاداً من مادة الكلام فقد عرفت ظهور القيد في رجوعه إلى الحكم إن لم يكن المتعلق مذكوراً و إلّا فلا ظهور له في شي‌ء منهما، فدلالة الغاية على المفهوم ترتكز على ظهور القضية في رجوعها إلى الحكم و لو بمعونة قرينة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يخفی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الحكم في القضية إن كان مستفاداً من الهيئة فالظاهر من الغاية هو كونها قيداً للمتعلق لا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الظهورفي مثل قوله تعالی و کلوا و اشربوا حتی يتبين لکم الخيط الابيض من الخيط الاسود من الفجر</w:t>
      </w:r>
      <w:r>
        <w:rPr>
          <w:rStyle w:val="FootnoteAnchor"/>
          <w:rtl w:val="true"/>
        </w:rPr>
        <w:footnoteReference w:id="290"/>
      </w:r>
      <w:r>
        <w:rPr>
          <w:rFonts w:ascii="IRNazanin" w:hAnsi="IRNazanin" w:eastAsia="IRNazanin"/>
          <w:color w:val="111111"/>
          <w:sz w:val="28"/>
          <w:sz w:val="28"/>
          <w:szCs w:val="28"/>
          <w:rtl w:val="true"/>
          <w:lang w:bidi="fa-IR"/>
        </w:rPr>
        <w:t>فانه ظاهر في تحديد الجواز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قوله تعالی </w:t>
      </w:r>
      <w:r>
        <w:rPr>
          <w:rFonts w:ascii="Amiri" w:hAnsi="Amiri" w:eastAsia="Amiri" w:cs="Amiri"/>
          <w:color w:val="111111"/>
          <w:sz w:val="28"/>
          <w:sz w:val="28"/>
          <w:szCs w:val="28"/>
          <w:rtl w:val="true"/>
          <w:lang w:bidi="ar-SA"/>
        </w:rPr>
        <w:t>وَ قاتِلُوهُمْ حَتَّى لا تَكُونَ فِتْنَةٌ</w:t>
      </w:r>
      <w:r>
        <w:rPr>
          <w:rStyle w:val="FootnoteAnchor"/>
          <w:rtl w:val="true"/>
        </w:rPr>
        <w:footnoteReference w:id="291"/>
      </w:r>
      <w:r>
        <w:rPr>
          <w:rFonts w:ascii="IRNazanin" w:hAnsi="IRNazanin" w:eastAsia="IRNazanin"/>
          <w:color w:val="111111"/>
          <w:sz w:val="28"/>
          <w:sz w:val="28"/>
          <w:szCs w:val="28"/>
          <w:rtl w:val="true"/>
          <w:lang w:bidi="fa-IR"/>
        </w:rPr>
        <w:t xml:space="preserve">فانّ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جارة تحدد الحکم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قوله تعالی </w:t>
      </w:r>
      <w:r>
        <w:rPr>
          <w:rFonts w:ascii="Amiri" w:hAnsi="Amiri" w:eastAsia="Amiri" w:cs="Amiri"/>
          <w:color w:val="111111"/>
          <w:sz w:val="28"/>
          <w:sz w:val="28"/>
          <w:szCs w:val="28"/>
          <w:rtl w:val="true"/>
          <w:lang w:bidi="ar-SA"/>
        </w:rPr>
        <w:t>فقاتلوا التي تبغي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تفيء الی امر الله</w:t>
      </w:r>
      <w:r>
        <w:rPr>
          <w:rStyle w:val="FootnoteAnchor"/>
          <w:rtl w:val="true"/>
        </w:rPr>
        <w:footnoteReference w:id="292"/>
      </w:r>
      <w:r>
        <w:rPr>
          <w:rFonts w:ascii="IRNazanin" w:hAnsi="IRNazanin" w:eastAsia="IRNazanin"/>
          <w:color w:val="111111"/>
          <w:sz w:val="28"/>
          <w:sz w:val="28"/>
          <w:szCs w:val="28"/>
          <w:rtl w:val="true"/>
          <w:lang w:bidi="fa-IR"/>
        </w:rPr>
        <w:t>فانه ظاهر في تقييد الوجوب لا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عدم الظهور فلا اقل من الاجمال لتکافؤ الاحتمالين و بذلک يبطل ما ذکره من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كان الحكم مستفاداً من مادة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بالفرق عرفا بين الغاية و اللقب و الوصف جدا و لذا لو قال اکرم زيدا ثم قال اکرم عمروا لا يری العرف بينهما منافاة اصلا ويقال اثبات الشيء لا ينفي ما عداه و کذا لو قال اکرم المؤمن العالم ثم قال اکرم المؤمن الهاشمي بل يقال بانه لا غرو في وجود الاسباب المتعددة لشيء واحد و يکون کلا منها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اذا قال ثم اتموا الصيام الی الليل</w:t>
      </w:r>
      <w:r>
        <w:rPr>
          <w:rStyle w:val="FootnoteAnchor"/>
          <w:rtl w:val="true"/>
        </w:rPr>
        <w:footnoteReference w:id="293"/>
      </w:r>
      <w:r>
        <w:rPr>
          <w:rFonts w:ascii="IRNazanin" w:hAnsi="IRNazanin" w:eastAsia="IRNazanin"/>
          <w:color w:val="111111"/>
          <w:sz w:val="28"/>
          <w:sz w:val="28"/>
          <w:szCs w:val="28"/>
          <w:rtl w:val="true"/>
          <w:lang w:bidi="fa-IR"/>
        </w:rPr>
        <w:t>و ورد في دليل اخر اتموا الصيام الی نصف الليل او قال فاغسلوا وجوهکم وايديکم الی المرافق</w:t>
      </w:r>
      <w:r>
        <w:rPr>
          <w:rStyle w:val="FootnoteAnchor"/>
          <w:rtl w:val="true"/>
        </w:rPr>
        <w:footnoteReference w:id="294"/>
      </w:r>
      <w:r>
        <w:rPr>
          <w:rFonts w:ascii="IRNazanin" w:hAnsi="IRNazanin" w:eastAsia="IRNazanin"/>
          <w:color w:val="111111"/>
          <w:sz w:val="28"/>
          <w:sz w:val="28"/>
          <w:szCs w:val="28"/>
          <w:rtl w:val="true"/>
          <w:lang w:bidi="fa-IR"/>
        </w:rPr>
        <w:t xml:space="preserve">و ورد في دليل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ايديکم الی المناکب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تردد لنا في احساسنا بالمنافاة و بالتصادم بين الدليلين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ذلک الا للدلالة علی المفهوم و هذا ملموس و محسوس في جميع الموارد و کذا لو قال سر من البصرة الی الکوفة ثم قال سر من البصرة الی ما بعد الکوفة ککربلاء المقدسة فان احساس المنافاة موجود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ذلک بل يدل عليه ما ورد في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رجلين قاما فنظرا الی الفجر 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و قال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شيئا؟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فليأکل الذي لم يتبين له الفجر و قد حرم علی الذي زعم انه رأی الفجر ان الله عز وجل يقول کلوا واشربوا </w:t>
      </w:r>
      <w:bookmarkStart w:id="504" w:name="pg16640_202418"/>
    </w:p>
    <w:p>
      <w:pPr>
        <w:pStyle w:val="BookText"/>
        <w:rPr/>
      </w:pPr>
      <w:bookmarkEnd w:id="504"/>
      <w:r>
        <w:rPr>
          <w:rFonts w:ascii="IRNazanin" w:hAnsi="IRNazanin" w:eastAsia="IRNazanin"/>
          <w:color w:val="111111"/>
          <w:sz w:val="28"/>
          <w:sz w:val="28"/>
          <w:szCs w:val="28"/>
          <w:rtl w:val="true"/>
          <w:lang w:bidi="fa-IR"/>
        </w:rPr>
        <w:t>حتی يتبين لکم الخيط الابيض من الخيط الاسود من الفجر</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الامام بمفهوم الغاية و حکم بحرمة الاکل و الشرب علی من يتبين له الفجر و ذلک لان مفاد کلوا و اشربوا هو جوازهما لا وجوبهما و ارتفاع الجواز مساوق للحرمة فلو لم يکن دالا علی المفهوم لزم منه ان يکون ساکتا عما بعد التبين فکانت استفادة الحرمة منه في غير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الاية من موارد رجوع الغاية الی المتعلق اعني الاکل و الشرب في نظر المحقق الخوئي لانه صرح بانه لو کان الدال علی الحکم الهيئة کانت الغاية ظاهرة في الرجوع الی المتعلق و خلا عن المفهوم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الغاية ان کانت قيدا للحکم دلت علی المفهوم و ان کانت قيدا للموضوع او المتعلق فان انحصرت فائدة القيد بالمفهوم فلا شک في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لو لم تنحصر به الفائدة فلا وجه للمفهوم و عليه فلا نقول بمفهوم الغاية کقاعدة اذا کانت الغاية قيدا للموضوع او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به لو انحصرت به الفائدة </w:t>
      </w:r>
      <w:r>
        <w:rPr>
          <w:rFonts w:eastAsia="IRNazanin" w:cs="IRNazanin"/>
          <w:color w:val="111111"/>
          <w:sz w:val="28"/>
          <w:szCs w:val="28"/>
          <w:rtl w:val="true"/>
          <w:lang w:bidi="fa-IR"/>
        </w:rPr>
        <w:t>.</w:t>
      </w:r>
    </w:p>
    <w:p>
      <w:pPr>
        <w:pStyle w:val="Heading2"/>
        <w:numPr>
          <w:ilvl w:val="1"/>
          <w:numId w:val="1"/>
        </w:numPr>
        <w:rPr/>
      </w:pPr>
      <w:bookmarkStart w:id="505" w:name="__RefHeading___Toc11691429_1280447820"/>
      <w:bookmarkStart w:id="506" w:name="_Toc182"/>
      <w:bookmarkEnd w:id="505"/>
      <w:r>
        <w:rPr>
          <w:rtl w:val="true"/>
        </w:rPr>
        <w:t>الفصل الرابع في مفهوم الحصر</w:t>
      </w:r>
      <w:bookmarkEnd w:id="50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انّ الأُمور التالية تفيد الحصر</w:t>
      </w:r>
      <w:r>
        <w:rPr>
          <w:rFonts w:eastAsia="Amiri" w:cs="Amiri" w:ascii="Amiri" w:hAnsi="Amiri"/>
          <w:color w:val="111111"/>
          <w:sz w:val="28"/>
          <w:szCs w:val="28"/>
          <w:rtl w:val="true"/>
          <w:lang w:bidi="ar-SA"/>
        </w:rPr>
        <w:t xml:space="preserve">: </w:t>
      </w:r>
      <w:bookmarkStart w:id="507" w:name="pg16640_202419"/>
    </w:p>
    <w:p>
      <w:pPr>
        <w:pStyle w:val="BookText"/>
        <w:rPr/>
      </w:pPr>
      <w:bookmarkEnd w:id="50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الاستثنائية،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الاضرابية،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ما حقّه التأخير،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مباحث خمسة</w:t>
      </w:r>
      <w:r>
        <w:rPr>
          <w:rFonts w:eastAsia="Amiri" w:cs="Amiri" w:ascii="Amiri" w:hAnsi="Amiri"/>
          <w:color w:val="111111"/>
          <w:sz w:val="28"/>
          <w:szCs w:val="28"/>
          <w:rtl w:val="true"/>
          <w:lang w:bidi="ar-SA"/>
        </w:rPr>
        <w:t>:</w:t>
      </w:r>
    </w:p>
    <w:p>
      <w:pPr>
        <w:pStyle w:val="Heading2"/>
        <w:numPr>
          <w:ilvl w:val="1"/>
          <w:numId w:val="1"/>
        </w:numPr>
        <w:rPr/>
      </w:pPr>
      <w:bookmarkStart w:id="508" w:name="__RefHeading___Toc11691431_1280447820"/>
      <w:bookmarkStart w:id="509" w:name="_Toc183"/>
      <w:bookmarkEnd w:id="508"/>
      <w:r>
        <w:rPr>
          <w:rtl w:val="true"/>
        </w:rPr>
        <w:t>الاول</w:t>
      </w:r>
      <w:r>
        <w:rPr>
          <w:rtl w:val="true"/>
        </w:rPr>
        <w:t xml:space="preserve">: </w:t>
      </w:r>
      <w:r>
        <w:rPr>
          <w:rtl w:val="true"/>
        </w:rPr>
        <w:t>في الاستثناء</w:t>
      </w:r>
      <w:bookmarkEnd w:id="509"/>
    </w:p>
    <w:p>
      <w:pPr>
        <w:pStyle w:val="BookText"/>
        <w:rPr/>
      </w:pPr>
      <w:r>
        <w:rPr>
          <w:rFonts w:ascii="Amiri" w:hAnsi="Amiri" w:eastAsia="Amiri" w:cs="Amiri"/>
          <w:color w:val="111111"/>
          <w:sz w:val="28"/>
          <w:sz w:val="28"/>
          <w:szCs w:val="28"/>
          <w:rtl w:val="true"/>
          <w:lang w:bidi="ar-SA"/>
        </w:rPr>
        <w:t>هل الاستثناء من النفي إثبات، و من الإثبات نفي، أو لا هذا و لا ذاك؟</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على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و بمعنی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حرف استثناء، يستثنى به على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الإيجاب، وبعد النفي، و المفرغ، و المقدم، و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في المنقطع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المستثنى من غير جنس المستثنى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يوصف بإلّا، فإن وصفت بها جعلتها و ما بعدها في موضع غير، و أتبعت الاسم بعدها ما قبله في الإعراب،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القوم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297"/>
      </w:r>
      <w:r>
        <w:rPr>
          <w:rFonts w:ascii="Amiri" w:hAnsi="Amiri" w:eastAsia="Amiri" w:cs="Amiri"/>
          <w:color w:val="111111"/>
          <w:sz w:val="28"/>
          <w:sz w:val="28"/>
          <w:szCs w:val="28"/>
          <w:rtl w:val="true"/>
          <w:lang w:bidi="ar-SA"/>
        </w:rPr>
        <w:t>، و قال عمرو بن معديكرب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أخ مفارقه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إلَّا الفرقدان</w:t>
      </w:r>
    </w:p>
    <w:p>
      <w:pPr>
        <w:pStyle w:val="BookText"/>
        <w:rPr/>
      </w:pP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و الصفة عارضة، 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و الاستثناء عارض، و قد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الواو في العطف</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العطف کما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يَخافُ لَدَيَّ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عرفت ذلك فاعلم انّ المفيد للحصر هو إلّا الاستثنائية و عليه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خلاف في أنّ الاستثناء من النفي إثبات و من الإثبات نفي، و لم يخالف في ذلک إلّا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 الشيخ الأنصاري مقصود أبي حنيفة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غاية ما يُستفاد من الاستثناء انّ المستثنى غير داخل في الحكم الذي نطق به المتكلّم به، و أمّا حكمه واقعاً فيحتمل أن يكون محكوماً بحكم المستثنى منه أيضاً، أو يكون محكوماً بخلافه، و بالجملة انّ المتكلّم يريد بالاستثناء أن لا يخبر عنه بالحكم المذكور</w:t>
      </w:r>
      <w:r>
        <w:rPr>
          <w:rStyle w:val="FootnoteAnchor"/>
          <w:rtl w:val="true"/>
        </w:rPr>
        <w:footnoteReference w:id="300"/>
      </w:r>
      <w:r>
        <w:rPr>
          <w:rFonts w:ascii="Amiri" w:hAnsi="Amiri" w:eastAsia="Amiri" w:cs="Amiri"/>
          <w:color w:val="111111"/>
          <w:sz w:val="28"/>
          <w:sz w:val="28"/>
          <w:szCs w:val="28"/>
          <w:rtl w:val="true"/>
          <w:lang w:bidi="ar-SA"/>
        </w:rPr>
        <w:t>، و عدم اخباره عنه بذاك الحكم لا يثبت عدم كونه محكوماً به بل يحتمل الأمرين</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بمثل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الاستثناء من النفي إثباتاً يلزم أن تكون الصلاة نفس الطهور و إن لم تكن سائر الشرائط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خلاف المتبادر منها في عامة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اجابه المحقق الخراساني بوجهين حاصلهما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المستثنى منه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التام الجامع للاجزاء و الشرائط الّا الطهور، فانه اما ليس بصلاة أصلا بناء على وضع ألفاظ العبادات للصحيح، و اما ليس بصلاة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وضعها للأعم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فالمفهوم حينئذ هو الواجد لجميع الاجزاء حتى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فالمنطوق هو نفي الصلاتية عما هو واجد لجميع ما يعتبر في الصلاة الّا الطهور، و المفهوم إثبات الصلاتية لواجد جميع الاجزاء و الشرائط حتى الطهور، فالحكم بعدم الصلاتية مختص بالمستثنى منه و هو الواجد لجميع الاجزاء و الشرائط الّا </w:t>
      </w:r>
    </w:p>
    <w:p>
      <w:pPr>
        <w:pStyle w:val="BookText"/>
        <w:rPr/>
      </w:pPr>
      <w:r>
        <w:rPr>
          <w:rFonts w:ascii="Amiri" w:hAnsi="Amiri" w:eastAsia="Amiri" w:cs="Amiri"/>
          <w:color w:val="111111"/>
          <w:sz w:val="28"/>
          <w:sz w:val="28"/>
          <w:szCs w:val="28"/>
          <w:rtl w:val="true"/>
          <w:lang w:bidi="ar-SA"/>
        </w:rPr>
        <w:t xml:space="preserve">الطهور، و منفي في المستثنى و هو الجامع للاجزاء و الشرائط حتى الطهور، فدلالة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الحكم بالمستثنى منه و انتفائه عن المستثنى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بسبب القرينة عدم دلالة الاستثناء على اختصاص الحكم بالمستثنى منه، و انتفائه عن المستثنى، لما كان ذلك قادحاً في وضع أداة الاستثناء للدلالة على الاختصاص المزبور، لما تقرر في محله من أنه لا يقدح الاستعمال في المعنى المجازي مع القرينة في ظهور اللفظ في معناه الحقيقي بدون القرينة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دلالتها ليس من باب المفهوم كما هو المدعی،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أداة الاستثناء تدل على خصوصية في المستثنى منه مستتبعة للحكم في جانب المستثنى، الّا انه في غاية البعد، بل الظاهر أن الدلالة على الحصر انما تكون بالمنطوق، لا بالمفهوم، فان الدال على حكم المستثنى بلا واسطة هي الجملة الاستثنائية، و الدال على حكم المستثنى منه هو الجملة المستثنى منها، فالدلالتان منطوقيتان، و من هاتين الدلالتين ينتزع الحصر، لتخالفهما في الإيجاب و السلب</w:t>
      </w:r>
      <w:r>
        <w:rPr>
          <w:rStyle w:val="FootnoteAnchor"/>
          <w:rtl w:val="true"/>
        </w:rPr>
        <w:footnoteReference w:id="303"/>
      </w:r>
      <w:r>
        <w:rPr>
          <w:rFonts w:ascii="IRNazanin" w:hAnsi="IRNazanin" w:eastAsia="IRNazanin"/>
          <w:color w:val="111111"/>
          <w:sz w:val="28"/>
          <w:sz w:val="28"/>
          <w:szCs w:val="28"/>
          <w:rtl w:val="true"/>
          <w:lang w:bidi="fa-IR"/>
        </w:rPr>
        <w:t>، و ذلك لأنّ هيئة الجملة الاستثنائية موضوعة لإفادة معنيين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الحكم للمستثنى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نفيه عن المستثنى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الهيئة الاستثنائية على حكم كلّ من المستثنى منه و المستثنى دلالة لفظية تضمنية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بذلك يظهر ضعف ما في الکفاية کما و يسقط احتمال كون إلّا بمعنى استثني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دلالتها علی الحصر فاستدلّ الشيخ الانصاري رحمه الله على ذلک بأمرين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كما يحكم به الوجدان السليم و ادّعى جماعة الإجماع على ذلك، و منهم العضدي‌</w:t>
      </w:r>
      <w:r>
        <w:rPr>
          <w:rStyle w:val="FootnoteAnchor"/>
          <w:rtl w:val="true"/>
        </w:rPr>
        <w:footnoteReference w:id="304"/>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هو المتبادر من موارد استعمالاته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تدل على الحصر لما تمّ الاحتجاج على الطوائف الخارجة عن الطوائف الأربعة الواردة في نفس السورة، إذ هي بصدد التنديد بسائر الطوائف، فلو لم تدل على الحصر و احتمل خروج بعض الطوائف عن الحكم عليهم بالخسران، لما تمّ التنديد، لأنّ كلّ طائفة غير الأربع يتصوّر انّها الخارجة عن حكم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و قد استدل بها الفقهاء علی عدم بطلان الصلاة في غير الخمس</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رسول اللّه صلّى اللّه عليه و آله إسلام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أعدل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ذلك للقرينة أو أنّها تدلّ على التوحيد شرعا بمكان من السخافة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510" w:name="pg16640_202423"/>
    </w:p>
    <w:p>
      <w:pPr>
        <w:pStyle w:val="BookText"/>
        <w:rPr/>
      </w:pPr>
      <w:bookmarkEnd w:id="51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مفيداً في حصر الالوهية في اللّه، لما حصلت الشهادة بالتوحيد، و تصوّر انّ دلالته على التوحيد لأجل القرينة كما في الكفاية 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أنّ المنساق من ذلك ليس إلّا إثبات الإلهيّة للّه تعالى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نفي إمكان غيره فللتلازم المرتکز بين انتفاء غيره و محاليته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هو المرتکز في الاذهان من معنی الاله و لذا کانوا يطلبون من الانبياء المعجزة و عليه فالملازمة بين الامرين من الملازمات البينة الواضحة للکل بادنی تأمل </w:t>
      </w:r>
      <w:r>
        <w:rPr>
          <w:rFonts w:eastAsia="IRNazanin" w:cs="IRNazanin"/>
          <w:color w:val="111111"/>
          <w:sz w:val="28"/>
          <w:szCs w:val="28"/>
          <w:rtl w:val="true"/>
          <w:lang w:bidi="fa-IR"/>
        </w:rPr>
        <w:t>.</w:t>
      </w:r>
    </w:p>
    <w:p>
      <w:pPr>
        <w:pStyle w:val="Heading2"/>
        <w:numPr>
          <w:ilvl w:val="1"/>
          <w:numId w:val="1"/>
        </w:numPr>
        <w:rPr/>
      </w:pPr>
      <w:bookmarkStart w:id="511" w:name="__RefHeading___Toc11691433_1280447820"/>
      <w:bookmarkStart w:id="512" w:name="_Toc184"/>
      <w:bookmarkEnd w:id="511"/>
      <w:r>
        <w:rPr>
          <w:rtl w:val="true"/>
        </w:rPr>
        <w:t>فرع</w:t>
      </w:r>
      <w:r>
        <w:rPr>
          <w:rtl w:val="true"/>
        </w:rPr>
        <w:t>:</w:t>
      </w:r>
      <w:bookmarkEnd w:id="512"/>
    </w:p>
    <w:p>
      <w:pPr>
        <w:pStyle w:val="BookText"/>
        <w:rPr/>
      </w:pPr>
      <w:r>
        <w:rPr>
          <w:rFonts w:ascii="Amiri" w:hAnsi="Amiri" w:eastAsia="Amiri" w:cs="Amiri"/>
          <w:color w:val="111111"/>
          <w:sz w:val="28"/>
          <w:sz w:val="28"/>
          <w:szCs w:val="28"/>
          <w:rtl w:val="true"/>
          <w:lang w:bidi="ar-SA"/>
        </w:rPr>
        <w:t xml:space="preserve">لو شككنا في مورد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استثنائيّة أو وصفيّة، مثل ما لو قال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ذمّتي لزيد عشرة دراهم إلّا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يجوز في المثال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وصفيّة، و يجوز أن تكون استثنائيّة،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للاستثناء؛ فيثبت في ذمّته في المثال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وصفيّة فإنّه لا يثبت في ذمّته شي‌ء، لأنّه يكون قد نفى العشرة الدراهم كلّها الموصوفة تلك الدراهم بأنّها ليست بدرهم</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اصل في المقام نعم هنالک انصراف و ظهور للکلمة في الاستثناء و عليه فيصح ما قال</w:t>
      </w:r>
      <w:r>
        <w:rPr>
          <w:rFonts w:eastAsia="IRNazanin" w:cs="IRNazanin"/>
          <w:color w:val="111111"/>
          <w:sz w:val="28"/>
          <w:szCs w:val="28"/>
          <w:rtl w:val="true"/>
          <w:lang w:bidi="fa-IR"/>
        </w:rPr>
        <w:t>.</w:t>
      </w:r>
    </w:p>
    <w:p>
      <w:pPr>
        <w:pStyle w:val="Heading2"/>
        <w:numPr>
          <w:ilvl w:val="1"/>
          <w:numId w:val="1"/>
        </w:numPr>
        <w:rPr/>
      </w:pPr>
      <w:bookmarkStart w:id="513" w:name="__RefHeading___Toc11691435_1280447820"/>
      <w:bookmarkStart w:id="514" w:name="_Toc185"/>
      <w:bookmarkEnd w:id="513"/>
      <w:r>
        <w:rPr>
          <w:rtl w:val="true"/>
        </w:rPr>
        <w:t>الثاني</w:t>
      </w:r>
      <w:r>
        <w:rPr>
          <w:rtl w:val="true"/>
        </w:rPr>
        <w:t xml:space="preserve">: </w:t>
      </w:r>
      <w:r>
        <w:rPr>
          <w:rtl w:val="true"/>
        </w:rPr>
        <w:t>انما</w:t>
      </w:r>
      <w:bookmarkEnd w:id="51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ادوات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عليه علماء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على إفادتها للحصر بوجوه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قول المفسّرين إِنَّما حَرَّمَ عَلَيْكُمُ الْمَيْتَةَ وَ الدَّمَ وَ لَحْمَ الْخِنْزِيرِ وَ ما أُهِلَّ بِهِ لِغَيْرِ اللَّه</w:t>
      </w:r>
      <w:r>
        <w:rPr>
          <w:rStyle w:val="FootnoteAnchor"/>
          <w:rtl w:val="true"/>
        </w:rPr>
        <w:footnoteReference w:id="310"/>
      </w:r>
      <w:r>
        <w:rPr>
          <w:rFonts w:ascii="Amiri" w:hAnsi="Amiri" w:eastAsia="Amiri" w:cs="Amiri"/>
          <w:color w:val="111111"/>
          <w:sz w:val="28"/>
          <w:sz w:val="28"/>
          <w:szCs w:val="28"/>
          <w:rtl w:val="true"/>
          <w:lang w:bidi="ar-SA"/>
        </w:rPr>
        <w:t>أي ما حرم ربّكم إلّا الميتة و ما تلاها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ما يذكر بعدها و نفي ما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انفصال الضمير معها،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لظهور الضمير إلّا إفادة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المحقّق الخراساني على إفادته الحصر بوجهين 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تبادر الحصر منها في استعمالاتها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أهل اللغة بذلك كالأزهري و غيره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على الأوّل من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التبادر المزبور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السابق مختلفة، حيث انها قد استعملت فيه في الحصر و غيره، و لم يظهر غلبة استعمالها في الحصر حتى تصح دعوى تبادر الحصر منها كي يكون دليلا على الوضع، و لم تستعمل أيضا في عرفنا اليوم ليرجع إليه في تشخيص معناها من الحصر و عدمه، و كذا لم يعلم بما يرادفها في عرفناالحاضر حتى يرجع إليه في تشخيص معناه، إذ لم يعلم أن قولهم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اينست و جز اين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لهذه الكلمة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سبيل إلى دعوى التبادر أصلا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إنكار استعمالها في عرفنا الحاضر، و انکار تبادر الحصر منها فيه بلا وجه وجيه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اورد على الثاني منها بأنّ قول اللغوي ليست بحجّة إلّا من باب الظن المطلق</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حجية قول اللغوي محل خلاف و ان الحق حجيته کما ذهب اليه هو اخيرا مضافا الی أنّه إذا تظافر النقل من اللغويين و النحويين و علماء المعاني على أنّه يفيد الحصر، أفاد ذلك وثوقاً و هو علم عرفي و حجّة 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ذهب الرازي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314"/>
      </w:r>
      <w:r>
        <w:rPr>
          <w:rFonts w:ascii="Amiri" w:hAnsi="Amiri" w:eastAsia="Amiri" w:cs="Amiri"/>
          <w:color w:val="111111"/>
          <w:sz w:val="28"/>
          <w:sz w:val="28"/>
          <w:szCs w:val="28"/>
          <w:rtl w:val="true"/>
          <w:lang w:bidi="ar-SA"/>
        </w:rPr>
        <w:t xml:space="preserve">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الحصر ليبطل بذلك دلالة الآية على ولاية الإمام أمير المؤمنين عليه السلام، و استدلّ على مختاره بالآية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الدنيا ليس منحصراً بما جاء في هذا المثل، بل يمكن بيان حال الدنيا بتمثيلات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الْحَياةُ الدُّنْيا لَعِبٌ وَ لَهْوٌ وَ إِنْ تُؤْمِنُوا وَ تَتَّقُوا يُؤْتِكُمْ أُجُورَكُمْ وَ لا يَسْئَلْكُمْ أَمْوالَكُم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الْحَياةُ الدُّنْيا إِلَّا مَتاعُ الْغُرُور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الأمثال الواردة في الكتاب و السنّة و الأدب العربي بُغْية بيان حال الدنيا و هذا آية عدم الحصر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انما قال ذلک تعصبا و عنادا بدليل انه لم يناقش في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الحصر في غير هذا المورد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مثلُکم يوحی إليّ</w:t>
      </w:r>
      <w:r>
        <w:rPr>
          <w:rStyle w:val="FootnoteAnchor"/>
          <w:rtl w:val="true"/>
        </w:rPr>
        <w:footnoteReference w:id="316"/>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الله الهٌ واحدٌ سبحانه ان يکون له ولد</w:t>
      </w:r>
      <w:r>
        <w:rPr>
          <w:rStyle w:val="FootnoteAnchor"/>
          <w:rtl w:val="true"/>
        </w:rPr>
        <w:footnoteReference w:id="317"/>
      </w:r>
      <w:r>
        <w:rPr>
          <w:rFonts w:ascii="IRNazanin" w:hAnsi="IRNazanin" w:eastAsia="IRNazanin"/>
          <w:color w:val="111111"/>
          <w:sz w:val="28"/>
          <w:sz w:val="28"/>
          <w:szCs w:val="28"/>
          <w:rtl w:val="true"/>
          <w:lang w:bidi="fa-IR"/>
        </w:rPr>
        <w:t>و قوله تعالی قل إنما ادعوا ربي و لا اشرک به احدا</w:t>
      </w:r>
      <w:r>
        <w:rPr>
          <w:rStyle w:val="FootnoteAnchor"/>
          <w:rtl w:val="true"/>
        </w:rPr>
        <w:footnoteReference w:id="318"/>
      </w:r>
      <w:r>
        <w:rPr>
          <w:rFonts w:ascii="IRNazanin" w:hAnsi="IRNazanin" w:eastAsia="IRNazanin"/>
          <w:color w:val="111111"/>
          <w:sz w:val="28"/>
          <w:sz w:val="28"/>
          <w:szCs w:val="28"/>
          <w:rtl w:val="true"/>
          <w:lang w:bidi="fa-IR"/>
        </w:rPr>
        <w:t xml:space="preserve">فراجع مواردها في الکتاب العزيز تجد موافقته علی دلالة إنّما علی الحصر في تلک الآيات لکنه في آية الولاية تعصب فانکر دلالتها علی الحصر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أيضاً وردت بمعنى الحصر، فالدنيا في نظر الإنسان المؤمن ليست في حقيقتها سوى اللهو و اللعب و أمثال ذلك، و قد يتصور الإنسان المتورط في حبائل الدنيا اموراً اخرى في هذه الدنيا و لكن لو نظر بعين الحقيقة لرأى أنّ جميع أشكال الحكومات و المقامات الدنيوية و القصور الفخمة و أمثالها من مظاهر الدنيا ليست سوى لهو و لعب حيث يلهو بها أبناء الدنيا</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الآيات للحصر قطعاً، لکن الحصر علی أقسام کما بيّن في علم المعاني و البيان، و من أقسامه حصر القلب و معناه إثبات ما </w:t>
      </w:r>
      <w:bookmarkStart w:id="515" w:name="pg16640_202427"/>
    </w:p>
    <w:p>
      <w:pPr>
        <w:pStyle w:val="BookText"/>
        <w:rPr/>
      </w:pPr>
      <w:bookmarkEnd w:id="515"/>
      <w:r>
        <w:rPr>
          <w:rFonts w:ascii="IRNazanin" w:hAnsi="IRNazanin" w:eastAsia="IRNazanin"/>
          <w:color w:val="111111"/>
          <w:sz w:val="28"/>
          <w:sz w:val="28"/>
          <w:szCs w:val="28"/>
          <w:rtl w:val="true"/>
          <w:lang w:bidi="fa-IR"/>
        </w:rPr>
        <w:t>ذکر و نفي ما اعتقدوا به من کون الحياة الدنيا حياة کاملة جديّة و هي المقصد الأصلي و لا مقصد وراها، فنفته الآية و دلّت علی خلاف ذلک و انّ الحياة الدنيا لعب و لهو و تزوير و 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من قصر الموصوف علی الصفة لا قصر الصفة علی الموصوف کما زعم فرده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شک انّ اللعب و اللهو قد يحصلان في غيرها اي في غيرالحياة الدنيا</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 xml:space="preserve">اذ ليس المراد انّ اللهو و اللعب منحصر في الدنيا بل المراد انّ شأن الدنيا منحصر في اللهو و اللعب بحصر القلب و ما صدر منه من الخبط و الغلط ها هنا غريب جدا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 ترد في معناها الحقيقي فهذا لا يدلّ على أنّ الموارد الاخرى في استعمال هذه الكلمة تحمل على غير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النتيجة هي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الشريفة تدلّ على الحصر بلا شك</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11691437_1280447820"/>
      <w:bookmarkStart w:id="517" w:name="_Toc186"/>
      <w:bookmarkEnd w:id="516"/>
      <w:r>
        <w:rPr>
          <w:rtl w:val="true"/>
        </w:rPr>
        <w:t>الثالث</w:t>
      </w:r>
      <w:r>
        <w:rPr>
          <w:rtl w:val="true"/>
        </w:rPr>
        <w:t xml:space="preserve">: </w:t>
      </w:r>
      <w:r>
        <w:rPr>
          <w:rtl w:val="true"/>
        </w:rPr>
        <w:t>بل الاضرابية</w:t>
      </w:r>
      <w:bookmarkEnd w:id="51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النحاة و الأُدباء للفظة بل معان متعددة فقال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يعطف بها الحرف الثاني على الأول فيلزمه مثل إعرابه، و هو للإضراب عن الأول للثاني،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بَلْ عمروٌ، و ما رأيت زيداً بَلْ عَمْراً، و جاءني أخوك بَلْ أبوك، تعطف بها بعد النفي و الإثبات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وضَعوه موضع رُبَّ</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انها حرف عطف </w:t>
      </w:r>
    </w:p>
    <w:p>
      <w:pPr>
        <w:pStyle w:val="BookText"/>
        <w:rPr/>
      </w:pPr>
      <w:r>
        <w:rPr>
          <w:rFonts w:ascii="IRNazanin" w:hAnsi="IRNazanin" w:eastAsia="IRNazanin"/>
          <w:color w:val="111111"/>
          <w:sz w:val="28"/>
          <w:sz w:val="28"/>
          <w:szCs w:val="28"/>
          <w:rtl w:val="true"/>
          <w:lang w:bidi="fa-IR"/>
        </w:rPr>
        <w:t>وضعت للإضراب و الانتقال من معنى إلى معنى، أو من غرض إلى غرض،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إفادتها للحصر فقد اختلفت الأقوال فيه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تفيد الحصر مطلقاً، و نسب إلى الحاجبي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تفيد الحصر مطلقاً، و نسب إلى الزمخشري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لنقل الحكم من المتبوع إلى التابع فقط مطلقاً كما عن بعضهم أو في الإثبات فقط كما عليه المشهور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التفصيل بين مورد دون مورد، و هو خيرة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لعدم الدليل علی ما تقدم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الاضراب على أقسام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المضرب عنه وقع عن غفلة أو على نحو الغلط، و لا دلالة لها حينئذ على الحصر، و هو واضح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تأكيد المضرب عنه و تقريره و يكون ذكر المضرب عنه كالتوطئة و التمهيد لذكر المضرب إليه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بل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دلالة له على الحصر أيضاً و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w:t>
      </w:r>
      <w:r>
        <w:rPr>
          <w:rStyle w:val="FootnoteAnchor"/>
          <w:rtl w:val="true"/>
        </w:rPr>
        <w:footnoteReference w:id="326"/>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لَدَيْنا كِتابٌ يَنْطِقُ بِالْحَقِّ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قُلُوبُهُمْ فِي غَمْرَةٍ مِنْ هذا وَ لَهُمْ أَعْمالٌ مِنْ دُونِ ذلِكَ هُمْ لَها عامِلُون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518" w:name="pg16640_202429"/>
    </w:p>
    <w:p>
      <w:pPr>
        <w:pStyle w:val="BookText"/>
        <w:rPr/>
      </w:pPr>
      <w:bookmarkEnd w:id="51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على الردع و إبطال ما ثبت أوّلا، کقوله تعالی </w:t>
      </w:r>
      <w:r>
        <w:rPr>
          <w:rFonts w:ascii="Amiri" w:hAnsi="Amiri" w:eastAsia="Amiri" w:cs="Amiri"/>
          <w:color w:val="111111"/>
          <w:sz w:val="28"/>
          <w:sz w:val="28"/>
          <w:szCs w:val="28"/>
          <w:rtl w:val="true"/>
          <w:lang w:bidi="ar-SA"/>
        </w:rPr>
        <w:t>أَمْ يَقُولُونَ بِهِ جِنَّةٌ بَلْ جاءَهُمْ بِالْحَق</w:t>
      </w:r>
      <w:r>
        <w:rPr>
          <w:rFonts w:ascii="IRNazanin" w:hAnsi="IRNazanin" w:eastAsia="IRNazanin"/>
          <w:color w:val="111111"/>
          <w:sz w:val="28"/>
          <w:sz w:val="28"/>
          <w:szCs w:val="28"/>
          <w:rtl w:val="true"/>
          <w:lang w:bidi="fa-IR"/>
        </w:rPr>
        <w:t xml:space="preserve"> و هنا تدلّ على الحصر، فيكون لها مفهوم، و هذه الآية الكريمة تدلّ على انتفاء مجيئه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اتَّخَذَ الرَّحْمنُ وَلَداً سُبْحانَهُ بَلْ عِبادٌ مُكْرَمُون</w:t>
      </w:r>
      <w:r>
        <w:rPr>
          <w:rStyle w:val="FootnoteAnchor"/>
          <w:rtl w:val="true"/>
        </w:rPr>
        <w:footnoteReference w:id="328"/>
      </w:r>
      <w:r>
        <w:rPr>
          <w:rFonts w:ascii="IRNazanin" w:hAnsi="IRNazanin" w:eastAsia="IRNazanin"/>
          <w:color w:val="111111"/>
          <w:sz w:val="28"/>
          <w:sz w:val="28"/>
          <w:szCs w:val="28"/>
          <w:rtl w:val="true"/>
          <w:lang w:bidi="fa-IR"/>
        </w:rPr>
        <w:t>و المعنى بل هم عباد و نحوه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بِهِ جِنَّةٌ بَلْ جاءَهُمْ بِالْحَقِّ وَ أَكْثَرُهُمْ لِلْحَقِّ كارِهُون</w:t>
      </w:r>
      <w:r>
        <w:rPr>
          <w:rStyle w:val="FootnoteAnchor"/>
          <w:rtl w:val="true"/>
        </w:rPr>
        <w:footnoteReference w:id="329"/>
      </w:r>
      <w:r>
        <w:rPr>
          <w:rFonts w:ascii="Amiri" w:hAnsi="Amiri" w:eastAsia="Amiri" w:cs="Amiri"/>
          <w:color w:val="111111"/>
          <w:sz w:val="28"/>
          <w:sz w:val="28"/>
          <w:szCs w:val="28"/>
          <w:rtl w:val="true"/>
          <w:lang w:bidi="ar-SA"/>
        </w:rPr>
        <w:t>و هو يفيد الحصر لظهوره فيه</w:t>
      </w:r>
      <w:r>
        <w:rPr>
          <w:rFonts w:eastAsia="Amiri" w:cs="Amiri" w:ascii="Amiri" w:hAnsi="Amiri"/>
          <w:color w:val="111111"/>
          <w:sz w:val="28"/>
          <w:szCs w:val="28"/>
          <w:rtl w:val="true"/>
          <w:lang w:bidi="ar-SA"/>
        </w:rPr>
        <w:t>.</w:t>
      </w:r>
    </w:p>
    <w:p>
      <w:pPr>
        <w:pStyle w:val="Heading2"/>
        <w:numPr>
          <w:ilvl w:val="1"/>
          <w:numId w:val="1"/>
        </w:numPr>
        <w:rPr/>
      </w:pPr>
      <w:bookmarkStart w:id="519" w:name="__RefHeading___Toc11691439_1280447820"/>
      <w:bookmarkStart w:id="520" w:name="_Toc187"/>
      <w:bookmarkEnd w:id="519"/>
      <w:r>
        <w:rPr>
          <w:rtl w:val="true"/>
        </w:rPr>
        <w:t>الرابع</w:t>
      </w:r>
      <w:r>
        <w:rPr>
          <w:rtl w:val="true"/>
        </w:rPr>
        <w:t xml:space="preserve">: </w:t>
      </w:r>
      <w:r>
        <w:rPr>
          <w:rtl w:val="true"/>
        </w:rPr>
        <w:t>تقديم ما حقّه التأخير</w:t>
      </w:r>
      <w:bookmarkEnd w:id="520"/>
    </w:p>
    <w:p>
      <w:pPr>
        <w:pStyle w:val="BookText"/>
        <w:rPr/>
      </w:pPr>
      <w:r>
        <w:rPr>
          <w:rFonts w:ascii="Amiri" w:hAnsi="Amiri" w:eastAsia="Amiri" w:cs="Amiri"/>
          <w:color w:val="111111"/>
          <w:sz w:val="28"/>
          <w:sz w:val="28"/>
          <w:szCs w:val="28"/>
          <w:rtl w:val="true"/>
          <w:lang w:bidi="ar-SA"/>
        </w:rPr>
        <w:t>من أدوات الحصر تقديم ما حقّه التأخير و قد اتّفق النحاة على أنّ تقديم ما حقّه التأخير كالمفعول يفيد الحصر،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أن يقال انّه يفيد الحصر دائماً، إذ ربما يكون للتقديم علل مختلفة كالأهمية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استفيد منها الحصر فلا ينبغي الشكّ في ظهورها في المفهوم؛ لأنّه لازم للحصر لزوما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كلّ ما يدلّ على الحصر فهو دالّ على المفهوم بالملازمة البيّنة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1" w:name="__RefHeading___Toc11691441_1280447820"/>
      <w:bookmarkStart w:id="522" w:name="_Toc188"/>
      <w:bookmarkEnd w:id="521"/>
      <w:r>
        <w:rPr>
          <w:rtl w:val="true"/>
        </w:rPr>
        <w:t>الخامس</w:t>
      </w:r>
      <w:r>
        <w:rPr>
          <w:rtl w:val="true"/>
        </w:rPr>
        <w:t xml:space="preserve">: </w:t>
      </w:r>
      <w:r>
        <w:rPr>
          <w:rtl w:val="true"/>
        </w:rPr>
        <w:t>إفادة المسند إليه المعرف باللام للحصر</w:t>
      </w:r>
      <w:bookmarkEnd w:id="52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يفيد الحصر على ما قيل تعريف المسند إليه باللام و التحقيق أنه لا يفيده إلا فيما اقتضاه المقام لأن الأصل في اللام أن تكون لتعريف الجنس كما أن الأصل في الحمل في القضايا المتعارفة هو الحمل المتعارف الذي ملاكه مجرد الاتحاد في الوجود فإنه الشائع فيها لا الحمل الذاتي الذي ملاكه الاتحاد بحسب المفهوم كما لا يخفى و حمل شي‌ء على جنس و ماهية كذلك لا يقتضي اختصاص تلك الماهية به و حصرها عليه نعم لو قامت قرينة على أن اللام للاستغراق أو أن مدخوله أخذ بنحو الإرسال و الإطلاق أو على أن الحمل عليه كان ذاتيا لأفيد حصر مدخوله على محموله و اختصاصه به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 التعريف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الكلام تارة فيما إذا كان الحمل شائعاً صناعياً و أُخرى حملًا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الحمل الشايع فله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النسبة بين المسند إليه و المسند التساوي نحو الإنسان 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المسند إليه أخصَّ مطلق من المحمول،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المسند إليه أعمّ مطلق من المسند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النسبة بينهما عموماً و خصوصاً من وجه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الحمامة بيضاء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فالقسمان الأوّلان يفيدان الحصر لا لجهة اللام، بل لأجل كون النسبة هي التساوي أو كون المسند إليه أخصّ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استفيد الحصر فإنّما يستفاد من لحاظ النسبة، و أمّا وجود اللام فليس له دور في المقام، و أمّا الآخران فلا يدلّان على الحصر لافتراض انّ المسند إليه أعمّمن المسند، أو كون النسبة بينهما عموم و خصوص من وجه فلا يعقل للحصر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يؤثر في الحصر و عدمه هو لحاظ واقع المسند إليه مع المسند من حيث النسبة، و لذلك يفيد الحصر في الأوّلين دون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أُريد من مدخول لام الجنس الإطلاق و الإرسال فهو يفيد الحصر،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فانّ حصر جنس الحمد للّه، لأجل انّ كلّ ما يصدق عليه الحمد فهو للّه حتّى الحمد الموجه إلى غيره، لانّه سبحانه مبدأ المحامد و أصلها، فكلّ ما للغير من جمال و كمال فهو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الحمل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النسبة بين المسند إليه المحلّى باللام و المسند هو التساوي في المفهوم لا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الحمل أوّلياً فهو يفيد الحصر بلا إشكال،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 غير أنّ الحصر مدلول وحدة الموضوع و المحمول مفهوماً و ليس للام هاهنا أيّ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العهد</w:t>
      </w:r>
    </w:p>
    <w:p>
      <w:pPr>
        <w:pStyle w:val="BookText"/>
        <w:rPr/>
      </w:pPr>
      <w:r>
        <w:rPr>
          <w:rFonts w:ascii="Amiri" w:hAnsi="Amiri" w:eastAsia="Amiri" w:cs="Amiri"/>
          <w:color w:val="111111"/>
          <w:sz w:val="28"/>
          <w:sz w:val="28"/>
          <w:szCs w:val="28"/>
          <w:rtl w:val="true"/>
          <w:lang w:bidi="ar-SA"/>
        </w:rPr>
        <w:t xml:space="preserve">إنّ لام العهد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الإشارة إلى ما سبق ذكره،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إِلى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 فَأَخَذْناهُ أَخْذاً وَبِيلًا</w:t>
      </w:r>
      <w:r>
        <w:rPr>
          <w:rStyle w:val="FootnoteAnchor"/>
          <w:rtl w:val="true"/>
        </w:rPr>
        <w:footnoteReference w:id="332"/>
      </w:r>
      <w:r>
        <w:rPr>
          <w:rFonts w:ascii="Amiri" w:hAnsi="Amiri" w:eastAsia="Amiri" w:cs="Amiri"/>
          <w:color w:val="111111"/>
          <w:sz w:val="28"/>
          <w:sz w:val="28"/>
          <w:szCs w:val="28"/>
          <w:rtl w:val="true"/>
          <w:lang w:bidi="ar-SA"/>
        </w:rPr>
        <w:t>و لا يدلّ على الحصر كما هو واضح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الاستغراق </w:t>
      </w:r>
      <w:bookmarkStart w:id="523" w:name="pg16640_202432"/>
    </w:p>
    <w:p>
      <w:pPr>
        <w:pStyle w:val="BookText"/>
        <w:rPr/>
      </w:pPr>
      <w:bookmarkEnd w:id="523"/>
      <w:r>
        <w:rPr>
          <w:rFonts w:ascii="Amiri" w:hAnsi="Amiri" w:eastAsia="Amiri" w:cs="Amiri"/>
          <w:color w:val="111111"/>
          <w:sz w:val="28"/>
          <w:sz w:val="28"/>
          <w:szCs w:val="28"/>
          <w:rtl w:val="true"/>
          <w:lang w:bidi="ar-SA"/>
        </w:rPr>
        <w:t>و المراد من لام الاستغراق ما يدلّ على شمول المدخول لكلّ ما يصدق عليه،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Style w:val="FootnoteAnchor"/>
          <w:rtl w:val="true"/>
        </w:rPr>
        <w:footnoteReference w:id="333"/>
      </w:r>
      <w:r>
        <w:rPr>
          <w:rFonts w:ascii="Amiri" w:hAnsi="Amiri" w:eastAsia="Amiri" w:cs="Amiri"/>
          <w:color w:val="111111"/>
          <w:sz w:val="28"/>
          <w:sz w:val="28"/>
          <w:szCs w:val="28"/>
          <w:rtl w:val="true"/>
          <w:lang w:bidi="ar-SA"/>
        </w:rPr>
        <w:t>و هو يفيد الحصر قطعاً، أي حصر الإنسان في الخسر على نحو لا يشذّ عنه فرد من أفراد المدخول، إلّا إذا قام الدليل على الخروج</w:t>
      </w:r>
      <w:r>
        <w:rPr>
          <w:rFonts w:eastAsia="Amiri" w:cs="Amiri" w:ascii="Amiri" w:hAnsi="Amiri"/>
          <w:color w:val="111111"/>
          <w:sz w:val="28"/>
          <w:szCs w:val="28"/>
          <w:rtl w:val="true"/>
          <w:lang w:bidi="ar-SA"/>
        </w:rPr>
        <w:t>.</w:t>
      </w:r>
    </w:p>
    <w:p>
      <w:pPr>
        <w:pStyle w:val="Heading2"/>
        <w:numPr>
          <w:ilvl w:val="1"/>
          <w:numId w:val="1"/>
        </w:numPr>
        <w:rPr/>
      </w:pPr>
      <w:bookmarkStart w:id="524" w:name="__RefHeading___Toc11691443_1280447820"/>
      <w:bookmarkStart w:id="525" w:name="_Toc189"/>
      <w:bookmarkEnd w:id="524"/>
      <w:r>
        <w:rPr>
          <w:rtl w:val="true"/>
        </w:rPr>
        <w:t>بعض أدوات الحصر</w:t>
      </w:r>
      <w:bookmarkEnd w:id="525"/>
    </w:p>
    <w:p>
      <w:pPr>
        <w:pStyle w:val="BookText"/>
        <w:rPr/>
      </w:pPr>
      <w:r>
        <w:rPr>
          <w:rFonts w:ascii="Amiri" w:hAnsi="Amiri" w:eastAsia="Amiri" w:cs="Amiri"/>
          <w:color w:val="111111"/>
          <w:sz w:val="28"/>
          <w:sz w:val="28"/>
          <w:szCs w:val="28"/>
          <w:rtl w:val="true"/>
          <w:lang w:bidi="ar-SA"/>
        </w:rPr>
        <w:t>من أدوات الحصر توسط الضمير بين المسند إليه و المسند،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من أدواته أيضاً تعريف المسند نحو زيد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ذكرناه في المقام ضابطة غالبية و ليست ضابطة عامة، و لذا يلزم على الباحث الإمعان في القرائن التي يكتنف بها الكلام</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11691445_1280447820"/>
      <w:bookmarkStart w:id="527" w:name="_Toc190"/>
      <w:bookmarkEnd w:id="526"/>
      <w:r>
        <w:rPr>
          <w:rtl w:val="true"/>
        </w:rPr>
        <w:t>الفصل الخامس مفهوم اللقب</w:t>
      </w:r>
      <w:bookmarkEnd w:id="527"/>
    </w:p>
    <w:p>
      <w:pPr>
        <w:pStyle w:val="BookText"/>
        <w:rPr/>
      </w:pPr>
      <w:r>
        <w:rPr>
          <w:rFonts w:ascii="Amiri" w:hAnsi="Amiri" w:eastAsia="Amiri" w:cs="Amiri"/>
          <w:color w:val="111111"/>
          <w:sz w:val="28"/>
          <w:sz w:val="28"/>
          <w:szCs w:val="28"/>
          <w:rtl w:val="true"/>
          <w:lang w:bidi="ar-SA"/>
        </w:rPr>
        <w:t>المقصود باللقب في مصطلح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مشتقّا أم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موضوعا للحكم، كالفقير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كالسّارق و السّارقة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مفهوم اللقب هو نفي سنخ الحكم عمّا لا يتناوله عموم الاسم</w:t>
      </w:r>
      <w:r>
        <w:rPr>
          <w:rFonts w:eastAsia="Amiri" w:cs="Amiri" w:ascii="Amiri" w:hAnsi="Amiri"/>
          <w:color w:val="111111"/>
          <w:sz w:val="28"/>
          <w:szCs w:val="28"/>
          <w:rtl w:val="true"/>
          <w:lang w:bidi="ar-SA"/>
        </w:rPr>
        <w:t xml:space="preserve">. </w:t>
      </w:r>
      <w:bookmarkStart w:id="528" w:name="pg16640_202433"/>
    </w:p>
    <w:p>
      <w:pPr>
        <w:pStyle w:val="BookText"/>
        <w:rPr/>
      </w:pPr>
      <w:bookmarkEnd w:id="528"/>
      <w:r>
        <w:rPr>
          <w:rFonts w:ascii="Amiri" w:hAnsi="Amiri" w:eastAsia="Amiri" w:cs="Amiri"/>
          <w:color w:val="111111"/>
          <w:sz w:val="28"/>
          <w:sz w:val="28"/>
          <w:szCs w:val="28"/>
          <w:rtl w:val="true"/>
          <w:lang w:bidi="ar-SA"/>
        </w:rPr>
        <w:t xml:space="preserve">و المعروف بين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خرج كالدقاق و الصيرفي و أصحاب أحمد بن حنبل</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المفهوم للقيود الواردة في الكلام لانّ نفس موضوع الحكم بعنوانه لا يشعر بتعليق الحكم عليه، فضلا عن أن يكون له ظهور في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يفهم من اللقب عدم تناول شخص الحكم لغير ما يشمله عموم الاسم، و هذا لا كلام فيه، أمّا عدم ثبوت نوع الحكم لموضوع آخر فلا دلالة له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رسول اللّه فلا يعدّ دليلًا على أنّ محمّداً صلي الله عليه و آله ليس رسول اللّه،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فالتشريع محدد بالإكرام في الدار و لا يدلّ على عدم وجوبه في غير الدار، لأنّ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إجزاء الإكرام في غير الدار عن الإكرام في الدار فليس لأجل كون القضية الأُولى ذات مفهوم، بل لأجل عدم امتثال المأمور به</w:t>
      </w:r>
      <w:r>
        <w:rPr>
          <w:rFonts w:eastAsia="Amiri" w:cs="Amiri" w:ascii="Amiri" w:hAnsi="Amiri"/>
          <w:color w:val="111111"/>
          <w:sz w:val="28"/>
          <w:szCs w:val="28"/>
          <w:rtl w:val="true"/>
          <w:lang w:bidi="ar-SA"/>
        </w:rPr>
        <w:t>.</w:t>
      </w:r>
    </w:p>
    <w:p>
      <w:pPr>
        <w:pStyle w:val="Heading2"/>
        <w:numPr>
          <w:ilvl w:val="1"/>
          <w:numId w:val="1"/>
        </w:numPr>
        <w:rPr/>
      </w:pPr>
      <w:bookmarkStart w:id="529" w:name="__RefHeading___Toc11691447_1280447820"/>
      <w:bookmarkStart w:id="530" w:name="_Toc191"/>
      <w:bookmarkEnd w:id="529"/>
      <w:r>
        <w:rPr>
          <w:rtl w:val="true"/>
        </w:rPr>
        <w:t>الفصل السادس مفهوم العدد</w:t>
      </w:r>
      <w:bookmarkEnd w:id="530"/>
    </w:p>
    <w:p>
      <w:pPr>
        <w:pStyle w:val="BookText"/>
        <w:rPr/>
      </w:pPr>
      <w:r>
        <w:rPr>
          <w:rFonts w:ascii="Amiri" w:hAnsi="Amiri" w:eastAsia="Amiri" w:cs="Amiri"/>
          <w:color w:val="111111"/>
          <w:sz w:val="28"/>
          <w:sz w:val="28"/>
          <w:szCs w:val="28"/>
          <w:rtl w:val="true"/>
          <w:lang w:bidi="ar-SA"/>
        </w:rPr>
        <w:t>لا شكّ في أنّ تحديد الموضوع بعدد خاصّ لا يدلّ على انتفاء الحكم فيما عداه،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ثلاثة أيّام من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يدلّ على عدم استحباب صوم غير الثلاثة الأيّام، فلا يعارض الدليل على استحباب صوم أيّام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لانّ العدد المأخوذ في الموضوع أو في جانب المحمول يتصوّر على أقسام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يؤخذ العدد في جانبي الزيادة و النقيصة على نحو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النقيصة مخلة و لا الزيادة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 مخاطباً النبيّ صلى الله عليه و آله و سلم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لَهُمْ</w:t>
      </w:r>
    </w:p>
    <w:p>
      <w:pPr>
        <w:pStyle w:val="BookText"/>
        <w:rPr/>
      </w:pPr>
      <w:r>
        <w:rPr>
          <w:rFonts w:ascii="Amiri" w:hAnsi="Amiri" w:eastAsia="Amiri" w:cs="Amiri"/>
          <w:color w:val="111111"/>
          <w:sz w:val="28"/>
          <w:sz w:val="28"/>
          <w:szCs w:val="28"/>
          <w:rtl w:val="true"/>
          <w:lang w:bidi="ar-SA"/>
        </w:rPr>
        <w:t>أَوْ لا تَسْتَغْفِرْ لَهُمْ إِنْ تَسْتَغْفِرْ لَهُمْ سَبْعِينَ مَرَّةً فَلَنْ يَغْفِرَ اللَّهُ لَهُمْ ذلِكَ بِأَنَّهُمْ كَفَرُوا بِاللَّهِ وَ رَسُولِهِ وَ اللَّهُ لا يَهْدِي الْقَوْمَ الْفاسِقِين</w:t>
      </w:r>
      <w:r>
        <w:rPr>
          <w:rStyle w:val="FootnoteAnchor"/>
          <w:rtl w:val="true"/>
        </w:rPr>
        <w:footnoteReference w:id="336"/>
      </w:r>
      <w:r>
        <w:rPr>
          <w:rFonts w:ascii="IRNazanin" w:hAnsi="IRNazanin" w:eastAsia="IRNazanin"/>
          <w:color w:val="111111"/>
          <w:sz w:val="28"/>
          <w:sz w:val="28"/>
          <w:szCs w:val="28"/>
          <w:rtl w:val="true"/>
          <w:lang w:bidi="fa-IR"/>
        </w:rPr>
        <w:t>فانّ ذكر عدد سبعين لبيان المبالغة لا للتحديد، فلا تكون النقيصة و لا الزيادة موجبة للغفران، لأنّ الجميع لبيان عدم صلاحيتهم للمغفرة سواء أ زاد على السبعين أم نقص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يؤخذ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 الجانبين كأعداد رکعات الفرائض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يؤخذ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النقيصة دون الزيادة، كما هو الحال في مسألة الكر فانّه عبارة عن ثلاثة أشبار، طولًا و عرضاً و عمقاً و لا يكفي الناقص كما لا يضر الزائد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عكس الصورة الثالثة بأن يؤخذ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الزيادة دون النقيصة كما في أيام العادة فيحكم عليها بالحيض إلى العشر بشرط أن لا تتجاوز، و كما هو الحال في الفصل بين المصلين فيجوز الفصل بالخطوة دون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العدد حسب الثبوت على أقسام أربعة، فكيف يمكن لنا القول بالمفهوم فيه، کقاعدة عامة هذا اذا کان له 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كان العدد دائماً لغاية التحديد في كلا الجانبين كأعداد رکعات الفرائض كان علينا الأخذ بدلالة الدليل على عدم كفاية الأقل و إخلال الزائد و أمّا إذا كان الواقع على الوجوه الأربعة المتقدمة فلا يمكن استظهار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التحديد بالعدد لا مفهوم 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إذا لم يعلم کون التحديد من جانب الزيادة او النقيصة فالظاهر كونه في مقام التحديد زيادةً و نقيصةً فيکون له مفهوم و لذا لو دل دليل اخر علی اعتبار عدد اخر ازيد منه او انقص وقع بينهما التعارض</w:t>
      </w:r>
      <w:r>
        <w:rPr>
          <w:rFonts w:eastAsia="IRNazanin" w:cs="IRNazanin"/>
          <w:color w:val="111111"/>
          <w:sz w:val="28"/>
          <w:szCs w:val="28"/>
          <w:rtl w:val="true"/>
          <w:lang w:bidi="fa-IR"/>
        </w:rPr>
        <w:t xml:space="preserve">. </w:t>
      </w:r>
      <w:bookmarkStart w:id="531" w:name="pg16640_202435"/>
    </w:p>
    <w:p>
      <w:pPr>
        <w:pStyle w:val="BookText"/>
        <w:rPr/>
      </w:pPr>
      <w:bookmarkEnd w:id="531"/>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في باب المستحبات يحمل العدد علی اختلاف مراتب الفضيلة کالامر بقراءة الف مرة سورة التوحيد في صلاة ليلة عيد الفطر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الحمل خلاف الظاهر و يحتاج الی الدليل و هو مفقود و عليه فلا يجوز الاکتفاء بالاقل لمن اراد ان يصليها </w:t>
      </w:r>
      <w:r>
        <w:rPr>
          <w:rFonts w:eastAsia="IRNazanin" w:cs="IRNazanin"/>
          <w:color w:val="111111"/>
          <w:sz w:val="28"/>
          <w:szCs w:val="28"/>
          <w:rtl w:val="true"/>
          <w:lang w:bidi="fa-IR"/>
        </w:rPr>
        <w:t>.</w:t>
      </w:r>
    </w:p>
    <w:p>
      <w:pPr>
        <w:pStyle w:val="Heading2"/>
        <w:numPr>
          <w:ilvl w:val="1"/>
          <w:numId w:val="1"/>
        </w:numPr>
        <w:rPr/>
      </w:pPr>
      <w:bookmarkStart w:id="532" w:name="__RefHeading___Toc11691449_1280447820"/>
      <w:bookmarkStart w:id="533" w:name="_Toc192"/>
      <w:bookmarkEnd w:id="532"/>
      <w:r>
        <w:rPr>
          <w:rtl w:val="true"/>
        </w:rPr>
        <w:t>تطبيقات</w:t>
      </w:r>
      <w:bookmarkEnd w:id="533"/>
    </w:p>
    <w:p>
      <w:pPr>
        <w:pStyle w:val="BookText"/>
        <w:rPr/>
      </w:pPr>
      <w:r>
        <w:rPr>
          <w:rFonts w:ascii="IRNazanin" w:hAnsi="IRNazanin" w:eastAsia="IRNazanin"/>
          <w:color w:val="111111"/>
          <w:sz w:val="28"/>
          <w:sz w:val="28"/>
          <w:szCs w:val="28"/>
          <w:rtl w:val="true"/>
          <w:lang w:bidi="fa-IR"/>
        </w:rPr>
        <w:t>و نذکر هنا بعض ما ورد في القرآن الكريم من الأعداد من آيات الأحكام في مقام التحديد من كلا الجانبين أو من جانب واحد، مثل قوله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الزَّانِيَةُ وَ الزَّانِي فَاجْلِدُوا كُلَّ واحِدٍ مِنْهُما مِائَةَ جَلْدَة</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الآية التحديد في كلا الجانبين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اسْتَشْهِدُوا شَهِيدَيْنِ مِنْ رِجالِكُم</w:t>
      </w:r>
      <w:r>
        <w:rPr>
          <w:rStyle w:val="FootnoteAnchor"/>
          <w:rtl w:val="true"/>
        </w:rPr>
        <w:footnoteReference w:id="339"/>
      </w:r>
      <w:r>
        <w:rPr>
          <w:rFonts w:ascii="Amiri" w:hAnsi="Amiri" w:eastAsia="Amiri" w:cs="Amiri"/>
          <w:color w:val="111111"/>
          <w:sz w:val="28"/>
          <w:sz w:val="28"/>
          <w:szCs w:val="28"/>
          <w:rtl w:val="true"/>
          <w:lang w:bidi="ar-SA"/>
        </w:rPr>
        <w:t>، فالآية بصدد تحديد جانب النقيصة لا جانب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w:t>
      </w:r>
      <w:r>
        <w:rPr>
          <w:rStyle w:val="FootnoteAnchor"/>
          <w:rtl w:val="true"/>
        </w:rPr>
        <w:footnoteReference w:id="340"/>
      </w:r>
      <w:r>
        <w:rPr>
          <w:rFonts w:ascii="Amiri" w:hAnsi="Amiri" w:eastAsia="Amiri" w:cs="Amiri"/>
          <w:color w:val="111111"/>
          <w:sz w:val="28"/>
          <w:sz w:val="28"/>
          <w:szCs w:val="28"/>
          <w:rtl w:val="true"/>
          <w:lang w:bidi="ar-SA"/>
        </w:rPr>
        <w:t>، فالآية بصدد تحديد جانب النقيصة لا الزيادة</w:t>
      </w:r>
      <w:r>
        <w:rPr>
          <w:rFonts w:eastAsia="Amiri" w:cs="Amiri" w:ascii="Amiri" w:hAnsi="Amiri"/>
          <w:color w:val="111111"/>
          <w:sz w:val="28"/>
          <w:szCs w:val="28"/>
          <w:rtl w:val="true"/>
          <w:lang w:bidi="ar-SA"/>
        </w:rPr>
        <w:t xml:space="preserve">. </w:t>
      </w:r>
      <w:bookmarkStart w:id="534" w:name="pg16640_202436"/>
    </w:p>
    <w:p>
      <w:pPr>
        <w:pStyle w:val="BookText"/>
        <w:rPr/>
      </w:pPr>
      <w:bookmarkEnd w:id="5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الآية ظاهرة في تحديد جانب النقيصة</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11691451_1280447820"/>
      <w:bookmarkStart w:id="536" w:name="_Toc193"/>
      <w:bookmarkEnd w:id="535"/>
      <w:r>
        <w:rPr>
          <w:rtl w:val="true"/>
        </w:rPr>
        <w:t>خاتمة</w:t>
      </w:r>
      <w:r>
        <w:rPr>
          <w:rtl w:val="true"/>
        </w:rPr>
        <w:t xml:space="preserve">: </w:t>
      </w:r>
      <w:r>
        <w:rPr>
          <w:rtl w:val="true"/>
        </w:rPr>
        <w:t>في دلالة الاقتضاء و التنبيه و الإشارة</w:t>
      </w:r>
      <w:bookmarkEnd w:id="536"/>
    </w:p>
    <w:p>
      <w:pPr>
        <w:pStyle w:val="BookText"/>
        <w:rPr/>
      </w:pPr>
      <w:r>
        <w:rPr>
          <w:rFonts w:ascii="Amiri" w:hAnsi="Amiri" w:eastAsia="Amiri" w:cs="Amiri"/>
          <w:color w:val="111111"/>
          <w:sz w:val="28"/>
          <w:sz w:val="28"/>
          <w:szCs w:val="28"/>
          <w:rtl w:val="true"/>
          <w:lang w:bidi="ar-SA"/>
        </w:rPr>
        <w:t>قال العلامة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كثيرا على لسان الفقهاء و الأصوليّين ذكر دلالة الاقتضاء و التنبيه و الإشارة، و لم تشرح هذه الدلالات في أكثر الكتب الأصوليّة المتعارفة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نقتفي اثره و نبحث عنها بشي‌ء من التفصيل مع الاستفادة مما کتبه مع التعليق عليه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عنها يقع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مواقع هذه الدلالات الثلاث و أنّها من أيّ أقسام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حجّيتها</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11691453_1280447820"/>
      <w:bookmarkStart w:id="538" w:name="_Toc194"/>
      <w:bookmarkEnd w:id="537"/>
      <w:r>
        <w:rPr>
          <w:rtl w:val="true"/>
        </w:rPr>
        <w:t>الجهة الأولى</w:t>
      </w:r>
      <w:r>
        <w:rPr>
          <w:rtl w:val="true"/>
        </w:rPr>
        <w:t xml:space="preserve">: </w:t>
      </w:r>
      <w:r>
        <w:rPr>
          <w:rtl w:val="true"/>
        </w:rPr>
        <w:t>مواقع الدلالات الثلاث</w:t>
      </w:r>
      <w:r>
        <w:rPr>
          <w:rtl w:val="true"/>
        </w:rPr>
        <w:t>:</w:t>
      </w:r>
      <w:bookmarkEnd w:id="538"/>
    </w:p>
    <w:p>
      <w:pPr>
        <w:pStyle w:val="BookText"/>
        <w:rPr/>
      </w:pPr>
      <w:r>
        <w:rPr>
          <w:rFonts w:ascii="Amiri" w:hAnsi="Amiri" w:eastAsia="Amiri" w:cs="Amiri"/>
          <w:color w:val="111111"/>
          <w:sz w:val="28"/>
          <w:sz w:val="28"/>
          <w:szCs w:val="28"/>
          <w:rtl w:val="true"/>
          <w:lang w:bidi="ar-SA"/>
        </w:rPr>
        <w:t>قد تقدّم أنّ المفهوم هو مدلول الجملة التركيبيّة اللازمة للمنطوق لزوما بيّنا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المنطوق الذي هو مدلول ذات اللفظ بالدلالة المطابقيّة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يبقى هناك من المدلولات ما لا يدخل في المفهوم و لا في المنطوق اصطلاحا، كما إذا دلّ الكلام على مفاد جملة لازمة للمنطوق، إلّا أنّ اللزوم </w:t>
      </w:r>
    </w:p>
    <w:p>
      <w:pPr>
        <w:pStyle w:val="BookText"/>
        <w:rPr/>
      </w:pPr>
      <w:r>
        <w:rPr>
          <w:rFonts w:ascii="Amiri" w:hAnsi="Amiri" w:eastAsia="Amiri" w:cs="Amiri"/>
          <w:color w:val="111111"/>
          <w:sz w:val="28"/>
          <w:sz w:val="28"/>
          <w:szCs w:val="28"/>
          <w:rtl w:val="true"/>
          <w:lang w:bidi="ar-SA"/>
        </w:rPr>
        <w:t>ليس على نحو اللزوم البيّن بالمعنى الأخصّ؛ فإنّ هذه كلّها لا تسمّى مفهوما و لا منطوقا، إذن ما ذا تسمّى هذه الدلالة في هذه المقامات؟</w:t>
      </w:r>
    </w:p>
    <w:p>
      <w:pPr>
        <w:pStyle w:val="BookText"/>
        <w:rPr/>
      </w:pPr>
      <w:r>
        <w:rPr>
          <w:rFonts w:ascii="Amiri" w:hAnsi="Amiri" w:eastAsia="Amiri" w:cs="Amiri"/>
          <w:color w:val="111111"/>
          <w:sz w:val="28"/>
          <w:sz w:val="28"/>
          <w:szCs w:val="28"/>
          <w:rtl w:val="true"/>
          <w:lang w:bidi="ar-SA"/>
        </w:rPr>
        <w:t>قال العلامة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أن نسمّي مثل هذه الدلالة على وجه العموم الدلالة السياقيّة</w:t>
      </w:r>
      <w:r>
        <w:rPr>
          <w:rStyle w:val="FootnoteAnchor"/>
          <w:rtl w:val="true"/>
        </w:rPr>
        <w:footnoteReference w:id="342"/>
      </w:r>
      <w:r>
        <w:rPr>
          <w:rFonts w:ascii="Amiri" w:hAnsi="Amiri" w:eastAsia="Amiri" w:cs="Amiri"/>
          <w:color w:val="111111"/>
          <w:sz w:val="28"/>
          <w:sz w:val="28"/>
          <w:szCs w:val="28"/>
          <w:rtl w:val="true"/>
          <w:lang w:bidi="ar-SA"/>
        </w:rPr>
        <w:t>، تبعا للمحقّق النائيني حيث خصّ المفهوم باللازم البيّن بالمعنى الأخص، و جعل الدلالات الثلاث من اللازم البيّن بالمعنى الأعمّ و أسماها دلالة سياقية، و ظاهره انّها ليست منطوقية و لا مفهومية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المحقّق البروجردي إلى أنّها دلالات منطوقية فأنّ المنطوق منقسم إلى الصريح و غير الصريح، و الثاني ما دلّ عليه اللفظ بدلالة الاقتضاء و التنبيه و الإشارة، لأنّ ما يدلّ عليه إن كان غير مقصود للمتكلّم فهو المدلول عليه بدلالة الإشارة كدلالة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مقصوداً بأن كان صدق الكلام أو صحته يتوقّف عليه فهو المدلول بدلالة الاقتضاء، نحو 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w:t>
      </w:r>
      <w:r>
        <w:rPr>
          <w:rStyle w:val="FootnoteAnchor"/>
          <w:rtl w:val="true"/>
        </w:rPr>
        <w:footnoteReference w:id="344"/>
      </w:r>
      <w:r>
        <w:rPr>
          <w:rFonts w:ascii="Amiri" w:hAnsi="Amiri" w:eastAsia="Amiri" w:cs="Amiri"/>
          <w:color w:val="111111"/>
          <w:sz w:val="28"/>
          <w:sz w:val="28"/>
          <w:szCs w:val="28"/>
          <w:rtl w:val="true"/>
          <w:lang w:bidi="ar-SA"/>
        </w:rPr>
        <w:t>فانّهما يدلّان على مقدّر مصحّح للكلام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اقترن بالحكم ما فهم منه العلية فهو المدلول عليه بدلالة الإيماء و التنبيه، كما لو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واقعت في نهار رمضان،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 فإنّ اقتران الجواب بسؤال السائل يفهم منه، عليّة الوقاع للكفّارة</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الارجح کما تقدم </w:t>
      </w:r>
      <w:r>
        <w:rPr>
          <w:rFonts w:eastAsia="IRNazanin" w:cs="IRNazanin"/>
          <w:color w:val="111111"/>
          <w:sz w:val="28"/>
          <w:szCs w:val="28"/>
          <w:rtl w:val="true"/>
          <w:lang w:bidi="fa-IR"/>
        </w:rPr>
        <w:t xml:space="preserve">. </w:t>
      </w:r>
      <w:bookmarkStart w:id="539" w:name="pg16640_202438"/>
    </w:p>
    <w:p>
      <w:pPr>
        <w:pStyle w:val="BookText"/>
        <w:rPr/>
      </w:pPr>
      <w:bookmarkEnd w:id="539"/>
      <w:r>
        <w:rPr>
          <w:rFonts w:ascii="IRNazanin" w:hAnsi="IRNazanin" w:eastAsia="IRNazanin"/>
          <w:color w:val="111111"/>
          <w:sz w:val="28"/>
          <w:sz w:val="28"/>
          <w:szCs w:val="28"/>
          <w:rtl w:val="true"/>
          <w:lang w:bidi="fa-IR"/>
        </w:rPr>
        <w:t>و کيف کان فالمقصود بها أنّ سياق الكلام يدلّ على المعنى المفرد أو المركّب أو اللفظ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قسّموها إلى الدلالات الثلاث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و التنبيه، و الإشارة، فلنبحث عنها واحدة واحدة</w:t>
      </w:r>
      <w:r>
        <w:rPr>
          <w:rFonts w:eastAsia="IRNazanin" w:cs="IRNazanin"/>
          <w:color w:val="111111"/>
          <w:sz w:val="28"/>
          <w:szCs w:val="28"/>
          <w:rtl w:val="true"/>
          <w:lang w:bidi="fa-IR"/>
        </w:rPr>
        <w:t>.</w:t>
      </w:r>
    </w:p>
    <w:p>
      <w:pPr>
        <w:pStyle w:val="Heading2"/>
        <w:numPr>
          <w:ilvl w:val="1"/>
          <w:numId w:val="1"/>
        </w:numPr>
        <w:rPr/>
      </w:pPr>
      <w:bookmarkStart w:id="540" w:name="__RefHeading___Toc11691455_1280447820"/>
      <w:bookmarkStart w:id="541" w:name="_Toc195"/>
      <w:bookmarkEnd w:id="540"/>
      <w:r>
        <w:rPr>
          <w:rtl w:val="true"/>
        </w:rPr>
        <w:t>الاولی</w:t>
      </w:r>
      <w:r>
        <w:rPr>
          <w:rtl w:val="true"/>
        </w:rPr>
        <w:t xml:space="preserve">: </w:t>
      </w:r>
      <w:r>
        <w:rPr>
          <w:rtl w:val="true"/>
        </w:rPr>
        <w:t>دلالة الاقتضاء</w:t>
      </w:r>
      <w:bookmarkEnd w:id="541"/>
    </w:p>
    <w:p>
      <w:pPr>
        <w:pStyle w:val="BookText"/>
        <w:rPr/>
      </w:pPr>
      <w:r>
        <w:rPr>
          <w:rFonts w:ascii="Amiri" w:hAnsi="Amiri" w:eastAsia="Amiri" w:cs="Amiri"/>
          <w:color w:val="111111"/>
          <w:sz w:val="28"/>
          <w:sz w:val="28"/>
          <w:szCs w:val="28"/>
          <w:rtl w:val="true"/>
          <w:lang w:bidi="ar-SA"/>
        </w:rPr>
        <w:t>و هي أن تكون الدلالة مقصودة للمتكلّم بحسب العرف، و يتوقّف صدق الكلام أو صحّته عقلا، أو شرعا، أو لغة، أو عادة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فإنّ صدق الكلام يتوقّف على تقدير الأحكام و الآثار الشرعيّة لتكون هي المنفيّة حقيقة؛ لوجود الضرر و الضرار قطعا عند المسلمين، فيكون النفي للضرر باعتبار نفي آثاره الشرعيّة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أمّتي ما لا يعلمون و ما اضطرّوا إليه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آخر،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جاره المسجد إلّا في المسجد</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فإنّ صدق الكلام و صحّته تتوقّف على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ليكون المنفيّ كمال الصلاة، لا أصل الصلاة</w:t>
      </w:r>
      <w:r>
        <w:rPr>
          <w:rFonts w:eastAsia="Amiri" w:cs="Amiri" w:ascii="Amiri" w:hAnsi="Amiri"/>
          <w:color w:val="111111"/>
          <w:sz w:val="28"/>
          <w:szCs w:val="28"/>
          <w:rtl w:val="true"/>
          <w:lang w:bidi="ar-SA"/>
        </w:rPr>
        <w:t xml:space="preserve">. </w:t>
      </w:r>
      <w:bookmarkStart w:id="542" w:name="pg16640_202439"/>
    </w:p>
    <w:p>
      <w:pPr>
        <w:pStyle w:val="BookText"/>
        <w:rPr/>
      </w:pPr>
      <w:bookmarkEnd w:id="542"/>
      <w:r>
        <w:rPr>
          <w:rFonts w:ascii="IRNazanin" w:hAnsi="IRNazanin" w:eastAsia="IRNazanin"/>
          <w:color w:val="111111"/>
          <w:sz w:val="28"/>
          <w:sz w:val="28"/>
          <w:szCs w:val="28"/>
          <w:rtl w:val="true"/>
          <w:lang w:bidi="fa-IR"/>
        </w:rPr>
        <w:t>و مثال ثالث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اسْألِ الْقَرْيَةَ</w:t>
      </w:r>
      <w:r>
        <w:rPr>
          <w:rStyle w:val="FootnoteAnchor"/>
          <w:rtl w:val="true"/>
        </w:rPr>
        <w:footnoteReference w:id="349"/>
      </w:r>
      <w:r>
        <w:rPr>
          <w:rFonts w:ascii="Amiri" w:hAnsi="Amiri" w:eastAsia="Amiri" w:cs="Amiri"/>
          <w:color w:val="111111"/>
          <w:sz w:val="28"/>
          <w:sz w:val="28"/>
          <w:szCs w:val="28"/>
          <w:rtl w:val="true"/>
          <w:lang w:bidi="ar-SA"/>
        </w:rPr>
        <w:t xml:space="preserve">، فإنّ صحّته عقلا تتوقّف على 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من باب حذف المضاف، أو على تقدير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باب المجاز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رابع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عنّي 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صحّة هذا الكلام شرعا تتوقّف على طلب تمليكه أوّلا له بألف؛ لأنّه لا عتق إلّا في ملك، فيكون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ملّكني العبد بألف ثمّ أعتقه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الدلالات الالتزاميّة على المعاني المفردة، و جميع المجازات في الكلمة أو في الإسناد 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اللفظ على معناه المجازيّ من الدلالة المطابقيّة، فكيف جعلتم المجاز من نوع 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مقصودنا من كون الدلالة على المعنى المجازيّ من نوع دلالة الاقتضاء هو دلالة نفس القرينة المحفوف بها الكلام على إرادة المعنى المجازيّ من اللفظ، لا دلالة نفس اللفظ عليه بتوسّط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أنّ المناط في دلالة الاقتضاء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الدلالة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الكلام لا يصدق أو لا يصحّ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فيها بين أن يكون لفظا مضمرا أو معنى مرادا، حقيقيّا أو مجازيّا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3" w:name="__RefHeading___Toc11691457_1280447820"/>
      <w:bookmarkStart w:id="544" w:name="_Toc196"/>
      <w:bookmarkEnd w:id="543"/>
      <w:r>
        <w:rPr>
          <w:rtl w:val="true"/>
        </w:rPr>
        <w:t>الثانية</w:t>
      </w:r>
      <w:r>
        <w:rPr>
          <w:rtl w:val="true"/>
        </w:rPr>
        <w:t xml:space="preserve">: </w:t>
      </w:r>
      <w:r>
        <w:rPr>
          <w:rtl w:val="true"/>
        </w:rPr>
        <w:t>دلالة التنبيه</w:t>
      </w:r>
      <w:bookmarkEnd w:id="544"/>
    </w:p>
    <w:p>
      <w:pPr>
        <w:pStyle w:val="BookText"/>
        <w:rPr/>
      </w:pPr>
      <w:r>
        <w:rPr>
          <w:rFonts w:ascii="Amiri" w:hAnsi="Amiri" w:eastAsia="Amiri" w:cs="Amiri"/>
          <w:color w:val="111111"/>
          <w:sz w:val="28"/>
          <w:sz w:val="28"/>
          <w:szCs w:val="28"/>
          <w:rtl w:val="true"/>
          <w:lang w:bidi="ar-SA"/>
        </w:rPr>
        <w:t xml:space="preserve">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هي كالأولى في اشتراط القصد عرفا، و لكن من غير أن يتوقّف صدق الكلام أو صحّته عليها، و إنّما سياق الكلام ما يقطع معه بإرادة ذلك اللازم أو يستبعد عدم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تفترق عن دلالة الاقتضاء؛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صدق الكلام أو صحّته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لدلالة التنبيه موارد كثيرة نذكر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أراد المتكلّم بيان أمر فنبّه عليه بذكر ما يلازمه عقلا أو عرفا، كما 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الساعة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حيث تكون الساعة العاشرة موعدا له مع المخاطب لينبّهه على حلول الموعد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من قد استيقظ من نومه حينئذ، لبيان فوات وقت أداء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طلب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ذكر الخبر لبيان لازم الفائدة، مثل ما لو أخبر المخاطب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 عالم بصومه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أيضا الكنايات إذا كان المراد الحقيقيّ مقصودا بالإفادة من اللفظ، ثمّ كنّى به عن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اقترن الكلام بشي‌ء يفيد كونه علّة للحكم، أو شرطا، أو مانعا، أو جزءا، أو عدم هذه الأمور، فيكون ذكر الحكم تنبيها على كون ذلك الشي‌ء علّة، أو شرطا، أو مانعا، أو جزءا، أو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قول المفتي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سأله عن الشكّ في أعداد الثنائيّة؛ فإنّه يستفاد منه أنّ الشكّ المذكور علّة لبطلان الصّلاة؛ و للحكم بوجوب الإعادة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واقعت أهلي في نهار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يفيد أنّ الوقاع في الصوم الواجب موجب للكفّارة</w:t>
      </w:r>
      <w:r>
        <w:rPr>
          <w:rFonts w:eastAsia="Amiri" w:cs="Amiri" w:ascii="Amiri" w:hAnsi="Amiri"/>
          <w:color w:val="111111"/>
          <w:sz w:val="28"/>
          <w:szCs w:val="28"/>
          <w:rtl w:val="true"/>
          <w:lang w:bidi="ar-SA"/>
        </w:rPr>
        <w:t xml:space="preserve">. </w:t>
      </w:r>
      <w:bookmarkStart w:id="545" w:name="pg16640_202441"/>
    </w:p>
    <w:p>
      <w:pPr>
        <w:pStyle w:val="BookText"/>
        <w:rPr/>
      </w:pPr>
      <w:bookmarkEnd w:id="545"/>
      <w:r>
        <w:rPr>
          <w:rFonts w:ascii="Amiri" w:hAnsi="Amiri" w:eastAsia="Amiri" w:cs="Amiri"/>
          <w:color w:val="111111"/>
          <w:sz w:val="28"/>
          <w:sz w:val="28"/>
          <w:szCs w:val="28"/>
          <w:rtl w:val="true"/>
          <w:lang w:bidi="ar-SA"/>
        </w:rPr>
        <w:t>و مثال ثالث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السمك في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منه اشتراط القدرة على التسليم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رابع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 عن الصلاة في الحمّام، فيفهم منه عدم مانعيّة الكون في الحمّام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اقترن الكلام بشي‌ء يفيد تعيين بعض متعلّقات الفعل، كما 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إلى النهر و شربت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 هذه المقارنة أنّ المشروب هو الماء، و أنّه من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و خطبت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خطبت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Heading2"/>
        <w:numPr>
          <w:ilvl w:val="1"/>
          <w:numId w:val="1"/>
        </w:numPr>
        <w:rPr/>
      </w:pPr>
      <w:bookmarkStart w:id="546" w:name="__RefHeading___Toc11691459_1280447820"/>
      <w:bookmarkStart w:id="547" w:name="_Toc197"/>
      <w:bookmarkEnd w:id="546"/>
      <w:r>
        <w:rPr>
          <w:rtl w:val="true"/>
        </w:rPr>
        <w:t>الثالثة</w:t>
      </w:r>
      <w:r>
        <w:rPr>
          <w:rtl w:val="true"/>
        </w:rPr>
        <w:t xml:space="preserve">: </w:t>
      </w:r>
      <w:r>
        <w:rPr>
          <w:rtl w:val="true"/>
        </w:rPr>
        <w:t>دلالة الإشارة</w:t>
      </w:r>
      <w:bookmarkEnd w:id="547"/>
    </w:p>
    <w:p>
      <w:pPr>
        <w:pStyle w:val="BookText"/>
        <w:rPr/>
      </w:pPr>
      <w:r>
        <w:rPr>
          <w:rFonts w:ascii="Amiri" w:hAnsi="Amiri" w:eastAsia="Amiri" w:cs="Amiri"/>
          <w:color w:val="111111"/>
          <w:sz w:val="28"/>
          <w:sz w:val="28"/>
          <w:szCs w:val="28"/>
          <w:rtl w:val="true"/>
          <w:lang w:bidi="ar-SA"/>
        </w:rPr>
        <w:t>و يشترط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الدلالتين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الدلالة مقصودة بالقصد الاستعمالي بحسب العرف، و لكن مدلولها لازم لمدلول الكلام لزوما غير بيّن، أو لزوما بيّنا بالمعنى الأعمّ، سواء استنبط المدلول من كلام واحد أم من كلامين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دلالة الآيتين على أقلّ الحمل، و هما آية وَ حَمْلُهُ وَ فِصالُهُ ثَلاثُونَ شَهْراً</w:t>
      </w:r>
      <w:r>
        <w:rPr>
          <w:rStyle w:val="FootnoteAnchor"/>
          <w:rtl w:val="true"/>
        </w:rPr>
        <w:footnoteReference w:id="350"/>
      </w:r>
      <w:r>
        <w:rPr>
          <w:rFonts w:ascii="Amiri" w:hAnsi="Amiri" w:eastAsia="Amiri" w:cs="Amiri"/>
          <w:color w:val="111111"/>
          <w:sz w:val="28"/>
          <w:sz w:val="28"/>
          <w:szCs w:val="28"/>
          <w:rtl w:val="true"/>
          <w:lang w:bidi="ar-SA"/>
        </w:rPr>
        <w:t>و آية وَ الْوالِداتُ يُرْضِعْنَ أَوْلادَهُنَّ حَوْلَيْنِ كامِلَيْن</w:t>
      </w:r>
      <w:r>
        <w:rPr>
          <w:rStyle w:val="FootnoteAnchor"/>
          <w:rtl w:val="true"/>
        </w:rPr>
        <w:footnoteReference w:id="351"/>
      </w:r>
      <w:r>
        <w:rPr>
          <w:rFonts w:ascii="Amiri" w:hAnsi="Amiri" w:eastAsia="Amiri" w:cs="Amiri"/>
          <w:color w:val="111111"/>
          <w:sz w:val="28"/>
          <w:sz w:val="28"/>
          <w:szCs w:val="28"/>
          <w:rtl w:val="true"/>
          <w:lang w:bidi="ar-SA"/>
        </w:rPr>
        <w:t>فإنّه بطرح الحولين من ثلاثين شهرا يكون الباقي ستّة أشهر، فيعرف أنّه أقلّ الحمل</w:t>
      </w:r>
      <w:r>
        <w:rPr>
          <w:rFonts w:eastAsia="Amiri" w:cs="Amiri" w:ascii="Amiri" w:hAnsi="Amiri"/>
          <w:color w:val="111111"/>
          <w:sz w:val="28"/>
          <w:szCs w:val="28"/>
          <w:rtl w:val="true"/>
          <w:lang w:bidi="ar-SA"/>
        </w:rPr>
        <w:t xml:space="preserve">. </w:t>
      </w:r>
      <w:bookmarkStart w:id="548" w:name="pg16640_202442"/>
    </w:p>
    <w:p>
      <w:pPr>
        <w:pStyle w:val="Heading2"/>
        <w:numPr>
          <w:ilvl w:val="1"/>
          <w:numId w:val="1"/>
        </w:numPr>
        <w:rPr/>
      </w:pPr>
      <w:bookmarkStart w:id="549" w:name="__RefHeading___Toc11691461_1280447820"/>
      <w:bookmarkStart w:id="550" w:name="_Toc198"/>
      <w:bookmarkEnd w:id="548"/>
      <w:bookmarkEnd w:id="549"/>
      <w:r>
        <w:rPr>
          <w:rtl w:val="true"/>
        </w:rPr>
        <w:t>الجهة الثانية</w:t>
      </w:r>
      <w:r>
        <w:rPr>
          <w:rtl w:val="true"/>
        </w:rPr>
        <w:t xml:space="preserve">: </w:t>
      </w:r>
      <w:r>
        <w:rPr>
          <w:rtl w:val="true"/>
        </w:rPr>
        <w:t>حجّيّة هذه الدلالات</w:t>
      </w:r>
      <w:bookmarkEnd w:id="550"/>
    </w:p>
    <w:p>
      <w:pPr>
        <w:pStyle w:val="BookText"/>
        <w:rPr/>
      </w:pPr>
      <w:r>
        <w:rPr>
          <w:rFonts w:ascii="Amiri" w:hAnsi="Amiri" w:eastAsia="Amiri" w:cs="Amiri"/>
          <w:color w:val="111111"/>
          <w:sz w:val="28"/>
          <w:sz w:val="28"/>
          <w:szCs w:val="28"/>
          <w:rtl w:val="true"/>
          <w:lang w:bidi="ar-SA"/>
        </w:rPr>
        <w:t>أمّا دلالة الاقتضاء و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حجيّتهما إذا كانت هناك دلالة و ظهور؛ لأنّه من باب حجيّة الظواهر، و 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العلامة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حجيّتها من باب حجّية الظواهر محلّ نظر و شكّ؛ لأنّ تسميتها بالدلالة من باب المسامحة؛ إذا المفروض أنّها غير مقصودة و الدلالة تابعة للإرادة، و حقّها أن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بغير لفظ الدلالة، فليست هي من الظواهر في شي‌ء حتى تكون حجّة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حجّة من باب الملازمة العقليّة حيث تكون ملازمة، فيستكشف منها لازمها، سواء كان حكما أم غير حكم، كالأخذ بلوازم إقرار المقرّ و إن لم يكن قاصدا لها، أو كان منكرا للملازمة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ان الدلالة التصديقية تابعة للارادة الّا ان الکلام المشتمل علی اللوازم العقلية لابد و ان تکون لوازمه مرادة و الّا لما کانت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الايتين علی اقل الحمل لابد و ان يکون مرادا و الّا مجرد کونه لازما من دون ان يکون مرادا لا يکسوه الحجية و عليه فحجيتها تکون من باب الدلالة و ان کانت دلالتها بالامعان و التأمل</w:t>
      </w:r>
      <w:r>
        <w:rPr>
          <w:rFonts w:eastAsia="IRNazanin" w:cs="IRNazanin"/>
          <w:color w:val="111111"/>
          <w:sz w:val="28"/>
          <w:szCs w:val="28"/>
          <w:rtl w:val="true"/>
          <w:lang w:bidi="fa-IR"/>
        </w:rPr>
        <w:t xml:space="preserve">. </w:t>
      </w:r>
      <w:bookmarkStart w:id="551" w:name="pg16640_202443"/>
    </w:p>
    <w:p>
      <w:pPr>
        <w:pStyle w:val="Heading2"/>
        <w:numPr>
          <w:ilvl w:val="1"/>
          <w:numId w:val="1"/>
        </w:numPr>
        <w:rPr/>
      </w:pPr>
      <w:bookmarkStart w:id="552" w:name="__RefHeading___Toc11691463_1280447820"/>
      <w:bookmarkStart w:id="553" w:name="_Toc199"/>
      <w:bookmarkEnd w:id="551"/>
      <w:bookmarkEnd w:id="552"/>
      <w:r>
        <w:rPr>
          <w:rtl w:val="true"/>
        </w:rPr>
        <w:t>المقصد الرابع في العام و الخاص</w:t>
      </w:r>
      <w:bookmarkEnd w:id="553"/>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الدخول في صلب الموضوع نقدّم أُموراً</w:t>
      </w:r>
      <w:r>
        <w:rPr>
          <w:rFonts w:eastAsia="Amiri" w:cs="Amiri" w:ascii="Amiri" w:hAnsi="Amiri"/>
          <w:color w:val="111111"/>
          <w:sz w:val="28"/>
          <w:szCs w:val="28"/>
          <w:rtl w:val="true"/>
          <w:lang w:bidi="ar-SA"/>
        </w:rPr>
        <w:t>:</w:t>
      </w:r>
    </w:p>
    <w:p>
      <w:pPr>
        <w:pStyle w:val="Heading2"/>
        <w:numPr>
          <w:ilvl w:val="1"/>
          <w:numId w:val="1"/>
        </w:numPr>
        <w:rPr/>
      </w:pPr>
      <w:bookmarkStart w:id="554" w:name="__RefHeading___Toc11691465_1280447820"/>
      <w:bookmarkStart w:id="555" w:name="_Toc200"/>
      <w:bookmarkEnd w:id="554"/>
      <w:r>
        <w:rPr>
          <w:rtl w:val="true"/>
        </w:rPr>
        <w:t>الامر الاول</w:t>
      </w:r>
      <w:r>
        <w:rPr>
          <w:rtl w:val="true"/>
        </w:rPr>
        <w:t xml:space="preserve">: </w:t>
      </w:r>
      <w:r>
        <w:rPr>
          <w:rtl w:val="true"/>
        </w:rPr>
        <w:t>تعريف العام</w:t>
      </w:r>
      <w:bookmarkEnd w:id="555"/>
    </w:p>
    <w:p>
      <w:pPr>
        <w:pStyle w:val="BookText"/>
        <w:rPr/>
      </w:pPr>
      <w:r>
        <w:rPr>
          <w:rFonts w:ascii="IRNazanin" w:hAnsi="IRNazanin" w:eastAsia="IRNazanin"/>
          <w:color w:val="111111"/>
          <w:sz w:val="28"/>
          <w:sz w:val="28"/>
          <w:szCs w:val="28"/>
          <w:rtl w:val="true"/>
          <w:lang w:bidi="fa-IR"/>
        </w:rPr>
        <w:t>عرّف علماء الأُصول العامَ بتعاريف لا تخلو من اشکال و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الحكم لجميع أفراد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شامل للمطلق ايضا فليس بمانع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يکون معناه شاملا لجميع ما يصلح أن ينطبق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ينطبق عليه هو لفظ العام كالعلماء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 و من المعلوم أنّ المقياس في العام شموله لكلّ ما ينطبق عليه مفرده، لا شموله لكلّ ما ينطبق عليه لفظ العام، فكم فرق بينهما؟ فانّ العام كالعلماء لا ينطبق إلّا على ثلاثة، ثلاثة، و أمّا مفرده فينطبق على واحد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عدل المحقّق البروجردي رحمه الله الی تعريفثالث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مفهومه لجميع ما يصلح أن ينطبق عليه مفهوم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فلفظة العلماء عام لشمولها لجميع ما يصلح أن ينطبق مفرده عليه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بينه و بين المطلق هو انّ دلالة العام بالوضع اللغوي فهي 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دلالة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 الدال علی الطبيعة بنحو تکون تمام الموضوع للحکم مع رفض جميع القيود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و بفضل مقدّمات الحكمة کما سيأتي فهي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الخصوصيات الفردية في العام ملحوظة و في المطلق مرفوضة </w:t>
      </w:r>
      <w:r>
        <w:rPr>
          <w:rFonts w:eastAsia="IRNazanin" w:cs="IRNazanin"/>
          <w:color w:val="111111"/>
          <w:sz w:val="28"/>
          <w:szCs w:val="28"/>
          <w:rtl w:val="true"/>
          <w:lang w:bidi="fa-IR"/>
        </w:rPr>
        <w:t xml:space="preserve">. </w:t>
      </w:r>
      <w:bookmarkStart w:id="556" w:name="pg16640_202444"/>
    </w:p>
    <w:p>
      <w:pPr>
        <w:pStyle w:val="Heading2"/>
        <w:numPr>
          <w:ilvl w:val="1"/>
          <w:numId w:val="1"/>
        </w:numPr>
        <w:rPr/>
      </w:pPr>
      <w:bookmarkStart w:id="557" w:name="__RefHeading___Toc11691467_1280447820"/>
      <w:bookmarkStart w:id="558" w:name="_Toc201"/>
      <w:bookmarkEnd w:id="556"/>
      <w:bookmarkEnd w:id="557"/>
      <w:r>
        <w:rPr>
          <w:rtl w:val="true"/>
        </w:rPr>
        <w:t>الامر الثاني</w:t>
      </w:r>
      <w:r>
        <w:rPr>
          <w:rtl w:val="true"/>
        </w:rPr>
        <w:t xml:space="preserve">: </w:t>
      </w:r>
      <w:r>
        <w:rPr>
          <w:rtl w:val="true"/>
        </w:rPr>
        <w:t>أقسام العام</w:t>
      </w:r>
      <w:bookmarkEnd w:id="558"/>
    </w:p>
    <w:p>
      <w:pPr>
        <w:pStyle w:val="BookText"/>
        <w:rPr/>
      </w:pPr>
      <w:r>
        <w:rPr>
          <w:rFonts w:ascii="IRNazanin" w:hAnsi="IRNazanin" w:eastAsia="IRNazanin"/>
          <w:color w:val="111111"/>
          <w:sz w:val="28"/>
          <w:sz w:val="28"/>
          <w:szCs w:val="28"/>
          <w:rtl w:val="true"/>
          <w:lang w:bidi="fa-IR"/>
        </w:rPr>
        <w:t>ينقسم العام إلى استغراقي و مجموعي و بدليّ، 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ما ذكر له من الأقسام من الاستغراقي و المجموعي و البدلي إنما هو باختلاف كيفية تعلق الأحكام به و إلّا فالعموم في الجميع بمعنى واحد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انقسام العام إلى الأقسام الثلاثة انما يكون باعتبار الحكم، لا بلحاظ نفس العام، و ذلك لأن العام في جميع الأقسام بمعنى واحد، و هو شمول المفهوم لجميع ما يصلح لأن ينطبق عليه، و من المعلوم أن هذا المعنى موجود في الثلاثة بوزان واحد من دون تفاوت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يتفاوت ذلك باعتبار الحكم المتعلق به، إذ قد يلاحظ كل فرد موضوعاً مستقلا للحكم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كل فرد من هذا العام موضوعاً مستقلا لوجوب الإكرام، بحيث لا يرتبط فرد من أفراده بالآخر، فإذا أكرم بعض العلماء و لم يكرم الآخر فقد أطاع و عصى، لأن كل فرد من أفراده تحت حكم مستقل ثبوتاً و سقوطاً، و هذا القسم يسمى بالعامّ الاستغراقي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يلاحظ مجموع الافراد موضوعاً لحكم واحد، بحيث يكون كل واحد من الافراد جزءاً من الموضوع، و تحت حكم ضمني يناط امتثاله بالإتيان بجميع الافراد، فلو أتى بها الّا واحداً لم يتحقق الامتثال، لكون الأحكام الضمنية متلازمة الثبوت و السقوط، و هذا القسم يسمى بالعامّ المجموعي، و هذان القسمان مشتركان في ثبوت الحكم لجميع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يلاحظ واحد من الافراد على البدل موضوعاً للحكم،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يحصل الامتثال بإكرام واحد من العلماء، فالملحوظ هنا صرف الوجود من طبيعة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القسمين الأولين، فان الملحوظ فيهما 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الثالث يسمى بالعامّ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العام الاستغراقي حصول الإطاعة بفعل واحد و العصيان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العام المجموعي حصول الإطاعة بفعل الجميع، و العصيان بترك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العام البدلي حصول الإطاعة بفعل واحد من الافراد، و العصيان بترك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المحققان السيد الخوئي</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السيد المروج و نکتفي بعبارة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انقسام العام إلى هذه الأقسام الثلاثة انما هو قبل عروض الحكم عليه، إذ الكلي ان لم يلاحظ مرآةً لافراده فهو العام المنطقي، و ان لوحظ مرآةً لها، فان كان الملحوظ كل واحد منها بنحو الاستقلال كما هو كذلك واقعاً، إذ فردية كل واحد من الافراد للكلي ليست منوطة بفرد آخر، فهو عام أصولي استغراقي، فالملحوظ هو المتكثرات بما هي متكثرات و مستقلات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 الملحوظ تلك المتكثرات لا بما هي متكثرات، بل بما أنها واحدة اعتباراً بحيث تكون الوحدة ملحوظة معها، فهو عام مجموعي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الملحوظ واحداً من الافراد على البدل بحيث ينتقل النّظر من فرد إلى آخر، و يكون الملحوظ هذا أو ذاك إلى آخر الافراد، فهو عام 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لحاظ المفهوم مرآةً للافراد بأحد هذه الأنحاء لا يتوقف على لحاظ موضوعيته للحكم، كيف و الموضوع متقدم رتبة على الحكم، فيمكن بعد جعل الكلي مرآةً لافراده بأحد الأنحاء </w:t>
      </w:r>
      <w:bookmarkStart w:id="559" w:name="pg16640_202446"/>
    </w:p>
    <w:p>
      <w:pPr>
        <w:pStyle w:val="BookText"/>
        <w:rPr/>
      </w:pPr>
      <w:bookmarkEnd w:id="559"/>
      <w:r>
        <w:rPr>
          <w:rFonts w:ascii="Amiri" w:hAnsi="Amiri" w:eastAsia="Amiri" w:cs="Amiri"/>
          <w:color w:val="111111"/>
          <w:sz w:val="28"/>
          <w:sz w:val="28"/>
          <w:szCs w:val="28"/>
          <w:rtl w:val="true"/>
          <w:lang w:bidi="ar-SA"/>
        </w:rPr>
        <w:t>المزبورة أن يؤخذ موضوعاً للحكم، و يمكن أن لا يؤخذ كذلك، فليس انقسام العام إلى الأقسام المزبورة مترتباً على كيفية تعلق الأحكام به، كما لا يخفى</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لذلك انّ الواضع وضع لكلّ من الأقسام لفظاً خاصاً،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للعام الاستغراقي، 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للعام المجموعي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للعام البدلي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w:t>
      </w:r>
      <w:r>
        <w:rPr>
          <w:rStyle w:val="FootnoteAnchor"/>
          <w:rtl w:val="true"/>
        </w:rPr>
        <w:footnoteReference w:id="357"/>
      </w:r>
      <w:r>
        <w:rPr>
          <w:rFonts w:ascii="Amiri" w:hAnsi="Amiri" w:eastAsia="Amiri" w:cs="Amiri"/>
          <w:color w:val="111111"/>
          <w:sz w:val="28"/>
          <w:sz w:val="28"/>
          <w:szCs w:val="28"/>
          <w:rtl w:val="true"/>
          <w:lang w:bidi="ar-SA"/>
        </w:rPr>
        <w:t>فلفظة كلّ في كُلَّ واحِدٍ موضوعة للعام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سبحانه أَيًّا ما تَدْعُوا فَلَهُ الْأَسْماءُ الْحُسْنى‌</w:t>
      </w:r>
      <w:r>
        <w:rPr>
          <w:rStyle w:val="FootnoteAnchor"/>
          <w:rtl w:val="true"/>
        </w:rPr>
        <w:footnoteReference w:id="358"/>
      </w:r>
      <w:r>
        <w:rPr>
          <w:rFonts w:ascii="Amiri" w:hAnsi="Amiri" w:eastAsia="Amiri" w:cs="Amiri"/>
          <w:color w:val="111111"/>
          <w:sz w:val="28"/>
          <w:sz w:val="28"/>
          <w:szCs w:val="28"/>
          <w:rtl w:val="true"/>
          <w:lang w:bidi="ar-SA"/>
        </w:rPr>
        <w:t>و قال سبحانه حاكياً عن سليمان يا أَيُّهَا الْمَلَؤُا أَيُّكُمْ يَأْتِينِي بِعَرْشِها قَبْلَ أَنْ يَأْتُونِي مُسْلِمِين</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فلفظة أيّ في الآيتين موضوعة للعام البدليّ</w:t>
      </w:r>
      <w:r>
        <w:rPr>
          <w:rFonts w:eastAsia="Amiri" w:cs="Amiri" w:ascii="Amiri" w:hAnsi="Amiri"/>
          <w:color w:val="111111"/>
          <w:sz w:val="28"/>
          <w:szCs w:val="28"/>
          <w:rtl w:val="true"/>
          <w:lang w:bidi="ar-SA"/>
        </w:rPr>
        <w:t>.</w:t>
      </w:r>
    </w:p>
    <w:p>
      <w:pPr>
        <w:pStyle w:val="Heading2"/>
        <w:numPr>
          <w:ilvl w:val="1"/>
          <w:numId w:val="1"/>
        </w:numPr>
        <w:rPr/>
      </w:pPr>
      <w:bookmarkStart w:id="560" w:name="__RefHeading___Toc11691469_1280447820"/>
      <w:bookmarkStart w:id="561" w:name="_Toc202"/>
      <w:bookmarkEnd w:id="560"/>
      <w:r>
        <w:rPr>
          <w:rtl w:val="true"/>
        </w:rPr>
        <w:t>رأي المحقق النائيني</w:t>
      </w:r>
      <w:bookmarkEnd w:id="56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عدّ العام البدلي من أقسام العموم مسامحة واضحة، بداهة أنّ البدلية تنافي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متعلّق الحكم في العموم البدلي ليس إلّا فرد واحد، أعني به</w:t>
      </w:r>
      <w:r>
        <w:rPr>
          <w:rFonts w:eastAsia="Amiri" w:cs="Amiri" w:ascii="Amiri" w:hAnsi="Amiri"/>
          <w:color w:val="111111"/>
          <w:sz w:val="28"/>
          <w:szCs w:val="28"/>
          <w:rtl w:val="true"/>
          <w:lang w:bidi="ar-SA"/>
        </w:rPr>
        <w:t xml:space="preserve">: </w:t>
      </w:r>
      <w:bookmarkStart w:id="562" w:name="pg16640_202447"/>
    </w:p>
    <w:p>
      <w:pPr>
        <w:pStyle w:val="BookText"/>
        <w:rPr/>
      </w:pPr>
      <w:bookmarkEnd w:id="562"/>
      <w:r>
        <w:rPr>
          <w:rFonts w:ascii="Amiri" w:hAnsi="Amiri" w:eastAsia="Amiri" w:cs="Amiri"/>
          <w:color w:val="111111"/>
          <w:sz w:val="28"/>
          <w:sz w:val="28"/>
          <w:szCs w:val="28"/>
          <w:rtl w:val="true"/>
          <w:lang w:bidi="ar-SA"/>
        </w:rPr>
        <w:t>الفرد المنتشر، و هو ليس بعام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البدلية عامة فالعموم إنّما هو في البدلية لا في الحكم المتعلّق بالفرد على البدل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العموم و هو سعة الحكم و شموله لكلّ فرد على نحو التبادل، موجود حيث إنّ الحكم يعمّ و يسع كلّ فرد على وجه البدلية مقابل اختصاصه بفرد واحد</w:t>
      </w:r>
      <w:r>
        <w:rPr>
          <w:rFonts w:eastAsia="Amiri" w:cs="Amiri" w:ascii="Amiri" w:hAnsi="Amiri"/>
          <w:color w:val="111111"/>
          <w:sz w:val="28"/>
          <w:szCs w:val="28"/>
          <w:rtl w:val="true"/>
          <w:lang w:bidi="ar-SA"/>
        </w:rPr>
        <w:t>.</w:t>
      </w:r>
    </w:p>
    <w:p>
      <w:pPr>
        <w:pStyle w:val="Heading2"/>
        <w:numPr>
          <w:ilvl w:val="1"/>
          <w:numId w:val="1"/>
        </w:numPr>
        <w:rPr/>
      </w:pPr>
      <w:bookmarkStart w:id="563" w:name="__RefHeading___Toc11691471_1280447820"/>
      <w:bookmarkStart w:id="564" w:name="_Toc203"/>
      <w:bookmarkEnd w:id="563"/>
      <w:r>
        <w:rPr>
          <w:rtl w:val="true"/>
        </w:rPr>
        <w:t>الامر الثالث</w:t>
      </w:r>
      <w:r>
        <w:rPr>
          <w:rtl w:val="true"/>
        </w:rPr>
        <w:t xml:space="preserve">: </w:t>
      </w:r>
      <w:r>
        <w:rPr>
          <w:rtl w:val="true"/>
        </w:rPr>
        <w:t>دوران الأمر بين أحد الأقسام الثلاثة</w:t>
      </w:r>
      <w:bookmarkEnd w:id="564"/>
    </w:p>
    <w:p>
      <w:pPr>
        <w:pStyle w:val="BookText"/>
        <w:rPr/>
      </w:pPr>
      <w:r>
        <w:rPr>
          <w:rFonts w:ascii="Amiri" w:hAnsi="Amiri" w:eastAsia="Amiri" w:cs="Amiri"/>
          <w:color w:val="111111"/>
          <w:sz w:val="28"/>
          <w:sz w:val="28"/>
          <w:szCs w:val="28"/>
          <w:rtl w:val="true"/>
          <w:lang w:bidi="ar-SA"/>
        </w:rPr>
        <w:t>إذا دار أمر العام بين أحد هذه الأقسام، فهل هي أصل يعتمد عليه في تعيين أحد الأقسام ام لا؟</w:t>
      </w:r>
    </w:p>
    <w:p>
      <w:pPr>
        <w:pStyle w:val="BookText"/>
        <w:rPr/>
      </w:pPr>
      <w:r>
        <w:rPr>
          <w:rFonts w:ascii="IRNazanin" w:hAnsi="IRNazanin" w:eastAsia="IRNazanin"/>
          <w:color w:val="111111"/>
          <w:sz w:val="28"/>
          <w:sz w:val="28"/>
          <w:szCs w:val="28"/>
          <w:rtl w:val="true"/>
          <w:lang w:bidi="fa-IR"/>
        </w:rPr>
        <w:t>ذهب المحقّق النائيني الی الاول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اللفظي الإطلاقي يقتضي الاستغراقية، لأنّ العموم المجموعي يحتاج إلى غاية زائدة و هي لحاظ جميع الافراد على وجه الاجتماع و جعلها موضوعاً واحداً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العموم الاستغراقي لا يحتاج إلى أزيد من جعل المفهوم مرآةً للحاظ الافراد، حيث انها متكثرات بالذات، و مستقلات في نفس الأمر، و مقتضی ذلك هو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المجموعي، لاحتياجه إلى اعتبار زائد و هو لحاظ قيد الوحدة في الافراد المتكثرة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بخلاف البدلي، لاحتياجه إلى اعتبار التردد بينها، و من المعلوم أنه كسابقه يحتاج إلى مزيد لحاظ و بيان </w:t>
      </w:r>
      <w:r>
        <w:rPr>
          <w:rFonts w:eastAsia="IRNazanin" w:cs="IRNazanin"/>
          <w:color w:val="111111"/>
          <w:sz w:val="28"/>
          <w:szCs w:val="28"/>
          <w:rtl w:val="true"/>
          <w:lang w:bidi="fa-IR"/>
        </w:rPr>
        <w:t xml:space="preserve">. </w:t>
      </w:r>
      <w:bookmarkStart w:id="565" w:name="pg16640_202448"/>
    </w:p>
    <w:p>
      <w:pPr>
        <w:pStyle w:val="BookText"/>
        <w:rPr/>
      </w:pPr>
      <w:bookmarkEnd w:id="565"/>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ممکن تصورا لکنّه لا موضوع له اثباتا فلا وجود للأصل اللفظي في العام، و ذلك لما تقدم من أنّ في لغة العرب لكلٍّ لفظاً خاصاً، فكلّ للعام الاستغراقي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للبدلي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للمجموعي، و عليه فالأمر يدور بين المتباينين فلا أصل هنا يعيّن واحداً من 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العام هنا حال العلم الإجمالي بصدور واحد من هذه الألفاظ المردد بين الاستغراقي و المجموعي و البدلي، فيكون سبباً لدوران الموضوع بين الأُمور المتباينة كدوران الفائت بين الظهر و المغرب و الفجر، فكما لا موضوع للأصل اللفظي فيه فهكذا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يتصوّر الدوران فيما إذا كان الدليل لبياً كالإجماع و السيرة على وجوب شي‌ء كصيام ثلاثة أيّام فيقع الكلام في وجوبها متوالية حتّى يكون كالعام المجموعي أو أعمّ منه و من غير المتوالي ليكون كالعام الاستغراقي، فالمرجع حينئذ هو البراءة، و ذلك لأنّ الشكّ في كلفة زائدة و هو التوالي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فلندخل في صلب الموضوع، و يأتي الكلام فيه ضمن فصول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6" w:name="__RefHeading___Toc11691473_1280447820"/>
      <w:bookmarkStart w:id="567" w:name="_Toc204"/>
      <w:bookmarkEnd w:id="566"/>
      <w:r>
        <w:rPr>
          <w:rtl w:val="true"/>
        </w:rPr>
        <w:t>الفصل الأوّل في صيغ العموم</w:t>
      </w:r>
      <w:bookmarkEnd w:id="567"/>
    </w:p>
    <w:p>
      <w:pPr>
        <w:pStyle w:val="BookText"/>
        <w:rPr/>
      </w:pPr>
      <w:r>
        <w:rPr>
          <w:rFonts w:ascii="Amiri" w:hAnsi="Amiri" w:eastAsia="Amiri" w:cs="Amiri"/>
          <w:color w:val="111111"/>
          <w:sz w:val="28"/>
          <w:sz w:val="28"/>
          <w:szCs w:val="28"/>
          <w:rtl w:val="true"/>
          <w:lang w:bidi="ar-SA"/>
        </w:rPr>
        <w:t xml:space="preserve">قال الميرزا ابو القاسم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كون ما يدّعى كونها موضوعا للعموم من الألفاظ موضوعا له‌</w:t>
      </w:r>
      <w:r>
        <w:rPr>
          <w:rStyle w:val="FootnoteAnchor"/>
          <w:rtl w:val="true"/>
        </w:rPr>
        <w:footnoteReference w:id="362"/>
      </w:r>
      <w:r>
        <w:rPr>
          <w:rFonts w:ascii="Amiri" w:hAnsi="Amiri" w:eastAsia="Amiri" w:cs="Amiri"/>
          <w:color w:val="111111"/>
          <w:sz w:val="28"/>
          <w:sz w:val="28"/>
          <w:szCs w:val="28"/>
          <w:rtl w:val="true"/>
          <w:lang w:bidi="ar-SA"/>
        </w:rPr>
        <w:t>أو مشتركا بينه و بين الخصوص‌</w:t>
      </w:r>
      <w:r>
        <w:rPr>
          <w:rStyle w:val="FootnoteAnchor"/>
          <w:rtl w:val="true"/>
        </w:rPr>
        <w:footnoteReference w:id="363"/>
      </w:r>
      <w:r>
        <w:rPr>
          <w:rFonts w:ascii="Amiri" w:hAnsi="Amiri" w:eastAsia="Amiri" w:cs="Amiri"/>
          <w:color w:val="111111"/>
          <w:sz w:val="28"/>
          <w:sz w:val="28"/>
          <w:szCs w:val="28"/>
          <w:rtl w:val="true"/>
          <w:lang w:bidi="ar-SA"/>
        </w:rPr>
        <w:t>أو حقيقة في الخصوص‌</w:t>
      </w:r>
      <w:r>
        <w:rPr>
          <w:rStyle w:val="FootnoteAnchor"/>
          <w:rtl w:val="true"/>
        </w:rPr>
        <w:footnoteReference w:id="364"/>
      </w:r>
      <w:r>
        <w:rPr>
          <w:rFonts w:ascii="IRNazanin" w:hAnsi="IRNazanin" w:eastAsia="IRNazanin"/>
          <w:color w:val="111111"/>
          <w:sz w:val="28"/>
          <w:sz w:val="28"/>
          <w:szCs w:val="28"/>
          <w:rtl w:val="true"/>
          <w:lang w:bidi="fa-IR"/>
        </w:rPr>
        <w:t>على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الأظهر كونها حقيقة في العموم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فإنّ أهل العرف يفهمون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أحدا، و من دخل داري فله درهم، و متى جاء زيد فأكرمه، و نحو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السيّد لعبده، لا تضرب أحدا، ثم ضرب العبد واحدا لاستحقّ بذلك عقاب المولى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للاتّفاق على دلالة كلمة التوحيد عليه، و للاتّفاق على لزوم الحنث على من حلف أن لا يضرب أحدا بضرب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ادّعى ضرب رجل لو أردت تكذيبه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أحدا، فلولا انّه سلب كلّي لما ناقض الجزئية، فإنّ سلب الجزئي لا يناقض الإيجاب الجزئي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ثم ذکر حجّة القائلين بأنّها حقيقة في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وجهان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 متيقّن المراد من هذه الألفاظ حيث استعملت سواء أريد منها الخصوص فقط أو في ضمن العموم، بخلاف العموم فإنّه مشكوك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إثبات اللّغة بالترجيح العقلي و هو باطل لأنّ طريقه منحصر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العقل المحض فلا مدخليّة له في إثبات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اشتهر في الألسن حتّى صار مثلا أنّه ما من عامّ إلّا و قد خصّ منه، و هو وارد على سبيل المبالغة و إلحاق القليل بالعدم، و الظاهر يقتضي كونه حقيقة في الأغلب مجازا في الأقل تقليلا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احتياج خروج البعض عنها الى التخصيص بمخصّص ظاهر في أنّها للعموم، و يوهن التمسّك بمثل هذه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فلأنّ احتياج الخروج الى مخصّص عند المستدلّ ليس لظهور العامّ في العموم، بل لأنّ اللّفظ عنده موضوع لبعض ما صدق عليه مفهوم الصيغة من غير تعيين، و لمّا كان ذلك البعض محتملا لكل واحد منالأبعاض فالتخصيص إنّما يحتاج إليه لبيان المراد من لفظ العامّ، لأنّ العامّ ظاهر في الجميع حتى يحتاج إرادة البعض الى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التوهّم نشاء من لفظ و قد خصّ منه، و تعبير المستدلّ بذلك إنّما هو ذهاب على ممشى الخصم و تكلّم باصطلاحه، و إلّا فحاصل مراد المستدلّ انّ غالب استعمال الألفاظ التي يدّعي عمومها في بعض ما يصلح له اللّفظ، و الغلبة علامة الحقيقة، فالتحقيق في الجواب منع كون غلبة الاستعمال دليلا للحقيقة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لكنّه يصير دليلا إذا لم يثبت الدليل على كونها حقيقة في الأقلّ و قد بيّنا الأدلّة</w:t>
      </w:r>
      <w:r>
        <w:rPr>
          <w:rFonts w:eastAsia="Amiri" w:cs="Amiri" w:ascii="Amiri" w:hAnsi="Amiri"/>
          <w:color w:val="111111"/>
          <w:sz w:val="28"/>
          <w:szCs w:val="28"/>
          <w:rtl w:val="true"/>
          <w:lang w:bidi="ar-SA"/>
        </w:rPr>
        <w:t xml:space="preserve">. </w:t>
      </w:r>
      <w:bookmarkStart w:id="568" w:name="pg16640_202451"/>
    </w:p>
    <w:p>
      <w:pPr>
        <w:pStyle w:val="BookText"/>
        <w:rPr/>
      </w:pPr>
      <w:bookmarkEnd w:id="568"/>
      <w:r>
        <w:rPr>
          <w:rFonts w:ascii="Amiri" w:hAnsi="Amiri" w:eastAsia="Amiri" w:cs="Amiri"/>
          <w:color w:val="111111"/>
          <w:sz w:val="28"/>
          <w:sz w:val="28"/>
          <w:szCs w:val="28"/>
          <w:rtl w:val="true"/>
          <w:lang w:bidi="ar-SA"/>
        </w:rPr>
        <w:t>و أمّا في الثاني، فلأنّ متمسّك المستدلّ ليس هو نفس الاشتهار، بل لأنّ ذلك المطلوب حقيقة له و المثل مطابق للواقع، حتى أنّ ذلك المثل أيضا مخصّص في نفس الأمر بأنّ اللّه بكلّ شي‌ء عليم، و إنّما قال وارد على سبيل المبالغة، لأنّه لو كان المراد ظاهره لكان كاذبا للزوم التخصيص في نفس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 بالاشتراك‌</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بالاستعمال فيهما، و ظاهر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و المجاز كما مرّ مرارا</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 و لقد اجاد فيما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يرد علی دليل القائل بالوضع للخصوص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مبني على أنّ التخصيص مستلزم كون العام مجازاً مستعملًا في غير ما وضع له، و سيأتي انّ الحقّ خلافه، و انّ العام مطلقاً مستعمل في معناه، سواء كان المخصص متصلاً أو منفصلاً و مراد بالإرادة الاستعمالية التي هي مناط الحقيقة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التخصيص تصرف بالمراد الجدي دون الاستعمالي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کثرة التخصيص ليست الی حدٍ توجب سقوط العام عن ظهوره في العمومفان الوجدان قاضٍ بتبادر العموم من صيغه مع ما فيه من کثرة التخصيص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للخصوص أيضاً ألفاظاً،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يقوم مقام هذه الألفاظ</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9" w:name="__RefHeading___Toc11691475_1280447820"/>
      <w:bookmarkStart w:id="570" w:name="_Toc205"/>
      <w:bookmarkEnd w:id="569"/>
      <w:r>
        <w:rPr>
          <w:rtl w:val="true"/>
        </w:rPr>
        <w:t>صيغ العموم</w:t>
      </w:r>
      <w:bookmarkStart w:id="571" w:name="pg16640_202452"/>
      <w:bookmarkEnd w:id="570"/>
    </w:p>
    <w:p>
      <w:pPr>
        <w:pStyle w:val="BookText"/>
        <w:rPr/>
      </w:pPr>
      <w:bookmarkEnd w:id="571"/>
      <w:r>
        <w:rPr>
          <w:rFonts w:ascii="IRNazanin" w:hAnsi="IRNazanin" w:eastAsia="IRNazanin"/>
          <w:color w:val="111111"/>
          <w:sz w:val="28"/>
          <w:sz w:val="28"/>
          <w:szCs w:val="28"/>
          <w:rtl w:val="true"/>
          <w:lang w:bidi="fa-IR"/>
        </w:rPr>
        <w:t>ثمّ إنّهم ذكروا للعام صيغاً و هي کالتالي</w:t>
      </w:r>
      <w:r>
        <w:rPr>
          <w:rFonts w:eastAsia="IRNazanin" w:cs="IRNazanin"/>
          <w:color w:val="111111"/>
          <w:sz w:val="28"/>
          <w:szCs w:val="28"/>
          <w:rtl w:val="true"/>
          <w:lang w:bidi="fa-IR"/>
        </w:rPr>
        <w:t>:</w:t>
      </w:r>
    </w:p>
    <w:p>
      <w:pPr>
        <w:pStyle w:val="Heading2"/>
        <w:numPr>
          <w:ilvl w:val="1"/>
          <w:numId w:val="1"/>
        </w:numPr>
        <w:rPr/>
      </w:pPr>
      <w:bookmarkStart w:id="572" w:name="__RefHeading___Toc11691477_1280447820"/>
      <w:bookmarkStart w:id="573" w:name="_Toc206"/>
      <w:bookmarkEnd w:id="572"/>
      <w:r>
        <w:rPr>
          <w:rtl w:val="true"/>
        </w:rPr>
        <w:t>الاول</w:t>
      </w:r>
      <w:r>
        <w:rPr>
          <w:rtl w:val="true"/>
        </w:rPr>
        <w:t xml:space="preserve">: </w:t>
      </w:r>
      <w:r>
        <w:rPr>
          <w:rtl w:val="true"/>
        </w:rPr>
        <w:t>وقوع النكرة في سياق النفي أو النهي</w:t>
      </w:r>
      <w:bookmarkEnd w:id="573"/>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عد من الألفاظ الدالة على العموم النكرة في سياق النفي أو النهي و دلالتها عليه لا ينبغي أن تنكر عقلا لضرورة أنه لا يكاد يكون طبيعة معدومة إلّا إذا لم يكن فرد منها بموجود و إلّا كانت موجودة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دلالتها على العموم لاجل أن انعدام الطبيعة يتوقف عقلا على ترك جميع أفرادها، بداهة أنه مع وجود فرد واحد من أفرادها توجد الطبيعة، و هذا خلاف ما هو المطلوب من انعدامها، فدلالة النكرة الواقعة في حيز النفي أو النهي على العموم انما تكون بحكم العقل،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قطع النظر عن اللام و التنوين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وضع، و هي مع التنوين تدلّ على الوحدة، و مع اللام تدلّ تارة على الجنس و أُخرى على العهد، فإذا جُرّد اللفظ عن كليهما دلّ على الماهية لا بشرط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 المحقّق القمي عن السكاكي انّه نقل إجماع أهل العربية على أنّ المصادر الخالية من اللام و التنوين موضوعة للماهية لا بشرط شي‌ء</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يختصّ هذا بالمصادر، بل يعمّ الأسماء فالمجرّد من اللام و التنوين يدلّ على الطبيعة، فإذا وقعت تحت النفي أو النهي يدلّ على نفي الطبيعة و هو يتحقّق في ضمن نفي تمام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دلالته على العموم أنّه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بل رجلان،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رجل في الدار بل رجلان، بخلاف ليس و ما و لا و لات المشبهات بها حيث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رجل بل رجلان، و ما في الدار رجل بل رجلان، حيث إنّ التنوين إشارة إلى الوحدة العددية المعينة و يكون النفي راجعاً إلى الوحدة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رده المحقق الاصفهاني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 الوجود ان اضيف الی الطبيعة المهملة التي نتيجتها جزئية فکما يتحقق وجودها بوجود واحد کذلک عدمها يتحقق بعدم ذلک الفرد و ان اضيف الوجود الی الطبيعة بنحو الکثرة فلکل وجود عدم هو بديله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اي حال مقتضی مراعاة التقابل وحدة ما اضيف اليه الوجود و العدم و لا يعقل ان يلاحظ بنحو يکون وجودها بوجود فرد واحد و عدمها بانعدام جميعالافراد مع انحفاظ تلک الوحدة</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بأنّ الطبيعة توجد بوجود فرد ما و تنعدم بانعدام جميع الأفراد غير تام على الأُصول الکلامية، لأنّ الطبيعة لا واحدة و لا كثيرة، بل مع الواحد واحدة و مع الكثير كثيرة، فكما لها وجودات حسب الافراد، فهكذا لها اعدام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في المقام 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المحاورات قائمة عليه لا علی الدقة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العرف يفهم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ان استفادة العموم في المورد مستند إلى الدلالة اللفظية العرفية بشهادة التبادر، فانه لا شكّ في أنّ هيئة لا رجل تدلّ على نفي عامة الأفراد و لو بقرينة انّ نفي الطبيعة بنفي عامة أفرادها عرفا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الوجود اذا اضيف الی الطبيعة بنحو السعة اي الوحدة في الکثرة فعليه يری العرف الطبيعة في مقام اضافة العدم اليها بنحو السعة علی نهج الوحدة في الکثرة </w:t>
      </w:r>
      <w:bookmarkStart w:id="574" w:name="pg16640_202454"/>
    </w:p>
    <w:p>
      <w:pPr>
        <w:pStyle w:val="BookText"/>
        <w:rPr/>
      </w:pPr>
      <w:bookmarkEnd w:id="574"/>
      <w:r>
        <w:rPr>
          <w:rFonts w:ascii="IRNazanin" w:hAnsi="IRNazanin" w:eastAsia="IRNazanin"/>
          <w:color w:val="111111"/>
          <w:sz w:val="28"/>
          <w:sz w:val="28"/>
          <w:szCs w:val="28"/>
          <w:rtl w:val="true"/>
          <w:lang w:bidi="fa-IR"/>
        </w:rPr>
        <w:t>فيری صدق لا رجل في الدار بالعدم الکلي السعي</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هذا المبنی يعني الوحدة في عين الکثرة لانه يستلزم اجتماع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القائل به يری الکثرة وهمية لا حقيقة لها و لازمه القول بوحدة الموجود و بطلانه من اولی البديهيات و قد فصلنا الجواب في بطلانه في کتبنا الکلامية </w:t>
      </w:r>
      <w:r>
        <w:rPr>
          <w:rFonts w:eastAsia="IRNazanin" w:cs="IRNazanin"/>
          <w:color w:val="111111"/>
          <w:sz w:val="28"/>
          <w:szCs w:val="28"/>
          <w:rtl w:val="true"/>
          <w:lang w:bidi="fa-IR"/>
        </w:rPr>
        <w:t>.</w:t>
      </w:r>
    </w:p>
    <w:p>
      <w:pPr>
        <w:pStyle w:val="Heading2"/>
        <w:numPr>
          <w:ilvl w:val="1"/>
          <w:numId w:val="1"/>
        </w:numPr>
        <w:rPr/>
      </w:pPr>
      <w:bookmarkStart w:id="575" w:name="__RefHeading___Toc11691479_1280447820"/>
      <w:bookmarkStart w:id="576" w:name="_Toc207"/>
      <w:bookmarkEnd w:id="575"/>
      <w:r>
        <w:rPr>
          <w:rtl w:val="true"/>
        </w:rPr>
        <w:t>هل استفادة العموم رهن مقدّمات الحكمة؟</w:t>
      </w:r>
      <w:bookmarkEnd w:id="57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ذهب إلى أنّ استفادة العموم رهن أخذ الطبيعة مرسلة لا مبهمة، قابلة للتقييد و إلّا فسلبها لا يقتضي إلّا استيعاب السلب لما أُريد منها يقيناً لا استيعاب ما يصلح انطباقها عليه من أفرادها، و هذا لا ينافي كون دلالتها عليه عقلية، فانّها بالإضافة إلى أفراد ما يراد منها لا الافراد التي تصلح لانطباقها عليها</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اخذت الطبيعة مطلقة يكون نفيها منوطاً بانتفاء جميع أفرادها،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امتثال حرمة إكرام طبيعة الفاسق المطلقة موقوف على عدم إكرام كل شخص من مصاديق طبيعة الفاسق، فلو كانت الطبيعةالمنفية أو المنهي عنها مقيدة لم يقتضِ دخول النفي عليها عموم النفي لافراد الطبيعة المطلقة، بل عموم أفراد ذلك المقدار المقيد فقط،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يقتضي نفي وجوب الإكرام عن جميع أفراد طبيعة الفاسق بل عن أفراد الفاسق المتجاهر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إذا كانت الطبيعة مهملة، فان نفيها كنفسها مهمل، فيصلح لأن يكون عاماً لجميع أفراد الطبيعة المطلقة أو المقيدة، و لا يتعين لنفي إحداهما إلّا بالقرينة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لنا لفظ يدل على العموم مع الغض عن مقدمات الحكمة، حيث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مما عدت من ألفاظ العموم تابعة لمدخولها، فان أخذ مطلقاً، فلفظ الكل مثلا يدل على جميع أفراد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أخذ مقيداً، فهو يدل على تمام أفراد المقيد، فالمدخول لا يدل وضعاً الّا على نفس الطبيعة المهملة التي لا تأبى عن الإطلاق و التقييد فإطلاق المدخول لا بد و أن يستند إلى مقدمات الحكمة، حتى يدل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عليه على جميع أفراد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 يدل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أفراد العالم الّا بعد إحراز كون العالم مطلقاً، و بدون إحرازه لا يدل على جميع الافراد، لإمكان إرادة العالم العادل من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يدل على تمام أفراد العالم المقيد بالعدالة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النكرة في سياق النفي و ما في حكمها، فلا يقتضي وضع اللفظ الّا نفي الطبيعة المهملة التي تجتمع مع كل من المطلقة و المقيدة، و لا يحرز كون الطبيعة المدخولة للنفي هي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بمقدمات الحكمة، إذ بدونها يحتمل ورود النفي على كل من المطلق و المقيد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ورود النفي أو اللفظ المفيد للعموم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مفهوم هو كون ذلك المفهوم بنفسه مورداً لأحدهما، لا أن المفهوم جعل مشيراً إلى ما هو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استيعاب تمام الافراد، كما يقتضي ورود النفي عليه نفي تمام الافراد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مجرد إمكان كون المفهوم معرفاً لفرد خاص منه، كإرادة فرد خاص من مفهوم رجل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ورود النفي عليه لا يوجب رفع اليد عن الظاهر، و هو كون المفهوم بنفسه مورداً للنفي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إلى مقدمات الحكمة في الحكم الإيجابي أيضا، و ذلك لأن ظاهر القضية المتضمنة لتعلق الإيجاب بالطبيعة تعلق الحكم بنفس الطبيعة السارية في كل فرد، و هذا هو العموم، فلا حاجة في فهمه من القضية الإيجابية أيضا إلى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الطبيعةالمهملة تصدق على فرد خاص حقيقة، و دلالتها على سريان الحكم إلى تمام الافراد مما لا يقتضيه وضع اللفظ، بل هي منوطة بمقدمات الحكمة،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وجوب إكرام جميع أفراد طبيعة العالم بالوضع، فدلالته على ذلك محتاجة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النفي المتعلق بالطبيعة المهملة، ضرورة أن نفيها يتوقف عقلا على انعدام جميع أفرادها، إذ لو فرض صدق نفي الطبيعة مع وجود فرد منها لزم اجتماع النقيضين، و هما وجود الطبيعة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المحقّق الخراساني خلط بين استفادة العموم و دفع احتمال مدخلية قيد آخر في الموضوع؛ فالأوّل يكفي فيه نفي الطبيعة بمعناها اللغوي من دون حاجة إلى إرسال و غيره، و أمّا الثاني أي احتمال دخالة قيد في الموضوع فدفعه رهن مقدّمات الحكمة</w:t>
      </w:r>
      <w:r>
        <w:rPr>
          <w:rFonts w:eastAsia="Amiri" w:cs="Amiri" w:ascii="Amiri" w:hAnsi="Amiri"/>
          <w:color w:val="111111"/>
          <w:sz w:val="28"/>
          <w:szCs w:val="28"/>
          <w:rtl w:val="true"/>
          <w:lang w:bidi="ar-SA"/>
        </w:rPr>
        <w:t xml:space="preserve">. </w:t>
      </w:r>
      <w:bookmarkStart w:id="577" w:name="pg16640_202457"/>
    </w:p>
    <w:p>
      <w:pPr>
        <w:pStyle w:val="Heading2"/>
        <w:numPr>
          <w:ilvl w:val="1"/>
          <w:numId w:val="1"/>
        </w:numPr>
        <w:rPr/>
      </w:pPr>
      <w:bookmarkStart w:id="578" w:name="__RefHeading___Toc11691481_1280447820"/>
      <w:bookmarkStart w:id="579" w:name="_Toc208"/>
      <w:bookmarkEnd w:id="577"/>
      <w:bookmarkEnd w:id="578"/>
      <w:r>
        <w:rPr>
          <w:rtl w:val="true"/>
        </w:rPr>
        <w:t>الثاني</w:t>
      </w:r>
      <w:r>
        <w:rPr>
          <w:rtl w:val="true"/>
        </w:rPr>
        <w:t xml:space="preserve">: </w:t>
      </w:r>
      <w:r>
        <w:rPr>
          <w:rtl w:val="true"/>
        </w:rPr>
        <w:t>لفظة كل و جميع و ما يعادلهما</w:t>
      </w:r>
      <w:bookmarkEnd w:id="579"/>
    </w:p>
    <w:p>
      <w:pPr>
        <w:pStyle w:val="BookText"/>
        <w:rPr/>
      </w:pPr>
      <w:r>
        <w:rPr>
          <w:rFonts w:ascii="Amiri" w:hAnsi="Amiri" w:eastAsia="Amiri" w:cs="Amiri"/>
          <w:color w:val="111111"/>
          <w:sz w:val="28"/>
          <w:sz w:val="28"/>
          <w:szCs w:val="28"/>
          <w:rtl w:val="true"/>
          <w:lang w:bidi="ar-SA"/>
        </w:rPr>
        <w:t>المتبادر من لفظ كلّ أو ما يعادلها هو الاستيعاب و العموم، غير أنّ سعة الدلالة تتبع سعة المدخول و ضيقه، فهو على كلّ تقدير بصدد إفادة العموم،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الموضوع و تقييده لا يضرّ بدلالة كلّ الموضوع للشمول 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انفا أنّا لا نحتاج في استفادة الشمول و العموم إلى إجراء مقدّمات الحكمة، لأنّ لفظة كلّ موضوعة للشمول و معه لا حاجة لشي‌ء آخر</w:t>
      </w:r>
      <w:r>
        <w:rPr>
          <w:rFonts w:eastAsia="Amiri" w:cs="Amiri" w:ascii="Amiri" w:hAnsi="Amiri"/>
          <w:color w:val="111111"/>
          <w:sz w:val="28"/>
          <w:szCs w:val="28"/>
          <w:rtl w:val="true"/>
          <w:lang w:bidi="ar-SA"/>
        </w:rPr>
        <w:t>.</w:t>
      </w:r>
    </w:p>
    <w:p>
      <w:pPr>
        <w:pStyle w:val="Heading2"/>
        <w:numPr>
          <w:ilvl w:val="1"/>
          <w:numId w:val="1"/>
        </w:numPr>
        <w:rPr/>
      </w:pPr>
      <w:bookmarkStart w:id="580" w:name="__RefHeading___Toc11691483_1280447820"/>
      <w:bookmarkStart w:id="581" w:name="_Toc209"/>
      <w:bookmarkEnd w:id="580"/>
      <w:r>
        <w:rPr>
          <w:rtl w:val="true"/>
        </w:rPr>
        <w:t>الثالث</w:t>
      </w:r>
      <w:r>
        <w:rPr>
          <w:rtl w:val="true"/>
        </w:rPr>
        <w:t xml:space="preserve">: </w:t>
      </w:r>
      <w:r>
        <w:rPr>
          <w:rtl w:val="true"/>
        </w:rPr>
        <w:t>الجمع المحلّى باللام</w:t>
      </w:r>
      <w:bookmarkEnd w:id="58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أدوات العموم الجمع المحلی باللام و قد اتّفق الأُصوليون على إفادتها للعموم‌</w:t>
      </w:r>
      <w:r>
        <w:rPr>
          <w:rStyle w:val="FootnoteAnchor"/>
          <w:rtl w:val="true"/>
        </w:rPr>
        <w:footnoteReference w:id="375"/>
      </w:r>
      <w:r>
        <w:rPr>
          <w:rFonts w:ascii="Amiri" w:hAnsi="Amiri" w:eastAsia="Amiri" w:cs="Amiri"/>
          <w:color w:val="111111"/>
          <w:sz w:val="28"/>
          <w:sz w:val="28"/>
          <w:szCs w:val="28"/>
          <w:rtl w:val="true"/>
          <w:lang w:bidi="ar-SA"/>
        </w:rPr>
        <w:t>،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376"/>
      </w:r>
      <w:r>
        <w:rPr>
          <w:rFonts w:ascii="IRNazanin" w:hAnsi="IRNazanin" w:eastAsia="IRNazanin"/>
          <w:color w:val="111111"/>
          <w:sz w:val="28"/>
          <w:sz w:val="28"/>
          <w:szCs w:val="28"/>
          <w:rtl w:val="true"/>
          <w:lang w:bidi="fa-IR"/>
        </w:rPr>
        <w:t>، و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قاتِلُوا الْمُشْرِكِينَ كَافَّةً</w:t>
      </w:r>
      <w:r>
        <w:rPr>
          <w:rStyle w:val="FootnoteAnchor"/>
          <w:rtl w:val="true"/>
        </w:rPr>
        <w:footnoteReference w:id="37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تأكيد للعموم المستفاد من الجمع المحلّى،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إفادته العموم، هو تبادر العموم كما هو الحالفي تلك الآيات، و المحاورات،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جاهلاً سل العلماء، و إن كنت مريضاً راجع الأطباء، و إن كنت غنياً واس الفقراء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لکن المحقّق الخراساني انکر إفادته العموم بذاته في باب العام و الخاص،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دلالته على العموم وضعا محل منع بل إنما يفيده فيما إذا اقتضته الحكمة أو قرينة أخرى و ذلك لعدم اقتضائه وضع اللام و لا مدخوله و لا وضع آخر للمركب منهما كما لا يخفى</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به في باب المطلق و المقيد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أن يكون دلالته عليه مستندة إلى وضعه كذلك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أجابه المحقق الخوئي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شاكلها التي هي موضوعة لإفادة العموم تدل بنفسها على إطلاق مدخولها و عدم أخذ خصوصية فيه و لا يتوقف ذلك على إجراء المقدمات ففي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سراية الحكم إلى جميع من ينطبق عليه الرّجل من دون فرق بين الغني و الفقير، و العالم و الجاهل، و الأبيض و الأسود، و ما شاكل ذلك فتكون هذه اللفظة بيان على عدم أخذ خصوصية و قيد في مدخولها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غير مورد ان الإطلاق و التقييد خارجان عن حريم المعنى، فانه عبارة عن الماهية المهملة من دون لحاظ خصوصية من الخصوصيات فيه منها خصوصية الإطلاق و التقييد، فإرادة كل منهما تحتاج، إلى عناية زائدة، و عليه فلفظة كل في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سراية الحكم إلى جميع ما يمكن أن ينطبق عليه مدخولها بماله من المعنى وضعاً، و من الواضح ان هذه الدلالة بنفسها قرينة على عدم أخذ خصوصية فيه، لا ان دلالتها على العموم و الشمول مستندة إلى عدم قيام قرينة </w:t>
      </w:r>
      <w:bookmarkStart w:id="582" w:name="pg16640_202459"/>
    </w:p>
    <w:p>
      <w:pPr>
        <w:pStyle w:val="BookText"/>
        <w:rPr/>
      </w:pPr>
      <w:bookmarkEnd w:id="582"/>
      <w:r>
        <w:rPr>
          <w:rFonts w:ascii="Amiri" w:hAnsi="Amiri" w:eastAsia="Amiri" w:cs="Amiri"/>
          <w:color w:val="111111"/>
          <w:sz w:val="28"/>
          <w:sz w:val="28"/>
          <w:szCs w:val="28"/>
          <w:rtl w:val="true"/>
          <w:lang w:bidi="ar-SA"/>
        </w:rPr>
        <w:t xml:space="preserve">على تقييده بقيد ما و الّا لكفى جريان مقدمات الحكمة في إثبات العموم من دون حاجة إلى أداته و عليه فبطبيعة الحال يكون الإتيان بها لغواً محضاً حيث ان العموم حينئذ مستفاد من قرينة الحكمة سواء أ كانت الأداة أم لم تكن و عندئذ لا محالة يكون وجودها كعدمها و هذا خلاف الارتكاز العرفي، ضرورة ان العرف يفرق 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ان دلالة الأول على العموم لا تحتاج إلى أية مؤونةزائدة ما عدا دلالة اللفظ عليه و هذا بخلاف الثاني، فان دلالته على العموم تحتاج إلى مؤونة زائدة و هي إجراء مقدمات الحكمة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3" w:name="__RefHeading___Toc11691485_1280447820"/>
      <w:bookmarkStart w:id="584" w:name="_Toc210"/>
      <w:bookmarkEnd w:id="583"/>
      <w:r>
        <w:rPr>
          <w:rtl w:val="true"/>
        </w:rPr>
        <w:t>وهم و دفع</w:t>
      </w:r>
      <w:bookmarkEnd w:id="584"/>
    </w:p>
    <w:p>
      <w:pPr>
        <w:pStyle w:val="BookText"/>
        <w:rPr/>
      </w:pPr>
      <w:r>
        <w:rPr>
          <w:rFonts w:ascii="Amiri" w:hAnsi="Amiri" w:eastAsia="Amiri" w:cs="Amiri"/>
          <w:color w:val="111111"/>
          <w:sz w:val="28"/>
          <w:sz w:val="28"/>
          <w:szCs w:val="28"/>
          <w:rtl w:val="true"/>
          <w:lang w:bidi="ar-SA"/>
        </w:rPr>
        <w:t xml:space="preserve">هذا و قد توهّم بعضهم أنّ معنى استغراق الجمع المحلّى و كلّ 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جميع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استغراق بلحاظ مراتب الجمع، لا بلحاظ الأفراد فردا فردا، فيشمل كلّ جماعة جماعة، و يكون بمنزلة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جماعة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موضوع الحكم كلّ جماعة على حدة لا كلّ فرد؛ فإكرام شخص واحد لا يكون امتثالا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نظير عموم التثنية؛ فإنّ الاستغراق فيها بملاحظة مصاديق التثنية، فيشمل كلّ اثنين اثنين،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الحكم كلّ اثنين من العلماء، لا كلّ فرد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هذا التوهّم أنّ معنى الجمع، الجماعة، كما أنّ معنى التثنية، الاثنان، فإذا دخلت أداة العموم عليه دلّت على العموم بلحاظ كلّ جماعة جماعة، كما إذا دخلت </w:t>
      </w:r>
      <w:bookmarkStart w:id="585" w:name="pg16640_202460"/>
    </w:p>
    <w:p>
      <w:pPr>
        <w:pStyle w:val="BookText"/>
        <w:rPr/>
      </w:pPr>
      <w:bookmarkEnd w:id="585"/>
      <w:r>
        <w:rPr>
          <w:rFonts w:ascii="Amiri" w:hAnsi="Amiri" w:eastAsia="Amiri" w:cs="Amiri"/>
          <w:color w:val="111111"/>
          <w:sz w:val="28"/>
          <w:sz w:val="28"/>
          <w:szCs w:val="28"/>
          <w:rtl w:val="true"/>
          <w:lang w:bidi="ar-SA"/>
        </w:rPr>
        <w:t>على المفرد دلّت على العموم بلحاظ كلّ فرد فرد، و على التثنية دلّت عليه بلحاظ كلّ اثنين اثنين؛ لأنّ أداة العموم تفيد عموم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توهّم فاسد؛ للفرق بين التثنية و الجمع؛ لأنّ التثنية تدلّ على الاثنين المحدود من جانب القلّة و الكثرة، بخلاف الجمع؛ فإنّه يدلّ على ما هو محدود من جانب القلّة فقط؛ لأنّ أقلّ الجمع ثلاثة، و أمّا من جانب الكثرة فغير محدود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تفرض لذلك اللفظ المجموع من أفراد مهما كثرت فهي مرتبة واحدة من الجمع و جماعة واحدة، حتى لو أريد جميع الأفراد بأسرها، فإنّها كلّها مرتبة واحدة من الجمع، لا مجموعة مراتب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استغراق الجمع عدم الوقوف على حدّ خاصّ من حدود الجمع و مرتبة دانية منه، بل المقصود أعلى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استغراقه إلى آخر الآحاد لا إلى آخر المراتب؛ إذ ليس هناك بلحاظ جميع الأفراد إلّا مرتبة واحدة، لا مراتب متعدّدة، و ليس إلّا حدّ واحد هو الحدّ الأعلى، لا حدود متكثّرة، فهو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كاستغراق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عدم الوقوف على حد خاصّ، فيذهب إلى آخر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 إنّما هو في عدم الاستغراق؛ فإنّ عدم استغراق المفرد يوجب الاقتصار على واحد، و عدم استغراق الجمع يوجب الاقتصار على أقلّ الجمع، و هو ثلاثة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6" w:name="__RefHeading___Toc11691487_1280447820"/>
      <w:bookmarkStart w:id="587" w:name="_Toc211"/>
      <w:bookmarkEnd w:id="586"/>
      <w:r>
        <w:rPr>
          <w:rtl w:val="true"/>
        </w:rPr>
        <w:t>الرابع</w:t>
      </w:r>
      <w:r>
        <w:rPr>
          <w:rtl w:val="true"/>
        </w:rPr>
        <w:t xml:space="preserve">: </w:t>
      </w:r>
      <w:r>
        <w:rPr>
          <w:rtl w:val="true"/>
        </w:rPr>
        <w:t>المفرد المحلّى باللام</w:t>
      </w:r>
      <w:bookmarkEnd w:id="5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 الشيخ رحمه الله في العدة من ألفاظ العموم المفرد المحلی باللام</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المحلّى باللام و المضاف، للعموم عند جماعة من الاصوليين، و المعروف من مذهب </w:t>
      </w:r>
    </w:p>
    <w:p>
      <w:pPr>
        <w:pStyle w:val="BookText"/>
        <w:rPr/>
      </w:pPr>
      <w:r>
        <w:rPr>
          <w:rFonts w:ascii="Amiri" w:hAnsi="Amiri" w:eastAsia="Amiri" w:cs="Amiri"/>
          <w:color w:val="111111"/>
          <w:sz w:val="28"/>
          <w:sz w:val="28"/>
          <w:szCs w:val="28"/>
          <w:rtl w:val="true"/>
          <w:lang w:bidi="ar-SA"/>
        </w:rPr>
        <w:t>البيانيين و نقله الآمدي عن الأكثرين، و نقله الفخر الرازي عن الفقهاء و المبرّد</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للمحقق و العلامة فقالا بالعدم و استدلّ للعموم بوجوه نقلها الميرزا القمي رحمه الله مع الاجابة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القائلون بافادته للعموم بما حكاه بعضهم‌</w:t>
      </w:r>
      <w:r>
        <w:rPr>
          <w:rStyle w:val="FootnoteAnchor"/>
          <w:rtl w:val="true"/>
        </w:rPr>
        <w:footnoteReference w:id="385"/>
      </w:r>
      <w:r>
        <w:rPr>
          <w:rFonts w:ascii="Amiri" w:hAnsi="Amiri" w:eastAsia="Amiri" w:cs="Amiri"/>
          <w:color w:val="111111"/>
          <w:sz w:val="28"/>
          <w:sz w:val="28"/>
          <w:szCs w:val="28"/>
          <w:rtl w:val="true"/>
          <w:lang w:bidi="ar-SA"/>
        </w:rPr>
        <w:t>عن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الدّرهم البيض و الدّينار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على العموم، لأنّ مدلول العامّ كلّ فرد، و مدلول الجمع مجموع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فيه، لما عرفت من أنّ عموم الجمع أيضا أفراديّ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لَفِي خُسْرٍ إِلَّا الَّذِينَ آمَنُوا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على كون اللّفظ للعموم اطّراد الاستثناء في جميع ما يحتمل اللّفظ للعموم و غيره على السّوية، لا مطلق جواز الاستثناء، و الاستثناء هنا قرينة على استعمال اللّفظ في الاستغراق مجازا، و من ذلك يظهر التحقيق في الجواب عن الأوّل أيضا، فإنّ التوصيف بالعام قرينة على إرادة الاستغراق، و نحن لا ننكر مطلق الاستعمال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 في المعالم عن الاشکال بوجه اخر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الظاهر أنّه لا مجال لإنكار إفادة المفرد المعرّف باللّام العموم في بعض الموارد حقيقة، كيف و دلالة أداة التعريف على الاستغراق حقيقة، و كونه أحد معانيها ممّا لا يظهر فيه خلاف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فالكلام حينئذ إنّما </w:t>
      </w:r>
    </w:p>
    <w:p>
      <w:pPr>
        <w:pStyle w:val="BookText"/>
        <w:rPr/>
      </w:pPr>
      <w:r>
        <w:rPr>
          <w:rFonts w:ascii="Amiri" w:hAnsi="Amiri" w:eastAsia="Amiri" w:cs="Amiri"/>
          <w:color w:val="111111"/>
          <w:sz w:val="28"/>
          <w:sz w:val="28"/>
          <w:szCs w:val="28"/>
          <w:rtl w:val="true"/>
          <w:lang w:bidi="ar-SA"/>
        </w:rPr>
        <w:t>هو في دلالته على العموم مطلقا بحيث لو استعمل في غيره لكان مجازا على حدّ جميع صيغ العموم التي هذا شأنها، و الدليل لا يثبت إلّا إفادته العموم في الجملة، و هو غير المتنازع فيه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في ان المفرد المحلی باللام يدل علی العموم في الجملة کما اعترف به صاحب المعالم بل و حتی المنکرين لذلک قالوا به لکنهم ادعوا انه لاجل القرينة کما تقدم قول المحقق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غيره</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من الملاحظ ان المفرد المحلی باللام علی قسمين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يدل علی العموم هو الاول لا الثاني للتبادر بل هو الذي تقتضيه القاعدة فقوله تعالی الحمد لله يدل علی ان جنس الحمد يعني کل ما يصدق عليه هذا اللفظ لله جل و علا و هذا المعنی لا يختلف فيه اثنان و لا قرينة في البين و کذلک قوله تعالی </w:t>
      </w:r>
      <w:r>
        <w:rPr>
          <w:rFonts w:ascii="Amiri" w:hAnsi="Amiri" w:eastAsia="Amiri" w:cs="Amiri"/>
          <w:color w:val="111111"/>
          <w:sz w:val="28"/>
          <w:sz w:val="28"/>
          <w:szCs w:val="28"/>
          <w:rtl w:val="true"/>
          <w:lang w:bidi="ar-SA"/>
        </w:rPr>
        <w:t>احل الله البيع</w:t>
      </w:r>
      <w:r>
        <w:rPr>
          <w:rFonts w:ascii="IRNazanin" w:hAnsi="IRNazanin" w:eastAsia="IRNazanin"/>
          <w:color w:val="111111"/>
          <w:sz w:val="28"/>
          <w:sz w:val="28"/>
          <w:szCs w:val="28"/>
          <w:rtl w:val="true"/>
          <w:lang w:bidi="fa-IR"/>
        </w:rPr>
        <w:t xml:space="preserve"> و لا يحتاج العموم فيه الی مقدمات الحکمة بخلاف غير الجنس کما في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يدل علی العموم الّا بواسطة مقدمات الحکمة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بانه لو دل علی العموم لاطرد و الحال أنّه لا يطرد فلا يصحّ في العرف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الرّجل إلّا البصري، و أكرم الرّجل إلّا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الخبز و شربت الماء، و جاءني الرّجل كلّهم، فضعيف لعدم فهم العرف من هذه الامثلة الجنس فلا يفهم من جاءني الرّجل جنسه و لأنّ عدم إمكان أكل جميع الأخباز و شرب جميع المياه قرينة على عدم العموم، و عدم جواز التأكيد بما يؤكد به العامّ لعلّه مراعاة للمناسبة </w:t>
      </w:r>
      <w:bookmarkStart w:id="588" w:name="pg16640_202463"/>
    </w:p>
    <w:p>
      <w:pPr>
        <w:pStyle w:val="BookText"/>
        <w:rPr/>
      </w:pPr>
      <w:bookmarkEnd w:id="588"/>
      <w:r>
        <w:rPr>
          <w:rFonts w:ascii="IRNazanin" w:hAnsi="IRNazanin" w:eastAsia="IRNazanin"/>
          <w:color w:val="111111"/>
          <w:sz w:val="28"/>
          <w:sz w:val="28"/>
          <w:szCs w:val="28"/>
          <w:rtl w:val="true"/>
          <w:lang w:bidi="fa-IR"/>
        </w:rPr>
        <w:t>اللّفظية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أكرم الرّجل إلّا السّفهاء او الّا السفيه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فيشهد لصحته قوله تعالی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ذهب المحقق القمي الی انه دال علی الجنس و بالملازمة دال علی العموم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الأظهر عندي كونه حقيقة في الجنس للتبادر في الخالي عن قرينة العهد و 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أنّا و إن ذهبنا الى أنّ اللّفظ لا يدلّ علىالعموم لكنّه لازم ما اخترناه من كونه حقيقة في تعريف الجنس، إذ الحكم إذا تعلّق بالطبيعة من حيث هي و المفروض أنّها لا تنفكّ عن شي‌ء من أفرادها، فيثبت الحكم لكلّ أفرادها</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الملازمة عرفية ايضا و عليه فيصح ما قلناه من دلالته علی العموم </w:t>
      </w:r>
      <w:r>
        <w:rPr>
          <w:rFonts w:eastAsia="IRNazanin" w:cs="IRNazanin"/>
          <w:color w:val="111111"/>
          <w:sz w:val="28"/>
          <w:szCs w:val="28"/>
          <w:rtl w:val="true"/>
          <w:lang w:bidi="fa-IR"/>
        </w:rPr>
        <w:t>.</w:t>
      </w:r>
    </w:p>
    <w:p>
      <w:pPr>
        <w:pStyle w:val="Heading2"/>
        <w:numPr>
          <w:ilvl w:val="1"/>
          <w:numId w:val="1"/>
        </w:numPr>
        <w:rPr/>
      </w:pPr>
      <w:bookmarkStart w:id="589" w:name="__RefHeading___Toc11691489_1280447820"/>
      <w:bookmarkStart w:id="590" w:name="_Toc212"/>
      <w:bookmarkEnd w:id="589"/>
      <w:r>
        <w:rPr>
          <w:rtl w:val="true"/>
        </w:rPr>
        <w:t>الخامس</w:t>
      </w:r>
      <w:r>
        <w:rPr>
          <w:rtl w:val="true"/>
        </w:rPr>
        <w:t xml:space="preserve">: </w:t>
      </w:r>
      <w:r>
        <w:rPr>
          <w:rtl w:val="true"/>
        </w:rPr>
        <w:t>الجنس المضاف</w:t>
      </w:r>
      <w:bookmarkEnd w:id="590"/>
    </w:p>
    <w:p>
      <w:pPr>
        <w:pStyle w:val="BookText"/>
        <w:rPr/>
      </w:pPr>
      <w:r>
        <w:rPr>
          <w:rFonts w:ascii="IRNazanin" w:hAnsi="IRNazanin" w:eastAsia="IRNazanin"/>
          <w:color w:val="111111"/>
          <w:sz w:val="28"/>
          <w:sz w:val="28"/>
          <w:szCs w:val="28"/>
          <w:rtl w:val="true"/>
          <w:lang w:bidi="fa-IR"/>
        </w:rPr>
        <w:t>و بذلک يظهر دلالة الجنس المضاف علی العموم کما في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الدليل المتقدم من التبادر و اقتضاء القاعدة لذلک فلا نطيل </w:t>
      </w:r>
      <w:r>
        <w:rPr>
          <w:rFonts w:eastAsia="IRNazanin" w:cs="IRNazanin"/>
          <w:color w:val="111111"/>
          <w:sz w:val="28"/>
          <w:szCs w:val="28"/>
          <w:rtl w:val="true"/>
          <w:lang w:bidi="fa-IR"/>
        </w:rPr>
        <w:t>.</w:t>
      </w:r>
    </w:p>
    <w:p>
      <w:pPr>
        <w:pStyle w:val="Heading2"/>
        <w:numPr>
          <w:ilvl w:val="1"/>
          <w:numId w:val="1"/>
        </w:numPr>
        <w:rPr/>
      </w:pPr>
      <w:bookmarkStart w:id="591" w:name="__RefHeading___Toc11691491_1280447820"/>
      <w:bookmarkStart w:id="592" w:name="_Toc213"/>
      <w:bookmarkEnd w:id="591"/>
      <w:r>
        <w:rPr>
          <w:rtl w:val="true"/>
        </w:rPr>
        <w:t>الفصل الثاني هل العام حجة فيما بقي بعد التخصيص؟</w:t>
      </w:r>
      <w:bookmarkEnd w:id="59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العام المخصص حجّة في الباقي، سواء أ كان متّصلاً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العدول، أم منفصلاً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 بعد فترة قبل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فإذا شكّ في خروج غير الفسّاق من العلماء، كخروج النحاة و الصرفيين </w:t>
      </w:r>
    </w:p>
    <w:p>
      <w:pPr>
        <w:pStyle w:val="BookText"/>
        <w:rPr/>
      </w:pPr>
      <w:r>
        <w:rPr>
          <w:rFonts w:ascii="Amiri" w:hAnsi="Amiri" w:eastAsia="Amiri" w:cs="Amiri"/>
          <w:color w:val="111111"/>
          <w:sz w:val="28"/>
          <w:sz w:val="28"/>
          <w:szCs w:val="28"/>
          <w:rtl w:val="true"/>
          <w:lang w:bidi="ar-SA"/>
        </w:rPr>
        <w:t>العدول، فهل يكون العام حجّة في حقّهم فيجب إكرامهم إلى أن يعلم الخلاف؟ أو يتوقّف فيها و يكون المرجع، الأُصول العملية إذا لم يكن دليل اجتهادي غير العام؟</w:t>
      </w:r>
    </w:p>
    <w:p>
      <w:pPr>
        <w:pStyle w:val="BookText"/>
        <w:rPr/>
      </w:pPr>
      <w:r>
        <w:rPr>
          <w:rFonts w:ascii="IRNazanin" w:hAnsi="IRNazanin" w:eastAsia="IRNazanin"/>
          <w:color w:val="111111"/>
          <w:sz w:val="28"/>
          <w:sz w:val="28"/>
          <w:szCs w:val="28"/>
          <w:rtl w:val="true"/>
          <w:lang w:bidi="fa-IR"/>
        </w:rPr>
        <w:t>فيه خلاف و المشهور کما في مطارح الانظار هو الحجية</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في الکفاية بين المتصل و المنفصل بحجّيته في الأوّل دون الثاني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في أن العام المخصص بالمتصل أو المنفصل حجة فيما بقي فيما علم عدم دخوله في المخصص مطلقا و لو كان متصلا و ما احتمل دخوله فيه أيضا إذا كان منفصلا كما هو المشهور بين الأصحاب بل لا ينسب الخلاف إلّا إلى بعض‌</w:t>
      </w:r>
      <w:r>
        <w:rPr>
          <w:rStyle w:val="FootnoteAnchor"/>
          <w:rtl w:val="true"/>
        </w:rPr>
        <w:footnoteReference w:id="393"/>
      </w:r>
      <w:r>
        <w:rPr>
          <w:rFonts w:ascii="IRNazanin" w:hAnsi="IRNazanin" w:eastAsia="IRNazanin"/>
          <w:color w:val="111111"/>
          <w:sz w:val="28"/>
          <w:sz w:val="28"/>
          <w:szCs w:val="28"/>
          <w:rtl w:val="true"/>
          <w:lang w:bidi="fa-IR"/>
        </w:rPr>
        <w:t>أهل الخلاف</w:t>
      </w:r>
      <w:r>
        <w:rPr>
          <w:rFonts w:eastAsia="IRNazanin" w:cs="IRNazanin"/>
          <w:color w:val="111111"/>
          <w:sz w:val="28"/>
          <w:szCs w:val="28"/>
          <w:rtl w:val="true"/>
          <w:lang w:bidi="fa-IR"/>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اما متصل و اما منفصل، و على التقديرين اما أن يعلم بعدم دخول الباقي في المخصص، كالعلم بعدم دخول العالم العادل في الفساق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أن لا يعلم بذلك،بل يحتمل دخوله فيه، كما في مرتكب الصغيرة، لاحتمال شمول مفهوم الفاسق له، فالصور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الاولی و الثانية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المخصص مع العلم بخروج الباقي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انفصاله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هاتين الصورتين لا مانع من التمسك بالعامّ مطلقاً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المتصل، فلعدم ظهور الكلام في غير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المنفصل، فلعدم مانع عن حجيته في الباقي، ضرورة أن ظهور العام في العموم قد انعقد و صار حجة فيه، فلا ترفع </w:t>
      </w:r>
    </w:p>
    <w:p>
      <w:pPr>
        <w:pStyle w:val="BookText"/>
        <w:rPr/>
      </w:pPr>
      <w:r>
        <w:rPr>
          <w:rFonts w:ascii="Amiri" w:hAnsi="Amiri" w:eastAsia="Amiri" w:cs="Amiri"/>
          <w:color w:val="111111"/>
          <w:sz w:val="28"/>
          <w:sz w:val="28"/>
          <w:szCs w:val="28"/>
          <w:rtl w:val="true"/>
          <w:lang w:bidi="ar-SA"/>
        </w:rPr>
        <w:t>اليد عن حجيته فيه إلّا بحجة أقوى، و هي ظهور المخصص المنفصل بمقدار ما يزاحمه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ففي المخصص المعلوم عدم دخول الباقي فيه سواء كان متصلا أم منفصلا يكون العام حجة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الصورتان من موارد الشبهة الحكمية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الصورتان الثالثة و الرابعة،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دخول الباقي في المخصص المنفصل، و احتمال دخوله في المتصل، كما إذا علمنا أنّ زيداً عالم و لكن نشك في أنّه فاسق أو لا، فهل يجوز التمسّك فيه بالعام أم لا؟ و هذا ما يعبّر عنه بالشبهة المصداقية للمخصص، و قد حكم صاحب الکفاية بحجية العام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الرابعة أي المتصل، و ذلک لعدم انعقاد ظهور للعام الّا فيما عدا الخاصّ، كالعالم غير النحوي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 الّا النحويين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فموضوع الحكم العالم غير النحوي، فمع الشك في كون عالم نحوياً لا يجوز التمسك بالعامّ لوجوب إكرامه، إذ لم يعلم فرديته له، و إلّا لزم التمسك بالعامّ في الشبهة المصداقية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البحث عن هاتين الصورتين قريبا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ليس المراد بالمتصل هنا ما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للمتكلم أن يلحق بكلامه ما شاء ما دام متشاغلا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الاتصال و الانفصال الحسّيين، بل المراد بهما وحدة الجملة و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 لتعدد الجملتين و ان اتصلت الثانية بالأولى حساً، كما أن وصف العدول و نحوه مما يكون من الملابسات كالحال و البدل و الشرط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و ان انفصل عن الجزء الأول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593" w:name="pg16640_202466"/>
    </w:p>
    <w:p>
      <w:pPr>
        <w:pStyle w:val="BookText"/>
        <w:rPr/>
      </w:pPr>
      <w:bookmarkEnd w:id="593"/>
      <w:r>
        <w:rPr>
          <w:rFonts w:ascii="Amiri" w:hAnsi="Amiri" w:eastAsia="Amiri" w:cs="Amiri"/>
          <w:color w:val="111111"/>
          <w:sz w:val="28"/>
          <w:sz w:val="28"/>
          <w:szCs w:val="28"/>
          <w:rtl w:val="true"/>
          <w:lang w:bidi="ar-SA"/>
        </w:rPr>
        <w:t xml:space="preserve">على هذا،فضابط الاتصال و الانفصال استقلال الجزء و عدم استقلاله، فان لم يستقل بأن كان الكلام جملة واحدة، و كان أحد أجزائها قيداً أو شرطاً لها، فهو متصل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منفصلا حساً و ان استقل، بأن كان بنفسه جملة على حدة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المتقدم فهو منفصل و ان كان متصلا حساً</w:t>
      </w:r>
      <w:r>
        <w:rPr>
          <w:rFonts w:eastAsia="Amiri" w:cs="Amiri" w:ascii="Amiri" w:hAnsi="Amiri"/>
          <w:color w:val="111111"/>
          <w:sz w:val="28"/>
          <w:szCs w:val="28"/>
          <w:rtl w:val="true"/>
          <w:lang w:bidi="ar-SA"/>
        </w:rPr>
        <w:t>.</w:t>
      </w:r>
    </w:p>
    <w:p>
      <w:pPr>
        <w:pStyle w:val="Heading2"/>
        <w:numPr>
          <w:ilvl w:val="1"/>
          <w:numId w:val="1"/>
        </w:numPr>
        <w:rPr/>
      </w:pPr>
      <w:bookmarkStart w:id="594" w:name="__RefHeading___Toc11691493_1280447820"/>
      <w:bookmarkStart w:id="595" w:name="_Toc214"/>
      <w:bookmarkEnd w:id="594"/>
      <w:r>
        <w:rPr>
          <w:rtl w:val="true"/>
        </w:rPr>
        <w:t>دليل القائل بعدم حجّية العام في الباقي</w:t>
      </w:r>
      <w:bookmarkEnd w:id="595"/>
    </w:p>
    <w:p>
      <w:pPr>
        <w:pStyle w:val="BookText"/>
        <w:rPr/>
      </w:pPr>
      <w:r>
        <w:rPr>
          <w:rFonts w:ascii="Amiri" w:hAnsi="Amiri" w:eastAsia="Amiri" w:cs="Amiri"/>
          <w:color w:val="111111"/>
          <w:sz w:val="28"/>
          <w:sz w:val="28"/>
          <w:szCs w:val="28"/>
          <w:rtl w:val="true"/>
          <w:lang w:bidi="ar-SA"/>
        </w:rPr>
        <w:t>استدلّ القائل بعدم الحجّية بأنّ العام المخصص مستعمل في غير ما وضع له، و بما انّ للمعنى المجازي مراتب مختلفة حسب مراتب الخصوصيات، يكون تعيين الباقي اي عامة الأفراد سوى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بلا مرجّح</w:t>
      </w:r>
      <w:r>
        <w:rPr>
          <w:rFonts w:eastAsia="Amiri" w:cs="Amiri" w:ascii="Amiri" w:hAnsi="Amiri"/>
          <w:color w:val="111111"/>
          <w:sz w:val="28"/>
          <w:szCs w:val="28"/>
          <w:rtl w:val="true"/>
          <w:lang w:bidi="ar-SA"/>
        </w:rPr>
        <w:t>.</w:t>
      </w:r>
    </w:p>
    <w:p>
      <w:pPr>
        <w:pStyle w:val="Heading2"/>
        <w:numPr>
          <w:ilvl w:val="1"/>
          <w:numId w:val="1"/>
        </w:numPr>
        <w:rPr/>
      </w:pPr>
      <w:bookmarkStart w:id="596" w:name="__RefHeading___Toc11691495_1280447820"/>
      <w:bookmarkStart w:id="597" w:name="_Toc215"/>
      <w:bookmarkEnd w:id="596"/>
      <w:r>
        <w:rPr>
          <w:rtl w:val="true"/>
        </w:rPr>
        <w:t>الجواب علی الاستدلال</w:t>
      </w:r>
      <w:bookmarkEnd w:id="597"/>
    </w:p>
    <w:p>
      <w:pPr>
        <w:pStyle w:val="BookText"/>
        <w:rPr/>
      </w:pPr>
      <w:r>
        <w:rPr>
          <w:rFonts w:ascii="Amiri" w:hAnsi="Amiri" w:eastAsia="Amiri" w:cs="Amiri"/>
          <w:color w:val="111111"/>
          <w:sz w:val="28"/>
          <w:sz w:val="28"/>
          <w:szCs w:val="28"/>
          <w:rtl w:val="true"/>
          <w:lang w:bidi="ar-SA"/>
        </w:rPr>
        <w:t>و قد أُجيب عن الاستدلال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الباقي أقرب المجازات، فإذا تعدّدت الحقيقة فأقرب المجازات أولى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ردّه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اعتبار بالأقربية من حيث العدد و الكثرة، و انما المدار علی الاقربية من حيث أُنس الذهن به فإذا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أسداً في الحمام، و امتنعت الحقيقة و دار أمر اللفظ بين حمله على الرجل الشجاع أو الرجل الأبخر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الرجل الذي في </w:t>
      </w:r>
    </w:p>
    <w:p>
      <w:pPr>
        <w:pStyle w:val="BookText"/>
        <w:rPr/>
      </w:pPr>
      <w:r>
        <w:rPr>
          <w:rFonts w:ascii="Amiri" w:hAnsi="Amiri" w:eastAsia="Amiri" w:cs="Amiri"/>
          <w:color w:val="111111"/>
          <w:sz w:val="28"/>
          <w:sz w:val="28"/>
          <w:szCs w:val="28"/>
          <w:rtl w:val="true"/>
          <w:lang w:bidi="ar-SA"/>
        </w:rPr>
        <w:t xml:space="preserve">فمه رائحة كريهة كما هو الحال كذلك في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الأوّل، لكثرة أُنس الذهن به في المحاورات دون الثاني</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الاقربية لا تکفي في الحمل بل الحمل تابع الی القرينة الواضحة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صار الکلام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کون استعمال العام المخصص في ما بقي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ممنوع کما سيأتي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الشيخ الأنصاري</w:t>
      </w:r>
    </w:p>
    <w:p>
      <w:pPr>
        <w:pStyle w:val="BookText"/>
        <w:rPr/>
      </w:pPr>
      <w:r>
        <w:rPr>
          <w:rFonts w:ascii="Amiri" w:hAnsi="Amiri" w:eastAsia="Amiri" w:cs="Amiri"/>
          <w:color w:val="111111"/>
          <w:sz w:val="28"/>
          <w:sz w:val="28"/>
          <w:szCs w:val="28"/>
          <w:rtl w:val="true"/>
          <w:lang w:bidi="ar-SA"/>
        </w:rPr>
        <w:t>بعد تسليم مبنى المستدل، من ان التخصيص يوجب المجازية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العام في كلّ فرد من أفراده، غير منوطة بدلالته على فرد آخر من أفراده، و لو كانت دلالة مجازية، إذ هي بواسطة عدم شموله للافراد المخصوصة لا بواسطةدخول غيرها في مدلوله، فالمقتضى للحمل على الباقي موجود و المانع مفقود، لأنّ المانع في مثل العام إنّما هو يوجب صرف اللفظ عن مدلوله و المفروض انتفاؤه بالنسبة إلى الباقي لاختصاص المخصص بغيره فلو شكّ فالأصل عدمه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الباقي ترجيح بلا مرجّح</w:t>
      </w:r>
    </w:p>
    <w:p>
      <w:pPr>
        <w:pStyle w:val="BookText"/>
        <w:rPr/>
      </w:pPr>
      <w:r>
        <w:rPr>
          <w:rFonts w:ascii="Amiri" w:hAnsi="Amiri" w:eastAsia="Amiri" w:cs="Amiri"/>
          <w:color w:val="111111"/>
          <w:sz w:val="28"/>
          <w:sz w:val="28"/>
          <w:szCs w:val="28"/>
          <w:rtl w:val="true"/>
          <w:lang w:bidi="ar-SA"/>
        </w:rPr>
        <w:t xml:space="preserve">إذا كانت دلالة العام على كلّ فرد، ضمن دلالته على العموم و الشمول، فإذا لم يستعمل فيه و استعمل في غيره و كان الغير ذا مراتب مختلفة، و إرادة كلّ مرتبة أمراً ممكناً محتملًا، فحمله على مرتبة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ترجيحاً بلا مرجّح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المقتضي للحمل </w:t>
      </w:r>
    </w:p>
    <w:p>
      <w:pPr>
        <w:pStyle w:val="BookText"/>
        <w:rPr/>
      </w:pPr>
      <w:r>
        <w:rPr>
          <w:rFonts w:ascii="Amiri" w:hAnsi="Amiri" w:eastAsia="Amiri" w:cs="Amiri"/>
          <w:color w:val="111111"/>
          <w:sz w:val="28"/>
          <w:sz w:val="28"/>
          <w:szCs w:val="28"/>
          <w:rtl w:val="true"/>
          <w:lang w:bidi="ar-SA"/>
        </w:rPr>
        <w:t>إنّ ظهور العام المخصص في الباقي رهن أحد أمرين أمّا الوضع أو القرينة، و المفروض انتفاء الأوّل لافتراض انّه ليس بموضوع للباقي، كما أنّ الثانية أيضاً كذلك و دلالته على كلّ فرد على حدة في ضمن دلالته على العموم لا يوجب بقاء الدلالة مع انتفاء الثانية، فانّ الدلالة التبعية فرع بقاء الدلالة الأصلية، فإذا انتفت الثانية، انتفت الأُولى و على هذا فلا مقتضي للحمل على الباقي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لكنّه إذا كان هنا مقتض للدلالة، و قد عرفت عدمه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دافع المحقّقان الاصفهاني</w:t>
      </w:r>
      <w:r>
        <w:rPr>
          <w:rStyle w:val="FootnoteAnchor"/>
          <w:rtl w:val="true"/>
        </w:rPr>
        <w:footnoteReference w:id="398"/>
      </w:r>
      <w:r>
        <w:rPr>
          <w:rFonts w:ascii="IRNazanin" w:hAnsi="IRNazanin" w:eastAsia="IRNazanin"/>
          <w:color w:val="111111"/>
          <w:sz w:val="28"/>
          <w:sz w:val="28"/>
          <w:szCs w:val="28"/>
          <w:rtl w:val="true"/>
          <w:lang w:bidi="fa-IR"/>
        </w:rPr>
        <w:t>و النائيني عن مقالة الشيخ و نکتفي بعبارة الثاني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دلالات عرضية فإذا سقطت إحداها عن الحجّية بقيت غيرها من الدلالات على حجّيتها ضرورة أنّه إذا لم تكن دلالة العام على ثبوت الحكم لفرد، دخيلة في دلالته على ثبوته لفرد آخر، لم يكن خروج فرد ما عن الحكم، منافياً لبقاء دلالته على حكم الفرد الآخر، فخروج بعض الأفراد إذا استلزم المجاز، لا يوجب ارتفاعَ دلالته على ثبوت الحكم لبقية الأفراد التي لا يعمّها المخصِّص</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سقطت دلالة العام عن معناه الحقيقي لأجل كونه مستعملاً في غير معنى الكلّ حسب الفرض، تبطل الدلالة التضمنية التابعة لها ايضا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معنی لان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 المطابقي الذي هو الاصل في الدلالة هل هو وحداني ارتباطي بحسب الاجزاء و الابعاض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انحلالي استقلالي؟ فعلی الاول يکون الحق مع الخراساني و علی الثاني يکون الحق مع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لما عرفت من سقوط دلالة العام </w:t>
      </w:r>
      <w:bookmarkStart w:id="598" w:name="pg16640_202469"/>
    </w:p>
    <w:p>
      <w:pPr>
        <w:pStyle w:val="BookText"/>
        <w:rPr/>
      </w:pPr>
      <w:bookmarkEnd w:id="598"/>
      <w:r>
        <w:rPr>
          <w:rFonts w:ascii="IRNazanin" w:hAnsi="IRNazanin" w:eastAsia="IRNazanin"/>
          <w:color w:val="111111"/>
          <w:sz w:val="28"/>
          <w:sz w:val="28"/>
          <w:szCs w:val="28"/>
          <w:rtl w:val="true"/>
          <w:lang w:bidi="fa-IR"/>
        </w:rPr>
        <w:t>عن معناه الحقيقي لأجل كونه مستعملاً في غير معنى الكلّ حسب الفرض فلا معنی لهذا التقسيم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إجابة المحقّق الخراساني عن الاستدلال</w:t>
      </w:r>
    </w:p>
    <w:p>
      <w:pPr>
        <w:pStyle w:val="BookText"/>
        <w:rPr/>
      </w:pPr>
      <w:r>
        <w:rPr>
          <w:rFonts w:ascii="IRNazanin" w:hAnsi="IRNazanin" w:eastAsia="IRNazanin"/>
          <w:color w:val="111111"/>
          <w:sz w:val="28"/>
          <w:sz w:val="28"/>
          <w:szCs w:val="28"/>
          <w:rtl w:val="true"/>
          <w:lang w:bidi="fa-IR"/>
        </w:rPr>
        <w:t xml:space="preserve">انّ المحقّق الخراساني استعان في رد الدليل بما أسّسه من إنكار المجازية في العام المخصص، لا في متصله و لا في منفصله کما سيأتي في الفصل الاتي </w:t>
      </w:r>
      <w:r>
        <w:rPr>
          <w:rFonts w:eastAsia="IRNazanin" w:cs="IRNazanin"/>
          <w:color w:val="111111"/>
          <w:sz w:val="28"/>
          <w:szCs w:val="28"/>
          <w:rtl w:val="true"/>
          <w:lang w:bidi="fa-IR"/>
        </w:rPr>
        <w:t>.</w:t>
      </w:r>
    </w:p>
    <w:p>
      <w:pPr>
        <w:pStyle w:val="Heading2"/>
        <w:numPr>
          <w:ilvl w:val="1"/>
          <w:numId w:val="1"/>
        </w:numPr>
        <w:rPr/>
      </w:pPr>
      <w:bookmarkStart w:id="599" w:name="__RefHeading___Toc11691497_1280447820"/>
      <w:bookmarkStart w:id="600" w:name="_Toc216"/>
      <w:bookmarkEnd w:id="599"/>
      <w:r>
        <w:rPr>
          <w:rtl w:val="true"/>
        </w:rPr>
        <w:t>الفصل الثالث</w:t>
      </w:r>
      <w:r>
        <w:rPr>
          <w:rtl w:val="true"/>
        </w:rPr>
        <w:t xml:space="preserve">: </w:t>
      </w:r>
      <w:r>
        <w:rPr>
          <w:rtl w:val="true"/>
        </w:rPr>
        <w:t>تخصيص العام لا يوجب المجازية</w:t>
      </w:r>
      <w:bookmarkEnd w:id="600"/>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ربما تناهز الثمانية</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منها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حقيقة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مجاز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المخصّص المتّصل و المنفصل فهو حقيقة في الأوّل و مجاز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الأوّل و هو الذي نصره المحقّق الخراساني ببيانين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خاص بالمخصص المتصل، و الآخر بالمخصص المنفصل،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التخصيص بالمتصل فلما عرفت من أنه لا تخصيص أصلا و أن أدوات العموم قد استعملت فيه و إن كان دائرته سعة و ضيقا تختلف باختلاف ذوي الأدوات فلفظة كل في مثل كل رجل و كل رجل عالم قد استعملت في العموم و إن كان أفراد أحدهما بالإضافة إلى الآخر بل في نفسها في غاية القلة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المنفصل فلأن إرادة الخصوص واقعا لا تستلزم استعماله فيه و كون الخاص قرينة عليه بل من الممكن قطعا استعماله معه في العموم قاعدة و كون الخاص مانعا عن </w:t>
      </w:r>
    </w:p>
    <w:p>
      <w:pPr>
        <w:pStyle w:val="BookText"/>
        <w:rPr/>
      </w:pPr>
      <w:r>
        <w:rPr>
          <w:rFonts w:ascii="Amiri" w:hAnsi="Amiri" w:eastAsia="Amiri" w:cs="Amiri"/>
          <w:color w:val="111111"/>
          <w:sz w:val="28"/>
          <w:sz w:val="28"/>
          <w:szCs w:val="28"/>
          <w:rtl w:val="true"/>
          <w:lang w:bidi="ar-SA"/>
        </w:rPr>
        <w:t>حجية ظهوره تحكيما للنص أو الأظهر على الظاهر لا مصادما لأصل ظهوره و معه لا مجال للمصير إلى أنه قد استعمل فيه مجازا كي يلزم الإجمال</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لا يستلزم المجازية في العام أصلا، من غير فرق في ذلك بين كون المخصص متصلا 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المتصل، فلأنه لا تخصيص حقيقة، و أن إطلاق التخصيص عليه مسامحة، و أن أدوات العموم لا تستعمل الّا في العموم، غاية الأمر أن دائرته ضيقة، فان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كل رجل في سعة الدائرة، و كثرة الافراد، و من المعلوم عدم التفاوت في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استعماله في العموم بين كثرة أفراد مدخوله و قلتها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لزوم المجاز في التخصيص بالمخصص المنفصل، فلان الإرادة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استعمالية و جدية، و العبرة في الحقيقة و المجاز انما هي بالإرادة الاستعمالية التي هي إفناء اللفظ في المعنى، دون الإرادة الجدية الباعثة على تشريع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مانع من استعمال اللفظ في معناه الموضوع له من دون إرادته الجدية، بل لنكتة اقتضت هذا الاستعمال، و يمكن أن تكون تلك النكتة جعل العموم ضابطاً ليرجع إليه في مقام الشك في خروج بعض أفراده بالمخصص، و حينئذ فإذا استعمل العام في العموم، ففيما كان الخاصّ مانعاً عن حجية ظهور العام فيه سقط العام عن الحجية بالنسبة إلى هذا المقدار و فيما لم يكن مانعاً عن حجية ظهور العام فيه كان حجة، و العام في كلا الموردين مستعمل في معناه الموضوع له، فهو فيما عدا مقدار دلالة الخاصّ حجة، إذ المفروض انعقاد </w:t>
      </w:r>
      <w:bookmarkStart w:id="601" w:name="pg16640_202471"/>
    </w:p>
    <w:p>
      <w:pPr>
        <w:pStyle w:val="BookText"/>
        <w:rPr/>
      </w:pPr>
      <w:bookmarkEnd w:id="601"/>
      <w:r>
        <w:rPr>
          <w:rFonts w:ascii="Amiri" w:hAnsi="Amiri" w:eastAsia="Amiri" w:cs="Amiri"/>
          <w:color w:val="111111"/>
          <w:sz w:val="28"/>
          <w:sz w:val="28"/>
          <w:szCs w:val="28"/>
          <w:rtl w:val="true"/>
          <w:lang w:bidi="ar-SA"/>
        </w:rPr>
        <w:t>الظهور و حجيته الّا في مقدار دلالة الخاصّ، لأنه يصادم حجية ظهور العام، لا نفس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اشكل علی نفسه بأن استعمال العام في معناه الموضوع له و إرادة الخاصّ منه بدالٍّ آخر و ان كان رافعاً للإجمال، و موجباً لجواز التمسك بالعامّ في غير مورد التخصيص، لكنه مجرد احتمال، و لا دليل عليه في مقام الإثبات، و من المعلوم أن مجرد الاحتمال ثبوتاً لا يكفي في رفع الإجمال مع احتمال استعمال العام في مرتبة خاصة، و قرينية الخاصّ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احتمال استعمال العام في الخاصّ لا يوجب إجمال العام، بعد ما تقدم من انعقاد الظهور له في العموم بلا إشكال فيما إذا كان الخاصّ منفصلا، و احتمال استعمال العام في الخاصّ موهون في قبال الظهور، كوهن احتمال خلاف الظاهر في سائر الظهورات، إذ كل ظاهر مقرون باحتمال خلافه فيلزم عدم حجية شي‌ء من الظواهر، و هو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فالخاص المنفصل يصادم حجية الظاهر، لا أصل الظهور، فيقدم على ظهور العام في أفراد الخاصّ بالأقوائية، و يكون العام حجة في غير أفراد الخاصّ، لعدم مانع عن اعتباره فيه</w:t>
      </w:r>
      <w:r>
        <w:rPr>
          <w:rFonts w:eastAsia="Amiri" w:cs="Amiri" w:ascii="Amiri" w:hAnsi="Amiri"/>
          <w:color w:val="111111"/>
          <w:sz w:val="28"/>
          <w:szCs w:val="28"/>
          <w:rtl w:val="true"/>
          <w:lang w:bidi="ar-SA"/>
        </w:rPr>
        <w:t>.</w:t>
      </w:r>
    </w:p>
    <w:p>
      <w:pPr>
        <w:pStyle w:val="Heading2"/>
        <w:numPr>
          <w:ilvl w:val="1"/>
          <w:numId w:val="1"/>
        </w:numPr>
        <w:rPr/>
      </w:pPr>
      <w:bookmarkStart w:id="602" w:name="__RefHeading___Toc11691499_1280447820"/>
      <w:bookmarkStart w:id="603" w:name="_Toc217"/>
      <w:bookmarkEnd w:id="602"/>
      <w:r>
        <w:rPr>
          <w:rtl w:val="true"/>
        </w:rPr>
        <w:t>ايراد المحقق النائيني</w:t>
      </w:r>
      <w:bookmarkEnd w:id="6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المحقق النائيني علی المحقق الخراساني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الإرادة الاستعمالية ان أريد بها إرادة إيجاد المعنى البسيط العقلاني باللفظ بحيث كان اللفظ و الإرادة مغفولين عنهما حين الاستعمال فهذه بعينها هي الإرادة الجدية التي بها يتقوم استعمال اللفظ في معنى ما و ان أريد بها الإرادة الهزلية المقابلة للإرادة الجدية و الداعية إلى إرادة إيجاد المعنى </w:t>
      </w:r>
    </w:p>
    <w:p>
      <w:pPr>
        <w:pStyle w:val="BookText"/>
        <w:rPr/>
      </w:pPr>
      <w:r>
        <w:rPr>
          <w:rFonts w:ascii="Amiri" w:hAnsi="Amiri" w:eastAsia="Amiri" w:cs="Amiri"/>
          <w:color w:val="111111"/>
          <w:sz w:val="28"/>
          <w:sz w:val="28"/>
          <w:szCs w:val="28"/>
          <w:rtl w:val="true"/>
          <w:lang w:bidi="ar-SA"/>
        </w:rPr>
        <w:t>باللفظ فهي و ان كانت لا تنافي استعمال اللفظ في معناه الموضوع له لوضوح ان الاستعمال الحقيقي لا يدور مدار كون الداعي إلى الاستعمال هو خصوص الإرادة الجدية إلّا انه لا يعقل الالتزام بكون الداعي إلى استعمال العمومات الواردة في الكتاب و السنة في معانيها هي الإرادة الهزلية</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العام مستعمل دائما بنحو من الارادة الجدية المتعلقة به مع ضمائمه المنفصلة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العام مستعملا في العموم بالارادة الاستعمالية الخالية عن الجد غير صحيح و مخالف للواقع و لم نجده في کلمات صاحب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الظاهر من الارادة الاستعمالية ارادة حکاية المعنی باللفظ و هي التي يتقوم بها الاستعمال و تکون الحقيقة و المجاز دائرةً 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الارادة الجدية المفقودة فالمراد منها ارادة تفهيم الحکم الشرعي الواقعي المجعول علی حسب المصالح الاولية و هو الغرض الاقصی من انشاء الادلة و 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الارادة الاستعمالية فهي ايضا جدية في مقابل الهزل لکن الغرض منها جعل القانون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ورود العام في بعض الموارد لبيان حكم الشك ضربا للقاعدة كما في الاستصحاب و قاعدة الطهارة و نحوهما و ان كان مما لا ينكر إلّا ان التخصيص في مثل تلك العمومات في غاية القلة لأن تقدم شي‌ء عليها في الغالب انما يكون بنحو الورود أو الحكومة و اما العمومات الواردة لبيان الأحكام الواقعية الثابتة للأشياء بعناوينها الأولية من دون نظر إلى حال الشك و عدمه فعمل أهل العرف بها حال الشك لا يكشف عن كونها واردة في مقام ضرب القانون و القاعدة ضرورة ان عملهم بها عند الشك في ورود </w:t>
      </w:r>
    </w:p>
    <w:p>
      <w:pPr>
        <w:pStyle w:val="BookText"/>
        <w:rPr/>
      </w:pPr>
      <w:r>
        <w:rPr>
          <w:rFonts w:ascii="Amiri" w:hAnsi="Amiri" w:eastAsia="Amiri" w:cs="Amiri"/>
          <w:color w:val="111111"/>
          <w:sz w:val="28"/>
          <w:sz w:val="28"/>
          <w:szCs w:val="28"/>
          <w:rtl w:val="true"/>
          <w:lang w:bidi="ar-SA"/>
        </w:rPr>
        <w:t>التخصيص عليها انما هو من باب العمل بالظهور الكاشف عن كون الظاهر مرادا واقعا و عن ان المتكلم ألقى كلامهبيانا لما اراده في الواقع و عليه فيستحيل كون تلك العمومات واردة لضرب القانون و القاعدة في ظرف الشك كما هو واضح</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المحقق الخوئي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ليس المراد من كون العام مستعملا في معناه قانوناً و قاعدة هو كون الحكم المجعول على العام مجعولا عليه في ظرف الشك ليرد عليه ما أفاده شيخنا الأستاذ قدس سره في المقام بل المراد به هو ان الداعي إلى استعمال العام في معناه الموضوع له على النحو الّذي تقدم بيانه انما هو كون العام بياناً للمراد ما لم يكن هناك قرينة على التخصيص فيرجع هذا الوجه أيضاً إلى الوجه الأول فيتحد جميع هذه الوجوه في المعنى و الاختلاف بينها انما يكون في التعبير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علق علی الوجه الاول</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حذفنا ما يراه من مسلک التعهد في الوضع و لا يضر بالمقصود في المقام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لفظ دلالتين إحداهما دلالته على ان المتكلم به أراد به تفهيم معناه و ثانيهما دلالته على ان تلك الإرادة إرادة جدية و غير ناشئة من الدواعي الأخر كالامتحان و السخرية و نحوهما اما الدلالة الأولى فقد عرفت في مبحث الوضع انها مستندة إلى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الدلالة الثانية أعني بها دلالة اللفظ على ان إرادة تفهيم معناه إرادة جدية فهي غير مستندة إلى الوضع ليكون اللفظ المستعمل في معناه لا بداعي الجد مجازا بل هي مستندة إلى بناء العقلاء على حمل كل ما يصدر من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الفاعل بالاختيار من قول أو فعل على انه صدر بداعي الجد لا بغيره من الدواعي إذا عرفت ذلك فنقول ان العام متى ما استعمل في الخارج بلا نصب قرينة على عدم إرادة معناه الحقيقي فهو يدل بالدلالة الوضعيّة على ان المتكلم به أراد تفهيم المخاطب لتمام معناه كما انه ببناء العقلاء يدل على ان إرادته تفهيم المعنى إرادة جدية و ناشئة عن كون الحكم المجعول على العام ثابتا له واقعاً لكن الدلالة الثانية المعبر عنها بالحجية كما يتوقف على عدم وجود ما يكون قرينة على اختصاص الحكم ببعض الافراد في كلام المتكلم كذلك تتوقف على عدم الإتيان بقرينة الاختصاص بعد ذلك ضرورة ان وجود القرينة المنفصلة يكون مانعاً من كشف ظهور العام عن كون الحكمالمجعول له ثابتا له بنحو العموم في الواقع فالقرينة المنفصلة انما تزاحم حجية ظهور العام الثابتة ببناء العقلاء و لا تزاحم أصل ظهوره الثابت بالوضع و من الواضح ان رفع اليد عن حجية الظهور لدليل لا يقتضى رفع اليد عن نفس الظهور ضرورة انه لا ملازمة بين إرادة تفهيم المخاطب إرادة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إرادة التفهيم ناشئة عن ثبوت الحكم لجميع أفراد العام في الواقع فإذا فرضنا ان المولى لا يريد في الواقع الا إكرام خصوص العالم الّذي لا يكون فاسقاً و كانت في بيان التقييد بالمتصل مفسدة أو كانت في تأخير بيانه مصلحة فلا محالة تكون مصلحة التسهيل في البيان مقتضية لا لقاء الكلام على نحو العموم الدال على إرادة تفهيم العام بحسب الوضع ثم الإتيان بالمخصص المنفصل الدال على اختصاص الحكم في الواقع بغير أفراد الخاصّ الكاشف عن ان الداعي إلى إرادة تفهيم العام لم يكن هي الإرادة الجدية الناشئة عن ثبوت الحكم لجميع أفراد العام في الواقع و بالجملة استعمال اللفظ في معناه أعني به إرادة المتكلم تفهيم المخاطب لمعنى اللفظ الموضوع له امر و كون هذه الإرادة جدية و ناشئة عن ثبوت الحكم لجميع أفراد المستعمل فيه امر آخر و </w:t>
      </w:r>
      <w:bookmarkStart w:id="604" w:name="pg16640_202475"/>
    </w:p>
    <w:p>
      <w:pPr>
        <w:pStyle w:val="BookText"/>
        <w:rPr/>
      </w:pPr>
      <w:bookmarkEnd w:id="604"/>
      <w:r>
        <w:rPr>
          <w:rFonts w:ascii="Amiri" w:hAnsi="Amiri" w:eastAsia="Amiri" w:cs="Amiri"/>
          <w:color w:val="111111"/>
          <w:sz w:val="28"/>
          <w:sz w:val="28"/>
          <w:szCs w:val="28"/>
          <w:rtl w:val="true"/>
          <w:lang w:bidi="ar-SA"/>
        </w:rPr>
        <w:t>المخصص المنفصل انما يكون كاشفاً عن عدم ثبوت الحكم لجميع أفراد العام في الواقع لا عن كون استعمال العام استعمالا مجازياً و قد عرفت ان الميزان في كون اللفظ حقيقة انما هو استعماله في معناه و لو لم يكن ذلك الاستعمال ناشئاً عن الإرادة الجدية و بما ذكرناه يظهر ما في كلام شيخنا الأستاذ قدس سره في المقام فتدبر جيداً</w:t>
      </w:r>
      <w:r>
        <w:rPr>
          <w:rFonts w:eastAsia="Amiri" w:cs="Amiri" w:ascii="Amiri" w:hAnsi="Amiri"/>
          <w:color w:val="111111"/>
          <w:sz w:val="28"/>
          <w:szCs w:val="28"/>
          <w:rtl w:val="true"/>
          <w:lang w:bidi="ar-SA"/>
        </w:rPr>
        <w:t>.</w:t>
      </w:r>
    </w:p>
    <w:p>
      <w:pPr>
        <w:pStyle w:val="Heading2"/>
        <w:numPr>
          <w:ilvl w:val="1"/>
          <w:numId w:val="1"/>
        </w:numPr>
        <w:rPr/>
      </w:pPr>
      <w:bookmarkStart w:id="605" w:name="__RefHeading___Toc11691501_1280447820"/>
      <w:bookmarkStart w:id="606" w:name="_Toc218"/>
      <w:bookmarkEnd w:id="605"/>
      <w:r>
        <w:rPr>
          <w:rtl w:val="true"/>
        </w:rPr>
        <w:t>الفصل الرابع</w:t>
      </w:r>
      <w:r>
        <w:rPr>
          <w:rtl w:val="true"/>
        </w:rPr>
        <w:t xml:space="preserve">: </w:t>
      </w:r>
      <w:r>
        <w:rPr>
          <w:rtl w:val="true"/>
        </w:rPr>
        <w:t>في حجّية العام في مورد إجمال المخصص مفهوماً</w:t>
      </w:r>
      <w:bookmarkEnd w:id="606"/>
    </w:p>
    <w:p>
      <w:pPr>
        <w:pStyle w:val="BookText"/>
        <w:rPr/>
      </w:pPr>
      <w:r>
        <w:rPr>
          <w:rFonts w:ascii="Amiri" w:hAnsi="Amiri" w:eastAsia="Amiri" w:cs="Amiri"/>
          <w:color w:val="111111"/>
          <w:sz w:val="28"/>
          <w:sz w:val="28"/>
          <w:szCs w:val="28"/>
          <w:rtl w:val="true"/>
          <w:lang w:bidi="ar-SA"/>
        </w:rPr>
        <w:t>إذا كان المخصّص مجملاً في مورد، فهل يكون ذلك مانعاً عن حجّية العام في نفس ذلك المورد أيضاً أم لا؟ و بعبارة أُخرى إذا كان إجمال المخصص مانعاً عن التمسّك به في مورد، فهل يكون ذلك مانعاً عن حجّية العام فيه أيضاً أم لا؟ و أمّا حجّية العام في غير ذلك المورد أو حجّية الخاص في مصداقه القطعي فلا كلام فيها، و ليست مطروحة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 بعد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و تردد مفهوم الفسق بين خصوص مرتكب الكبيرة فقط، أو الأعمّ منها و من الصغيرة، فإجمال المخصص مانع عن كونه حجّة في مورد مرتكب الصغيرة، و هل إجماله يمنععن حجّية العام في مورده، حتّى تصل النوبة إلى الأُصول العملية، أو لا يكون مانعاً عنه، فيحتجّ في مورد مرتكب الصغيرة بالعام و يحكم بوجوب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كلمات القوم عنوانان آخران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سراية إجمال المخصص إلى العام و 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التمسّك بالعام في الشبهات المفهومية للمخصص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عليه فصور المسألة أربعة، لأنّ المخصص إمّا متّصل أو منفصل، و إجمال المخصص تارة يستند إلى دورانه بين الأقلّ و الأكثر، أو بين المتباينين، 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الخاص بحسب المفهوم مجملاً بأن كان دائراً بين الأقل و الأكثر و كان منفصلاً فلا يسري إجماله إلى العام لا حقيقة و لا حكماً، بل كان العام متبعاً فيما لا يُتبع فيه الخاص، لوضوح انّه حجّة فيه بلا مزاحم أصلًا ضرورة انّ الخاص إنّما يزاحمه فيما هو حجّة على خلافه تحكيماً للنصّ أو الأظهر على الظاهر لا فيما لا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يكن كذلك بأن كان دائرا بين المتباينين مطلقا أو بين الأقل و الأكثر فيما كان متصلا فيسري إجماله إليه حكما في المنفصل المردد بين المتباينين و حقيقة في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فلأن العام على ما حققناه كان ظاهرا في عمومه إلّا أنه لا يتبع ظهوره في واحد من المتباينين اللذين علم تخصيصه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فلعدم انعقاد ظهور من رأس للعام لاحتفاف الكلام بما يوجب احتماله لكل واحد من الأقل و الأكثر أو لكل واحد من المتباينين لكنه حجة في الأقل لأنه المتيقن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بذلك الفرق بين المتصل و المنفصل و كذا في المجمل بين المتباينين و الأكثر و الأقل</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 في المخصص المنفصل عند الدوران بين الاقل و الاکثر قد انعقد له ظهور في العموم، إذ المفروض انفصال الخاصّ عنه الّذي لا يمنع ظهور العام في العموم، </w:t>
      </w:r>
    </w:p>
    <w:p>
      <w:pPr>
        <w:pStyle w:val="BookText"/>
        <w:rPr/>
      </w:pPr>
      <w:r>
        <w:rPr>
          <w:rFonts w:ascii="Amiri" w:hAnsi="Amiri" w:eastAsia="Amiri" w:cs="Amiri"/>
          <w:color w:val="111111"/>
          <w:sz w:val="28"/>
          <w:sz w:val="28"/>
          <w:szCs w:val="28"/>
          <w:rtl w:val="true"/>
          <w:lang w:bidi="ar-SA"/>
        </w:rPr>
        <w:t>بل يزاحمه في الحجية فقط، و من المعلوم أن الخاصّ حجة فيخصوص الفرد المعلوم دخوله تحته، كمرتكب الكبيرة في المثال، و ليس حجة فيما يحتمل كونه فرداً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كمرتكب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فرديته للخاص، و من المعلوم عدم صحة التمسك بدليل في مورد مع الشك في موضوعيته لذلك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لما كانت فردية مرتكب الصغيرة للخاص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مشكوكة، فلا يصح التشبث بدليل الخاصّ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حرمته، فلا مزاحم حينئذ لحجية العام في هذا الفرد المحتمل دخوله تحت الخاصّ، و الحكم بوجوب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فمزاحمة الخاصّ لحجية العام مختصة بما علم فرديته للخاص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كمرتكب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الخاصّ عليه تقديماً للنص أو الأظهر على الظاهر، كما هو المتداول عند أبناء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الفرد المحتمل، فمزاحمة الخاصّ للعام فيه من مزاحمة اللاحجة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الخاصّ دائراً بين الأقل و الأكثر بأن كان إجماله لتردد مفهومه بين المتباينين، فلا يجوز التمسك بالعامّ سواء كان متصلا بالعامّ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مشتركاً لفظياً بين شخصين، أم منفصلا عنه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عدم جواز التمسك بالعامّ في الخاصّ المجمل المردد بين المتباينين بين اتصال الخاصّ بالعامّ و بين انفصاله عنه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عدم جواز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المتصل، فلعدم انعقاد ظهور للعام في العموم فيه، كما تقدم في المخصص المتصل المجمل المردد بين الأقل و الأكثر، حيث ان احتفاف الكلام بالمجمل يوجب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المنفصل فلان العام و ان انعقد له </w:t>
      </w:r>
      <w:bookmarkStart w:id="607" w:name="pg16640_202478"/>
    </w:p>
    <w:p>
      <w:pPr>
        <w:pStyle w:val="BookText"/>
        <w:rPr/>
      </w:pPr>
      <w:bookmarkEnd w:id="607"/>
      <w:r>
        <w:rPr>
          <w:rFonts w:ascii="Amiri" w:hAnsi="Amiri" w:eastAsia="Amiri" w:cs="Amiri"/>
          <w:color w:val="111111"/>
          <w:sz w:val="28"/>
          <w:sz w:val="28"/>
          <w:szCs w:val="28"/>
          <w:rtl w:val="true"/>
          <w:lang w:bidi="ar-SA"/>
        </w:rPr>
        <w:t>ظهور في العموم، لكن هذا الظهور ليس بحجة، لعدم إرادته بعد العلم الإجمالي بالتخصيص بأحد المتباينين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الخاصّ المجمل المفهومي المردد بين الأقل و الأكثر مع اتصاله بالعامّ، فلا يتمسک بالعام لعدم انعقاد الظهور للعام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لاحتفاف الكلام بما يوجب احتماله لكلّ واحد من الأقل و الأكثر فيسري إجمال المخصِّص إلى العام فلا يحتجّ به في مورد الشكّ کمرتكب الصغيرة</w:t>
      </w:r>
      <w:r>
        <w:rPr>
          <w:rFonts w:eastAsia="IRNazanin" w:cs="IRNazanin"/>
          <w:color w:val="111111"/>
          <w:sz w:val="28"/>
          <w:szCs w:val="28"/>
          <w:rtl w:val="true"/>
          <w:lang w:bidi="fa-IR"/>
        </w:rPr>
        <w:t>.</w:t>
      </w:r>
    </w:p>
    <w:p>
      <w:pPr>
        <w:pStyle w:val="Heading2"/>
        <w:numPr>
          <w:ilvl w:val="1"/>
          <w:numId w:val="1"/>
        </w:numPr>
        <w:rPr/>
      </w:pPr>
      <w:bookmarkStart w:id="608" w:name="__RefHeading___Toc11691503_1280447820"/>
      <w:bookmarkStart w:id="609" w:name="_Toc219"/>
      <w:bookmarkEnd w:id="608"/>
      <w:r>
        <w:rPr>
          <w:rtl w:val="true"/>
        </w:rPr>
        <w:t>وهم و دفع</w:t>
      </w:r>
      <w:bookmarkEnd w:id="609"/>
    </w:p>
    <w:p>
      <w:pPr>
        <w:pStyle w:val="BookText"/>
        <w:rPr/>
      </w:pPr>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المخصّص المنفصل و ان کان لا يهدم ظهور العام و لا يعارضه و انه حجّة إلى أن يثبت خلافه، لکنه صحيح فيما إذا شكّ في أصل التخصيص أو في التخصيص الزائد، كما إذا شكّ في تخصيصه وراء الفسّاق، بالنحاة أيضاً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شكّ في سعة المخصّص القطعي و ضيقه، فالظهور المنعقد للعام لا يحتجّ به كما هو الحال كذلك في جانب المخصص المجمل الدائر بين الأقلّ و الأكثر</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بالظهور لأجل كشفه عن الإرادة الجدّية، و إلّا فالظهور بما هو ظهور، ليس بحجّة، و عندئذ فلو شكّ في أصل التخصيص، كما إذا شكّ في ورود تخصيص ثان على العام، كعدم إكرام النحاة، فيحتجّ بعموم العام و ظهوره في الشمول كشفه عن وجود الإرادة الجدية في مورد النحاة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إذا كان التخصيص قطعياً و كان الشكّ في سعته و ضيقه كما في المقام حيث شكّ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لمرتكب الصغيرة و عدمه، ففي مثله لا يحتجّ بالظهور المنعقد للعام في العموم، لأنّه إنّما يحتجّ به إذا كان كاشفاً عن الإرادة الجدية، و قد علم خلافه بعد ورود المخصص حيث إنّ المخصص كشف عن تعلّق الإرادة الجدية، بغير الفسّاق، و الظهور كشف عن تعلّقها بمطلق العلماء و مع هذه المخالفة لا يحتج بالظهور المنهار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بعض ما ذكرناه شيخ مشايخنا العلّامة الحائري و إن عدل عنه في هامش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عادة المتكلم جارية على ذكر المخصص منفصلاً عن كلامه، فحال المنفصل في كلامه، حال المتصل في كلام غيره، فيحتاج في العمل بالعام إلى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ببقائه تحت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فغير موجود، و أمّا الثاني فجريانه مخصوص بمورد لم يوجد فيه ما يصلح لأن يكون مخصصاً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عدل عمّا ذكر في الهامش،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صحّ ما ذكر لما جاز تمسّك أصحاب الأئمّة بكلام إمام زمانهم، لأنّه كالتمسّك بصدر كلام متكلم قبل مجي‌ء ذيله، مع أنّ ديدنهم جرى على التمسّك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انّهم كانوا يتمسّكون بعموم العام، مع احتمال مجي‌ء مخصص في كلام الإمام اللاحق، فانّ أكثر الروايات المتضمنة للأحكام صدر عن الصادقين، و لم يثبت انّ نظائر زرارة و محمد بن مسلم و أضرابهما من أصحاب الإمامين كانوا يتمسّكون مع احتمال صدور مخصص في كلام الأئمّة الباقين، و لأجل ذلك كان الأصل حاكماً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610" w:name="pg16640_202480"/>
    </w:p>
    <w:p>
      <w:pPr>
        <w:pStyle w:val="BookText"/>
        <w:rPr/>
      </w:pPr>
      <w:bookmarkEnd w:id="610"/>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الظهور إنّما يحتجّ به إذا كان كاشفاً عن الإرادة الجدية، و قد علم خلافه بعد ورود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الظهور محکم و لا علم لنا بالمخصص لاجماله الّا بالقدر المتيقن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ردا علی العلامة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ذلك كان الأصل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فغريب جدا فکيف يکون الاصل العملي حاکما علی اصالة العموم التي استقر عليها بناء العقلاء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التشکيک بالسيرة العقلائية في مورد اجمال المخصص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البحث صحة ما ذهب اليه المحقق الخراساني </w:t>
      </w:r>
      <w:r>
        <w:rPr>
          <w:rFonts w:eastAsia="IRNazanin" w:cs="IRNazanin"/>
          <w:color w:val="111111"/>
          <w:sz w:val="28"/>
          <w:szCs w:val="28"/>
          <w:rtl w:val="true"/>
          <w:lang w:bidi="fa-IR"/>
        </w:rPr>
        <w:t>.</w:t>
      </w:r>
    </w:p>
    <w:p>
      <w:pPr>
        <w:pStyle w:val="Heading2"/>
        <w:numPr>
          <w:ilvl w:val="1"/>
          <w:numId w:val="1"/>
        </w:numPr>
        <w:rPr/>
      </w:pPr>
      <w:bookmarkStart w:id="611" w:name="__RefHeading___Toc11691505_1280447820"/>
      <w:bookmarkStart w:id="612" w:name="_Toc220"/>
      <w:bookmarkEnd w:id="611"/>
      <w:r>
        <w:rPr>
          <w:rtl w:val="true"/>
        </w:rPr>
        <w:t>تقرير الاشکال المتقدم ببيان اخر</w:t>
      </w:r>
      <w:bookmarkEnd w:id="612"/>
    </w:p>
    <w:p>
      <w:pPr>
        <w:pStyle w:val="BookText"/>
        <w:rPr/>
      </w:pPr>
      <w:r>
        <w:rPr>
          <w:rFonts w:ascii="IRNazanin" w:hAnsi="IRNazanin" w:eastAsia="IRNazanin"/>
          <w:color w:val="111111"/>
          <w:sz w:val="28"/>
          <w:sz w:val="28"/>
          <w:szCs w:val="28"/>
          <w:rtl w:val="true"/>
          <w:lang w:bidi="fa-IR"/>
        </w:rPr>
        <w:t>و مثل هذا الاشکال المتقدم ما جاء في منتقی الاصول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صدر حكم من المولى على موضوع عام ثم علم العبد بثبوت حكم مناف لحكم العام على بعض افراده بعنوان مجمل لا يعرف معناه أصلا أو لا يعرف حدود معناه سعة و ضيقا بان لم يكن عارفا باللغة و لم يكن من أهل اللسان، فانه لا إشكال في حصول العلم لديه بتضيق المراد الواقعي من العام و انه غير واقع هذا العنوان المجمل، لعلمه بعدم إمكان اجتماع الحكمين في موضوع واحد فهو لا يعلم إلّا بتضيقه بغير العنوان المجمل على واقعه، و أثر ذلك هو التوقف عن إثبات حكم العام لما يشك في كونه من افراد الخاصّ المعلوم صدوره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تصورنا هذا الأمر في مورد العلم بالصدور و ثبت اثره أمكن تطبيقه في مورد الشك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صحة شمول أدلة الحجية للتعبد بصدور الخاصّ بواقعه الّذي هو له و ان لم نعرفه، فان واقع الخاصّ معين في نفسه و انما هو مجمل في مقام الانكشاف، فيلتزم بتقييد المراد الواقعي للعام بغير واقعالخاصّ كيف ما كان، و اثره عدم التمسك بالعامّ في مورد الشك لعدم الدليل على كونه مرادا واقعا، و هو أثر عملي يصحح التعبد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التقريب متين جدا، و لكنه يبتني على ان العلم الإجمالي المردد بين الأقل و الأكثر الارتباطيين هل ينحل حقيقة إلى علم تفصيلي و شك بدوي أو لا ينحل؟ فان قلنا بانحلاله حقيقة، لن ينفع هذا التقريب في إثبات إجمال العام في مورد الشك، لأنه و ان علم إجمالا بثبوت الحكم على واقع الخاصّ على ما هو عليه لكنه منحل بالعلم التفصيليّ بثبوته المتيقن و الباقي مشكوك بدوا، فلا دليل على خروجه عن العام فيشمله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بعدم انحلاله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ان التردد المفهومي بين الأقل و الأكثر من باب الأقل و الأكثر الارتباطيين لا الاستقلاليين، فانه لا كلام في الانحلال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هذا التقريب لقيام الدليل على خروج واقع الخاصّ عن العام فيكون مجملا حكما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تنفع دعوى انحلال العلم الإجمالي حكما، لأن الأثر فيما نحن فيه أثر واقعي يترتب على واقع العلم الإجمالي لا على منجزيته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التقريب يتم بلا دافع بناء على إنكار الانحلال الحقيقي للعلم الإجمالي المتعلق بالأقل و الأكثر، و يترتب عليه إجمال العام في مورد الشك بلا ريب و لا إشكال</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ثبوت الحجية للحکم المتعلق بالعنوان الواقعي علی ما هو عليه من الاجمال و الابهام امر غريب جدا لان مبنی حجية الالفاظ في معانيها ليس الّا اصالة الظهور و هو فرع احراز ظهور الکلام في معناه و بدون احراز الظهور لا ملاک للحجية و المفروض ان </w:t>
      </w:r>
      <w:bookmarkStart w:id="613" w:name="pg16640_202482"/>
    </w:p>
    <w:p>
      <w:pPr>
        <w:pStyle w:val="BookText"/>
        <w:rPr/>
      </w:pPr>
      <w:bookmarkEnd w:id="613"/>
      <w:r>
        <w:rPr>
          <w:rFonts w:ascii="IRNazanin" w:hAnsi="IRNazanin" w:eastAsia="IRNazanin"/>
          <w:color w:val="111111"/>
          <w:sz w:val="28"/>
          <w:sz w:val="28"/>
          <w:szCs w:val="28"/>
          <w:rtl w:val="true"/>
          <w:lang w:bidi="fa-IR"/>
        </w:rPr>
        <w:t>الظهور في المقام مفقود الّا في الاقل لانه القدر المتيقن دون ما عداه و لا معنی لان يکون المجمل حجة في اجماله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4" w:name="__RefHeading___Toc11691507_1280447820"/>
      <w:bookmarkStart w:id="615" w:name="_Toc221"/>
      <w:bookmarkEnd w:id="614"/>
      <w:r>
        <w:rPr>
          <w:rtl w:val="true"/>
        </w:rPr>
        <w:t>الفصل الخامس</w:t>
      </w:r>
      <w:r>
        <w:rPr>
          <w:rtl w:val="true"/>
        </w:rPr>
        <w:t xml:space="preserve">: </w:t>
      </w:r>
      <w:r>
        <w:rPr>
          <w:rtl w:val="true"/>
        </w:rPr>
        <w:t>المخصّص اللفظي المجمل مصداقاً</w:t>
      </w:r>
      <w:bookmarkEnd w:id="615"/>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كان مجملا بحسب المصداق بأن اشتبه فرد و تردد بين أن يكون فردا له أو باقيا تحت العام فلا كلام في عدم جواز التمسك بالعام لو كان متصلا به ضرورة عدم انعقاد ظهور للكلام إلّا في الخصوص كما عرفت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منفصلا عنه ففي جواز التمسك به خلاف و التحقيق عدم جوازه إذ غاية ما يمكن أن يقال في وجه جوازه أن الخاص إنما يزاحم العام فيما كان فعلا حجة و لا يكون حجة فيما اشتبه أنه من أفراده فخطاب لا تكرم فساق العلماء لا يكون دليلا على حرمة إكرام من شك في فسقه من العلماء فلا يزاحم مثل أكرم العلماء و لا يعارضه فإنه يكون من قبيل مزاحمة الحجة بغير الحجة و هو في غاية الفساد فإن الخاص و إن لم يكن دليلا في الفرد المشتبه فعلا إلّا أنه يوجب اختصاص حجية العام في غير عنوانه من الأفراد فيكون أكرم العلماء دليلا و حجة في العالم الغير الفاسق فالمصداق المشتبه و إن </w:t>
      </w:r>
    </w:p>
    <w:p>
      <w:pPr>
        <w:pStyle w:val="BookText"/>
        <w:rPr/>
      </w:pPr>
      <w:r>
        <w:rPr>
          <w:rFonts w:ascii="Amiri" w:hAnsi="Amiri" w:eastAsia="Amiri" w:cs="Amiri"/>
          <w:color w:val="111111"/>
          <w:sz w:val="28"/>
          <w:sz w:val="28"/>
          <w:szCs w:val="28"/>
          <w:rtl w:val="true"/>
          <w:lang w:bidi="ar-SA"/>
        </w:rPr>
        <w:t>كان مصداقا للعام بلا كلام إلّا أنه لم يعلم أنه من مصاديقه بما هو حجة لاختصاص حجيته بغير الفاسق</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المخصص مجملاً من حيث المصداق لا من حيث المفهوم،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و كان المخصص معلوماً مفهوماً و إنّما تعلّق الشكّ بالمصداق و انّ زيداً العالم مثلاً هل هو فاسق أو لا؟ و هذا هو المسمّى بالشبهة المصداقية للمخصص و موردها ما إذا كان عنوان العام محرزاً و عنوان الخاص مشكوكاً كما عرفت، و أمّا إذا كان نفس عنوان العام مشكوكاً و أنّ زيداً مثلاً عالم أو لا، فهذا ما يسمّى بالشبهة المصداقية للعام، و هذا خارج عن محط البحث، و من المعلوم أنّ العام ليس بحجّة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ينسب إلى المشهور من العلماء الأقدمين القول بجواز التمسّك بالعامّ في الشبهة المصداقيّة</w:t>
      </w:r>
      <w:r>
        <w:rPr>
          <w:rStyle w:val="FootnoteAnchor"/>
          <w:rtl w:val="true"/>
        </w:rPr>
        <w:footnoteReference w:id="414"/>
      </w:r>
      <w:r>
        <w:rPr>
          <w:rFonts w:ascii="IRNazanin" w:hAnsi="IRNazanin" w:eastAsia="IRNazanin"/>
          <w:color w:val="111111"/>
          <w:sz w:val="28"/>
          <w:sz w:val="28"/>
          <w:szCs w:val="28"/>
          <w:rtl w:val="true"/>
          <w:lang w:bidi="fa-IR"/>
        </w:rPr>
        <w:t xml:space="preserve">، و لذا أفتوا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اذا شک في کون اليد على مال أنّها يد عادية أو يد أمانة، فيشكّ في شمول العامّ لها، و هو قوله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لأنّها يد عادية، أو خروجها منه لأنّها يد أمانة لما دلّ على عدم ضمان يد الأمانة المخصّص لذلك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وافقهم من المتأخرين المحقّق النهاوندي المتوفّى </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في كتاب تشريح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بين المتأخرين هو عدم الجواز کما تقدم من المحقق الخراساني و هو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فتوى المشهور بالضمان في اليد المشكوكة أنّها يد عادية أو يد أمانة 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المتقدمين من الاصحاب لم تعنون المسألة في کتبهم فضلا عن کونها مشهورة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متأخروا الاصحاب فلا عبرة بشهرتهم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أنّها لأجل القول بجواز التمسّك بالعامّ في الشبهة المصداقيّة، بل لاجل أن مقتضى القاعدة في اليد المشكوكة هو الضمان، و ذلك لأن موضوع الضمان مركب من الاستيلاء على مال الغير بدون اذنه، و أحد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بالوجدان، و الآخر بالأصل، حيث ان الاذن من الحوادث المسبوقة بالعدم، فيستصحب عدمه، و به يتم كلا جزئي الموضوع، و يترتب عليه حكمه، و ليست الفتوى بالضمان مستندة إلى التمسك بالعامّ في الشبهة المصداقية أصلا، فما عن مشهور المتاخرين من الحكم بالضمان في اليد المشكوكة في غاية المتانة، و لا يرد عليه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الضمان هو التصرف غير المأذون فيه، و هو من الموضوعات المقيدة التي لا يمكن إحرازها بالأصل الّا على القول بالأصول المثبتة، فلا يثبت باستصحاب عدم الاذن اتصاف التصرف بكونه غير مأذون فيه، فلا بد أن يكون مستند الضمان في اليد المشكوك فيها هوالتمسك بالعامّ في الشبهة المصداقية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الارتياب في كون المقام من الموضوعات المركبة دون المقيدة، لان الاستيلاء عرض قائم بمن استولى على المال، و الاذن عرض قائم بالمالك، و من المعلوم عدم إمكان اتصاف عرض بعرض جوهر آخر، كامتناع اتصاف أحد الجوهرين بالآخر</w:t>
      </w:r>
      <w:r>
        <w:rPr>
          <w:rFonts w:eastAsia="Amiri" w:cs="Amiri" w:ascii="Amiri" w:hAnsi="Amiri"/>
          <w:color w:val="111111"/>
          <w:sz w:val="28"/>
          <w:szCs w:val="28"/>
          <w:rtl w:val="true"/>
          <w:lang w:bidi="ar-SA"/>
        </w:rPr>
        <w:t xml:space="preserve">. </w:t>
      </w:r>
      <w:bookmarkStart w:id="616" w:name="pg16640_202485"/>
    </w:p>
    <w:p>
      <w:pPr>
        <w:pStyle w:val="BookText"/>
        <w:rPr/>
      </w:pPr>
      <w:bookmarkEnd w:id="616"/>
      <w:r>
        <w:rPr>
          <w:rFonts w:ascii="IRNazanin" w:hAnsi="IRNazanin" w:eastAsia="IRNazanin"/>
          <w:color w:val="111111"/>
          <w:sz w:val="28"/>
          <w:sz w:val="28"/>
          <w:szCs w:val="28"/>
          <w:rtl w:val="true"/>
          <w:lang w:bidi="fa-IR"/>
        </w:rPr>
        <w:t>و عليه فلا يتقيد احدهما بالاخر بل ينضم احدهماللاخر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فالاستيلاء على مال الغير بدون اذنه، الذي هو أحد جزأيّ موضوع الضمان محرز بالوجدان، و ينضم الی الجزء الآخر المحرز بالأصل، حيث ان الاذن من الحوادث المسبوقة بالعدم، فيستصحب عدمه، و به يتم كلا جزأي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في اليد المشكوك فيها يكون على طبق القاعدة، فان المتحصل بعد تخصيص عموم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المأذون فيها لا توجب الضمان، و اليد غير المأذون فيها توجبه، و عدم الاذن يثبت بالأصل، فيثبت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قدمناه يظهر الجواب علی ما ادعي من مسائل ادعي اتّفاق كلمة الفقهاء فيها على العمل بالعام و إن كانت الشبهة مصداقية</w:t>
      </w:r>
      <w:r>
        <w:rPr>
          <w:rFonts w:eastAsia="IRNazanin" w:cs="IRNazanin"/>
          <w:color w:val="111111"/>
          <w:sz w:val="28"/>
          <w:szCs w:val="28"/>
          <w:rtl w:val="true"/>
          <w:lang w:bidi="fa-IR"/>
        </w:rPr>
        <w:t>.</w:t>
      </w:r>
    </w:p>
    <w:p>
      <w:pPr>
        <w:pStyle w:val="Heading2"/>
        <w:numPr>
          <w:ilvl w:val="1"/>
          <w:numId w:val="1"/>
        </w:numPr>
        <w:rPr/>
      </w:pPr>
      <w:bookmarkStart w:id="617" w:name="__RefHeading___Toc11691509_1280447820"/>
      <w:bookmarkStart w:id="618" w:name="_Toc222"/>
      <w:bookmarkEnd w:id="617"/>
      <w:r>
        <w:rPr>
          <w:rtl w:val="true"/>
        </w:rPr>
        <w:t>أدلة المجوزين</w:t>
      </w:r>
      <w:bookmarkEnd w:id="618"/>
    </w:p>
    <w:p>
      <w:pPr>
        <w:pStyle w:val="BookText"/>
        <w:rPr/>
      </w:pPr>
      <w:r>
        <w:rPr>
          <w:rFonts w:ascii="Amiri" w:hAnsi="Amiri" w:eastAsia="Amiri" w:cs="Amiri"/>
          <w:color w:val="111111"/>
          <w:sz w:val="28"/>
          <w:sz w:val="28"/>
          <w:szCs w:val="28"/>
          <w:rtl w:val="true"/>
          <w:lang w:bidi="ar-SA"/>
        </w:rPr>
        <w:t>و لنذكر أدلة المجوزين، حيث استدلّوا بوجوه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الحجّة بغير الحجّة </w:t>
      </w:r>
    </w:p>
    <w:p>
      <w:pPr>
        <w:pStyle w:val="BookText"/>
        <w:rPr/>
      </w:pPr>
      <w:r>
        <w:rPr>
          <w:rFonts w:ascii="Amiri" w:hAnsi="Amiri" w:eastAsia="Amiri" w:cs="Amiri"/>
          <w:color w:val="111111"/>
          <w:sz w:val="28"/>
          <w:sz w:val="28"/>
          <w:szCs w:val="28"/>
          <w:rtl w:val="true"/>
          <w:lang w:bidi="ar-SA"/>
        </w:rPr>
        <w:t>أنّ انطباق عنوان العامّ على المصداق المردّد معلوم، فيكون العامّ حجّة فيه ما لم يعارض بحجّة أقوى، و أمّا انطباق عنوان الخاصّ عليه فغير معلوم، فلا يكون الخاصّ حجّة فيه، فلا يزاحم حجيّة العامّ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بتقرير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انفصال الخاصّ ينعقد للعام ظهور في العموم، و لا مانع عن حجيته إلّا بالنسبة إلى ما يكون الخاصّ حجة فعلية فيه، و هو الافراد التي يعلم انطباق الخاصّ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كمرتكب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الخاصّ حرمة إكرام فساق العلماء، ففي الافراد التي لا يعلم انطباق مفهوم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كمرتكبي الصغائر لا يكون الخاصّ حجة فيها حتى يزاحم حجية العام فيها، لعدم إحراز موضوعه، و جواز التمسك بدليل منوط بإحراز موضوعه، و عليه فيجوزالتمسك بالعامّ في مرتكبي الصغائر، لكونها من أفراده التي لم يثبت خروجها عن حكمه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ردّه المحقّق الخراساني کما تقدم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ظهور للعام في العموم حتى يصح التشبث به في الفرد المشتبه، بل لا ظهور له الّا في الخصوص، و حيث ان فردية المشتبه للخاص مشكوكة، فلا يجوز التشبث بالخاص أيضا لإثبات حكمه لهذا الفرد المشتبه، و حينئذ فالمرجع هي الأصول العملية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يظهر من المحقّق العراقي، انّ التخصيص، لا يُضفي على العام أي عنوان، و انّ إخراج بعض الأفراد، بعنوان خاص كالفسّاق أشبه بإخراجهم عن تحته بالموت،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المخصّص إخراج الفرد مع إبقاء العام على تمام الموضوعية، و إنّما يُقلِّل افراد العام دون انقلاب فيه نظير موت بعض الأفراد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يمکن للجمع بين کون العام تمام الموضوع للحکم و بين انتفاء الحکم عن بعض افراده لا ثبوتا و لا اثباتا لان التخصيص يکشف عن عدم کون العام تمام الموضوع بل جزؤه و الجزء الاخر مستفاد من التخصيص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 الأحوالي</w:t>
      </w:r>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يتوهّم التمسّك بالعامّ في المشتبه؛ بتوهّم إطلاقه الأحوالي لمشكوك العدالة و الفسق، و لا منافاة بين كون الفاسق الواقعي حكمه مخالفا لحكم المشكوك أو موافق له ، فإنّ الأوّل حكم واقعي، و الثاني حكم ظاهري، فلا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اجاب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ليس جمعا بين القيود؛ ليكون أثره ترتّب الحكم على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حكما ظاهريا اخذ في موضوعه الشكّ، بل الإطلاق لتوسعة الحكم بالنسبة إلى جميع أفراد الموضوع من دون دخل حال من الأحوال، و ملاحظة ذات المشكوك غير ملاحظته بما هو مشكوك، و التعيّن اللابشرطي القسمي مغاير للتعيّن بشرط شي‌ء كما هو واضح</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الإطلاق هو تسرية الحكم إلى عامة حالات الموضوع و أخذها فيه،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واجب الإكرام، سواء كان معلوم الفسق، أو مشكوك، أو مقطوع العدم حتّى يرجع الإطلاق إلى ضم القيود، مع أنّه رفض القيود، بل الإطلاق عبارة عن كون ما </w:t>
      </w:r>
    </w:p>
    <w:p>
      <w:pPr>
        <w:pStyle w:val="BookText"/>
        <w:rPr/>
      </w:pPr>
      <w:r>
        <w:rPr>
          <w:rFonts w:ascii="Amiri" w:hAnsi="Amiri" w:eastAsia="Amiri" w:cs="Amiri"/>
          <w:color w:val="111111"/>
          <w:sz w:val="28"/>
          <w:sz w:val="28"/>
          <w:szCs w:val="28"/>
          <w:rtl w:val="true"/>
          <w:lang w:bidi="ar-SA"/>
        </w:rPr>
        <w:t xml:space="preserve">وقع تحت دائرة الطلب تمام الموضوع و هو في المقام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لاجعل الفرد واجب الإكرام في الأحوال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إنّما يصحّ التمسّك بالاطلاق الأحوالي، إذا كان الشكّ مأخوذاً في لسان الدليل،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واجب الإكرام حتّى و لو شكّ في كونه فاسقاً أو غير فاسق، مع أنّه ليس كذلك و إلّا يلزم أن يكون مبيّناً 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و ظاهري، أمّا الأوّل فالحكم على العالم بما هو هو، و الحكم عليه، بما انّه مشكوك الفسق و العدالة، و هذا ممّا لا يحتمله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العام</w:t>
      </w:r>
    </w:p>
    <w:p>
      <w:pPr>
        <w:pStyle w:val="BookText"/>
        <w:rPr/>
      </w:pPr>
      <w:r>
        <w:rPr>
          <w:rFonts w:ascii="Amiri" w:hAnsi="Amiri" w:eastAsia="Amiri" w:cs="Amiri"/>
          <w:color w:val="111111"/>
          <w:sz w:val="28"/>
          <w:sz w:val="28"/>
          <w:szCs w:val="28"/>
          <w:rtl w:val="true"/>
          <w:lang w:bidi="ar-SA"/>
        </w:rPr>
        <w:t>هذا الوجه ذكره الشيخ من قبل المجوزين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يحتجّ للخصم بالاستصحاب فيما لو عمل بالعام في المشكوك بواسطة القطع باندراجه ثمّ طرأ الشكّ فيه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التمسك بالعام 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يعمّ الشكوك البدوية و يختصّ بما إذا كان للحكم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المقتضي و المانع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أيضاً ذكره الشيخ في المطارح من قبل المجوزين،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 عنوان العام و المخصص أن يكون الأوّل مقتضياً، و الثاني مانعاً عن الحكم ففي موارد الاشتباه يؤول الأمر إلى الشك في وجود المانع بعد إحراز المقتضي و الأصل عدمه فلا بدّ من الحكم بوجود المقتضي</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العام مقتضٍ للحجية في جميع ما يشمله من الافراد، و المخصص المنفصل مانع عن حجيته فيما ثبت فرديته للخاص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الافراد </w:t>
      </w:r>
    </w:p>
    <w:p>
      <w:pPr>
        <w:pStyle w:val="BookText"/>
        <w:rPr/>
      </w:pPr>
      <w:r>
        <w:rPr>
          <w:rFonts w:ascii="Amiri" w:hAnsi="Amiri" w:eastAsia="Amiri" w:cs="Amiri"/>
          <w:color w:val="111111"/>
          <w:sz w:val="28"/>
          <w:sz w:val="28"/>
          <w:szCs w:val="28"/>
          <w:rtl w:val="true"/>
          <w:lang w:bidi="ar-SA"/>
        </w:rPr>
        <w:t>التي شك في خروجها عن العام كزيد العالم المشكوك فسقه مع عدم العلم بحالته السابقة، فالعام حجة فيها، لبناء العقلاء على الأخذ بالمقتضي مع الشك في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فيجب إكرام زيد في المثال تمسكاً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فرض حجيتها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أجنبي عن قاعدة المقتضي و المانع، و ذلك لأن موردها صورة العلم بوجود المقتضي و الشك في وجود المانع، و أما الشك في وجود المقتضي أو القطع بعدمه، فهو أجنبي عن القاعدة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المقام لم يحرز اقتضاء العام للحجية في الشبهات المصداقية لأن الدلالة التصديقية التي هي حجة عند العقلاء انما تكشف عما هو مقصود المتكلم، لا ما هو أجنبي عنه، و من المعلوم أن مقصوده من إقامة الدليل تشريع الأحكام الكلية لموضوعاتها، كجعل الحرمة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تعلق غرضه بتطبيق تلك الموضوعات على مصاديقها الخارجية غير معلوم لو لم يكن معلوم العدم، لخروجه عن وظيفته بما هو شارع، فلا تكون الدلالة التصديقية كاشفة عنها و حجة عليها حتى يكون العام مقتضياً للحجية في الشبهات المصداقية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المشتبه و ان كان فرداً للعام بما هو عام، لكن مصداقيته له بما هو حجة غير معلومة، لقصر حجيته على غير الفاسق الواقعي بعد تخصيصه بغير الفساق من العلماء، فحكم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التخصيص ثابت للعلماء غير الفساق، فالعالم الفاسق محرم الإكرام، و العالم غير الفاسق واجب الإكرام، و هما كبريان متضمنتان لحكمين كليين، و من البديهي عدم تكفل الكبريات لتشخيص صغرياتها، و ليس شأن الشارع الا تشريع الأحكام لموضوعاتها الكلية، و أما بيان المصاديق، فهو خارج عن وظيفته، فتعلق غرضه ببيانها يحتاج إلى مزيد بيان و إقامة برهان</w:t>
      </w:r>
      <w:r>
        <w:rPr>
          <w:rFonts w:eastAsia="Amiri" w:cs="Amiri" w:ascii="Amiri" w:hAnsi="Amiri"/>
          <w:color w:val="111111"/>
          <w:sz w:val="28"/>
          <w:szCs w:val="28"/>
          <w:rtl w:val="true"/>
          <w:lang w:bidi="ar-SA"/>
        </w:rPr>
        <w:t xml:space="preserve">. </w:t>
      </w:r>
      <w:bookmarkStart w:id="619" w:name="pg16640_202490"/>
    </w:p>
    <w:p>
      <w:pPr>
        <w:pStyle w:val="BookText"/>
        <w:rPr/>
      </w:pPr>
      <w:bookmarkEnd w:id="619"/>
      <w:r>
        <w:rPr>
          <w:rFonts w:ascii="Amiri" w:hAnsi="Amiri" w:eastAsia="Amiri" w:cs="Amiri"/>
          <w:color w:val="111111"/>
          <w:sz w:val="28"/>
          <w:sz w:val="28"/>
          <w:szCs w:val="28"/>
          <w:rtl w:val="true"/>
          <w:lang w:bidi="ar-SA"/>
        </w:rPr>
        <w:t>مضافا إلى انّه ربّما لا يكون لسان المخصّص، لسان المانع،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العلماء عدولًا، و الشكّ في عدالة واحد منهم، ليس شكّاً في المانع بعد إحراز المقتضي، بل هو شكّ في جزء المقتضي</w:t>
      </w:r>
      <w:r>
        <w:rPr>
          <w:rFonts w:eastAsia="Amiri" w:cs="Amiri" w:ascii="Amiri" w:hAnsi="Amiri"/>
          <w:color w:val="111111"/>
          <w:sz w:val="28"/>
          <w:szCs w:val="28"/>
          <w:rtl w:val="true"/>
          <w:lang w:bidi="ar-SA"/>
        </w:rPr>
        <w:t>.</w:t>
      </w:r>
    </w:p>
    <w:p>
      <w:pPr>
        <w:pStyle w:val="Heading2"/>
        <w:numPr>
          <w:ilvl w:val="1"/>
          <w:numId w:val="1"/>
        </w:numPr>
        <w:rPr/>
      </w:pPr>
      <w:bookmarkStart w:id="620" w:name="__RefHeading___Toc11691511_1280447820"/>
      <w:bookmarkStart w:id="621" w:name="_Toc223"/>
      <w:bookmarkEnd w:id="620"/>
      <w:r>
        <w:rPr>
          <w:rtl w:val="true"/>
        </w:rPr>
        <w:t>المخصّص اللبّي و الشكّ في الشبهة المصداقية</w:t>
      </w:r>
      <w:bookmarkEnd w:id="621"/>
    </w:p>
    <w:p>
      <w:pPr>
        <w:pStyle w:val="BookText"/>
        <w:rPr/>
      </w:pPr>
      <w:r>
        <w:rPr>
          <w:rFonts w:ascii="Amiri" w:hAnsi="Amiri" w:eastAsia="Amiri" w:cs="Amiri"/>
          <w:color w:val="111111"/>
          <w:sz w:val="28"/>
          <w:sz w:val="28"/>
          <w:szCs w:val="28"/>
          <w:rtl w:val="true"/>
          <w:lang w:bidi="ar-SA"/>
        </w:rPr>
        <w:t>المقصود من المخصّص اللبّي ما يقابل اللفظيّ، كالإجماع و دليل العقل اللذين هما دليلان و ليسا من نوع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الشيخ الأنصاريّ رحمه اللهجواز التمسّك بالعامّ في الشبهة المصداقيّة مطلقا إذا كان المخصّص لبيّا</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جماعة من المتأخّرين عنه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المحقّق الخراساني إلى التفصيل بين ما إذا كان المخصّص اللبّيّ ممّا يصحّ أن يتّكل عليه المتكلّم في بيان مراده بأن كان عقليّا ضروريّا؛ فإنّه يكون كالمتّصل، فلا ينعقد للعامّ ظهور في العموم، فلا مجال للتمسّك بالعامّ في الشبهة المصداقيّة، و بين ما إذا لم يكن كذلك، كما إذا لم يكن التخصيص ضروريّا على وجه يصحّ أن يتّكل عليه المتكلّم، </w:t>
      </w:r>
    </w:p>
    <w:p>
      <w:pPr>
        <w:pStyle w:val="BookText"/>
        <w:rPr/>
      </w:pPr>
      <w:r>
        <w:rPr>
          <w:rFonts w:ascii="IRNazanin" w:hAnsi="IRNazanin" w:eastAsia="IRNazanin"/>
          <w:color w:val="111111"/>
          <w:sz w:val="28"/>
          <w:sz w:val="28"/>
          <w:szCs w:val="28"/>
          <w:rtl w:val="true"/>
          <w:lang w:bidi="fa-IR"/>
        </w:rPr>
        <w:t>فإنّه لا مانع من التمسّك بالعامّ في الشبهة المصداقيّة؛ لبقاء العامّ على ظهوره، و هو حجّة بلا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كان لبيّاً بأن كان ممّا يصحّ أن يتّكل عليه المتكلّم إذا كان بصدد البيان في مقام التخاطب فهو كالمتصل حيث لا يكاد ينعقد معه ظهور للعام إلّا في الخصوص، و إن لم يكن كذلك فالظاهر بقاء العام في المصداق المشتبه على حجّيته كظهوره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فيه انّ الكلام الملقى من السيد حجةً، ليس إلّا ما اشتمل على العام الكاشف بظهوره عن إرادته للعموم فلا بد من اتّباعه ما لم يقطع بخلافه، 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جيراني و قطع بأنّه لا يريد إكرام من كان عدواً له منهم و شكّ في عداء بعض الجيران كانت أصالة العموم باقية على الحجّية بالنسبة إلى من لم يُعلم بخروجه عن عموم الكلام للعلم‌</w:t>
      </w:r>
      <w:r>
        <w:rPr>
          <w:rStyle w:val="FootnoteAnchor"/>
          <w:rtl w:val="true"/>
        </w:rPr>
        <w:footnoteReference w:id="424"/>
      </w:r>
      <w:r>
        <w:rPr>
          <w:rFonts w:ascii="Amiri" w:hAnsi="Amiri" w:eastAsia="Amiri" w:cs="Amiri"/>
          <w:color w:val="111111"/>
          <w:sz w:val="28"/>
          <w:sz w:val="28"/>
          <w:szCs w:val="28"/>
          <w:rtl w:val="true"/>
          <w:lang w:bidi="ar-SA"/>
        </w:rPr>
        <w:t>بعداوته لعدم حجّة أُخرى بدون ذلك على خلافه بخلاف ما إذا كان المخصّص لفظياً، فانّ قضية تقديمه عليه، هو كون الملقى إليه كان من رأس لا يعم الخاص، كما كان كذلك حقيقة فيما كان الخاصمتصلاً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بعدم إرادة إكرام العدو لا يوجب انقطاع حجّيته إلّا فيما قطع انّه عدوه لا فيما شكّ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هذا من صحّة مؤاخذة المولى لو لم يكرم أحداً من جيرانه لاحتمال عداوته، و حسن عقوبته على مخالفته، و عدم صحّة الاعتذار عنه بمجرّد احتمال العداوة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التمسّك بعموم العام و إثبات انّ المشكوك ليس فرداً لما علم خروجه، فلو شكّ في جواز لعن شخص من بني أُميّة لاحتمال كونه مؤمناً يتمسّك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أُميّة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عليه بأنّه ليس بمؤمن</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كلامه يرجع إلى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التفاوت بين المخصّص اللفظي بكلا قسميه و المخصّص اللبي، و هو انّ المولى ألقى حجّتين في الأوّل و صارت قضيةُ تحكيم الخاص على العام، انّ العام لم يشمل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بخلاف المقام فانّ الحجّة الملقاة ليست إلّا أمراً واحداً، و القطع بعدم إكرام العدو لا يوجب رفع اليد عن عموم الدليل إلّا فيما قطع بخروجه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السيرة العقلائية على صحّة المؤاخذة لو لم يكرم أحداً من جيرانه لاحتمال عداوته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يتمسّك بعموم العام و يحكم للفرد المشكوك أنّه ليس من أقسام الفرد المقطوع خروجه، كما 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قاطبة، و دلّ النقل على عدم جواز لعن المؤمن منهم، فلو شكّ في أي فرد من بني أُمية يمكن التمسك بعموم العام و إثبات انّه ليس مؤمناً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وجيه بناء على كون الخارج عن حيز العام معلوم العداوة، بحيث يكون العلم دخيلا في موضوع الخاصّ،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 الا من علمت عداوته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العام حينئذ يقتضي وجوب إكرام كل فرد من أفراد الجيران سواء كان معلوم الصداقة أم مشكوك العداوة، إذ لا مانع عن حجية العام حينئذ في جميع أفراده الّا معلوم العداوة، بل يخرج مشكوك العداوة موضوعاً عن المشتبه بالشبهة المصداقية للخاص، للعلم بكونه من مصاديق العام و عدم مصداقيته للخاص و هو معلوم العداوة، فلا </w:t>
      </w:r>
    </w:p>
    <w:p>
      <w:pPr>
        <w:pStyle w:val="BookText"/>
        <w:rPr/>
      </w:pPr>
      <w:r>
        <w:rPr>
          <w:rFonts w:ascii="Amiri" w:hAnsi="Amiri" w:eastAsia="Amiri" w:cs="Amiri"/>
          <w:color w:val="111111"/>
          <w:sz w:val="28"/>
          <w:sz w:val="28"/>
          <w:szCs w:val="28"/>
          <w:rtl w:val="true"/>
          <w:lang w:bidi="ar-SA"/>
        </w:rPr>
        <w:t>ينبغي الارتياب حينئذ في لزوم التمسك بالعامّ، لأنه لم يخصص الّا بمعلوم العداوة، و غيره داخل في حيزه، و لميدل دليل على خروج غيره عنه حتى يزاحمه في الحجية، إذ لم يقيد مصب العموم الا بمعلوم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كون الخارج عن حيز العام العدو الواقعي الموجب لتقيد العام به، بحيث يصير موضوع وجوب الإكرام مركباً من الجار و غير العدو، فلا وجه للتمسك بالعامّ في حكم الفرد الّذي لا يعلم عداوته و لا صداقته، لأنه بعد تقيد مصبه و تركب موضوع حكمه لا يتكفل لحال الفرد المشتبه، كتقييد سائر الإطلاقات، فإذا قيدت الرقبة بالايمان، و اشتبه فرد منها بين المؤمنة و الكافرة فلا يجوز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عتقها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ما في إطلاق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صدق هذا من صحة مؤاخذة المولى لو لم يكرم واحداً من جيرانه لاحتمال عداوته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لأنه متجه فيما إذا كان الخاصّ معلوم العداوة، ضرورة أن أصالة العموم في العام محكمة، فليس للعبد الاعتذار عن عدم الإكرام باحتمال العداوة، إذ المفروض كون محتمل العداوة من أفراد العام، فلو لم يكرمه بهذا الاحتمال لم يكن معذوراً، حيث انه خالف الحجة و هي أصالة العموم بلا 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الخاصّ العدو الواقعي، فليس ترك إكرام محتمله مخالفة للحجة حتى تحسن مؤاخذته، لعدم ظهور للعام فيما يحتمل فرديته له حتى يكون حجة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أيضا ما في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اللبي المتصل و المنفصل، و جعل العام في الثاني ظاهراً و حجة في الفرد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الغموض، حيث ان اللبي الضروري إذا كان كالمخصص اللفظي المتصل في المنع عن انعقاد الظهور للعام في العموم، فلا بد أن يكون </w:t>
      </w:r>
      <w:bookmarkStart w:id="622" w:name="pg16640_202494"/>
    </w:p>
    <w:p>
      <w:pPr>
        <w:pStyle w:val="BookText"/>
        <w:rPr/>
      </w:pPr>
      <w:bookmarkEnd w:id="622"/>
      <w:r>
        <w:rPr>
          <w:rFonts w:ascii="Amiri" w:hAnsi="Amiri" w:eastAsia="Amiri" w:cs="Amiri"/>
          <w:color w:val="111111"/>
          <w:sz w:val="28"/>
          <w:sz w:val="28"/>
          <w:szCs w:val="28"/>
          <w:rtl w:val="true"/>
          <w:lang w:bidi="ar-SA"/>
        </w:rPr>
        <w:t>اللبي غير الضروري كالمخصص اللفظي المنفصل أيضا في المنع عن حجية الظهور مع وجوده، و قد مر منه عدم جواز التمسك بالعامّ المخصص بالمخصص اللفظي المنفصل في المصداق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فالتخصيص ان كان موجباً لتعنون العام، فلا فرق فيه بين اللفظي و اللبي بقسميه، و ان لم يكن موجباً له، فلا بد من الالتزام به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فالتفكيك بين المخصص اللفظي و اللبي بجواز التمسك بالعامّ في الشبهة المصداقية في الثاني، و عدم جوازه في الأول في غاية الغموض، إذ لا فرق بين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حكم العقل به، بعد فرض حجية كليهما،و عدم الفرق بينهما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يقدم الخاصّ اللفظي، لأقوائيته على العام، فكذلك اللبي بقسميه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عدم احراز ما ادّعاه من السيرة العقلائية خصوصاً إذا كان تكريم العدو محرّماً و أمراً مبغوضاً، فكيف يجزى العبد بإكرامه مع دوران الأمر بين المحذورين؟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التمسک بعموم العام أعني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بني أُميّة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كون الفرد المشكوك مؤمناً، فقد تأمّل به البعض لانه مبني على حجّية مثبتات الأُصول اللفظية حتى تثبت بأصالة العموم كون الفرد المشكوك كافراً غير مؤمن، و الصحيح انها حجة لان مثبتات الأُصول اللفظية من سنخ الدلالة الالتزمية و لا شک في حجيتها</w:t>
      </w:r>
      <w:r>
        <w:rPr>
          <w:rFonts w:eastAsia="IRNazanin" w:cs="IRNazanin"/>
          <w:color w:val="111111"/>
          <w:sz w:val="28"/>
          <w:szCs w:val="28"/>
          <w:rtl w:val="true"/>
          <w:lang w:bidi="fa-IR"/>
        </w:rPr>
        <w:t>.</w:t>
      </w:r>
    </w:p>
    <w:p>
      <w:pPr>
        <w:pStyle w:val="Heading2"/>
        <w:numPr>
          <w:ilvl w:val="1"/>
          <w:numId w:val="1"/>
        </w:numPr>
        <w:rPr/>
      </w:pPr>
      <w:bookmarkStart w:id="623" w:name="__RefHeading___Toc11691513_1280447820"/>
      <w:bookmarkStart w:id="624" w:name="_Toc224"/>
      <w:bookmarkEnd w:id="623"/>
      <w:r>
        <w:rPr>
          <w:rtl w:val="true"/>
        </w:rPr>
        <w:t>التفصيل بين المخصّص الموجب للتنويع وغيره</w:t>
      </w:r>
      <w:bookmarkEnd w:id="62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فصّل شيخنا الأعظم رحمه الله بين المخصص الّذي له عنوان، و بين المخصص الّذي لا عنوان له بعدم جواز التمسك بالعامّ في الشبهة المصداقية في الأول، و جوازه في الثاني، </w:t>
      </w:r>
      <w:bookmarkStart w:id="625" w:name="pg16640_202495"/>
    </w:p>
    <w:p>
      <w:pPr>
        <w:pStyle w:val="BookText"/>
        <w:rPr/>
      </w:pPr>
      <w:bookmarkEnd w:id="625"/>
      <w:r>
        <w:rPr>
          <w:rFonts w:ascii="Amiri" w:hAnsi="Amiri" w:eastAsia="Amiri" w:cs="Amiri"/>
          <w:color w:val="111111"/>
          <w:sz w:val="28"/>
          <w:sz w:val="28"/>
          <w:szCs w:val="28"/>
          <w:rtl w:val="true"/>
          <w:lang w:bidi="ar-SA"/>
        </w:rPr>
        <w:t>و أن الأكثر تحقق القسم الأول في المخصصات اللفظية، و القسم الثاني في المخصصات اللبية،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التخصيص تارة يوجب تعدّد الموضوعين، و أخرى لا يوجب ذلك، فعلى الأوّل لا وجه لتحكيم العامّ و أغلب ما يكون ذلك إنّما هو في التخصيصات اللفظيّة، و على الثاني يجب تحكيم العامّ و أغلب ما يكون إنّما هو في التخصيصات اللبّيّة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الّذي ليس له عنوان جامع لا يتصور له شبهة مصداقية، إذ المنطبق على المصاديق هو الكلي و المفروض عدمه، فيخرج عن بحث التمسك بالعامّ في الشبهة المصداقية، و يندرج في الشك في قلة التخصيص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لبياً كان أم لفظياً لا بد أن يكون ذا عنوان جامع، لأن التخصيص في الشريعة الإسلامية إنّما هو على نحو الإخراج العنواني دون الإخراج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التخصيص الأفرادي منحصر بخصائص النبي صلى اللَّه عليه و آله</w:t>
      </w:r>
      <w:r>
        <w:rPr>
          <w:rFonts w:eastAsia="Amiri" w:cs="Amiri" w:ascii="Amiri" w:hAnsi="Amiri"/>
          <w:color w:val="111111"/>
          <w:sz w:val="28"/>
          <w:szCs w:val="28"/>
          <w:rtl w:val="true"/>
          <w:lang w:bidi="ar-SA"/>
        </w:rPr>
        <w:t>.</w:t>
      </w:r>
    </w:p>
    <w:p>
      <w:pPr>
        <w:pStyle w:val="Heading2"/>
        <w:numPr>
          <w:ilvl w:val="1"/>
          <w:numId w:val="1"/>
        </w:numPr>
        <w:rPr/>
      </w:pPr>
      <w:bookmarkStart w:id="626" w:name="__RefHeading___Toc11691515_1280447820"/>
      <w:bookmarkStart w:id="627" w:name="_Toc225"/>
      <w:bookmarkEnd w:id="626"/>
      <w:r>
        <w:rPr>
          <w:rtl w:val="true"/>
        </w:rPr>
        <w:t>بيان العلامة المظفر</w:t>
      </w:r>
      <w:bookmarkEnd w:id="627"/>
    </w:p>
    <w:p>
      <w:pPr>
        <w:pStyle w:val="BookText"/>
        <w:rPr/>
      </w:pPr>
      <w:r>
        <w:rPr>
          <w:rFonts w:ascii="Amiri" w:hAnsi="Amiri" w:eastAsia="Amiri" w:cs="Amiri"/>
          <w:color w:val="111111"/>
          <w:sz w:val="28"/>
          <w:sz w:val="28"/>
          <w:szCs w:val="28"/>
          <w:rtl w:val="true"/>
          <w:lang w:bidi="ar-SA"/>
        </w:rPr>
        <w:t xml:space="preserve">و استدل العلامة المظفر لقول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عامّ ظاهر في العموم لا بدّ أن يتضمّن ظهورين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عدم منافاة أيّة صفة من الصفات أو أيّ عنوان من العناوين لحكمه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عدم وجود المنافي أيضا، أي إنّه ظاهر في عدم المنافاة و عدم المنافي معه، فإنّ معنى ظهور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هناك صفة أو عنوان ينافي الحكم بوجوب إكرام الجيران، نحو صفة العداوة أو الفسق أو نحو ذلك، كما معناه أيضا أنّه </w:t>
      </w:r>
    </w:p>
    <w:p>
      <w:pPr>
        <w:pStyle w:val="BookText"/>
        <w:rPr/>
      </w:pPr>
      <w:r>
        <w:rPr>
          <w:rFonts w:ascii="Amiri" w:hAnsi="Amiri" w:eastAsia="Amiri" w:cs="Amiri"/>
          <w:color w:val="111111"/>
          <w:sz w:val="28"/>
          <w:sz w:val="28"/>
          <w:szCs w:val="28"/>
          <w:rtl w:val="true"/>
          <w:lang w:bidi="ar-SA"/>
        </w:rPr>
        <w:t>ليس يوجد في الجيران من فيه صفة أو عنوان ينافي الحكم بوجوب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غبار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بعد انعقاد هذا الظهور في العموم مخصّص منفصل لفظيّ، كما لو قال في المثال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الأعداء من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المخصّص لا شكّ في أنّه يكون ظاهرا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العداوة منافية لوجوب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الجيران من هو على صفة العداوة فعلا أو يتوقّع منه أن يكون عدوّا، و إلّا لو لم يوجد العدوّ و لا يتوقّع فيهم لكان هذا التخصيص لغوا و عبثا لا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فيكون المخصّص اللفظيّ مزاحما للعامّ في الظهورين معا، فيسقط عن الحجّيّة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فرد من الجيران أنّه عدوّ أم لا، فلا مجال فيه للتمسّك بالعامّ في إلحاقه بحكمه؛ لسقوط العامّ عن حجّيّته في شموله له؛ إذ يكون هذا الفرد مردّدا بين دخوله فيما أصبح العامّ حجّة فيه و بين دخوله فيما كان الخاصّ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هناك مخصّص لبيّ، كما لو حكم العقل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العداوة تنافي وجوب الإكرام، فإنّ هذا الحكم من العقل لا يتوقّف على أن يكون هناك أعداء بالفعل أو متوقّعون، بل العقل يحكم بهذا الحكم، سواء كان هناك أعداء أم لم يكونوا أبدا؛ إذ لا مجال للقول بأنّه لو لم يكن هناك أعداء، لكان حكم العقل لغوا و عبثا، كما هو واضح بأدنى تأمّل و التفات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فالحكم العقليّ هذا لا يزاحم الظهور الثاني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ظهوره في عدم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الثاني هذا يبقى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فرد من الجيران أنّه عدوّ أم لا، فلا مانع من التمسك بالعامّ في إدخاله في حكمه؛ لأنّه لا يكون هذا الفرد مردّدا بين دخوله في </w:t>
      </w:r>
    </w:p>
    <w:p>
      <w:pPr>
        <w:pStyle w:val="BookText"/>
        <w:rPr/>
      </w:pPr>
      <w:r>
        <w:rPr>
          <w:rFonts w:ascii="Amiri" w:hAnsi="Amiri" w:eastAsia="Amiri" w:cs="Amiri"/>
          <w:color w:val="111111"/>
          <w:sz w:val="28"/>
          <w:sz w:val="28"/>
          <w:szCs w:val="28"/>
          <w:rtl w:val="true"/>
          <w:lang w:bidi="ar-SA"/>
        </w:rPr>
        <w:t>هذه الحجّة أو هذه الحجّة؛ إذ المخصّص اللبّيّ حسبالفرض لا يقتضي وجود المنافي و ليس حجّة فيه، أمّا العامّ فهو حجّة فيه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هذا البيان أنّ الفرق عظيم بين المخصّص اللبّيّ و المخصّص اللفظيّ من هذه الناحية؛ لأنّه في المخصّص اللبّيّ يبقى العامّ حجّة في ظهوره الثاني من دون أن يكون المخصّص متعرّضا له، و لا يسقط العامّ عن الحجّيّة في ظهوره إلّا بمقدار المزاحمة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المخصّص اللفظيّ، فإنّه ظاهر في الأمرين معا كما قدّمناه، فيكون مزاحما للعامّ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المخصّص اللبّيّ بين أنّ يكون ضروريّا أو يكون غير ضروريّ</w:t>
      </w:r>
      <w:r>
        <w:rPr>
          <w:rStyle w:val="FootnoteAnchor"/>
          <w:rtl w:val="true"/>
        </w:rPr>
        <w:footnoteReference w:id="428"/>
      </w:r>
      <w:r>
        <w:rPr>
          <w:rFonts w:ascii="Amiri" w:hAnsi="Amiri" w:eastAsia="Amiri" w:cs="Amiri"/>
          <w:color w:val="111111"/>
          <w:sz w:val="28"/>
          <w:sz w:val="28"/>
          <w:szCs w:val="28"/>
          <w:rtl w:val="true"/>
          <w:lang w:bidi="ar-SA"/>
        </w:rPr>
        <w:t>، و لا بين أن يكون كاشفا عن تقييد موضوع العامّ أو كاشفا عن ملاك الحكم</w:t>
      </w:r>
      <w:r>
        <w:rPr>
          <w:rStyle w:val="FootnoteAnchor"/>
          <w:rtl w:val="true"/>
        </w:rPr>
        <w:footnoteReference w:id="429"/>
      </w:r>
      <w:r>
        <w:rPr>
          <w:rFonts w:ascii="Amiri" w:hAnsi="Amiri" w:eastAsia="Amiri" w:cs="Amiri"/>
          <w:color w:val="111111"/>
          <w:sz w:val="28"/>
          <w:sz w:val="28"/>
          <w:szCs w:val="28"/>
          <w:rtl w:val="true"/>
          <w:lang w:bidi="ar-SA"/>
        </w:rPr>
        <w:t>، فإنّه في جميع هذه الصور لا يقتضي وجود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التحرير للمسألة يتجلّى مرام الشيخ الأعظم رحمه الله و أنّه الأولى بالاعتماد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حكم العقل لا يتوقّف على أن يكون هناك أعداء بالفعل أو متوقّعون، بل العقل يحكم بهذا الحكم، سواء كان هناك أعداء أم لم يكونوا أبدا؛ لا يکون دليلا علی ان الحكم العقليّ هذا لا يزاحم الظهور الثاني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ظهوره في عدم المنافي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يبقی الظهور الثاني بلا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دعوی بلا دليل فلا فرق في المخصص عرفا بين کونه لفظيا ام لبيا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ضعف تفصيل اخر للمحقق النائيني و هو</w:t>
      </w:r>
      <w:r>
        <w:rPr>
          <w:rFonts w:eastAsia="IRNazanin" w:cs="IRNazanin"/>
          <w:color w:val="111111"/>
          <w:sz w:val="28"/>
          <w:szCs w:val="28"/>
          <w:rtl w:val="true"/>
          <w:lang w:bidi="fa-IR"/>
        </w:rPr>
        <w:t xml:space="preserve">: </w:t>
      </w:r>
      <w:bookmarkStart w:id="628" w:name="pg16640_202498"/>
    </w:p>
    <w:p>
      <w:pPr>
        <w:pStyle w:val="Heading2"/>
        <w:numPr>
          <w:ilvl w:val="1"/>
          <w:numId w:val="1"/>
        </w:numPr>
        <w:rPr/>
      </w:pPr>
      <w:bookmarkStart w:id="629" w:name="__RefHeading___Toc11691517_1280447820"/>
      <w:bookmarkStart w:id="630" w:name="_Toc226"/>
      <w:bookmarkEnd w:id="628"/>
      <w:bookmarkEnd w:id="629"/>
      <w:r>
        <w:rPr>
          <w:rtl w:val="true"/>
        </w:rPr>
        <w:t>رأي المحقّق النائينيّ</w:t>
      </w:r>
      <w:bookmarkEnd w:id="630"/>
    </w:p>
    <w:p>
      <w:pPr>
        <w:pStyle w:val="BookText"/>
        <w:rPr/>
      </w:pPr>
      <w:r>
        <w:rPr>
          <w:rFonts w:ascii="Amiri" w:hAnsi="Amiri" w:eastAsia="Amiri" w:cs="Amiri"/>
          <w:color w:val="111111"/>
          <w:sz w:val="28"/>
          <w:sz w:val="28"/>
          <w:szCs w:val="28"/>
          <w:rtl w:val="true"/>
          <w:lang w:bidi="ar-SA"/>
        </w:rPr>
        <w:t>أن المخصّص اللبّيّ، سواء كان عقليّا ضروريّا يصحّ أن يتّكل عليه المتكلّم في مقام التخاطب أو لم يكن كذلك، بأن كان عقليّا نظريّا أو إجماعا؛ فإنّه كالمخصّص اللفظيّ كاشف عن تقييد المراد الواقعيّ في العامّ من عدم كون موضوع الحكم الواقعي باقيا على إطلاقه الذي يظهر فيه العامّ، فلا مجال للتمسّك بالعامّ في الفرد المشكوك بلا فرق بين اللبّيّ و اللفظيّ؛ لأنّ المانع من التمسّك بالعامّ مشترك بينهما و هو انكشاف تقييد موضوع الحكم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في هذه الجهة بين أن يكون الكاشف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من ذلك ما اذا كان المخصّص اللبّيّ لم يستكشف منه تقييد موضوع الحكم واقعا، بأن كان العقل إنّما أدرك ما هو ملاك حكم الشارع واقعا، أو قام الإجماع على كونه ملاكا لحكم الشارع، كما إذا أدرك العقل أو قام الإجماع على أنّ ملاك لعن بني اميّة هو كفرهم، فإنّ ذلك لا يوجب تقييد موضوع الحكم، لأنّ الملاك لا يصلح لتقييده، بل من العموم يستكشف وجود الملاك في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وجود الملاك في فرد، يكون عموم الحكم كاشفا عن وجوده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وجود الملاك في فرد، يكون الفرد نفسه خارجا كما لو أخرجه المولى بالنّص عليه، لا أنّه يكون كالمقيّد لموضوع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سكوت المولى عن بيانه، فهو إمّا لمصلحة أو لغفلة إذا كان من الموالي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تردّد الأمر بين أن يكون المخصّص كاشفا عن الملاك أو مقيّدا لعنوان العامّ؛ فإنّ التفصيل الذي ذكره صاحب الكفاية يكون وجيها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المخصّص إن أحرزنا أنّه كاشف عن تقييد موضوع العامّ فلا يجوز التمسّك بالعموم في الشبهة المصداقيّة أبدا، و إن أحرزنا أنّه كاشف عن ملاك الحكم فقط من </w:t>
      </w:r>
    </w:p>
    <w:p>
      <w:pPr>
        <w:pStyle w:val="BookText"/>
        <w:rPr/>
      </w:pPr>
      <w:r>
        <w:rPr>
          <w:rFonts w:ascii="Amiri" w:hAnsi="Amiri" w:eastAsia="Amiri" w:cs="Amiri"/>
          <w:color w:val="111111"/>
          <w:sz w:val="28"/>
          <w:sz w:val="28"/>
          <w:szCs w:val="28"/>
          <w:rtl w:val="true"/>
          <w:lang w:bidi="ar-SA"/>
        </w:rPr>
        <w:t>دون تقييد فلا مانع من التمسّك بالعموم، بل يكون كاشفا عن وجود الملاك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تردّد أمره و لم يحرز كونه قيدا أو ملاكا فان كان حكم العقل ضروريّا يمكن الاتّكال عليه في التفهيم فيلحق بالقسم الأوّل، و إن كان نظريّا أو اجماعا لا يصحّ الاتّكال عليه فيلحق بالقسم الثاني، فيتمسّك بالعموم، لجواز أن يكون الفرد المشكوك قد أحرز المولى وجود الملاك فيه، مع احتمال أنّ ما أدركه العقل أو قام عليه الإجماع من قبيل الملاكات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تقدم أنّ موضوع الحكم لا يمكن أن يكون أعمّ من الملاك، فإذا كان الملاك أخصّ من مطلق بني أُمية يجب أن يكون الموضوع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الملاك لا يمكن أخذه في الموضوع، و ذلك لأنّ حكم اللعن بنفسه لا يصلح أن يعمّ المؤمن حتّى يصحّ تخصيصه به، فمدفوع بأنّه خلط بين سعة الحكم حسب الإرادة الاستعمالية و سعة الحكم بالإرادة الجديّة، فاللعن حسب الإرادة الجديّة و إن كان لا يصلح أن يعمّ المؤمن و لكنّه حسب الإرادة الاستعمالية قابل لأن يعمّ عامة بني أُميّة حتّى المؤمن، و ذلك لوجود المقتضي في كلهم إلّامن هداه اللّه، فعلى ذلك فلا فرق بين كون غير المؤمن ملاكاً للحكم أو مأخوذاً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اخيرا،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يتردد بين الملاك و قيد الموضوع فمخدوش أيضاً، لأنّ حاصله أنّه يلحق بالقسم الثاني باحتمالين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أن يكون الفرد المشكوك قد أحرز المولى وجود الملاك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انّ ما أدركه العقل أو قام عليه الإجماع من قبيل الملاك</w:t>
      </w:r>
      <w:r>
        <w:rPr>
          <w:rFonts w:eastAsia="Amiri" w:cs="Amiri" w:ascii="Amiri" w:hAnsi="Amiri"/>
          <w:color w:val="111111"/>
          <w:sz w:val="28"/>
          <w:szCs w:val="28"/>
          <w:rtl w:val="true"/>
          <w:lang w:bidi="ar-SA"/>
        </w:rPr>
        <w:t xml:space="preserve">. </w:t>
      </w:r>
      <w:bookmarkStart w:id="631" w:name="pg16640_202500"/>
    </w:p>
    <w:p>
      <w:pPr>
        <w:pStyle w:val="BookText"/>
        <w:rPr/>
      </w:pPr>
      <w:bookmarkEnd w:id="631"/>
      <w:r>
        <w:rPr>
          <w:rFonts w:ascii="Amiri" w:hAnsi="Amiri" w:eastAsia="Amiri" w:cs="Amiri"/>
          <w:color w:val="111111"/>
          <w:sz w:val="28"/>
          <w:sz w:val="28"/>
          <w:szCs w:val="28"/>
          <w:rtl w:val="true"/>
          <w:lang w:bidi="ar-SA"/>
        </w:rPr>
        <w:t>و هذان الاحتمالان من الظنون التي لم يقم على حجّيتها دليل، أ فيصحّ أن يتمسّك بالعام اعتماداً على هذين الاحتمالين؟</w:t>
      </w:r>
      <w:r>
        <w:rPr>
          <w:rFonts w:eastAsia="Amiri" w:cs="Amiri" w:ascii="Amiri" w:hAnsi="Amiri"/>
          <w:color w:val="111111"/>
          <w:sz w:val="28"/>
          <w:szCs w:val="28"/>
          <w:rtl w:val="true"/>
          <w:lang w:bidi="ar-SA"/>
        </w:rPr>
        <w:t>!</w:t>
      </w:r>
    </w:p>
    <w:p>
      <w:pPr>
        <w:pStyle w:val="Heading2"/>
        <w:numPr>
          <w:ilvl w:val="1"/>
          <w:numId w:val="1"/>
        </w:numPr>
        <w:rPr/>
      </w:pPr>
      <w:bookmarkStart w:id="632" w:name="__RefHeading___Toc11691519_1280447820"/>
      <w:bookmarkStart w:id="633" w:name="_Toc227"/>
      <w:bookmarkEnd w:id="632"/>
      <w:r>
        <w:rPr>
          <w:rtl w:val="true"/>
        </w:rPr>
        <w:t>الفصل السادس</w:t>
      </w:r>
      <w:r>
        <w:rPr>
          <w:rtl w:val="true"/>
        </w:rPr>
        <w:t xml:space="preserve">: </w:t>
      </w:r>
      <w:r>
        <w:rPr>
          <w:rtl w:val="true"/>
        </w:rPr>
        <w:t>إحراز المشتبه بالأصل الموضوعي</w:t>
      </w:r>
      <w:bookmarkEnd w:id="633"/>
    </w:p>
    <w:p>
      <w:pPr>
        <w:pStyle w:val="BookText"/>
        <w:rPr/>
      </w:pPr>
      <w:r>
        <w:rPr>
          <w:rFonts w:ascii="Amiri" w:hAnsi="Amiri" w:eastAsia="Amiri" w:cs="Amiri"/>
          <w:color w:val="111111"/>
          <w:sz w:val="28"/>
          <w:sz w:val="28"/>
          <w:szCs w:val="28"/>
          <w:rtl w:val="true"/>
          <w:lang w:bidi="ar-SA"/>
        </w:rPr>
        <w:t>قد عرفت أنّ العام إلّا ما سبق ليس حجّة في الشبهة المصداقية للمخصّص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الأصل، فلو كان للمصداق المشتبه حالة سابقة يؤخذ بها،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لا تكرم فسّاق العلماء، و شكّ في عدالة زيد العالم و كان مسبوق العدالة أو مسبوق الفسق فيحكم عليه بأحدهما فعلى الأوّل يدخل تحت العام و على الثاني تحت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لم يكن له حالة سابقة، فهل هنا أصل موضوعي يُنقِّح حال المشتبه و يدخله تحت العام أم لا؟ فذهب المحقّق الخراساني إلى وجود الأصل المحرز في صورتين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المخصّص منفصلاً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المخصّص متّصلًا بصورة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غيرهما كما إذا كان متّصلاً و كان وصفاً فلا يحرز الموضوع بالأصل</w:t>
      </w:r>
      <w:r>
        <w:rPr>
          <w:rFonts w:eastAsia="Amiri" w:cs="Amiri" w:ascii="Amiri" w:hAnsi="Amiri"/>
          <w:color w:val="111111"/>
          <w:sz w:val="28"/>
          <w:szCs w:val="28"/>
          <w:rtl w:val="true"/>
          <w:lang w:bidi="ar-SA"/>
        </w:rPr>
        <w:t>.</w:t>
      </w:r>
    </w:p>
    <w:p>
      <w:pPr>
        <w:pStyle w:val="Heading2"/>
        <w:numPr>
          <w:ilvl w:val="1"/>
          <w:numId w:val="1"/>
        </w:numPr>
        <w:rPr/>
      </w:pPr>
      <w:bookmarkStart w:id="634" w:name="__RefHeading___Toc11691521_1280447820"/>
      <w:bookmarkStart w:id="635" w:name="_Toc228"/>
      <w:bookmarkEnd w:id="634"/>
      <w:r>
        <w:rPr>
          <w:rtl w:val="true"/>
        </w:rPr>
        <w:t>نظرية المحقّق الخراساني</w:t>
      </w:r>
      <w:bookmarkEnd w:id="63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يخفى أن الباقي تحت العام بعد تخصيصه بالمنفصل أو كالاستثناء من المتصل لما كان غير معنون بعنوان خاص بل بكل عنوان لم يكن ذاك بعنوان الخاص كان إحراز المشتبه منه بالأصل الموضوعي في غالب الموارد إلّا ما شذ ممكنا فبذلك يحكم عليه بحكم العام و إن لم يجز التمسك به بلا كلام ضرورة أنه قلما لا يوجد عنوان يجري فيه أصل ينقح به أنه مما بقي تحته مثلا إذا شك أن امرأة تكون قرشية او غيرها </w:t>
      </w:r>
      <w:bookmarkStart w:id="636" w:name="pg16640_202501"/>
    </w:p>
    <w:p>
      <w:pPr>
        <w:pStyle w:val="BookText"/>
        <w:rPr/>
      </w:pPr>
      <w:bookmarkEnd w:id="636"/>
      <w:r>
        <w:rPr>
          <w:rFonts w:ascii="Amiri" w:hAnsi="Amiri" w:eastAsia="Amiri" w:cs="Amiri"/>
          <w:color w:val="111111"/>
          <w:sz w:val="28"/>
          <w:sz w:val="28"/>
          <w:szCs w:val="28"/>
          <w:rtl w:val="true"/>
          <w:lang w:bidi="ar-SA"/>
        </w:rPr>
        <w:t>فهي و إن كانت وجدت إما قرشية أو غيرها فلا أصل يحرز أنها قرشية أو غيرها إلّا أن أصالة عدم تحقق الانتساب بينها و بين قريش تجدي في تنقيح أنها ممن لا تحيض إلّا إلى خمسين لأن المرأةالتي لا يكون بينها و بين قريش انتساب أيضا باقية تحت ما دل على أن المرأة إنما ترى الحمرة إلى خمسين و الخارج عن تحته هي القرشية فتأمل تعرف</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کلامه يبتني على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التخصيص المتصل بصورة الوصف ينوِّع العام و يجعل الموضوع مركّباً من جزءين، و من المعلوم أنّه لا يمكن إثبات القيد الوجودي بالأمر العدمي فلا يمکن اجراء استصحاب عدم کونها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الأصل الجاري في العدم النعتيّ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الحالة السابقة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المخصّص متّصلاً بصورة الاستثناء أو منفصلاً فلا يضفي للعام تنويعاً و لا يوجب تركّب الموضوع، بل العام باق على عمومه، غاية الأمر يجب أن يحرز عدم عنوان المخصص فيجري و يثبت عدم تعنونه به، فعندئذ يكفي استصحاب عدم قرشية المرأة، بعدم تحقّق الانتساب بينها و بين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عدم 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باقياً تحت العام محكوماً بحكمه</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11691523_1280447820"/>
      <w:bookmarkStart w:id="638" w:name="_Toc229"/>
      <w:bookmarkEnd w:id="637"/>
      <w:r>
        <w:rPr>
          <w:rtl w:val="true"/>
        </w:rPr>
        <w:t>مناقشة نظرية المحقّق الخراساني</w:t>
      </w:r>
      <w:bookmarkEnd w:id="63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المحمولي في كل ماهية جوهرية أو عرضية ينتقض بوجود فرد منها بحيث لا يصح حمل العدم على تلك الماهية مع وجوده بالضرورة إلّا إذا قيدت بقيد كالإنسان الشجاع، فانه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معدوم لوجود أفراده، و أما إذا لم </w:t>
      </w:r>
    </w:p>
    <w:p>
      <w:pPr>
        <w:pStyle w:val="BookText"/>
        <w:rPr/>
      </w:pPr>
      <w:r>
        <w:rPr>
          <w:rFonts w:ascii="Amiri" w:hAnsi="Amiri" w:eastAsia="Amiri" w:cs="Amiri"/>
          <w:color w:val="111111"/>
          <w:sz w:val="28"/>
          <w:sz w:val="28"/>
          <w:szCs w:val="28"/>
          <w:rtl w:val="true"/>
          <w:lang w:bidi="ar-SA"/>
        </w:rPr>
        <w:t>يكن فرد من الإنسان الشجاع موجوداً، فيصح أن يحمل عليه العدم، لكنه ليس عدماً محمولياً، بل نعتياً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يصح حمل العدم المحمولي على طبيعة الانتساب إلى قريش بعد انتقاض عدمه بوجود نساء من قريش، فلا يجري أصالة عدم تحقق الانتساب المحمولي بينها و بين قريش،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إلى قريش معدوم، إلّا أن يقيد ذلك بهذه المرأة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انتساب هذه إلى قريش غير معلوم، و لا يصح الاستصحاب حينئذ لعدم الحالة السابقة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أفاده من جريان الأصل في العدم المحمولي في المقام فهو مبني على عدم تعنون العام بعنوان عدمي، كالمثال، فان المرأة التي ترى الحمرة إلى خمسين لم تقيد بقيد عدمي و هو عدم قرشيتها، و الخاصّ انما أخرج المرأة القرشية، فالباقي تحت العام بعد التخصيص المرأة المعلوم عدم قرشيتها، و التي لم يثبت انتسابها إلى قريش، فأصالة عدم الانتساب إليه تثبت فردية هذه المرأة للعام،فتصير محكومة بحكمه، فعلى هذا المبنى لا يقيد العام بقيد عدمي إذا كان الخاصّ أمراً وجودياً،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امرأة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يقيد بقيد وجودي إذا كان الخاصّ أمراً عدمياً،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مطلقاً من المتصل و المنفصل و اللفظي و اللبي لا يوجب تعنون العام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المبنی غير سديد عند جل المحققين، و أن الصحيح هو تعنونه بعنوان وجودي أو عدمي حسب اختلاف الخاصّ إيجاباً و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أوصاف العام قائمة به قبل ورود الحكم عليه، حيث انه قبل الحكم عليه ينقسم إلى تلك الأوصاف، بحيث يصح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اما هاشميون و اما غيرهم و اما فقهاء و اما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ورد على العام حكم، فان كان لتلك الأوصاف دخل في ذلك الحكم كان </w:t>
      </w:r>
      <w:bookmarkStart w:id="639" w:name="pg16640_202503"/>
    </w:p>
    <w:p>
      <w:pPr>
        <w:pStyle w:val="BookText"/>
        <w:rPr/>
      </w:pPr>
      <w:bookmarkEnd w:id="639"/>
      <w:r>
        <w:rPr>
          <w:rFonts w:ascii="Amiri" w:hAnsi="Amiri" w:eastAsia="Amiri" w:cs="Amiri"/>
          <w:color w:val="111111"/>
          <w:sz w:val="28"/>
          <w:sz w:val="28"/>
          <w:szCs w:val="28"/>
          <w:rtl w:val="true"/>
          <w:lang w:bidi="ar-SA"/>
        </w:rPr>
        <w:t>لها دخل في الموضوع لا محالة، بحيث يصير الموضوع مركباً من العام و وصفه كالعلماء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يكن لتلك الأوصاف دخل في الحكم، بأن يكون تمام الموضوع نفس طبيعة العالم كان الموضوع بسيطاً غير ملحوظ معه شي‌ء من الأوصاف القائمة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دخل الوصف في الحكم يوجب خروج الموصوف عن كونه تمام الموضوع إلى جزء الموضوع، فالعالم إذا لوحظ مع العدالة موضوعاً لوجوب الإكرام، فلا محالة يصير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له، و تنقلب بساطة الموضوع إلى التركب، و لا نعني من تعنون العام الّا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التفريق بين الوصف و الاستثناء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الأوّل ينوِّع دون الثاني 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وجه، لأنّ العرف لا يفرّق بين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 غير الفسّاق،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 إلّا الفسّاق، و التفريق بينهما بكون المخصص وصفاً في الأوّل و منوِّعاً للموضوع إلى فاسق و غير فاسق دون الثاني فانّ دوره الإخراج لا التنويع، بعيد عن الأذهان العرفية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العدم الأزلي ليس مصداقاً عرفياً للاستصحاب، و ظواهر الكلام حجّة في المصاديق العرفية لا المصاديق العقلية الدقيقة كما في المقام علی فرض صحتها</w:t>
      </w:r>
      <w:r>
        <w:rPr>
          <w:rFonts w:eastAsia="IRNazanin" w:cs="IRNazanin"/>
          <w:color w:val="111111"/>
          <w:sz w:val="28"/>
          <w:szCs w:val="28"/>
          <w:rtl w:val="true"/>
          <w:lang w:bidi="fa-IR"/>
        </w:rPr>
        <w:t>.</w:t>
      </w:r>
    </w:p>
    <w:p>
      <w:pPr>
        <w:pStyle w:val="Heading2"/>
        <w:numPr>
          <w:ilvl w:val="1"/>
          <w:numId w:val="1"/>
        </w:numPr>
        <w:rPr/>
      </w:pPr>
      <w:bookmarkStart w:id="640" w:name="__RefHeading___Toc11691525_1280447820"/>
      <w:bookmarkStart w:id="641" w:name="_Toc230"/>
      <w:bookmarkEnd w:id="640"/>
      <w:r>
        <w:rPr>
          <w:rtl w:val="true"/>
        </w:rPr>
        <w:t>التفصيل بين القيد المقسِّم و المقارن</w:t>
      </w:r>
      <w:bookmarkEnd w:id="6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المحقّق النائيني بين القيد المقسِّم و القيد المقارن، فنفى حجّية الأصل الأزلي في الأوّل و أثبت حجّيته في الثاني، و بذلك صار مفصِّلاً في حجّية الأصل الأزلي لا مثبتاً مطلقاً كالمحقّق الخراساني و لا نافياً كغيره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مراده من القيد المقسِّم و المقارن هو انه إذا كان القيد قائماً بالموضوع، مقسِّماً له بالذات أو حسب الوصف إلى قسمين، كتقسيم القرشية و النبطية، و المرأةَ إلى قسمين،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قرشية و غير قرشية، نبطية و غير نبطية، فهذا ما نسمّيه بالقيد المقسِّم، و يشترط فيه قيامه بالموضوع على نحو يجعل الموضوع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القيد جوهراً قائماً بنفسه، كوجود زيد، أو عرضاً قائماً بموضوع آخر لا بموضوع العام فهذا ما نسمّيه بالقيد المقارن، و ذلك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عند وجود زيد،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عند مجي‌ء زيد، فوجود زيد جوهر قائم بنفسه لا بالعارض، كما أنّ مجيئه قائم بزيد لا بموضوع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يعدّ الكلّ من المقارنات الاتفاقية أو الدائمية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من الوجه في التفريق بين المقسِّم و المقارن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القيد وصفاً للموضوع، قائماً به قياماً ذاتياً كالقرشية، أو عرضياً كالفسق، يكون الموضوع موصوفاً بالقيد، وجوداً و عدماً كقولنا المرأة غير القرشية ترى الدم إلى ستين، و المرأة غير القرشية ترى الدم إلى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الموصوف لم يتعلّق به اليقين، فانّ المرأة إمّا تتولد قرشية أو غير قرشية، فليس هنا قضية متيقّنة و قضية مشكوكة، بل هي مشكوكة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العدم المحمولي، أي عدم القرشية من دون مضاف إلى مرأة معيّنة، لا يثبت أنّ هذه المرأة غير قرشية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ما إذا كان القيد جوهراً مستقلًا قائماً بنفسه أو عرضاً لكن غير قائم بموضوع القضية، فانّ الجزء الثاني بحكم انّه جوهر أو قائم بغير موضوع القضية لا يقع وصفاً </w:t>
      </w:r>
      <w:bookmarkStart w:id="642" w:name="pg16640_202505"/>
    </w:p>
    <w:p>
      <w:pPr>
        <w:pStyle w:val="BookText"/>
        <w:rPr/>
      </w:pPr>
      <w:bookmarkEnd w:id="642"/>
      <w:r>
        <w:rPr>
          <w:rFonts w:ascii="Amiri" w:hAnsi="Amiri" w:eastAsia="Amiri" w:cs="Amiri"/>
          <w:color w:val="111111"/>
          <w:sz w:val="28"/>
          <w:sz w:val="28"/>
          <w:szCs w:val="28"/>
          <w:rtl w:val="true"/>
          <w:lang w:bidi="ar-SA"/>
        </w:rPr>
        <w:t>للموضوع، و ليس له شأن سوى اجتماعهما في عمود الزمان، فمجرّد إحراز اجتماعهما في فترة من الزمان يكفي في ترتّب الأثر، سواء أ كان الإحراز بالوجدان أم بالأصل</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أخذ شيئين مختلفين في القيود المقارنة موضوعاً لحكم واحد و إن لم يكن بينهما علاقة و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يساعده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وحدة الحكم كاشفة عن وحدة الموضوع، و وحدة الموضوع تابعة لوجود رابط بين الجزأين حتّى يجعله موضوعاً و مركّباً واحداً حتی يصلح للوقوع موضوعاً لحكم واحد، و إلّا فالشيئان المختلفان الفاقدان للوحدة و الربط كيف يمكن أن يقعا موضوعاً لحكم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ما اختاره من جريان الأصل في القيود المقارنة دون المقسّمة مبني على إنكار لزوم الوحدة في الموضوع و لو وحدة عرفية فعندئذ يمكن إحراز أحد الجزأين بالوجدان و الآخر بالأصل، و لكنّك عرفت أنّ الحكم و الإرادة الواحدة يتطلبان شيئاً واحداً و وحدة عرفية في الموضوع</w:t>
      </w:r>
      <w:r>
        <w:rPr>
          <w:rFonts w:eastAsia="Amiri" w:cs="Amiri" w:ascii="Amiri" w:hAnsi="Amiri"/>
          <w:color w:val="111111"/>
          <w:sz w:val="28"/>
          <w:szCs w:val="28"/>
          <w:rtl w:val="true"/>
          <w:lang w:bidi="ar-SA"/>
        </w:rPr>
        <w:t>.</w:t>
      </w:r>
    </w:p>
    <w:p>
      <w:pPr>
        <w:pStyle w:val="Heading2"/>
        <w:numPr>
          <w:ilvl w:val="1"/>
          <w:numId w:val="1"/>
        </w:numPr>
        <w:rPr/>
      </w:pPr>
      <w:bookmarkStart w:id="643" w:name="__RefHeading___Toc11691527_1280447820"/>
      <w:bookmarkStart w:id="644" w:name="_Toc231"/>
      <w:bookmarkEnd w:id="643"/>
      <w:r>
        <w:rPr>
          <w:rtl w:val="true"/>
        </w:rPr>
        <w:t>نظرية المحقّق الخوئي</w:t>
      </w:r>
      <w:bookmarkEnd w:id="64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الخوئي لمّا لم يرتض تفصيل أُستاذه بين القيد المقسِّم و القيد المقارن ذهب إلى حجّية استصحاب العدم الأزلي وفاقاً للمحقّق الخراساني لكن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الثابت للموضوع المقيّد بما هو مفاد كان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ارتفاعه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اتصاف الذات بذلك القيد على نحو مفاد السالبة المحصلة من دون أن يتوقّف ذلك باتّصاف الذات بعدم ذلك القيد على نحو مفاد ليس الناقصة، فمفاد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تحيض إلى خمسين إلّا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اعتبار وصف </w:t>
      </w:r>
    </w:p>
    <w:p>
      <w:pPr>
        <w:pStyle w:val="BookText"/>
        <w:rPr/>
      </w:pPr>
      <w:r>
        <w:rPr>
          <w:rFonts w:ascii="Amiri" w:hAnsi="Amiri" w:eastAsia="Amiri" w:cs="Amiri"/>
          <w:color w:val="111111"/>
          <w:sz w:val="28"/>
          <w:sz w:val="28"/>
          <w:szCs w:val="28"/>
          <w:rtl w:val="true"/>
          <w:lang w:bidi="ar-SA"/>
        </w:rPr>
        <w:t>القرشية على وجه النعتية في موضوع الحكم بتحيض القرشية بعد الخمسين إلّا أنّه لا يستدعي أخذ عدم القرشية في موضوع عدم الحكم بتحيض المرأة بعد الخمسين على وجه النعتية، أعني به مفاد ليس الناقصة و إنّما يستدعي أخذ عدم القرشية في ذلك الموضوع على نحو السالبة المحصلة، و كلّ مرأة لا تكون متصفة بالقرشية باقية تحت العام و إنّما الخارج خصوص المتصفة بالقرشية لا انّ الباقي بعد التخصيص هو المرأة المتصفة بعدم القرشية، فإذا شكّ في كون المرأة قرشية لم يكن مانع من التمسّك باستصحاب عدم القرشية الثابت لها قبل ولادة تلك المرأة في الخارج</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في جانب المستثنى في غاية المتانة، إنّما الكلام فيما أفاده في جانب المستثنى منه، فقد سبق انّ الباقي تحت العام يتصوّر على أنحاء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المعدولة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غير القرشية تحيض إلى خمسين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السالبة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هي ليست بقرشية تحيض إلى خمسين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السالبة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المرأة قرشية تحيض إلى خمسين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الأوّلان رهن وجود الموضوع، إذ الوصف الوجودي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ليست بقرشية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وجود الموصوف بخلاف الثالث فانّه يصدق حتّى مع عدم الموضوع و لكن الكلام في تشخيص انّ الباقي تحت العام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الموضوع من قبيل الأوّلين فلا يجري الاستصحاب لعدم الحالة السابقة، و إن كان من قبيل الثالث يجري الاستصحاب لوجودها إلّا أنّ المحمول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أو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الباقي تحت العام هو القسمان الأوّلان ضرورة انّ الحكم الإيجابي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أو تحيض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رهن وجود الموضوع، قال التفتازاني في منطق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الموجبة من وجود الموضوع إمّا محقّقاً و هي الخارجية، أو مقدراً فهي الحقيقية، أو ذهنياً فهي الذهنية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نحن نستكشف من الحكم على أنّ الموضوع هو القسم الأوّل و الثاني اللذان لا يصدقان إلّا على المرأة الخارجية</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ان المثالين المذکورين للقسم الثاني و القسم الثالث 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هي ليست بقرشية تحيض إلى 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المرأة قرشية تحيض إلى 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ليسا بصحيحين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الثاني منهما من معدولة الموضوع و ليست بالسالبة المحمول فانها عبارة اخری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غير القرشية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فهي ترجع الی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منهما ليس من السالبة بل من الموجبة المحصلة فهي عبارة اخری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تکن قرشية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تحيض إلى 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حکمها حکم الصورة الاولی و يتوقف الحکم فيهما علی وجود الموضوع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عنه بما افاده المحقق البروجردي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صحة استصحاب العدم الأزلي بكلا 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النعتي و المحمولي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الاستصحاب فإن الّذي يراد استصحابه في المقام ليس نفسعدم الانتساب، بل عدم انتساب هذه المرأة، و الهذية إنما تعتبر عند وجود المشار إليه، و لا هذية للمرأة المعدومة فلا عرفية لهذا الاستصحاب، و تكون الأدلة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المحمول في حال وجود الموضوع يعتبر بنظر العرف مغايرا للعدم الّذي يفرض في حال عدم الموضوع، فإن الموضوع للأول أمر يمكن أن يشار إليه بهذا، دون الثاني، ففي </w:t>
      </w:r>
      <w:bookmarkStart w:id="645" w:name="pg16640_202508"/>
    </w:p>
    <w:p>
      <w:pPr>
        <w:pStyle w:val="BookText"/>
        <w:rPr/>
      </w:pPr>
      <w:bookmarkEnd w:id="645"/>
      <w:r>
        <w:rPr>
          <w:rFonts w:ascii="Amiri" w:hAnsi="Amiri" w:eastAsia="Amiri" w:cs="Amiri"/>
          <w:color w:val="111111"/>
          <w:sz w:val="28"/>
          <w:sz w:val="28"/>
          <w:szCs w:val="28"/>
          <w:rtl w:val="true"/>
          <w:lang w:bidi="ar-SA"/>
        </w:rPr>
        <w:t>الحقيقة ليس لنا متيقن مشكوك البقاء حتى يستصحب، فتبين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العدم الأزلي من الأمور المخترعة في المدرسة، و لا أساس له عند العرف و العقلاء، فافهم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فرض کون الموضوع مرکبا و کون العدم محموليا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العدم المطلق اي عدم الاتصاف بالقرشية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عدم اتصاف المرأة بالقرشية و هذا العدم لا مصداق له قبل وجود المرأة في الخارج بالنظر العرفي فلا حالة سابقة له حتی يستصحب </w:t>
      </w:r>
      <w:r>
        <w:rPr>
          <w:rFonts w:eastAsia="IRNazanin" w:cs="IRNazanin"/>
          <w:color w:val="111111"/>
          <w:sz w:val="28"/>
          <w:szCs w:val="28"/>
          <w:rtl w:val="true"/>
          <w:lang w:bidi="fa-IR"/>
        </w:rPr>
        <w:t>.</w:t>
      </w:r>
    </w:p>
    <w:p>
      <w:pPr>
        <w:pStyle w:val="Heading2"/>
        <w:numPr>
          <w:ilvl w:val="1"/>
          <w:numId w:val="1"/>
        </w:numPr>
        <w:rPr/>
      </w:pPr>
      <w:bookmarkStart w:id="646" w:name="__RefHeading___Toc11691529_1280447820"/>
      <w:bookmarkStart w:id="647" w:name="_Toc232"/>
      <w:bookmarkEnd w:id="646"/>
      <w:r>
        <w:rPr>
          <w:rtl w:val="true"/>
        </w:rPr>
        <w:t>ما هو المرجع إذا لم يكن الأصل العدمي حجّة؟</w:t>
      </w:r>
      <w:bookmarkEnd w:id="647"/>
    </w:p>
    <w:p>
      <w:pPr>
        <w:pStyle w:val="BookText"/>
        <w:rPr/>
      </w:pPr>
      <w:r>
        <w:rPr>
          <w:rFonts w:ascii="Amiri" w:hAnsi="Amiri" w:eastAsia="Amiri" w:cs="Amiri"/>
          <w:color w:val="111111"/>
          <w:sz w:val="28"/>
          <w:sz w:val="28"/>
          <w:szCs w:val="28"/>
          <w:rtl w:val="true"/>
          <w:lang w:bidi="ar-SA"/>
        </w:rPr>
        <w:t>قد عرفت أنّ العام لا يحتجّ به في الشبهة المصداقية للمخصص، لأنّ الموضوع مركّب من عنوان العام و عدم عنوان المخصص و الجزء الأوّل و إن كان محرزاً لكن الثاني ليس بمحرز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أصل العدم الأزلي لا يحتجّ به على بقاء المشتبه تحت العام لما تقدم و عليه فيبقی الكلام في تعيين المرجع بعد قصور اليد عن العام و الأصل العدمي،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المرجع هو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التخيير و الاشتغال و البراءة و هي تختلف حسب اختلاف الموارد، و إليك الأمثلة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أعني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أقام إنسان في بلد متردداً في الإقامة و شكّ في أنّ هذا اليوم يوم الثلاثين أو يوم التاسع و العشرين، فعلى الأوّل يتمّ بعد انقضاء ذلك اليوم و على الثاني يقصر يوم الشكّ و بعده ثمّ يتم، فالمرجع هو استصحاب وجوب القصر إلى أن يحصل اليقين بأنّه أقام في ذلك البلد ثلاثين يوماً</w:t>
      </w:r>
      <w:r>
        <w:rPr>
          <w:rFonts w:eastAsia="Amiri" w:cs="Amiri" w:ascii="Amiri" w:hAnsi="Amiri"/>
          <w:color w:val="111111"/>
          <w:sz w:val="28"/>
          <w:szCs w:val="28"/>
          <w:rtl w:val="true"/>
          <w:lang w:bidi="ar-SA"/>
        </w:rPr>
        <w:t xml:space="preserve">. </w:t>
      </w:r>
      <w:bookmarkStart w:id="648" w:name="pg16640_202509"/>
    </w:p>
    <w:p>
      <w:pPr>
        <w:pStyle w:val="BookText"/>
        <w:rPr/>
      </w:pPr>
      <w:bookmarkEnd w:id="648"/>
      <w:r>
        <w:rPr>
          <w:rFonts w:ascii="Amiri" w:hAnsi="Amiri" w:eastAsia="Amiri" w:cs="Amiri"/>
          <w:color w:val="111111"/>
          <w:sz w:val="28"/>
          <w:sz w:val="28"/>
          <w:szCs w:val="28"/>
          <w:rtl w:val="true"/>
          <w:lang w:bidi="ar-SA"/>
        </w:rPr>
        <w:t>و أمّا الثاني أعني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إكرام فسّاق العلماء، فالفرد المشتبه بما انّه يحتمل بقاؤه تحت العام يجب إكرامهكما يحتمل خروجه عن تحته و دخوله تحت المخصص فيحرم، فيدور الأمر بين المحذورين فيتخير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أعني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كالمرأة المرددة بين القرشية و غيرها، فإذا رأت الدم بعد الخمسين فيتردد أمر الدم بين كونه دم استحاضة أو دم حيض فتجمع بين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 أعني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فسّاق العلماء، فالفرد المشتبه مردد بين وجوب الإكرام و عدمه فتجري البراءة</w:t>
      </w:r>
      <w:r>
        <w:rPr>
          <w:rFonts w:eastAsia="Amiri" w:cs="Amiri" w:ascii="Amiri" w:hAnsi="Amiri"/>
          <w:color w:val="111111"/>
          <w:sz w:val="28"/>
          <w:szCs w:val="28"/>
          <w:rtl w:val="true"/>
          <w:lang w:bidi="ar-SA"/>
        </w:rPr>
        <w:t>.</w:t>
      </w:r>
    </w:p>
    <w:p>
      <w:pPr>
        <w:pStyle w:val="Heading2"/>
        <w:numPr>
          <w:ilvl w:val="1"/>
          <w:numId w:val="1"/>
        </w:numPr>
        <w:rPr/>
      </w:pPr>
      <w:bookmarkStart w:id="649" w:name="__RefHeading___Toc11691531_1280447820"/>
      <w:bookmarkStart w:id="650" w:name="_Toc233"/>
      <w:bookmarkEnd w:id="649"/>
      <w:r>
        <w:rPr>
          <w:rtl w:val="true"/>
        </w:rPr>
        <w:t>الفصل السابع</w:t>
      </w:r>
      <w:r>
        <w:rPr>
          <w:rtl w:val="true"/>
        </w:rPr>
        <w:t xml:space="preserve">: </w:t>
      </w:r>
      <w:r>
        <w:rPr>
          <w:rtl w:val="true"/>
        </w:rPr>
        <w:t>التمسك بالعام في غير الشك في التخصيص</w:t>
      </w:r>
      <w:bookmarkEnd w:id="650"/>
    </w:p>
    <w:p>
      <w:pPr>
        <w:pStyle w:val="BookText"/>
        <w:rPr/>
      </w:pPr>
      <w:r>
        <w:rPr>
          <w:rFonts w:ascii="IRNazanin" w:hAnsi="IRNazanin" w:eastAsia="IRNazanin"/>
          <w:color w:val="111111"/>
          <w:sz w:val="28"/>
          <w:sz w:val="28"/>
          <w:szCs w:val="28"/>
          <w:rtl w:val="true"/>
          <w:lang w:bidi="fa-IR"/>
        </w:rPr>
        <w:t>قال في الکفاية تبعا لما في تقريرات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يظهر عن بعضهم التمسك بالعمومات فيما إذا شك في فرد لا من جهة احتمال التخصيص بل من جهة أخرى كما إذا شك في صحة الوضوء أو الغسل بمائع مضاف فيستكشف صحته بعموم مثل أوفوا بالنذور فيما إذا وقع متعلقا للنذر بأن يقال وجب الإتيان بهذا الوضوء وفاء للنذر للعموم و كل ما يجب الوفاء به لا محالة يكون صحيحا للقطع بأنه لو لا صحته لما وجب الوفاء به و ربما يؤيد ذلك بما ورد من صحة الإحرام و الصيام قبل الميقات‌</w:t>
      </w:r>
      <w:r>
        <w:rPr>
          <w:rStyle w:val="FootnoteAnchor"/>
          <w:rtl w:val="true"/>
        </w:rPr>
        <w:footnoteReference w:id="438"/>
      </w:r>
      <w:r>
        <w:rPr>
          <w:rFonts w:ascii="Amiri" w:hAnsi="Amiri" w:eastAsia="Amiri" w:cs="Amiri"/>
          <w:color w:val="111111"/>
          <w:sz w:val="28"/>
          <w:sz w:val="28"/>
          <w:szCs w:val="28"/>
          <w:rtl w:val="true"/>
          <w:lang w:bidi="ar-SA"/>
        </w:rPr>
        <w:t>و في السفر</w:t>
      </w:r>
      <w:r>
        <w:rPr>
          <w:rStyle w:val="FootnoteAnchor"/>
          <w:rtl w:val="true"/>
        </w:rPr>
        <w:footnoteReference w:id="439"/>
      </w:r>
      <w:r>
        <w:rPr>
          <w:rFonts w:ascii="IRNazanin" w:hAnsi="IRNazanin" w:eastAsia="IRNazanin"/>
          <w:color w:val="111111"/>
          <w:sz w:val="28"/>
          <w:sz w:val="28"/>
          <w:szCs w:val="28"/>
          <w:rtl w:val="true"/>
          <w:lang w:bidi="fa-IR"/>
        </w:rPr>
        <w:t>إذا تعلق بهما النذر</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اجاب عن هذا الاشکال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 أن يقال إنه لا مجال لتوهم الاستدلال بالعمومات المتكفلة لأحكام العناوين الثانوية فيما شك من غير جهة تخصيصها إذا أخذ في موضوعاتها أحد الأحكام المتعلقة بالأفعال بعناوينها الأولية كما هو الحال في وجوب إطاعة الوالد و الوفاء بالنذر و شبهه في الأمور المباحة أو الراجحة ضرورة أنه معه لا يكاد يتوهم عاقل إذا شك في رجحان شي‌ء أو حليتهجواز التمسك بعموم دليل وجوب الإطاعة أو الوفاء في رجحانه أو حليته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ما قال أن الحكم الشرعي الثابت لموضوعه لا يخلو عن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ثابتاً للشي‌ء بعنوانه الأولي الذاتي، كالإباحة الثابتة لعنوان الماء و الحنطة و التمر و اللحم و نحوها من العناوين الذاتيّة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ثابتاً للشي‌ء بعنوانه الثانوي، بأن يكون ثابتاً له لتعنونه بعنوان خارج عن ذاته، لكن بشرط ثبوت حكم خاص لهذا الشي‌ء بعنوانه الأولي كالصوم، فان الوجوب قد ثبت له بعنوان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ذاته، لكن هذا الوجوب انما يثبت له بعنوانه الثانوي إذا كان بعنوانه الأولي أي بما هو صوم راجحاً، و كصلاة الليل، أو التصدق على الفقراء، و نحوهما من الأفعال الراجحة بعناوينها الأولية، حيث انها تجب بعد طرو 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كالوجوب الثابت للفعل بعنوان ثانوي، كإطاعة الوالد بشرط كون الفعل الّذي أمر به الوالد مباحاً بعنوانه الأولي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ثابتاً له بعنوانه الثانوي مطلقاً، أي بدون أن يكون ثبوت الحكم لهذا الشي‌ء بعنوانه الثانوي مشروطاً بثبوت حكم خاص له بعنوانه الأولي، كالحرمة الثابتة للغنم بعنوان كونها موطوءة، فان ثبوتها لها بهذا العنوان غير مشروط بثبوت الإباحة مثلا لها بعنوانها الذاتي الأولي، يعني لم تؤخذ الإباحة للغنم بعنوانها الأولي شرطاً في ترتب الحرمة عليها بعنوانها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كونها 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الحرمة تترتب عليها إذا صارت موطوءة و ان فرض عدم ثبوت أي حكم شرعي لها بعنوانها الأولي، أي قبل صيرورتها موطوءة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مجال للتمسك بالعموم في القسم الثاني ، لرجوع الشك فيه إلى الشك في ثبوت عنوان العام، لا في حكمه، حتى يصح التمسك بعمومه لإثبات الحكم للفرد المشكوك فيه، كالشك في عالمية زيد، فان من الواضح عدم جواز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عالميته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يكون رجحان المنذور في نفسه دخيلا في موضوع وجوب الوفاء بالنذر، بحيث يصير نذر الراجح موضوعاً له، فإذا شك في كون المنذور راجحاً في نفسه امتنع التمسك بدليل وجوب الوفاءبالنذر، لأن الشك يكون في الموضوع و هو كون هذا النذر نذر لراجح، و يمتنع إحراز الموضوع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شك في صحة الوضوء بالمضاف الّذي تعلق به النذر امتنع إثباتها بدليل وجوب الوفاء بالنذر، لكون الشك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نذره نذر لراجح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المعلوم أن دليل الحكم لا يثبت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وجوب في وجوب اطاعة الوالد فان إطاعة الوالد لا تجب مطلقاً، بل هي مشروطة بكون ما أمر به الوالد بعنوانه الأولي مباحاً أو غير حرام، فإذا شك في إباحته امتنع التمسك بدليل وجوب إطاعة الوالد لإحراز إباحته، لأن الشك انما هو في موضوع الدليل لا حكمه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بخلاف القسم الثالث فانه يجوز التمسک بالعام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بالتمسك به في جوازه بعد إحراز التمكن منه و القدرة عليه فيما لم يؤخذ في موضوعاتها حكم أصلا فإذا شك في جوازه صح التمسك بعموم دليلها في الحكم بجوازها</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التمسك بعموم الدليل في إثبات جواز الشي‌ء بعد إحراز القدرة عليه في القسم الثالث، و هو ما إذا كان الحكم ثابتاً للشي‌ء بعنوانه الثانوي مطلقاً أي من دون اشتراطه بثبوت حكم خاص له بعنوانه الأولي، كحرمة الفعل الضرري، حيث انها ثابتة للضرر الّذي هو عنوان ثانوي من دون اعتبار حكم خاص للفعل بعنوانه الأولي، فإذا فرضنا عدم دليل على دخل الرجحان في المنذور، أو الإباحة في موضوع وجوب إطاعة الوالد، و شككنا في اعتبارهما فيهما، فلا مانع من التمسك بعموم دليلي وجوب الوفاء بالنذر و إطاعة الوالد لوجوبهما، لكون الشك حينئذ شكاً في التخصيص، فلا مانع من التشبث بعمومهما لنفي اعتبار الرجحان و الإباحة في موضوعي النذر و الإطاعة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إنّ العناوين الثانوية التي لم يؤخذ في متعلقها حكم من الأحكام المتعلّقة بأفعال المكلّفين کالضرر و الحرج و الإكراه تفارق القسم السابق الذي أخذ في متعلّقه الرجحان أو الإباحة، و لأجل ذلك لو شكّ في جواز الصوم لأجل الضرر يقدّم على حكم العنوان الأوّلي بلا تردد، بخلاف القسم السابق فلا يقدّم إلّا إذا أحرز فيه الرجحان و الإباحة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الاستدلال علی ذلک او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صحّة الصيام في السفر و الإحرام قبل الميقات إذا نذر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کما في صحيح علي بن مهزيار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بندار مولى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نذرت أن أصوم كلّ يوم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عليه السلام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ليس عليك صومه في سفر و لا مرض إلّا أن تكون نويت ذلك</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جعل للّه عليه شكراً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 ليفِ للّه بما قال</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موثقي البطائني و ابي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ينهض الا لتصحيح الموردين تعبدا و لا يمکن التعدي عنهما لسائر الموارد لوجوب الوقوف في ما خالف القاعدة علی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المورد الثاني منهما مما اعرض عنه الاصحاب کما اوضحناه في کتابنا الدرر الفقهية فلا حجية فيه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المحقق الخراساني قيّد التمسّك بالقسم الثالث من العناوين الثانوية بشرط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التمسك بالحرج و الضرر و الإكراه لإثبات جواز الفرد المشكوك مشروط بكون الملاك فيها أقوى من ملاك الحكم الأوّلي، حيث إنّ الخمر و الصيام و الوضوء، محكومة بالعنوان الأوّلي بالحرمة أو الوجوب، و بالعنوان الثانوي بالجواز، فلا يقدّم العنوان الثانوي إلّا إذا كان الملاك في جانب العنوان الثانوي أقوى، و إلّا لم يؤثر أحد العنوانين فيرجع إلى الأُصول كالإباحة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كانت محكومة بعناوينها الأولية بغير حكمها بعناوينها الثانوية وقع المزاحمة بين المقتضيين و يؤثر الأقوى منهما لو كان في البين و إلّا لم يؤثر أحدهما و إلّا لزم الترجيح بلا مرجح فليحكم عليه حينئذ بحكم آخر كالإباحة إذا كان أحدهما مقتضيا للوجوب و الآخر للحرمة مثلا</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6640_202514"/>
    </w:p>
    <w:p>
      <w:pPr>
        <w:pStyle w:val="BookText"/>
        <w:rPr/>
      </w:pPr>
      <w:bookmarkEnd w:id="651"/>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في المقام مغاير لما سيأتي منه في البحث عن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العناوين الثانوية على العناوين الأوّلية مطلقاً و انّ التقديم مقتضى التوفيق العرفي بينهما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الحکومة علی مختار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الصحيح کما سيأتي </w:t>
      </w:r>
      <w:r>
        <w:rPr>
          <w:rFonts w:eastAsia="IRNazanin" w:cs="IRNazanin"/>
          <w:color w:val="111111"/>
          <w:sz w:val="28"/>
          <w:szCs w:val="28"/>
          <w:rtl w:val="true"/>
          <w:lang w:bidi="fa-IR"/>
        </w:rPr>
        <w:t>.</w:t>
      </w:r>
    </w:p>
    <w:p>
      <w:pPr>
        <w:pStyle w:val="Heading2"/>
        <w:numPr>
          <w:ilvl w:val="1"/>
          <w:numId w:val="1"/>
        </w:numPr>
        <w:rPr/>
      </w:pPr>
      <w:bookmarkStart w:id="652" w:name="__RefHeading___Toc11691533_1280447820"/>
      <w:bookmarkStart w:id="653" w:name="_Toc234"/>
      <w:bookmarkEnd w:id="652"/>
      <w:r>
        <w:rPr>
          <w:rtl w:val="true"/>
        </w:rPr>
        <w:t>الفصل الثامن</w:t>
      </w:r>
      <w:r>
        <w:rPr>
          <w:rtl w:val="true"/>
        </w:rPr>
        <w:t xml:space="preserve">: </w:t>
      </w:r>
      <w:r>
        <w:rPr>
          <w:rtl w:val="true"/>
        </w:rPr>
        <w:t>إحراز حال الفرد المشتبه بالأصل اللفظي‌</w:t>
      </w:r>
      <w:bookmarkEnd w:id="653"/>
    </w:p>
    <w:p>
      <w:pPr>
        <w:pStyle w:val="BookText"/>
        <w:rPr/>
      </w:pPr>
      <w:r>
        <w:rPr>
          <w:rFonts w:ascii="Amiri" w:hAnsi="Amiri" w:eastAsia="Amiri" w:cs="Amiri"/>
          <w:color w:val="111111"/>
          <w:sz w:val="28"/>
          <w:sz w:val="28"/>
          <w:szCs w:val="28"/>
          <w:rtl w:val="true"/>
          <w:lang w:bidi="ar-SA"/>
        </w:rPr>
        <w:t>و يعبر عن هذا البحث بدوران الامر بين التخصيص 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إثبات الثاني بالتمسّك بأصالة العموم أم لا؟ و للمسألة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علم من الخارج حرمة إكرام زيد، و دار الأمر بين كونه جاهلاً فيكون الخروج تخصّصاً، أو عالماً فيكون الخروج تخصيصاً، فهل يصحّ التمسّك بأصالة العموم و إثبات انّ الخروج تخصّصي و انّ زيداً جاهل لا عالم، فلو وقع الجاهل في لسان الدليل موضوعاً للأثر الشرعي يترتب عليه ذلك الأثر بفضل أصالة العموم؟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الأعظم في تقريراته إلى جواز التمسك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مقتضى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يجب إكرامه، و ينعكس بعكس النقيض إلى قولنا كلّ من لا يجب إكرامه ليس بعالم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جرى ديدنهم في الاستدلالات الفقهية، كاستدلالهم على طهارة الغسالة على أنها لا تنجس المحل فان كانت نجساً غير منجس يلزم تخصيص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نجس منجس</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أصالة عدم تخصيص عموم هذه القاعدة تثبت عدم فردية الغسالة للمتنجس، فتكون 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فبأصالة عدم التخصيص يحرز عدم فردية المشتبه للعام، و كون خروجه عنه بالتخصص، فيترتب عليه أحكام الضد، كالجاهل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تخصيص العام، و إخراج المشتبه منه حكماً مع بقائه فيه موضوعاً، فيمكن أن يحكم عليه بسائر أحكام العام، كما إذا فرضنا أن للعلماء أحكاما غير وجوب الإكرام، فإذا أخرجنا زيداً عنه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عن وجوب الإكرام فقط، و أما سائر أحكام العام فهي ثابتة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أشکل عليه المحقّق الخراساني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اختصاص حجيتها بما إذا شك في كون فرد العام محكوما بحكمه كما هو قضية عمومه و المثبت من الأصول اللفظية و إن كان حجة إلّا أنه لا بد من الاقتصار على ما يساعد عليه الدليل و لا دليل هاهنا إلّا السيرة و بناء العقلاء و لم يعلم استقرار بنائهم على ذلك فلا تغفل</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الأصل الرائج بين العقلاء هو الاحتجاج بها عند الشكّ في المراد كما إذا ورد العام و شكّ في خروج فرد منه و عدمه، فتجري أصالة العموم و تثبت تعلّق الإرادة الجدية به بعد تعلّق الإرادة الاستعمالية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علم المراد، و انّ زيداً على كلّ تقدير غير واجب الإكرام لكن شكّ في أمر آخر، و هو هل انّه جاهل فيكون خروجه تخصّصاً، أو عالم فيكون خروجه تخصيصيّاً؟ ففي مثله لا يحتجّ بأصالة العموم، و ذلك لانّها أصل اعتبر لاحتجاج المولى على العبد، و الصالح له، هو ما إذا كان الشكّ في المراد، لا في كيفية الإرادة من أنّها تخصيصية أو تخصّصية، إذ لا صلة لهذا بمقام الاحتجاج</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 للمسألة</w:t>
      </w:r>
      <w:r>
        <w:rPr>
          <w:rFonts w:eastAsia="Amiri" w:cs="Amiri" w:ascii="Amiri" w:hAnsi="Amiri"/>
          <w:color w:val="111111"/>
          <w:sz w:val="28"/>
          <w:szCs w:val="28"/>
          <w:rtl w:val="true"/>
          <w:lang w:bidi="ar-SA"/>
        </w:rPr>
        <w:t xml:space="preserve">: </w:t>
      </w:r>
      <w:bookmarkStart w:id="654" w:name="pg16640_202516"/>
    </w:p>
    <w:p>
      <w:pPr>
        <w:pStyle w:val="BookText"/>
        <w:rPr/>
      </w:pPr>
      <w:bookmarkEnd w:id="654"/>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و دار الأمر بين كون المراد، هو زيد العالم أو زيد الجاهل، فالظاهر صحّة التمسك بأصالة العموم و انّه لم يخصص، فيترتب عليه انّ الخارج هو زيد الجاهل، و أمّا زيد العالم فيجب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لأنّ الشكّ في هذه الصورة في المراد، فهل هو زيد العالم أو زيد الجاهل فهما شخصان؟</w:t>
      </w:r>
    </w:p>
    <w:p>
      <w:pPr>
        <w:pStyle w:val="BookText"/>
        <w:rPr/>
      </w:pPr>
      <w:r>
        <w:rPr>
          <w:rFonts w:ascii="Amiri" w:hAnsi="Amiri" w:eastAsia="Amiri" w:cs="Amiri"/>
          <w:color w:val="111111"/>
          <w:sz w:val="28"/>
          <w:sz w:val="28"/>
          <w:szCs w:val="28"/>
          <w:rtl w:val="true"/>
          <w:lang w:bidi="ar-SA"/>
        </w:rPr>
        <w:t>و قد ذهب الشيخ الأعظم إلى حجّية الأصل المذكور في كلّ من الصورتين مع وضوح الفرق بينهما، لأنّ الشكّ في الصورة الأُولى في كيفية الإرادة لا المراد، و أمّا الصورة الثانية فالشك و مركزه هو المراد و انّ أيّاً من الرجلين خرج عن تحت العام، إذ لو كان الخروج من باب التخصيص يحرم أو لا يجب إكرام زيد العالم، بخلاف ما لو كان الخروج تخصّصياً فيجب إكرامه</w:t>
      </w:r>
      <w:r>
        <w:rPr>
          <w:rFonts w:eastAsia="Amiri" w:cs="Amiri" w:ascii="Amiri" w:hAnsi="Amiri"/>
          <w:color w:val="111111"/>
          <w:sz w:val="28"/>
          <w:szCs w:val="28"/>
          <w:rtl w:val="true"/>
          <w:lang w:bidi="ar-SA"/>
        </w:rPr>
        <w:t>.</w:t>
      </w:r>
    </w:p>
    <w:p>
      <w:pPr>
        <w:pStyle w:val="Heading2"/>
        <w:numPr>
          <w:ilvl w:val="1"/>
          <w:numId w:val="1"/>
        </w:numPr>
        <w:rPr/>
      </w:pPr>
      <w:bookmarkStart w:id="655" w:name="__RefHeading___Toc11691535_1280447820"/>
      <w:bookmarkStart w:id="656" w:name="_Toc235"/>
      <w:bookmarkEnd w:id="655"/>
      <w:r>
        <w:rPr>
          <w:rtl w:val="true"/>
        </w:rPr>
        <w:t>الفصل التاسع</w:t>
      </w:r>
      <w:r>
        <w:rPr>
          <w:rtl w:val="true"/>
        </w:rPr>
        <w:t xml:space="preserve">: </w:t>
      </w:r>
      <w:r>
        <w:rPr>
          <w:rtl w:val="true"/>
        </w:rPr>
        <w:t>لزوم الفحص عن المخصّص</w:t>
      </w:r>
      <w:bookmarkEnd w:id="656"/>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في المقام وجوب الفحص عن المخصص و عدم وجوبه، بعد الفراغ عن حجية ظهوره في العموم من باب الظن النوعيّ للمشافهين و غيرهم ما لم يعلم بتخصيصه تفصيلا، و لم يكن من أطراف ما علم بتخصيصه إجمالا، حتى يكون الموجب للفحص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المقصود الشک في حجية ظهوره في العموم کما هو مقتضی استدلال بعض النافين لجواز التمسك بالعامّ قبل الفحص عن المخصص من عدم حصول </w:t>
      </w:r>
    </w:p>
    <w:p>
      <w:pPr>
        <w:pStyle w:val="BookText"/>
        <w:rPr/>
      </w:pPr>
      <w:r>
        <w:rPr>
          <w:rFonts w:ascii="Amiri" w:hAnsi="Amiri" w:eastAsia="Amiri" w:cs="Amiri"/>
          <w:color w:val="111111"/>
          <w:sz w:val="28"/>
          <w:sz w:val="28"/>
          <w:szCs w:val="28"/>
          <w:rtl w:val="true"/>
          <w:lang w:bidi="ar-SA"/>
        </w:rPr>
        <w:t>الظن بالمراد الّا بعد الفحص، و قد حكاه صاحب الوافية عن بعض كما قيل</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بعضهم الاخر بأنه لا دليل علىحجية أصالة العموم بالنسبة إلى غير المشافه و غير المقصود بالإفهام، و هذا منسوب إلى المحقق القمي</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بالعلم الإجمالي بورود مخصصات بين الأمارات الشرعية</w:t>
      </w:r>
      <w:r>
        <w:rPr>
          <w:rStyle w:val="FootnoteAnchor"/>
          <w:rtl w:val="true"/>
        </w:rPr>
        <w:footnoteReference w:id="451"/>
      </w:r>
      <w:r>
        <w:rPr>
          <w:rFonts w:ascii="Amiri" w:hAnsi="Amiri" w:eastAsia="Amiri" w:cs="Amiri"/>
          <w:color w:val="111111"/>
          <w:sz w:val="28"/>
          <w:sz w:val="28"/>
          <w:szCs w:val="28"/>
          <w:rtl w:val="true"/>
          <w:lang w:bidi="ar-SA"/>
        </w:rPr>
        <w:t>، و مع هذا العلم لا يمكن التشبث بالعموم، لسقوط أصالة العموم حينئذ الّا بعد انحلال العلم الإجمالي بالظفر بمخصصات بمقدار المعلوم بالإجمال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من اللازم البحث عنه من کلا الجهتين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سيرة الفقهاء على عدم جواز التمسك بالعام قبل الفحص عن المخصّص و اليأس عن الظفر 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التمسّك بقوله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حَرَّمَ الرِّبا</w:t>
      </w:r>
      <w:r>
        <w:rPr>
          <w:rStyle w:val="FootnoteAnchor"/>
          <w:rtl w:val="true"/>
        </w:rPr>
        <w:footnoteReference w:id="452"/>
      </w:r>
      <w:r>
        <w:rPr>
          <w:rFonts w:ascii="Amiri" w:hAnsi="Amiri" w:eastAsia="Amiri" w:cs="Amiri"/>
          <w:color w:val="111111"/>
          <w:sz w:val="28"/>
          <w:sz w:val="28"/>
          <w:szCs w:val="28"/>
          <w:rtl w:val="true"/>
          <w:lang w:bidi="ar-SA"/>
        </w:rPr>
        <w:t>إلّا بعد الفحص عن مخصّصه، كجواز الربا بين الزوج و الزوجة و الوالد و الولد، أو لا يجوز التمسّك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Style w:val="FootnoteAnchor"/>
          <w:rtl w:val="true"/>
        </w:rPr>
        <w:footnoteReference w:id="453"/>
      </w:r>
      <w:r>
        <w:rPr>
          <w:rFonts w:ascii="Amiri" w:hAnsi="Amiri" w:eastAsia="Amiri" w:cs="Amiri"/>
          <w:color w:val="111111"/>
          <w:sz w:val="28"/>
          <w:sz w:val="28"/>
          <w:szCs w:val="28"/>
          <w:rtl w:val="true"/>
          <w:lang w:bidi="ar-SA"/>
        </w:rPr>
        <w:t>قبل الفحص عن مخصصه، كلزوم الإتمام لكثير السفر، أو لمن حرم سفره، أو أقام عشرة أيام في مكان، و غير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من طرح المسألة هو ابن سريج في أوائل القرن الرابع و خالفه تلميذه أبو بكر الصيرفي حيث استشكل على الأُستاذ بأنّه لو وجب الفحص عن المخصّص في التمسّك </w:t>
      </w:r>
      <w:bookmarkStart w:id="657" w:name="pg16640_202518"/>
    </w:p>
    <w:p>
      <w:pPr>
        <w:pStyle w:val="BookText"/>
        <w:rPr/>
      </w:pPr>
      <w:bookmarkEnd w:id="657"/>
      <w:r>
        <w:rPr>
          <w:rFonts w:ascii="Amiri" w:hAnsi="Amiri" w:eastAsia="Amiri" w:cs="Amiri"/>
          <w:color w:val="111111"/>
          <w:sz w:val="28"/>
          <w:sz w:val="28"/>
          <w:szCs w:val="28"/>
          <w:rtl w:val="true"/>
          <w:lang w:bidi="ar-SA"/>
        </w:rPr>
        <w:t>بالعام وجب الفحص عن قرينة المجاز عند الحمل على الحقيقة</w:t>
      </w:r>
      <w:r>
        <w:rPr>
          <w:rStyle w:val="FootnoteAnchor"/>
          <w:rtl w:val="true"/>
        </w:rPr>
        <w:footnoteReference w:id="454"/>
      </w:r>
      <w:r>
        <w:rPr>
          <w:rFonts w:ascii="Amiri" w:hAnsi="Amiri" w:eastAsia="Amiri" w:cs="Amiri"/>
          <w:color w:val="111111"/>
          <w:sz w:val="28"/>
          <w:sz w:val="28"/>
          <w:szCs w:val="28"/>
          <w:rtl w:val="true"/>
          <w:lang w:bidi="ar-SA"/>
        </w:rPr>
        <w:t>، و سيأتي الجواب 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الفحص عن المخصص أمراً متفقاً عليه، يقع الكلام فيما هو الوجه لاتّفاق العلماء على هذا الأصل، و قد ذكروا هنا وجوهاً ثلاثة</w:t>
      </w:r>
      <w:r>
        <w:rPr>
          <w:rFonts w:eastAsia="Amiri" w:cs="Amiri" w:ascii="Amiri" w:hAnsi="Amiri"/>
          <w:color w:val="111111"/>
          <w:sz w:val="28"/>
          <w:szCs w:val="28"/>
          <w:rtl w:val="true"/>
          <w:lang w:bidi="ar-SA"/>
        </w:rPr>
        <w:t>:</w:t>
      </w:r>
    </w:p>
    <w:p>
      <w:pPr>
        <w:pStyle w:val="Heading2"/>
        <w:numPr>
          <w:ilvl w:val="1"/>
          <w:numId w:val="1"/>
        </w:numPr>
        <w:rPr/>
      </w:pPr>
      <w:bookmarkStart w:id="658" w:name="__RefHeading___Toc11691537_1280447820"/>
      <w:bookmarkStart w:id="659" w:name="_Toc236"/>
      <w:bookmarkEnd w:id="658"/>
      <w:r>
        <w:rPr>
          <w:rtl w:val="true"/>
        </w:rPr>
        <w:t>الأوّل</w:t>
      </w:r>
      <w:r>
        <w:rPr>
          <w:rtl w:val="true"/>
        </w:rPr>
        <w:t xml:space="preserve">: </w:t>
      </w:r>
      <w:r>
        <w:rPr>
          <w:rtl w:val="true"/>
        </w:rPr>
        <w:t>وقوع العام في معرض التخصيص</w:t>
      </w:r>
      <w:bookmarkEnd w:id="659"/>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عدم جواز التمسك به قبل الفحص فيما إذا كان في معرض التخصيص كما هو الحال في عمومات الكتاب و السنة و ذلك لأجلأنه لو لا القطع باستقرار سيرة العقلاء على عدم العمل به قبله فلا أقل من الشك كيف و قد ادعي الإجماع على عدم جوازه فضلا عن نفي الخلاف عنه و هو كاف في عدم الجواز كما لا يخفى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يكن العام كذلك كما هو الحال في غالب العمومات الواقعة في ألسنة أهل المحاورات فلا شبهة في أن السيرة على العمل به بلا فحص عن مخصص</w:t>
      </w:r>
      <w:r>
        <w:rPr>
          <w:rFonts w:eastAsia="Amiri" w:cs="Amiri" w:ascii="Amiri" w:hAnsi="Amiri"/>
          <w:color w:val="111111"/>
          <w:sz w:val="28"/>
          <w:szCs w:val="28"/>
          <w:rtl w:val="true"/>
          <w:lang w:bidi="ar-SA"/>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تارة يكون في معرض التخصيص، و أخرى لا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لا وجه للتمسك بأصالة العموم فيه قبل الفحص عن المخصص، إذ لم يثبت بناء العقلاء الّذي هو دليل حجية هذه الأصالة على جريانها قبل الفحص فيما إذا كان العام في معرض التخصيص، و لا أقل من الشك في جريانها، فيشك حينئذ في اعتبارها، و هو كاف في عدم حجيتها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الاول عمومات الکتاب و السنة حيث ان الغالب تخصيص عموماتها، </w:t>
      </w:r>
      <w:bookmarkStart w:id="660" w:name="pg16640_202519"/>
    </w:p>
    <w:p>
      <w:pPr>
        <w:pStyle w:val="BookText"/>
        <w:rPr/>
      </w:pPr>
      <w:bookmarkEnd w:id="660"/>
      <w:r>
        <w:rPr>
          <w:rFonts w:ascii="Amiri" w:hAnsi="Amiri" w:eastAsia="Amiri" w:cs="Amiri"/>
          <w:color w:val="111111"/>
          <w:sz w:val="28"/>
          <w:sz w:val="28"/>
          <w:szCs w:val="28"/>
          <w:rtl w:val="true"/>
          <w:lang w:bidi="ar-SA"/>
        </w:rPr>
        <w:t>و اعتماد الشارع في بيان مراده على القرائن المنفصلة، و مع هذه الغلبة و الاعتماد لا يبقى وثوق بإرادة العموم و عدم تخصيصه، بحيث يوجب ذلك تزلزل حجية أصالة العموم قبل الفحص لأن دليل حجيتها بناء العقلاء، و هو من الأدلة اللبية التي لا بد من الأخذ بما هو المتيقن منها، ففي المقام لا تجري أصالة العموم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 ينبغي الإشكال في جواز التمسك بالعامّ قبل الفحص لاستقرار سيرة العقلاء عليه، إذ المفروض كون الغالب تعلق إرادات المتكلمين بنفس العمومات من دون تخصيص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المخصّص المتصل فلا يجب الفحص عنه، لأنّ سقوطه عن الكلام عمداً ينافي وثاقة الراوي، و سهواً يخالف الأصل العقلائي المجمع عليه من أصالة عدم السهو في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على المولى هو بيان التكاليف على النحو الذي لو تفحص عنه العبد لوجدها و لا يجب على المولى إيصال التكاليف إلى العبد مباشرة من دون حاجة إلى الفحص و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کما قاله صاحب الکفاية لکن من الجهة الاولی يعني بعد الفراغ عن حجية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الجهة الثانية فسيأتي البحث عنها</w:t>
      </w:r>
      <w:r>
        <w:rPr>
          <w:rFonts w:eastAsia="IRNazanin" w:cs="IRNazanin"/>
          <w:color w:val="111111"/>
          <w:sz w:val="28"/>
          <w:szCs w:val="28"/>
          <w:rtl w:val="true"/>
          <w:lang w:bidi="fa-IR"/>
        </w:rPr>
        <w:t>.</w:t>
      </w:r>
    </w:p>
    <w:p>
      <w:pPr>
        <w:pStyle w:val="Heading2"/>
        <w:numPr>
          <w:ilvl w:val="1"/>
          <w:numId w:val="1"/>
        </w:numPr>
        <w:rPr/>
      </w:pPr>
      <w:bookmarkStart w:id="661" w:name="__RefHeading___Toc11691539_1280447820"/>
      <w:bookmarkStart w:id="662" w:name="_Toc237"/>
      <w:bookmarkEnd w:id="661"/>
      <w:r>
        <w:rPr>
          <w:rtl w:val="true"/>
        </w:rPr>
        <w:t>الثاني</w:t>
      </w:r>
      <w:r>
        <w:rPr>
          <w:rtl w:val="true"/>
        </w:rPr>
        <w:t xml:space="preserve">: </w:t>
      </w:r>
      <w:r>
        <w:rPr>
          <w:rtl w:val="true"/>
        </w:rPr>
        <w:t>الظن الشخصي بالتكليف رهن الفحص</w:t>
      </w:r>
      <w:bookmarkEnd w:id="66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الظن الشخصي بالمراد الجدي لا يحصل قبل الفحص عن المخصّص، فلا بدّ من الفحص حتّى يحصل الظن الشخصي بالمراد، و يمتثل</w:t>
      </w:r>
      <w:r>
        <w:rPr>
          <w:rFonts w:eastAsia="Amiri" w:cs="Amiri" w:ascii="Amiri" w:hAnsi="Amiri"/>
          <w:color w:val="111111"/>
          <w:sz w:val="28"/>
          <w:szCs w:val="28"/>
          <w:rtl w:val="true"/>
          <w:lang w:bidi="ar-SA"/>
        </w:rPr>
        <w:t xml:space="preserve">. </w:t>
      </w:r>
      <w:bookmarkStart w:id="663" w:name="pg16640_202520"/>
    </w:p>
    <w:p>
      <w:pPr>
        <w:pStyle w:val="BookText"/>
        <w:rPr/>
      </w:pPr>
      <w:bookmarkEnd w:id="663"/>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العام في مظان التخصيص كاف في لزوم الفحص من دون حاجة إلى إثبات أنّ الظنّ الشخصي رهن الفحص، و من المعلوم أنّ الأوّل أقلّ مؤونة من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حجّية الظواهر ليس هو الظنّ الشخصي، بل مناطه عند المشهور الظن النوعي عند مشهور الأُصوليّين؛ أو الوثوق بالمراد 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كلا التقديرين لا محيص من 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فانّ حصول الظن النوعي رهن الفحص عن المخصص إذا كان ديدن المولى على فصل المخصص عن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فانّ الوثوق لا يحرز الّا بالفحص عن المخصص</w:t>
      </w:r>
      <w:r>
        <w:rPr>
          <w:rFonts w:eastAsia="Amiri" w:cs="Amiri" w:ascii="Amiri" w:hAnsi="Amiri"/>
          <w:color w:val="111111"/>
          <w:sz w:val="28"/>
          <w:szCs w:val="28"/>
          <w:rtl w:val="true"/>
          <w:lang w:bidi="ar-SA"/>
        </w:rPr>
        <w:t>.</w:t>
      </w:r>
    </w:p>
    <w:p>
      <w:pPr>
        <w:pStyle w:val="Heading2"/>
        <w:numPr>
          <w:ilvl w:val="1"/>
          <w:numId w:val="1"/>
        </w:numPr>
        <w:rPr/>
      </w:pPr>
      <w:bookmarkStart w:id="664" w:name="__RefHeading___Toc11691541_1280447820"/>
      <w:bookmarkStart w:id="665" w:name="_Toc238"/>
      <w:bookmarkEnd w:id="664"/>
      <w:r>
        <w:rPr>
          <w:rtl w:val="true"/>
        </w:rPr>
        <w:t>الثالث</w:t>
      </w:r>
      <w:r>
        <w:rPr>
          <w:rtl w:val="true"/>
        </w:rPr>
        <w:t xml:space="preserve">: </w:t>
      </w:r>
      <w:r>
        <w:rPr>
          <w:rtl w:val="true"/>
        </w:rPr>
        <w:t>وجود العلم الإجمالي بالمخصّص</w:t>
      </w:r>
      <w:bookmarkEnd w:id="665"/>
    </w:p>
    <w:p>
      <w:pPr>
        <w:pStyle w:val="BookText"/>
        <w:rPr/>
      </w:pPr>
      <w:r>
        <w:rPr>
          <w:rFonts w:ascii="Amiri" w:hAnsi="Amiri" w:eastAsia="Amiri" w:cs="Amiri"/>
          <w:color w:val="111111"/>
          <w:sz w:val="28"/>
          <w:sz w:val="28"/>
          <w:szCs w:val="28"/>
          <w:rtl w:val="true"/>
          <w:lang w:bidi="ar-SA"/>
        </w:rPr>
        <w:t>إنّ العلم الإجمالي بالمخصّص يمنع عن جريان الأصل اللفظي، كما أنّه يمنع عن جريان الأصل العملي، فكما لا تجري أصالة الطهارة في الإنائين المشتبهين فهكذا لا تجري أصالة العموم في عمومات الكتاب و السنّة، و الجامع وجود العلم الإجمالي بالتكليف المخالف لمقتضى الأصل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الدليل لا علاقة له بالجهة الاولی بل حتی لو فرضنا ان العام حجة فالعلم الاجمالي مانع من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فانّ الواجب على المولى هو بيان التكاليف على النحو الذي لو تفحص عنه العبد لوجدها و لا يجب على المولى إيصال التكاليف إلى العبد مباشرة من دون حاجة إلى الفحص و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فيحکم العقل بالفحص عن المخصص لمجرد احتماله و لا يفرق فيه هنا بين کون العام في معرض التخصيص او لا يکون في معرضه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يقال بوجوب الفحص لبناء العقلاء علی ذلک کما لو راجع احد الناس من المدعين لحق لصاحب الدفتر و کان صاحب الدفتر من دأبه تثبيت جميع ديونه في دفتره فهو ملزم بالفحص عما فيه و لا مجال لجريان البراءة عن اشتغال الذمة بدون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بناء العقلاء علی الفحص في المقام لنکتة عقلية و هي حکم العقل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اصل الاستدلال بالعلم الاجمالي باشکالات ثلاثة مرجعها الی انحلال العلم الاجمالي و عدم وجوب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قد عرفت انه يجب الفحص حتی مع انحلال العلم الاجمالي لحکم العقل بذلک و عليه فلا ثمرة في هذه الاشکالات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نذکرها مع جوابها و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المناط هو وجود العلم الإجمالي بالمخصص لزم إيقاف الفحص إذا ظفر بالمقدار المعلوم بالإجمال، مثلًا نفترض أنّه لو علم بأنّ في الشريعة الإسلامية حوالي خمسين مخصصاً فأخذ بالفحص في أحاديث الكافي فظفر بهذا المقدار، تفصيلًا، فلازم ذلك الحال العلم الإجمالي إلى علم تفصيلي بوجود مخصصات قطعية في كتاب الكافي و شك بدويّ في غيره و نتيجة الانحلال عدم وجوب الفحص عندئذ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التهذيب، مع أنّ سيرة العلماء هو الفحص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ظفر بالمقدار المعلوم إجمالًا بمجرد مطالعة الكافي يُكشف له بطلان العلم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المخصص حوالي خمسين رواية، بل يحصل له العلم بسعة دائرة العلم الإجمالي بوجود مخصّصات أُخرى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التهذيب، فيكون الميزان هو وجود العلم الإجمالي أيضاً و انحلاله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 عن الاشکال المحقّق النائيني بوجه آخر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المعلوم بالإجمال تارة يكون مرسلًا غير معلّم بعلامة، و أُخرى معلّماً بعلامة و انحلال العلم الإجمالي بالعثور على المقدار المتيقّن إنّما يكون في القسم الأوّل، لأنّ منشأ العلم فيه هو ضم قضية مشكوكة إلى قضية متيقّنة، كما إذا علم بأنّه مديون لزيد و تردد الدين بين أن يكون خمسة دنانير أو عشرة، و أمّا القسم الثاني فلا ينحلّ به، بل حاله حال دوران الأمر بين المتباينين، و لا انحلال في مثله لعدم الرجوع إلى العلم بالأقل، و الشكّ في الأكثر من أوّل الأمر، بل يتعلّق العلم بجميع الأطراف بحيث لو كان الأكثر واجباً لكان ممّا تعلّق به العلم و تنجز بسببه و ليس الأكثر مشكوكاً فيه من أوّل الأمر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العنوان المتعلّق بالعلم الذي يعبّر عنه المحقّق النائيني بالعلامة، ذا أثر شرعي لكان لما ذكره وجه، كما إذا تعلّق العلم الإجمالي بوجود خمسة شياه موطوءة في قطيع غنم، فقامت البيّنة على حرمة أكل خمسة شياه معينة، فهذا النحو من العلم التفصيلي لا ينحل به العلم الإجمالي، بل يجب‌الاجتناب عن الجميع أيضاً، و ذلك لأنّ المعلوم بالإجمال كان معنوناً بعنوان الموطوءة، و لكنّ البيّنة قامت على مجرّد حرمة أكلها، و هي أعمّ من كونها 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العنوان فاقداً للأثر كما في المقام فلا يجب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القضيتين إحداهما مرسلة و الأُخرى معنونة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بأنّه أتلف دنانير لزيد مردّدة بين الخمسة و العشرة، فبما انّ الخمسة معلومة تفصيلًا و الزائد عليها مشكوكة، ينحل العلم الإجمالي إلى علم تفصيلي و شكّ بدوي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أتلف الدنانير الموجودة في كيس زيد، و هي مردّدة بين الخمسة و العشرة، فإنّ المعلوم بالإجمال معنون بما في الكيس، لكن ذلك لا يمنع عن الانحلال، لعدم ترتّب الأثر على قوله في الكيس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نظيره تعلّق العلم الإجمالي في المقام بما في الكتب التي بأيدينا، إذ ليس للقيد بما في الكتب أثر شرعي، و إنّما الأثر الشرعي نفس المخصصات و الكتب ظرف لها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الفحص لأجل وجود العلم الإجمالي لزم عدم جواز التمسك بالعام حتّى بعد الفحص لعدم انحلال العلم الإجمالي حتّى بعد المراجعة إلى الكتب التي بأيدينا، سواء كانت معتبرة أم لا، لأنّ العلم بالمخصّصات لا ينحصر فيما بأيدينا من الكتب، بل يعمّ الكتب المؤلفة في عصور الأئمّة التي ضاعت و لم تصل إلينا، كجامع البزنطي المتوفّى عام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 نوادر الحكمة لمحمد بن أحمد بن يحيى المتوفّى حوالي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 غيرهما و معه كيف ينحلّ؟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سيوافيك عند البحث في دليل الانسداد انّ ادّعاء العلم الإجمالي بوجود أخبار متضمّنة لأحكام عامّة أو خاصّة في الكتب التالفة مجرد احتمال لا يدعمه دليل، بل المحمدون الثلاثة نقلوا ما في الجوامع الأوّلية إلى كتبهم بنظم و نسق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الفحص عن كلّ الكتب الموجودة بأيدينا، سواء كانت من المعتبرة أو غير المعتبرة، و سواء كان الكتاب فقهاً أو حديثاً أو أخلاقاً، و من المعلوم أنّ وقت المجتهد لا يسع لهذا المقدار من الفحص</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دائرة العلم الإجمالي ضيّقة من أوّل الأمر، إذ لا علم لنا بوجود روايات صحيحة متضمنة لأحكام عامة أو خاصة في غير الكتب المعتبرة، بل وجود الروايات فيها مشكوك من أوّل الأمر و ليس طرفاً للعلم الإجمالي</w:t>
      </w:r>
      <w:r>
        <w:rPr>
          <w:rFonts w:eastAsia="Amiri" w:cs="Amiri" w:ascii="Amiri" w:hAnsi="Amiri"/>
          <w:color w:val="111111"/>
          <w:sz w:val="28"/>
          <w:szCs w:val="28"/>
          <w:rtl w:val="true"/>
          <w:lang w:bidi="ar-SA"/>
        </w:rPr>
        <w:t xml:space="preserve">. </w:t>
      </w:r>
      <w:bookmarkStart w:id="666" w:name="pg16640_202524"/>
    </w:p>
    <w:p>
      <w:pPr>
        <w:pStyle w:val="Heading2"/>
        <w:numPr>
          <w:ilvl w:val="1"/>
          <w:numId w:val="1"/>
        </w:numPr>
        <w:rPr/>
      </w:pPr>
      <w:bookmarkStart w:id="667" w:name="__RefHeading___Toc11691543_1280447820"/>
      <w:bookmarkStart w:id="668" w:name="_Toc239"/>
      <w:bookmarkEnd w:id="666"/>
      <w:bookmarkEnd w:id="667"/>
      <w:r>
        <w:rPr>
          <w:rtl w:val="true"/>
        </w:rPr>
        <w:t>هل الفحص عن المخصّص فحص عن المزاحم أو المتمم للحجّية؟</w:t>
      </w:r>
      <w:bookmarkEnd w:id="668"/>
    </w:p>
    <w:p>
      <w:pPr>
        <w:pStyle w:val="BookText"/>
        <w:rPr/>
      </w:pPr>
      <w:r>
        <w:rPr>
          <w:rFonts w:ascii="Amiri" w:hAnsi="Amiri" w:eastAsia="Amiri" w:cs="Amiri"/>
          <w:color w:val="111111"/>
          <w:sz w:val="28"/>
          <w:sz w:val="28"/>
          <w:szCs w:val="28"/>
          <w:rtl w:val="true"/>
          <w:lang w:bidi="ar-SA"/>
        </w:rPr>
        <w:t>ثم انّ البحث عن المخصص هل هو بحث عمّا يزاحم الحجية، بمعنى انّ العام حجّة تامة لا نقص فيها و انّما نبحث عمّا يزاحم حجّيتها، أو هو فحص عن متمم الحجية بمعنى انّ العام الواقع في مظان التخصيص ليس بحجّة عند العقلاء حتّى يفحص عن مخصصه فيكون عدم المخصص مكمّلاً لحجّية العام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المحقّق الخراساني إلى القول الاول و انّ الفحص في المقام فحص عن المزاحم بخلافه في جريان الأُصول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هنا يكون عن المانع، حيث ان ظهور العام في العموم مقتض للحجية، فان لم يكن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الظهور المزبور حجة فعلية، فالفحص هنا فحص عما هو مانع عن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يكون الفحص في الأصول العقلية محققاً لموضوعها، و هو عدم البيان المأخوذ موضوعاً لقاعدة قبح العقاب بلا بيان، ضرورة أن إحراز عدم البيان موقوف على الفحص، فبدونه لا يحرز موضوع هذه القاعدة حتى يستقل العقل بقبح المؤاخذة على الواقع، فلو فرض أن شرب التتن حرام واقعاً، و قبل الفحص عن الدليل الاجتهادي أجرى قاعدة قبح العقاب بلا بيان، و شرب التتن، فانه لا إشكال في استحقاقه العقوبة على المخالفة، فالفحص في الأصل العقلي محقق لموضوعه و هو عدم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في الأصول العملية الشرعية كأصالة البراءة، فان إطلاق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إجماعاً بالفحص، بحيث يكون الفحص قيداً لجواز الرجوع إلى الأصل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في الأصول اللفظية ليس دخيلا في المقتضي للحجية حيث ان مقتضيها محرز، و الفحص انما يكون عن مانع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الفحص في الأصول العملية، فانه دخيل في المقتضي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الأصل العقلي، فلما عرفت من أن الفحص محقق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الأصل الشرعي فلان الفحص دخيل في قيد موضوعه، إذ ليس عدم العلم بنحو الإطلاق موضوعاً للبراءة الشرعية، و انما موضوعها عدم العلم بعد الفحص، بل الفحص في كل من الأصلالعقلي و الشرعي محقق للموضوع، و هو عدم الحجة و البيان على الحكم الشرعي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ذهبا المحقّققان الاصفهانيّ و الخوئيّ إلى أنّ الفحص عن المخصّص في العمومات الّتي تكون في معرض التخصيص فحص عن متمّم الحجّة و عن محقّق الموضوع و نکتفي بعبارة الثاني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هذه العمومات التي قد علمنا من الخارج انها في معرض التخصيص و ان دأب المتكلم بها انما هو على بيان مراداته الواقعية منها بالقرائن المنفصلة المتأخرة عنها زماناً أو المتقدمة عليها كذلك لا يكون حجة قبل الفحص، لعدم إحراز بناء العقلاء على العمل بها قبله، و بدونه فلا يمكن التمسك بها، حيث ان عمدة الدليل على حجيتها انما هو بناء العقلاء على التمسك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اننا لم نحرز البناء منهم بالتمسك بتلك الطائفة من العمومات قبل الفحص عن وجود القرائن على خلافها فلا يمكن الحكم بحجيتها بدونه، فإذاً بطبيعة الحال كان الفحص عن وجود تلك القرائن بالإضافة إلى هذه العمومات متمماً للموضوع و المقتضي للعمل بها و بدونه لا يتم‌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669" w:name="pg16640_202526"/>
    </w:p>
    <w:p>
      <w:pPr>
        <w:pStyle w:val="BookText"/>
        <w:rPr/>
      </w:pPr>
      <w:bookmarkEnd w:id="669"/>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الحكم بحجيتها بدون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المانع لا لعدم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قاله المحقق الخراساني هو الصحيح </w:t>
      </w:r>
      <w:r>
        <w:rPr>
          <w:rFonts w:eastAsia="Amiri" w:cs="Amiri" w:ascii="Amiri" w:hAnsi="Amiri"/>
          <w:color w:val="111111"/>
          <w:sz w:val="28"/>
          <w:szCs w:val="28"/>
          <w:rtl w:val="true"/>
          <w:lang w:bidi="ar-SA"/>
        </w:rPr>
        <w:t>.</w:t>
      </w:r>
    </w:p>
    <w:p>
      <w:pPr>
        <w:pStyle w:val="Heading2"/>
        <w:numPr>
          <w:ilvl w:val="1"/>
          <w:numId w:val="1"/>
        </w:numPr>
        <w:rPr/>
      </w:pPr>
      <w:bookmarkStart w:id="670" w:name="__RefHeading___Toc11691545_1280447820"/>
      <w:bookmarkStart w:id="671" w:name="_Toc240"/>
      <w:bookmarkEnd w:id="670"/>
      <w:r>
        <w:rPr>
          <w:rtl w:val="true"/>
        </w:rPr>
        <w:t>مقدار الفحص</w:t>
      </w:r>
      <w:bookmarkEnd w:id="671"/>
    </w:p>
    <w:p>
      <w:pPr>
        <w:pStyle w:val="BookText"/>
        <w:rPr/>
      </w:pPr>
      <w:r>
        <w:rPr>
          <w:rFonts w:ascii="Amiri" w:hAnsi="Amiri" w:eastAsia="Amiri" w:cs="Amiri"/>
          <w:color w:val="111111"/>
          <w:sz w:val="28"/>
          <w:sz w:val="28"/>
          <w:szCs w:val="28"/>
          <w:rtl w:val="true"/>
          <w:lang w:bidi="ar-SA"/>
        </w:rPr>
        <w:t>و أمّا مقدار الفحص اللازم فذهب ابن الحاجب إلى ما به يظنّ بعدم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القاضي الباقلانيّ أنّ المقدار اللازم ما به يقطع بعدم المخصّص</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المحقّق النائينيّ إلى أنّ المقدار اللازم ما به يحصل الاطمئنان و سكون النفس بعدم وجود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السيّد المحقّق الخوئيّ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تابع لدليل وجوبه، فان كان دليله العلم الإجمالي، فالمقدار الواجب من الفحص ما ينحل به العلم الإجمالي و هو الظفر بمخصصات بمقدار المعلوم بالإجمال حتى يخرج العام من أطراف العلم الإجمالي المانع عن جريان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دليل وجوب الفحص عدم حصول الظن بالمراد قبل الفحص عن المخصص، فالمقدار اللازم منه ما يوجب الظن بعدم التخصيص حتى يحصل الظن بإرادة المتكلم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الدليل على وجوبه عدم الدليل على حجية الخطابات لغير المشافهين، فاللازم حينئذ الفحص حتى يقوم الإجماع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الدليل وقوع العام في </w:t>
      </w:r>
      <w:bookmarkStart w:id="672" w:name="pg16640_202527"/>
    </w:p>
    <w:p>
      <w:pPr>
        <w:pStyle w:val="BookText"/>
        <w:rPr/>
      </w:pPr>
      <w:bookmarkEnd w:id="672"/>
      <w:r>
        <w:rPr>
          <w:rFonts w:ascii="Amiri" w:hAnsi="Amiri" w:eastAsia="Amiri" w:cs="Amiri"/>
          <w:color w:val="111111"/>
          <w:sz w:val="28"/>
          <w:sz w:val="28"/>
          <w:szCs w:val="28"/>
          <w:rtl w:val="true"/>
          <w:lang w:bidi="ar-SA"/>
        </w:rPr>
        <w:t>مظان التخصيص فيجب الفحص حتّى يخرج العام عن ذلك المظان بالرجوع إلى الكتب الأربعة، أو الوسائل المتضمنة لها و لسبعين كتاباً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اعترض المحقّق الخوئي على الاخير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يرجع إلى معنى محصل، لأنّه بالفحص لا يخرج عن المعرضية، لأنّ الشي‌ء لا ينقلب عمّا هو عليه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المعرضية احتمال وجود مخصص وارد عليه موجود في الكتب الروائية فإذا سبر و لم يجد المخصص ينتفي ذلك الاحتمال و بالتالي يخرج عن المعرضية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فکلام المحقق الخراساني هو المعتمد </w:t>
      </w:r>
      <w:r>
        <w:rPr>
          <w:rFonts w:eastAsia="IRNazanin" w:cs="IRNazanin"/>
          <w:color w:val="111111"/>
          <w:sz w:val="28"/>
          <w:szCs w:val="28"/>
          <w:rtl w:val="true"/>
          <w:lang w:bidi="fa-IR"/>
        </w:rPr>
        <w:t>.</w:t>
      </w:r>
    </w:p>
    <w:p>
      <w:pPr>
        <w:pStyle w:val="Heading2"/>
        <w:numPr>
          <w:ilvl w:val="1"/>
          <w:numId w:val="1"/>
        </w:numPr>
        <w:rPr/>
      </w:pPr>
      <w:bookmarkStart w:id="673" w:name="__RefHeading___Toc11691547_1280447820"/>
      <w:bookmarkStart w:id="674" w:name="_Toc241"/>
      <w:bookmarkEnd w:id="673"/>
      <w:r>
        <w:rPr>
          <w:rtl w:val="true"/>
        </w:rPr>
        <w:t>الفصل العاشر</w:t>
      </w:r>
      <w:r>
        <w:rPr>
          <w:rtl w:val="true"/>
        </w:rPr>
        <w:t xml:space="preserve">: </w:t>
      </w:r>
      <w:r>
        <w:rPr>
          <w:rtl w:val="true"/>
        </w:rPr>
        <w:t>في الخطابات الشفاهية</w:t>
      </w:r>
      <w:bookmarkEnd w:id="674"/>
    </w:p>
    <w:p>
      <w:pPr>
        <w:pStyle w:val="BookText"/>
        <w:rPr/>
      </w:pPr>
      <w:r>
        <w:rPr>
          <w:rFonts w:ascii="Amiri" w:hAnsi="Amiri" w:eastAsia="Amiri" w:cs="Amiri"/>
          <w:color w:val="111111"/>
          <w:sz w:val="28"/>
          <w:sz w:val="28"/>
          <w:szCs w:val="28"/>
          <w:rtl w:val="true"/>
          <w:lang w:bidi="ar-SA"/>
        </w:rPr>
        <w:t>هل الخطابات الشفاهية تختص بالحاضرين في محل التخاطب، أو تعمّ غيرهم من الغائبين و المعدومين؟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بها الكلام المقرون بأداة الخطاب،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ascii="IRNazanin" w:hAnsi="IRNazanin" w:eastAsia="IRNazanin"/>
          <w:color w:val="111111"/>
          <w:sz w:val="28"/>
          <w:sz w:val="28"/>
          <w:szCs w:val="28"/>
          <w:rtl w:val="true"/>
          <w:lang w:bidi="fa-IR"/>
        </w:rPr>
        <w:t xml:space="preserve"> و نحوهما، فلا تشمل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عَلَى النَّاسِ حِجُّ الْبَيْتِ مَنِ اسْتَطاعَ إِلَيْهِ سَبِيلاً مما لا يكون مقروناً بأداة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قضية حقيقية شاملا لجميع المكلفين من الحاضرينو الغائبين، بل المعدومين، لأن </w:t>
      </w:r>
    </w:p>
    <w:p>
      <w:pPr>
        <w:pStyle w:val="BookText"/>
        <w:rPr/>
      </w:pPr>
      <w:r>
        <w:rPr>
          <w:rFonts w:ascii="Amiri" w:hAnsi="Amiri" w:eastAsia="Amiri" w:cs="Amiri"/>
          <w:color w:val="111111"/>
          <w:sz w:val="28"/>
          <w:sz w:val="28"/>
          <w:szCs w:val="28"/>
          <w:rtl w:val="true"/>
          <w:lang w:bidi="ar-SA"/>
        </w:rPr>
        <w:t>شأن القضية الحقيقية فرض وجود الموضوع، و جعل الحكم له من غير فرق في ذلك بين وجود الموضوع فعلا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المحقّق الخراساني مصب النزاع 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تعلق التكليف الّذي تضمنته الخطابات بالمعدوم كما يصح تعلقه بالموجود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يصح خطاب المعدومين بالأدوات الموضوعة له، كالنداء و ضمير الخطاب،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يا أَيُّهَا النَّاسُ اعْبُدُوا رَبَّكُم أو بنفس توجيه الكلام إليهم، أو إلقائه إلى المخاطب بلا اقترانه بأداة الخطاب،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سألك عن قدومهم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العامة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الواقعة 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تعم الغائبين بل المعدومين بالوضع، بحيث لا يحتاج ثبوت التكليف لهم إلى دليل خارجي، كالإجماع على الاشتراك في التكاليف، أم لا تعمهم؟ بقرينة أدوات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النزاع على الوجهين الأولين عقلي، لأن المرجع في إمكان تعلق التكليف بالمعدوم و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مقتضی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إمكان مخاطبة المعدوم و امتناعه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الثالث لغوي، لأن المرجع في عموم معاني الألفاظ و عدمه التي هي المعاني الحقيقية التي لها علائم من التبادر، و عدم صحة السلب، و غيرهما هي اللغة</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فلابد من البحث عن هذه الجهات الثلاث</w:t>
      </w:r>
      <w:r>
        <w:rPr>
          <w:rFonts w:eastAsia="Amiri" w:cs="Amiri" w:ascii="Amiri" w:hAnsi="Amiri"/>
          <w:color w:val="111111"/>
          <w:sz w:val="28"/>
          <w:szCs w:val="28"/>
          <w:rtl w:val="true"/>
          <w:lang w:bidi="ar-SA"/>
        </w:rPr>
        <w:t xml:space="preserve">. </w:t>
      </w:r>
      <w:bookmarkStart w:id="675" w:name="pg16640_202529"/>
    </w:p>
    <w:p>
      <w:pPr>
        <w:pStyle w:val="Heading2"/>
        <w:numPr>
          <w:ilvl w:val="1"/>
          <w:numId w:val="1"/>
        </w:numPr>
        <w:rPr/>
      </w:pPr>
      <w:bookmarkStart w:id="676" w:name="__RefHeading___Toc11691549_1280447820"/>
      <w:bookmarkStart w:id="677" w:name="_Toc242"/>
      <w:bookmarkEnd w:id="675"/>
      <w:bookmarkEnd w:id="676"/>
      <w:r>
        <w:rPr>
          <w:rtl w:val="true"/>
        </w:rPr>
        <w:t>الجهة الأُولى</w:t>
      </w:r>
      <w:r>
        <w:rPr>
          <w:rtl w:val="true"/>
        </w:rPr>
        <w:t xml:space="preserve">: </w:t>
      </w:r>
      <w:r>
        <w:rPr>
          <w:rtl w:val="true"/>
        </w:rPr>
        <w:t>في صحّة تكليف المعدوم و عدمها</w:t>
      </w:r>
      <w:bookmarkEnd w:id="67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الخراساني صوّرها 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يتوجّه إليه البعث و الزجر الفعليان بأن يكون هناك بعث و زجر، و هذا ما لا يتمشى من الإنسان العاقل، و فيها قال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في عدم صحة تكليف المعدومين عقلا ان أريد بالتكليف البعث أو الزجر الفعلي،فان كلا من البعث أو الزجر سواء كان خارجياً كالدفع إلى الشي‌ء و المنع عنه، أم اعتبارياً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لأن الدفع و المنع الخارجيين بدون المدفوع و الممنوع الخارجيين 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الثاني، فلان البعث و الزجر انما يكونان لإحداث الداعي إلى الفعل أو الترك، و من المعلوم عدم إمكان حصول هذا الداعي للمعدوم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تكليف المعدوم مطلقاً ممتنع</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ذهب بعض الحنابلة إلى جواز تكليف المعدوم، و استدلّوا على جوازه بالآيتين المباركتين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إنّه يكلّف المعدوم بقبول الوجود و التكون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إنّه سبحانه كلّفهم بالشهادة على ربوبيته فأجابوا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بصدد بيان انّ إرادة اللّه سبحانه نافذة في كلّ شي‌ء ممكن، و انّها إذا تعلّقت بتحقّق شي‌ء و وجوده، يتحقّق فوراً بلا تريث و تربّص لا انّ هناك خطاباً لفظياً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مخاطباً واقعياً حتّى يكون دليلاً للحنابلة، هذا و قد فسّر الإمام علي عليه السلام الآية المباركة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لمن أراد كونه، كن، فيكون، لا بصوت يُقْرع و لا بنداء يُسمع، و إنّما كلامه فعل منه أنشأه و مثّله و لم يكن من قبل ذلك كائناً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يکن فيها خطاب لمعدوم بل ان الله تعالی اخرجهم حقيقة من ظهر ادم عليه السلام و اشهدهم کما ورد ذلک في الروايات ففي صحيح ابن مسكان عن أبي عبد الله عليه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فثبتت المعرفة و نسوا الموقف و سيذكرونه، و لولا ذلك لم يدر أحد من خالقه و رازقه، فمنهم من أقر بلسانه في الذر و لم يؤمن بقلبه،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لِيُؤْمِنُوا بِما كَذَّبُوا مِنْ قَبْلُ</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علم لنا بکيفية ذلک لکنه لا يضر بالمقصود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ما قيل من المراد بالاية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إنسان إذا صار بشراً سوياً يشهد بفطرته على توحيده، و بصنعه على حكمته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ظهور الاية بل صريحها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له فهو تفسير بالرأي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لما ورد من الاخبار في تفسيرها کالصحيح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فقد تبين انّ تكليف المعدوم بالبعث و الزجر الفعليين ممّا لا يصدر من الإنسان المريد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التكليف الإنشائي للموجودين و الغائبين و المعدومين، قال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بمعنى مجرّد إنشاء الطلب بلا بعث و لا زجر لا استحالة فيه أصلاً، فانّ الإنشاء خفيف المؤونة، فالحكيم تبارك و تعالى ينشأ على وفق الحكمة و المصلحة، طلب شيئ قانوناً من الموجود و المعدوم حين الخطاب ليصير فعلياً بعد ما وجد الشرائط و فقد الموانع بلا حاجة إلى إنشاء آخر</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 أريد بالتكليف مجرد إنشاء الطلب من دون فعلية بعث أو زجر، فلا استحالة في تعلقه بالمعدومين، لكونه صورياً، كالتكاليف الامتحانية التي ليس فيها طلب حقيقي يوجب احداث الداعي للمكلف إلى الفعل أو الترك و اما وجه عدم استحالته فلأن الإنشاء المجرد عن الطلب الحقيقي لا يستلزم الطلب الفعلي حتى لا يصح تعلقه بالمعدوم، بل تتوقف صحة الإنشاء على غرض عقلائي يخرجه عن اللغوية، و لو كان ذلك الغرض تقليل الإنشاءات أو غير ذلک، فينشئ الحكم بإنشاء واحد على الجميع بنحو القضية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يرد علی هذا البيان شيء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الحكم مقيداً بوجود المكلّف و كونه جامعاً للشرائط، و إليه أشار المحقّق الخراساني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أنشأ مقيداً بوجود المكلّف و وجدانه للشرائطفإمكانه بمكان من الإمكان</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انه إذا أنشئ الطلب مقيداً بوجود المکلف و بكونه جامعاً للشرائط، فلا إشكال في إمكانه، كما إذا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مستطيع وجب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ريب في صحة هذا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مانع من القول بشمول الحكم لعامّة مصاديق العنوان طول الزمان على وجه القضية الحقيقية، كما إذا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عَلَى النَّاسِ حِجُّ الْبَيْت فالتكليف متعلّق بالعنوان و هو الناس، و لكنّه على وجه يتكثّر أفراده و مصاديقه طول الزمان، فللموضوع استمرار لوجود مصداق بعد مصداق و يتبعه الحكم في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ذلك كما قلنا رهن بقاء الحكم في وعاء من الأوعية و لو في عالم الاعتبار كما هو مفهوم الخاتمية، و معنى ذلك أنّ لأحكامه سبحانه وجوداً و بقاءً عبر الزمان متعلّق بالعناوين المتكثرة مصداقاً و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يعلم حال الوقف للبطون اللاحقة، فإنّ الوقف على عنوان الأولاد و للعنوان قابلية للتكثّر من حيث الافراد طول الزمان و للحكم بقاء في عالم الاعتبار فكلّما توفرت الأفراد استتبعته الأحكام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عمومية التكاليف الواردة في الخطابات للحاضر و الغائب و المعدوم، بشرط جعل التكليف على نحو القضايا الحقيقية، أي يكون للعنوان قابلية الانطباق على الافراد طول الزمان</w:t>
      </w:r>
      <w:r>
        <w:rPr>
          <w:rFonts w:eastAsia="Amiri" w:cs="Amiri" w:ascii="Amiri" w:hAnsi="Amiri"/>
          <w:color w:val="111111"/>
          <w:sz w:val="28"/>
          <w:szCs w:val="28"/>
          <w:rtl w:val="true"/>
          <w:lang w:bidi="ar-SA"/>
        </w:rPr>
        <w:t xml:space="preserve">. </w:t>
      </w:r>
      <w:bookmarkStart w:id="678" w:name="pg16640_202533"/>
    </w:p>
    <w:p>
      <w:pPr>
        <w:pStyle w:val="Heading2"/>
        <w:numPr>
          <w:ilvl w:val="1"/>
          <w:numId w:val="1"/>
        </w:numPr>
        <w:rPr/>
      </w:pPr>
      <w:bookmarkStart w:id="679" w:name="__RefHeading___Toc11691551_1280447820"/>
      <w:bookmarkStart w:id="680" w:name="_Toc243"/>
      <w:bookmarkEnd w:id="678"/>
      <w:bookmarkEnd w:id="679"/>
      <w:r>
        <w:rPr>
          <w:rtl w:val="true"/>
        </w:rPr>
        <w:t>الجهة الثانية</w:t>
      </w:r>
      <w:r>
        <w:rPr>
          <w:rtl w:val="true"/>
        </w:rPr>
        <w:t xml:space="preserve">: </w:t>
      </w:r>
      <w:r>
        <w:rPr>
          <w:rtl w:val="true"/>
        </w:rPr>
        <w:t>في إمكان خطاب المعدوم</w:t>
      </w:r>
      <w:bookmarkEnd w:id="680"/>
    </w:p>
    <w:p>
      <w:pPr>
        <w:pStyle w:val="BookText"/>
        <w:rPr/>
      </w:pPr>
      <w:r>
        <w:rPr>
          <w:rFonts w:ascii="Amiri" w:hAnsi="Amiri" w:eastAsia="Amiri" w:cs="Amiri"/>
          <w:color w:val="111111"/>
          <w:sz w:val="28"/>
          <w:sz w:val="28"/>
          <w:szCs w:val="28"/>
          <w:rtl w:val="true"/>
          <w:lang w:bidi="ar-SA"/>
        </w:rPr>
        <w:t>قد كان البحث في الجهة السابقة منصبّاً على تكليف المعدوم و في هذه الجهة إلى إمكان توجيه خطاب إليه لغاية التفهيم و التفهم، و قد صرّح المحقّق الخراساني بامتناعه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ريب في عدم صحّة خطاب المعدوم، بل الغائب حقيقة و عدم إمكانه ضرورة عدم تحقّق توجيه الكلام نحو الغير حقيقة، إلّا إذا كان موجوداً بحيث يتوجّه إلى الكلام و يلتفت إليه</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ريب في عدم صحة تكليف المعدومين عقلا إلّا إذا كان التكليف بمعنى مجرد إنشاء الطلب كما تقدم، كذلك لا ريب في عدم صحة مخاطبة المعدوم، بل الغائب، لأخذ تفهيم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الخطاب كما عن مجمع البحرين و غيره، قال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هو توجه الكلام نحو الغير للإفهام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الخطاب الحقيقي منوطة بوجود المخاطب، و قابليته لتوجه الخطاب إليه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قال بالامتناع انما هو بالنظر إلى الخطاب بوجوده الحدوثي و غضّ النظر عن أنّ للخطاب نوع بقاء عند العقلاء في الصدور و الألسن أوّلًا، و الرسائل و الكتب ثانياً، و الأشرطة و الأقراص المضغوطة ثالثاً، و لأجل ذلك نرى أنّ الرؤساء يوجهون خطابهم للأجيال الحاضرة و الغائبة، و لا يخطر على بالهم أنّ الخطاب الحقيقي لا يمكن توجيهه إلى الغائب و المعدوم، و ما ذلك إلّا لأنّهم يرون أنّ لخطاباتهم بقاءً في القلوب و الصدور، و الألواح و الكتب و أخيراً في أجهزة تسجيل الصوت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ذلك فلو كان العنوان المأخوذ في الخطابات من العناوين المنطبقة على الأفراد عبر الزمان و كان للخطاب بقاء و ثبات، فلا مانع من توجيه الخطاب الحقيقي إلى الغائب و المعدوم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أنّه سبحانه يخاطب قاطبة البشر في نسل بني آدم إلى من يأتي إلى يوم القيامة بالآيات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 عَلَيْكُمْ آياتِي فَمَنِ اتَّقى وَ أَصْلَحَ فَلا خَوْفٌ عَلَيْهِمْ وَ لا هُمْ يَحْزَنُونَ</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الحقيقي يدور على وجود الخطاب بنحو من الأنحاء و وصوله إلى المخاطب و كون المخاطب موجوداً، و الشرطان موجودان في عامة الخطابات الشفاهية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إمكان خطاب المعدوم و الغائب كما ثبت صحّة تكليفهما، كلّ ذلك على نحو القضايا الحقيقية أوّلًا، و بقاء الخطاب ثانياً</w:t>
      </w:r>
      <w:r>
        <w:rPr>
          <w:rFonts w:eastAsia="Amiri" w:cs="Amiri" w:ascii="Amiri" w:hAnsi="Amiri"/>
          <w:color w:val="111111"/>
          <w:sz w:val="28"/>
          <w:szCs w:val="28"/>
          <w:rtl w:val="true"/>
          <w:lang w:bidi="ar-SA"/>
        </w:rPr>
        <w:t xml:space="preserve">. </w:t>
      </w:r>
      <w:bookmarkStart w:id="681" w:name="pg16640_202535"/>
    </w:p>
    <w:p>
      <w:pPr>
        <w:pStyle w:val="Heading2"/>
        <w:numPr>
          <w:ilvl w:val="1"/>
          <w:numId w:val="1"/>
        </w:numPr>
        <w:rPr/>
      </w:pPr>
      <w:bookmarkStart w:id="682" w:name="__RefHeading___Toc11691553_1280447820"/>
      <w:bookmarkStart w:id="683" w:name="_Toc244"/>
      <w:bookmarkEnd w:id="681"/>
      <w:bookmarkEnd w:id="682"/>
      <w:r>
        <w:rPr>
          <w:rtl w:val="true"/>
        </w:rPr>
        <w:t>الجهة الثالثة</w:t>
      </w:r>
      <w:r>
        <w:rPr>
          <w:rtl w:val="true"/>
        </w:rPr>
        <w:t xml:space="preserve">: </w:t>
      </w:r>
      <w:r>
        <w:rPr>
          <w:rtl w:val="true"/>
        </w:rPr>
        <w:t>عمومية ما وقع بعد أداة الخطاب</w:t>
      </w:r>
      <w:bookmarkEnd w:id="683"/>
    </w:p>
    <w:p>
      <w:pPr>
        <w:pStyle w:val="BookText"/>
        <w:rPr/>
      </w:pPr>
      <w:r>
        <w:rPr>
          <w:rFonts w:ascii="IRNazanin" w:hAnsi="IRNazanin" w:eastAsia="IRNazanin"/>
          <w:color w:val="111111"/>
          <w:sz w:val="28"/>
          <w:sz w:val="28"/>
          <w:szCs w:val="28"/>
          <w:rtl w:val="true"/>
          <w:lang w:bidi="fa-IR"/>
        </w:rPr>
        <w:t xml:space="preserve">ثمّ إنّه يقع الكلام في عموم الألفاظ الواقعة عقيب أداة النداء و الخطاب للغائبين و المعدومين و عدم عمومها لهما بقرينة تلك الأداة و قد فصّل المحقّق الخراساني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بناه علی ما اختار في الجهة الثانية من عدم صحة خطاب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أدوات النداء و غيرها مما وضع للخطاب لو كانت موضوعة للخطاب الحقيقي و فرض استعمالها في الخطاب الحقيقي، فلا بد حينئذ من تخصيص العموم الواقع في تلو تلك الأداة بالحاضرين ليختص الخطاب بهم، و لا يشمل المعدومين حتى لا يلزم المجاز و هو شمول الخطاب للمعدومين كالموجودين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موضوعة للخطاب الإيقاعي الإنشائي، فلازم ذلك العموم من متلوِّ أدوات الخطاب لغير الحاضرين و استعمال تلك الأدوات في غير الخطاب الحقيقي، إذ لو استعملت في الخطاب الحقيقي لزم أن يكون إرادة غير الحاضرين منها بنحو المجاز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لحاظ وضع الأدوات في الخطاب الحقيقي المختص بالحاضرين، و عموم الألفاظ الواقعة عقيبها لغير الحاضرين، لا بد من ارتكاب أحد التجوزين إما باستعمال الأدوات في غير الخطاب الحقيقي، لتطابق معنى الألفاظ العامة الواقعة بعدها، و إما باستعمال الألفاظ الواقعة بعدها في غير العموم أي في خصوص الحاضرين، لتطابق معنى الأدوات أعني الخطاب الحقيقي، و كلا التجوزين خلاف الأصل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استقرب الوجه الثاني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مثل أدوات النداء لم يكن موضوعاً لذلك، بل للخطاب الإيقاعي الإنشائي، فالمتكلم ربما يوقع الخطاب بها تحسراً و تأسفاً و حزناً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كوكباً ما كان أقصر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شوقاً و نحو ذلك، كما يوقعه مخاطباً لمن يناديه </w:t>
      </w:r>
    </w:p>
    <w:p>
      <w:pPr>
        <w:pStyle w:val="BookText"/>
        <w:rPr/>
      </w:pPr>
      <w:r>
        <w:rPr>
          <w:rFonts w:ascii="Amiri" w:hAnsi="Amiri" w:eastAsia="Amiri" w:cs="Amiri"/>
          <w:color w:val="111111"/>
          <w:sz w:val="28"/>
          <w:sz w:val="28"/>
          <w:szCs w:val="28"/>
          <w:rtl w:val="true"/>
          <w:lang w:bidi="ar-SA"/>
        </w:rPr>
        <w:t>حقيقة، فلا يوجب استعماله في معناه الحقيقي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المحذورين مبنيان على وضع الأداة للخطاب الحقيقي القائم بطرفين، كالطلب القائم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وضعها للخطاب الإنشائي، فلا يلزم من إرادة غير الحاضرين منها، و من الألفاظ العامة الواقعة بعدها شي‌ء من التجوزين أصلا، أما من ناحية الأدوات، فلاستعمالها في معناها الحقيقي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ناحية الألفاظ الواقعة بعدها، فلشمولها لغير الحاضرين كشمولها لهم،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فبناءً على وضع الأدوات للخطاب الإنشائي يمكن استعمالها في الحاضرين و الغائبين و المعدومين على نسق واحد بلا لزوم أي مجاز، غاية الأمر أن الاختلاف بين موارد استعمالها يكون حينئذ في دواعي الإنشاء، فقد يكون الإنشاء بداعي النداء، كقوله للحاضر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احفظ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بداعي التأسف،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كوكباً ما كان أقصر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بداعي الشوق،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خطابات القرآن خطابات إنشائية مخالف لظاهر القران الکريم حيث يقول فيه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أَنْزَلْناهُ إِلَيْكَ مُبارَكٌ لِيَدَّبَّرُوا آياتِه</w:t>
      </w:r>
      <w:r>
        <w:rPr>
          <w:rStyle w:val="FootnoteAnchor"/>
          <w:rtl w:val="true"/>
        </w:rPr>
        <w:footnoteReference w:id="474"/>
      </w:r>
      <w:r>
        <w:rPr>
          <w:rFonts w:ascii="Amiri" w:hAnsi="Amiri" w:eastAsia="Amiri" w:cs="Amiri"/>
          <w:color w:val="111111"/>
          <w:sz w:val="28"/>
          <w:sz w:val="28"/>
          <w:szCs w:val="28"/>
          <w:rtl w:val="true"/>
          <w:lang w:bidi="ar-SA"/>
        </w:rPr>
        <w:t>، إلى غير ذلك من الآيات التي تعرّف الغاية من خطاباته، و هذا النوع من الغاية لا ينفك عن كون خطاباته حقيقية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افترضنا انّ أداة النداء وضعت للخطاب الحقيقي الّا ان ذلک لا يكون سبباً لاختصاص ما وقع بعده من العنوان، للحاضرين، لما تقدم من أنّ للخطاب الحقيقي بقاءً في نظر العرف، و معه يعمّ الخطاب و ما وقع بعده للغائبين و المعدومين جميعاً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القرآنية عامة کالخطابات الواردة في الكتب و الرسائل العلمية، فإنّ المؤلف مع أنّه يخاطب، لا يخاطب شخصاً معيناً، بل يخاطب كلّ من قرأ كتابه، فهكذا القرآن لا يخاطب شخصاً خاصاً، بل يخاطب كلّ من سمعه، و لذلك يأمر نبيه أن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w:t>
      </w:r>
      <w:r>
        <w:rPr>
          <w:rStyle w:val="FootnoteAnchor"/>
          <w:rtl w:val="true"/>
        </w:rPr>
        <w:footnoteReference w:id="475"/>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w:t>
      </w:r>
      <w:r>
        <w:rPr>
          <w:rStyle w:val="FootnoteAnchor"/>
          <w:rtl w:val="true"/>
        </w:rPr>
        <w:footnoteReference w:id="476"/>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فِي هذَا الْقُرْآنِ لِلنَّاسِ مِنْ كُلِّ مَثَل</w:t>
      </w:r>
      <w:r>
        <w:rPr>
          <w:rStyle w:val="FootnoteAnchor"/>
          <w:rtl w:val="true"/>
        </w:rPr>
        <w:footnoteReference w:id="477"/>
      </w:r>
      <w:r>
        <w:rPr>
          <w:rFonts w:ascii="Amiri" w:hAnsi="Amiri" w:eastAsia="Amiri" w:cs="Amiri"/>
          <w:color w:val="111111"/>
          <w:sz w:val="28"/>
          <w:sz w:val="28"/>
          <w:szCs w:val="28"/>
          <w:rtl w:val="true"/>
          <w:lang w:bidi="ar-SA"/>
        </w:rPr>
        <w:t>إلى غير ذلك من الآيات التي تصفُ القرآن بانّه منذر لكلّ من بلغ إليه و هداية للناس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نزول الوحي و كان ينزل على قلب سيد المرسلين و لم يكن الخطاب مسموعاً لأحد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إمكان تفسير الخطابات عن هذا الطريق لا حاجة إلى التمسك بأنّ خطابات القرآن خطابات إيقاعية أو إنشائية أو من قبيل القضايا الحقيقية، أو أنّ خطاباته مختصة بالموجودين ثمّ تعميمه بدليل 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نقل صاحب الفصول عن بعض الحنابلة وجها اخر بان القول بوضع أداة الخطاب للحقيقي لا يلازم اختصاص خطاباته بالمشافهين، و ذلك لإحاطته بالموجود في الحال و الاستقبال</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فأنّه قد خلط بين علمه تعالی بالأُمور و بين اوامره و تشريعاته و لا علاقة لاحدهما بالثاني</w:t>
      </w:r>
      <w:r>
        <w:rPr>
          <w:rFonts w:eastAsia="IRNazanin" w:cs="IRNazanin"/>
          <w:color w:val="111111"/>
          <w:sz w:val="28"/>
          <w:szCs w:val="28"/>
          <w:rtl w:val="true"/>
          <w:lang w:bidi="fa-IR"/>
        </w:rPr>
        <w:t xml:space="preserve">. </w:t>
      </w:r>
      <w:bookmarkStart w:id="684" w:name="pg16640_202538"/>
    </w:p>
    <w:p>
      <w:pPr>
        <w:pStyle w:val="BookText"/>
        <w:rPr/>
      </w:pPr>
      <w:bookmarkEnd w:id="684"/>
      <w:r>
        <w:rPr>
          <w:rFonts w:ascii="Amiri" w:hAnsi="Amiri" w:eastAsia="Amiri" w:cs="Amiri"/>
          <w:color w:val="111111"/>
          <w:sz w:val="28"/>
          <w:sz w:val="28"/>
          <w:szCs w:val="28"/>
          <w:rtl w:val="true"/>
          <w:lang w:bidi="ar-SA"/>
        </w:rPr>
        <w:t>هذا و ذهب المحقّق النائينيّ إلى التفصيل بين القضايا الخارجيّة فتختصّ بالمشافهين، لأنّ عموم الخطاب فيها للغائبين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عناية زائدة، و بين القضايا الحقيقيّة فتعمّ المعدومين فضلا عن الغائبين، لأنّ توجيه الخطاب إليهم لا يحتاج إلى أزيد من تنزيلهم منزلة الموجودين الّذي هو المقوّم لكون القضيّة حقيقيّة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السيّد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يكفي في شمول الخطاب للمعدوم و الغائب تنزيلهم منزلة الموجود، بل لا بدّ من تنزيلهم منزلة الحاضر في مجلس التخاطب، و هو أمر زائد على مقتضى القضيّة الحقيقيّة، فينفيه الأصل مع عدم الدليل عليه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5" w:name="__RefHeading___Toc11691555_1280447820"/>
      <w:bookmarkStart w:id="686" w:name="_Toc245"/>
      <w:bookmarkEnd w:id="685"/>
      <w:r>
        <w:rPr>
          <w:rtl w:val="true"/>
        </w:rPr>
        <w:t>ثمرة البحث</w:t>
      </w:r>
      <w:bookmarkEnd w:id="686"/>
    </w:p>
    <w:p>
      <w:pPr>
        <w:pStyle w:val="BookText"/>
        <w:rPr/>
      </w:pPr>
      <w:r>
        <w:rPr>
          <w:rFonts w:ascii="Amiri" w:hAnsi="Amiri" w:eastAsia="Amiri" w:cs="Amiri"/>
          <w:color w:val="111111"/>
          <w:sz w:val="28"/>
          <w:sz w:val="28"/>
          <w:szCs w:val="28"/>
          <w:rtl w:val="true"/>
          <w:lang w:bidi="ar-SA"/>
        </w:rPr>
        <w:t>ذكر للبحث ثمرتان</w:t>
      </w:r>
      <w:r>
        <w:rPr>
          <w:rFonts w:eastAsia="Amiri" w:cs="Amiri" w:ascii="Amiri" w:hAnsi="Amiri"/>
          <w:color w:val="111111"/>
          <w:sz w:val="28"/>
          <w:szCs w:val="28"/>
          <w:rtl w:val="true"/>
          <w:lang w:bidi="ar-SA"/>
        </w:rPr>
        <w:t>:</w:t>
      </w:r>
    </w:p>
    <w:p>
      <w:pPr>
        <w:pStyle w:val="Heading2"/>
        <w:numPr>
          <w:ilvl w:val="1"/>
          <w:numId w:val="1"/>
        </w:numPr>
        <w:rPr/>
      </w:pPr>
      <w:bookmarkStart w:id="687" w:name="__RefHeading___Toc11691557_1280447820"/>
      <w:bookmarkStart w:id="688" w:name="_Toc246"/>
      <w:bookmarkEnd w:id="687"/>
      <w:r>
        <w:rPr>
          <w:rtl w:val="true"/>
        </w:rPr>
        <w:t>الثمرة الأُولى</w:t>
      </w:r>
      <w:r>
        <w:rPr>
          <w:rtl w:val="true"/>
        </w:rPr>
        <w:t xml:space="preserve">: </w:t>
      </w:r>
      <w:r>
        <w:rPr>
          <w:rtl w:val="true"/>
        </w:rPr>
        <w:t>حجّية خطابات الكتاب لغير المشافهين و عدمها</w:t>
      </w:r>
      <w:bookmarkEnd w:id="68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هذه الثمرة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الشمول لا بدّ من الأخذ بما هو ظاهر من الخطاب، لامتناع الخطاب بما هو ظاهر و إرادة خلافه من دون دلالة؛ و على العدم فلا بدّ من </w:t>
      </w:r>
    </w:p>
    <w:p>
      <w:pPr>
        <w:pStyle w:val="BookText"/>
        <w:rPr/>
      </w:pPr>
      <w:r>
        <w:rPr>
          <w:rFonts w:ascii="Amiri" w:hAnsi="Amiri" w:eastAsia="Amiri" w:cs="Amiri"/>
          <w:color w:val="111111"/>
          <w:sz w:val="28"/>
          <w:sz w:val="28"/>
          <w:szCs w:val="28"/>
          <w:rtl w:val="true"/>
          <w:lang w:bidi="ar-SA"/>
        </w:rPr>
        <w:t>تحصيل متفاهم المتشافهين و التحرّي في استحصاله، فإن حصل العلم به فهو، و إلّا عملنا بالاجتهاد في تحصيل ما هو الأقرب إليه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صاحب الفصول بأنّه على العدم لا وجه للفرق بين المخاطب و غيره في حجّيّة الظواهر، فإنّ ذلك أمر متّضح الفساد منحرف عن منهج السداد، للإجماع على حجّيّة ظواهر الألفاظ في حقّ السامعين مطلقا، و لو لا ذلك لم يعتبر ظواهر الأقارير و الوصايا و العقود و الشهادات، و نحو ذلك</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عنه الشيخ الاعظم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ذبه بأنّه ليس المقصود بيان الفرق في ذلك بين المشافه و غيره في الأخذ بالظواهر، بل المقصود إثبات الفرق بينهما من حيث احتمال وجود القرينة عندهم و اختفائها لدينا أو ثبوت النقل و إن كان يمكن تحصيل متفاهمهم بإعمال الاصول اللفظيّة في اللفظ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المشافه إنّما يأخذ بالظاهر من حيث هو ظاهر، و غيره إنّما يأخذ به من حيث إنّه الظاهر عند المشافه و إن كان طريق ثبوته هو الظاهر أيضا، فليس ذلك تفصيلا في حجّية الظواهر؛ مع أنّ في احتجاجه لعدم الفرق بظواهر الأقارير و الوصايا و الشهادات نظرا ذكرناه في محلّه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مبنية على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اختصاص الخطاب بالحاضرين، و كونهم مقصودين بالخطاب، و هذه هي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 حجّية الظواهر بمن قصد إفهامه و لا يعمّ غيره و هذه الكبرى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کلتاهما ممنوعتان و قد اجاب عنهما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الأُولى، فلأنّه لا ملازمة بين كون اختصاص الخطاب بهم، و كونهم، مقصودين لا غيرهم، إذ ربما يكون المقصود بالإفهام أوسع من المخاطب، و لذلك يأمر سبحانه نبيّه بأن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قيام الدليل علی کونهم مقصودين بالافهام فقال تعالی هذا بلاغ للناس</w:t>
      </w:r>
      <w:r>
        <w:rPr>
          <w:rStyle w:val="FootnoteAnchor"/>
          <w:rtl w:val="true"/>
        </w:rPr>
        <w:footnoteReference w:id="485"/>
      </w:r>
      <w:r>
        <w:rPr>
          <w:rFonts w:ascii="IRNazanin" w:hAnsi="IRNazanin" w:eastAsia="IRNazanin"/>
          <w:color w:val="111111"/>
          <w:sz w:val="28"/>
          <w:sz w:val="28"/>
          <w:szCs w:val="28"/>
          <w:rtl w:val="true"/>
          <w:lang w:bidi="fa-IR"/>
        </w:rPr>
        <w:t>و قال تعالی و شفاء لما في الصدور و هدی و رحمة للمؤمنين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اختصاص حجية الظواهر بمن قصد إفهامه، ففيه ان الظواهر حجة مطلقاً حتى بالنسبة إلى من لم يقصد افهامه کما سيأتي البحث عنها، و عليه فلا تكون هذه ثمرة و ذلک لشمول الخطابات للمعدومين، إذ المفروض حجية الظواهر لهم و ان لم يكونوا مقصودين بالإفهام و لم تشملهم الخطابات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لو كتب شخص رسالة أخويّة إلى شخص، لا يريد إلّا إفهام صديقه بما فيها، فالرسالة تكون حجّة على الغير أيضاً في عامة المحاكم، و لا يسمع قول الكاتب بأنّ ظواهر كلامه حجّة على من قصد إفهامه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البناء على عدم اختصاص حجية الظواهر بمن قصد افهامه لا تكون هذه ثمرة لحجية الظواهر بالنسبة إلى المعدومين</w:t>
      </w:r>
      <w:r>
        <w:rPr>
          <w:rFonts w:eastAsia="IRNazanin" w:cs="IRNazanin"/>
          <w:color w:val="111111"/>
          <w:sz w:val="28"/>
          <w:szCs w:val="28"/>
          <w:rtl w:val="true"/>
          <w:lang w:bidi="fa-IR"/>
        </w:rPr>
        <w:t xml:space="preserve">. </w:t>
      </w:r>
      <w:bookmarkStart w:id="689" w:name="pg16640_202541"/>
    </w:p>
    <w:p>
      <w:pPr>
        <w:pStyle w:val="Heading2"/>
        <w:numPr>
          <w:ilvl w:val="1"/>
          <w:numId w:val="1"/>
        </w:numPr>
        <w:rPr/>
      </w:pPr>
      <w:bookmarkStart w:id="690" w:name="__RefHeading___Toc11691559_1280447820"/>
      <w:bookmarkStart w:id="691" w:name="_Toc247"/>
      <w:bookmarkEnd w:id="689"/>
      <w:bookmarkEnd w:id="690"/>
      <w:r>
        <w:rPr>
          <w:rtl w:val="true"/>
        </w:rPr>
        <w:t>الثمرة الثانية</w:t>
      </w:r>
      <w:r>
        <w:rPr>
          <w:rtl w:val="true"/>
        </w:rPr>
        <w:t xml:space="preserve">: </w:t>
      </w:r>
      <w:r>
        <w:rPr>
          <w:rtl w:val="true"/>
        </w:rPr>
        <w:t>صحّة التمسّك بالإطلاقات على التعميم</w:t>
      </w:r>
      <w:bookmarkEnd w:id="69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يذكر هنا ثمرة أخرى‌</w:t>
      </w:r>
      <w:r>
        <w:rPr>
          <w:rStyle w:val="FootnoteAnchor"/>
          <w:rtl w:val="true"/>
        </w:rPr>
        <w:footnoteReference w:id="487"/>
      </w:r>
      <w:r>
        <w:rPr>
          <w:rFonts w:ascii="Amiri" w:hAnsi="Amiri" w:eastAsia="Amiri" w:cs="Amiri"/>
          <w:color w:val="111111"/>
          <w:sz w:val="28"/>
          <w:sz w:val="28"/>
          <w:szCs w:val="28"/>
          <w:rtl w:val="true"/>
          <w:lang w:bidi="ar-SA"/>
        </w:rPr>
        <w:t>، و هي أنّ شرط اشتراك الغائبين للحاضرين في الشرائع و الأحكام مع قطع النظر عن الورود بخطاب الجمع، هو أن يكونا من صنف واحد، فوجوب صلاة الجمعة مثلا على الحاضرين مع كونهم يصلّون خلف النبيّ صلّى اللّه عليه و آله أو نائبه الخاصّ، لا يوجب وجوبه على الغائبين الفاقدين لذلك، لاختلافهم في الصّنف من حيث إنّهم مدركون للسّلطان العادل أو نائبه، بخلاف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بشمول الخطاب للغائبين، يمكن الاستدلال بإطلاق الآية على نفي اشتراط حضور الإمام عليه السّلام أو نائبه، بخلاف ما لو اختصّ بالحاضرين، لأنّهم واجدون للسّلطان العادل أو نائبه، فلا يمكن التعدّي عنهم الى الغائبين الفاقدين لاختلافهم في الصّنف</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شمول الخطابات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التمسك بإطلاقاتها لإثبات الأحكام للمعدومين بعد وجودهم و بلوغهم، إذ المفروض أن الخطاب المتكفل لثبوت الحكم للعنوان المنطبق على المعدومين مثل يا أَيُّهَا النَّاس</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 xml:space="preserve">يا أَيُّهَا الَّذِينَ آمَنُوا و نحو ذلك يدل بنفسه على ثبوت الحكم لهم و ان لم يكونوا متحدين مع المشافهين في الصنف، فيمكن إثبات وجوب صلاة الجمعة مثلا للمعدومين بقوله تعالى يا أَيُّهَا الَّذِينَ آمَنُوا إِذا نُودِيَ لِلصَّلاةِ مِنْ يَوْمِ الْجُمُعَةِ فَاسْعَوْا إِلى ذِكْرِ اللَّهمع اختلافهم صنفاً مع الموجودين، لكونهم حينذاك متنعمين بشرف حضور المعصوم عليه السلام، </w:t>
      </w:r>
      <w:bookmarkStart w:id="692" w:name="pg16640_202542"/>
    </w:p>
    <w:p>
      <w:pPr>
        <w:pStyle w:val="BookText"/>
        <w:rPr/>
      </w:pPr>
      <w:bookmarkEnd w:id="692"/>
      <w:r>
        <w:rPr>
          <w:rFonts w:ascii="Amiri" w:hAnsi="Amiri" w:eastAsia="Amiri" w:cs="Amiri"/>
          <w:color w:val="111111"/>
          <w:sz w:val="28"/>
          <w:sz w:val="28"/>
          <w:szCs w:val="28"/>
          <w:rtl w:val="true"/>
          <w:lang w:bidi="ar-SA"/>
        </w:rPr>
        <w:t>دون المعدومين الذين هم فاقدون لهذه النعمة، لكن لما كان نفس الخطاب شاملا لهم، فهم كالموجودين مكلفون بصلاة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عدم شمول الخطابات للمعدومين لا يجوز لهم التمسك بها لإثبات ما تضمنته من الأحكام، إذ الدليل على ثبوت الأحكام حينئذ لهم هو الإجماع، و هو دليل لبي، فلا بد من الأخذ بالمتيقن منه، و هو اتحادهم مع الموجودين في الصنف </w:t>
      </w:r>
      <w:r>
        <w:rPr>
          <w:rFonts w:eastAsia="Amiri" w:cs="Amiri" w:ascii="Amiri" w:hAnsi="Amiri"/>
          <w:color w:val="111111"/>
          <w:sz w:val="28"/>
          <w:szCs w:val="28"/>
          <w:rtl w:val="true"/>
          <w:lang w:bidi="ar-SA"/>
        </w:rPr>
        <w:t>.</w:t>
      </w:r>
    </w:p>
    <w:p>
      <w:pPr>
        <w:pStyle w:val="Heading2"/>
        <w:numPr>
          <w:ilvl w:val="1"/>
          <w:numId w:val="1"/>
        </w:numPr>
        <w:rPr/>
      </w:pPr>
      <w:bookmarkStart w:id="693" w:name="__RefHeading___Toc11691561_1280447820"/>
      <w:bookmarkStart w:id="694" w:name="_Toc248"/>
      <w:bookmarkEnd w:id="693"/>
      <w:r>
        <w:rPr>
          <w:rtl w:val="true"/>
        </w:rPr>
        <w:t>جواب المحقق الخراساني</w:t>
      </w:r>
      <w:bookmarkEnd w:id="694"/>
    </w:p>
    <w:p>
      <w:pPr>
        <w:pStyle w:val="BookText"/>
        <w:rPr/>
      </w:pPr>
      <w:r>
        <w:rPr>
          <w:rFonts w:ascii="Amiri" w:hAnsi="Amiri" w:eastAsia="Amiri" w:cs="Amiri"/>
          <w:color w:val="111111"/>
          <w:sz w:val="28"/>
          <w:sz w:val="28"/>
          <w:szCs w:val="28"/>
          <w:rtl w:val="true"/>
          <w:lang w:bidi="ar-SA"/>
        </w:rPr>
        <w:t>و قد ردّ المحقق الخراساني هذه الثمرة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مخدوشة من وجهين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الاختصاص يكون الملاك في ثبوت الأحكام الصادرة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للغائبين و المعدومين هو اتّحادهم مع الحاضرين في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أنّهم متّحدون معهم في الصنف، حيث لا خصوصيّة للحاضرين بالنسبة إلى غيرهم توجب اختصاص الحكم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بعض الخصوصيّات الّذي كان البالغ في زماننا فاقدا له ممّا كان المشافهون واجدين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كحضور النبيّ صلّى اللّه عليه و آله و الأئمّة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محتمل الدخل في الحكم، إلّا أنّ إطلاق الخطاب و عدم تقييده بتلك الخصوصيّة يقتضي عدم دخلها في الحكم و عمومه لكلّ من المشافهين و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يصحّ التمسّك بإطلاق الخطاب لإثبات الاتّحاد الّذي هو الملاك في ثبوت الأحكام لغير المشافهين، من دون احتياج إلى التمسّك بقاعدة الاشتراك، كما يصحّ التمسّك بإطلاق الخطاب على القول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القولين</w:t>
      </w:r>
      <w:r>
        <w:rPr>
          <w:rFonts w:eastAsia="Amiri" w:cs="Amiri" w:ascii="Amiri" w:hAnsi="Amiri"/>
          <w:color w:val="111111"/>
          <w:sz w:val="28"/>
          <w:szCs w:val="28"/>
          <w:rtl w:val="true"/>
          <w:lang w:bidi="ar-SA"/>
        </w:rPr>
        <w:t xml:space="preserve">. </w:t>
      </w:r>
      <w:bookmarkStart w:id="695" w:name="pg16640_202543"/>
    </w:p>
    <w:p>
      <w:pPr>
        <w:pStyle w:val="Heading2"/>
        <w:numPr>
          <w:ilvl w:val="1"/>
          <w:numId w:val="1"/>
        </w:numPr>
        <w:rPr/>
      </w:pPr>
      <w:bookmarkStart w:id="696" w:name="__RefHeading___Toc11691563_1280447820"/>
      <w:bookmarkStart w:id="697" w:name="_Toc249"/>
      <w:bookmarkEnd w:id="695"/>
      <w:bookmarkEnd w:id="696"/>
      <w:r>
        <w:rPr>
          <w:rtl w:val="true"/>
        </w:rPr>
        <w:t>وهم و دفع</w:t>
      </w:r>
      <w:bookmarkEnd w:id="697"/>
    </w:p>
    <w:p>
      <w:pPr>
        <w:pStyle w:val="BookText"/>
        <w:rPr/>
      </w:pPr>
      <w:r>
        <w:rPr>
          <w:rFonts w:ascii="Amiri" w:hAnsi="Amiri" w:eastAsia="Amiri" w:cs="Amiri"/>
          <w:color w:val="111111"/>
          <w:sz w:val="28"/>
          <w:sz w:val="28"/>
          <w:szCs w:val="28"/>
          <w:rtl w:val="true"/>
          <w:lang w:bidi="ar-SA"/>
        </w:rPr>
        <w:t>ثمّ إنّه إشار إلى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التمسّك بإطلاق الخطاب لإثبات الاتّحاد بعد البناء على اختصاص الخطاب بالحاضرين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من مقدّمات الإطلاق عدم وجود ما يصلح للقرينيّة، و اتّصاف الحاضرين ببعض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كحضور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لأن يكون قرينة على التقييد، فلا يتمّ الإطلاق كي يمكن إثبات الاتّحاد بالتمسّك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اجاب عنه بانّ ما يحتمل دخله في الحكم ممّا كان المشافهون واجدين له علی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يتطرّق إليه الفقدان، و هي الأوصاف المفارقة، كالفقر و الغنى و الحضور عند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أنّه لو كانت هذه الأوصاف دخيلة في الحكم كان على المتكلّم بيانه بنصب قرينة دالّة على التقييد، و إلّا لأخلّ بغرضه، نظرا إلى انفكاك الوصف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إطلاق الخطاب و إرادة المقيّد بها، بل ترك التقييد دليل على عدم اعتبارها، و يكون الإطلاق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أن يتطرّق إليه الفقدان، و هو الأوصاف اللازمة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الأوصاف لو كانت دخيلة في الحكم يجوز للمتكلّم إطلاق الخطاب و إرادة المقيّد بها، إذ على تقدير عدم بيانه لا يكون إخلالا بالغرض نظرا إلى عدم انفكاك الوصف عن الموضوع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الاختلاف بين المشافهين و غيرهم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المشافهين في المدينة، و كونهم في المسجد، و كونهم من الأنصار أو المهاجرين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التمسّك بإطلاق الخطاب لإثبات الاتّحاد في الصنف</w:t>
      </w:r>
      <w:r>
        <w:rPr>
          <w:rFonts w:eastAsia="Amiri" w:cs="Amiri" w:ascii="Amiri" w:hAnsi="Amiri"/>
          <w:color w:val="111111"/>
          <w:sz w:val="28"/>
          <w:szCs w:val="28"/>
          <w:rtl w:val="true"/>
          <w:lang w:bidi="ar-SA"/>
        </w:rPr>
        <w:t xml:space="preserve">. </w:t>
      </w:r>
      <w:bookmarkStart w:id="698" w:name="pg16640_202544"/>
    </w:p>
    <w:p>
      <w:pPr>
        <w:pStyle w:val="BookText"/>
        <w:rPr/>
      </w:pPr>
      <w:bookmarkEnd w:id="69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الاتّحاد ليس إلّا الاتّحاد في الأوصاف الّتي تعتبر قيدا للحكم، و هي ليست كثيرة، و إلّا لما ثبت بقاعدة الاشتراك حكم من الأحكام لغير الحاضرين، لكثرة اختلافهم في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المذكورة إنّما تتمّ فيما إذا كان دليل 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مستقلاً على إثبات الحكم للمعدومين بناء على اختصاص الخطاب بالمشافهين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كذلك لأن دليل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في إثبات الحكم للمعدومين بالنسبة إلى العناوين التي يعلم بعدم دخلها في الحكم، ككون المشافهين جالسين أو كونهم من أهل المدينة أو لابسي العمامة مثلا، دون العناوين التي لو سلبت عن المشافهين لشك في ثبوت الحكم لهم أيضا، ككونهم مدركين لحضور المعصوم عليه السلام فان دليل الاشتراك حينئذ لا يجري، إذ لو لم يكن المشافهون واجدين له لشك في وجوب الجمعة عليهم أيضا، فلا بد من التمسك بالإطلاق لنفي الشك</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9" w:name="__RefHeading___Toc11691565_1280447820"/>
      <w:bookmarkStart w:id="700" w:name="_Toc250"/>
      <w:bookmarkEnd w:id="699"/>
      <w:r>
        <w:rPr>
          <w:rtl w:val="true"/>
        </w:rPr>
        <w:t>الفصل الحادي عشر تعقب العام بضمير يرجع إلى بعض أفراده</w:t>
      </w:r>
      <w:bookmarkEnd w:id="70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هناك عام و له حكم خاص، يتعقّبه ضمير له حكم آخر يرجع إلى بعض أفراده، فهل يوجب ذلك تخصيص العام أم لا؟ خلاف بين الأعلام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مثاله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عام،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 و هو بظاهره يشمل عامة المطلقات رجعية أو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الآية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تتضمن حكماً أَحَقُّ بِرَدِّهِنَّ‌ و ضميراً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بُعُولَتُهُنَّ‌</w:t>
      </w:r>
      <w:r>
        <w:rPr>
          <w:rFonts w:ascii="IRNazanin" w:hAnsi="IRNazanin" w:eastAsia="IRNazanin"/>
          <w:color w:val="111111"/>
          <w:sz w:val="28"/>
          <w:sz w:val="28"/>
          <w:szCs w:val="28"/>
          <w:rtl w:val="true"/>
          <w:lang w:bidi="fa-IR"/>
        </w:rPr>
        <w:t xml:space="preserve"> يرجع إلى بعض أقسام العام، و عليه فهل تعقّب العامّ بضمير يرجع إلى بعض أفراده يوجب تخصيصه به أو لا؟ و بعبارة اخری ان الامر يدور بين تصرّفات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 الضمير إلى بعض أفراد المرجع قرينة على التصرف في المرجع باستعماله في الرجعية من المطلقات فيكون التربص أيضاً مختصاً بهذا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أصالة العموم في المرجع و ارتكاب الاستخدام في الضمير بإرجاعه إلى بعض مصاديق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أصالة العموم في ناحيتي المرجع و الضمير و التصرف في الاسناد، بأن ينسب الحكم المختص بالبعض إلى الكلّ من باب المجازية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الاحتمال الثالث فغير صحيح، لأنّ المجاز في الاسناد رهن وجود المصحح كالمبالغة حيث ينسب الحكم الصادر من بعض إلى الكلّ مبالغة،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بنو فلان زيداً، و إنّما قتله بعضهم، و مثله قوله سبحانه مخاطباً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قَدْ جاءَكُمْ رُسُلٌ مِنْ قَبْلِي بِالْبَيِّناتِ وَ بِالَّذِي قُلْتُمْ فَلِمَ قَتَلْتُمُوهُمْ إِنْ كُنْتُمْصادِقِين</w:t>
      </w:r>
      <w:r>
        <w:rPr>
          <w:rStyle w:val="FootnoteAnchor"/>
          <w:rtl w:val="true"/>
        </w:rPr>
        <w:footnoteReference w:id="492"/>
      </w:r>
      <w:r>
        <w:rPr>
          <w:rFonts w:ascii="IRNazanin" w:hAnsi="IRNazanin" w:eastAsia="IRNazanin"/>
          <w:color w:val="111111"/>
          <w:sz w:val="28"/>
          <w:sz w:val="28"/>
          <w:szCs w:val="28"/>
          <w:rtl w:val="true"/>
          <w:lang w:bidi="fa-IR"/>
        </w:rPr>
        <w:t xml:space="preserve">مع أنّ القتل لم </w:t>
      </w:r>
    </w:p>
    <w:p>
      <w:pPr>
        <w:pStyle w:val="BookText"/>
        <w:rPr/>
      </w:pPr>
      <w:r>
        <w:rPr>
          <w:rFonts w:ascii="Amiri" w:hAnsi="Amiri" w:eastAsia="Amiri" w:cs="Amiri"/>
          <w:color w:val="111111"/>
          <w:sz w:val="28"/>
          <w:sz w:val="28"/>
          <w:szCs w:val="28"/>
          <w:rtl w:val="true"/>
          <w:lang w:bidi="ar-SA"/>
        </w:rPr>
        <w:t>يصدر إلّا عن بعضهم فنسب إلى الكلّ مبالغة بملاك رضاهم بعملهم، و هذا بخلاف الآية إذ ليس فيها وجه للمبالغة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عليه فيدور الامر بين الاحتمال الاول و 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 المحقق الخراساني الثاني اي أصالة العموم في صدر الآية و سلامتها عن معارضة أصالة عدم الاستخدام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دليل حجية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في الشک في ما أريد على وجه الحقيقة أو المجاز، مثلا إذا لم يعلم المراد من لفظ الأسد، و أنه معناه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الحيوان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المجازي أعني الرّجل الشجاع، فهنا استقر بناء العقلاء على جريان أصالة الحقيقة فيه، و أن المراد منه معناه الحقيقي و هو الحيوان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المراد و أنه الرّجل الشجاع، لكن لم يعلم أنه معنى حقيقي أو مجازي، فلا تجري أصالة الحقيقة هنا لإحراز أن اللفظ مستعمل في معناه على وجه الحقيقة، و أن الرّجل الشجاع معناه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تجري اصالة الظهور في الضمير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الغرض من اجراء اصالة الظهور في الضمير هو تعيين مرجعه بنحو لا يستلزم منه استخدام في الضمير او تجوز في الاسناد و هو خارج عن شأن اصالة الظهور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الأصل في الاستعمال الحقيقة أحرز به كون المراد هو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ثبت في محله أن الاستعمال أعم من الحقيقة، فلا أصل لهذا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لما كانت إرادة الرجعيات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و كان الشك في كيفية إرادتها، و أن إرادتها منه على نحو الحقيقة، بأن أريد من مرجعه خصوص الرجعيات، أو على نحو المجاز، بأن أريد من مرجعه جميع المطلقات، و التجوز حينئذ في ناحية الضمير، فلا </w:t>
      </w:r>
    </w:p>
    <w:p>
      <w:pPr>
        <w:pStyle w:val="BookText"/>
        <w:rPr/>
      </w:pPr>
      <w:r>
        <w:rPr>
          <w:rFonts w:ascii="Amiri" w:hAnsi="Amiri" w:eastAsia="Amiri" w:cs="Amiri"/>
          <w:color w:val="111111"/>
          <w:sz w:val="28"/>
          <w:sz w:val="28"/>
          <w:szCs w:val="28"/>
          <w:rtl w:val="true"/>
          <w:lang w:bidi="ar-SA"/>
        </w:rPr>
        <w:t>تجري أصالة عدم الاستخدام في الضمير، بل تجري أصالة الظهور أي العموم في العام، فيحكم بوجوب التربص على جميع المطلقات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لذلک أنّ اصالة عدم الاستخدام لا تجري في مثل المقام حسب الفرض، لأنّ موردها هو الشك في المراد، و المراد هنا معلوم، و معنى انّه ليسبحجة، يعني انّ العقلاء لا يعوّلون على هذا الظهور في مقام التفهيم، و مع عدم تعويل العقلاء على هذا الظهور، لا يكون حينئذ موجبا لإجمال ظهور العام في نفسه، بدعوى انّ العام لو كان مراد المتكلم البعض منه، فحينئذ، لم يتطابق مقام إثباته مع مقام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الضمير يدل على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الظهور المدّعى لا يعوّل عليه في مقام الإفهام إثباتا، لانّ الظهور ينبغي أن يكون بنحو يعوّل عليه العقلاء، فلا يصلح هذا الضمير للقرينيّة و لذا ليس للمتكلم أن يعتذر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أردت البعض بقرينة الضمير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المحقق الخراساني قيّد جريان أصالة الظهور في طرف العام فيما إذا عقد للكلام ظهور في العموم، كما إذا اشتمل الكلام على حكمين مثل المقام، فان وجوب التربص ثابت للمطلقات و الحكم بأحقية الرد ثابت لبعولتهن، ضرورة أنه حينئذ ينعقد الظهور للعام أعني المطلقات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فجريان أصالة العموم مبني على عدم احتفاف العام بما يمنع ظهوره في العموم، كما إذا كان في الكلام ضمير راجع إلى العام صالح لأن يمنع انعقاد العموم له، فان أصالة العموم حينئذ لا تجري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العام مكتنفاً بضمير، و كان احتفافه به مما يعد عرفاً صالحاً للقرينية على عدم إرادة العموم منه، لم ينعقد له ظهور في العموم، فأصالة العموم لا تجري فيه حينئذ و يكون مجملاً و يرجع إلى الأُصول العملية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ملاك باب اكتناف الكلام بما يصلح للقرينية هو ان يكون في الكلام لفظ مجمل بحيث لو كان المتكلم متكلا عليه في بيان مراده لم يكن مخلا بالغرض، و هو غير متوفر فيما نحن فيه، إذ الجملة المشتملة على الضمير تتكفل حكما غير الحكم الّذي تتكفله الجملة المشتملة على العام، فلا يصح للمتكلم الاتكال على جملة الضمير في مقام البيان‌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الشهيد الصدر</w:t>
      </w:r>
    </w:p>
    <w:p>
      <w:pPr>
        <w:pStyle w:val="BookText"/>
        <w:rPr/>
      </w:pPr>
      <w:r>
        <w:rPr>
          <w:rFonts w:ascii="IRNazanin" w:hAnsi="IRNazanin" w:eastAsia="IRNazanin"/>
          <w:color w:val="111111"/>
          <w:sz w:val="28"/>
          <w:sz w:val="28"/>
          <w:szCs w:val="28"/>
          <w:rtl w:val="true"/>
          <w:lang w:bidi="fa-IR"/>
        </w:rPr>
        <w:t xml:space="preserve">و اشکل الشهيد الصدر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بناء العقلاء لم ينعقد على حجية ظهور في الكلام ابتلى بظهور آخر متصل في نفس الكلام و مكذّب له، فمثل هذا الظهور لا يكون حجة، و إن لم يكن الظهور الآخر في نفسه حجة، لعدم الملازمة بينهما، فضلا عن انّ دليل حجية ظهور العام في العموم، لا يشمل ما إذا كان مزاحما مع ما يوجب إجماله، و إن لم يكن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يرجع بحسب الحقيقة، إلى تضييق في دائرة دليل الحجية، و على هذا الأساس، يكون موجبا للإجمال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ظهور للضمير بل هو ساکت فلا يکذب ظهور العام و قد تقدم انه لا يصلح للقرينية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 ودفع</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رجوع الضمير إلى بعض أفراد العام غير صحيح، لأنّ الضمائر وضعت لنفس الإشارة الخارجية فلا بدّ لها من مشار إليه، و هو ليس إلّا المرجع المذكور في الآية، فيجب تطابقهما فلا يمكن أن تكون الإشارة على وجه أخص و المشار إليه على وجه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تقدم من أنّ التخصيص لا يوجب المجازية لا في المتصل و لا في المنفصل و عليه فلا محذور في البين أبداً من الاحتفاظ بأصالة العموم في كلا الموردين، إذ لا مانع من أن يكون العام مستعملاً في معناه و يكون الضمير أيضاً راجعاً إلى نفس العام لكن بالإرادة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من الخارج عدم مطابقة الإرادة الاستعمالية مع الجدية في ناحية الضمير تُخصّص الإرادة الجدية في مورد الضمير من دون أي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ذلك تخصيص المرجع أبداً، و ذلك لأنّه لو كان مستعملاً في الخاص لكان للتوهم المذكور مجال، و أمّا إذا كان مستعملاً في العموم كالمرجع بالإرادة الاستعمالية و لكن قام الدليل على عدم شمول الحكم لعامة أفراد المرجع، فمثل هذا لا يكون دليلًا على التصرف في العام، بل العام قائم على ظهوره حتّى يثبت الخصوص</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الضمير مستعملاً بالإرادة الاستعمالية في بعض المرجع لكان للتوهم المذكور مجال، و أمّا إذا استعمل في نفس المعنى الذي استعمل فيه لفظ العام و إن علم بدليل خارجي مخالفة الجد مع المراد استعمالاً فلا يصير سبباً لتخصص العام، لا استعمالاً و لا جداً</w:t>
      </w:r>
      <w:r>
        <w:rPr>
          <w:rFonts w:eastAsia="Amiri" w:cs="Amiri" w:ascii="Amiri" w:hAnsi="Amiri"/>
          <w:color w:val="111111"/>
          <w:sz w:val="28"/>
          <w:szCs w:val="28"/>
          <w:rtl w:val="true"/>
          <w:lang w:bidi="ar-SA"/>
        </w:rPr>
        <w:t xml:space="preserve">. </w:t>
      </w:r>
      <w:bookmarkStart w:id="701" w:name="pg16640_202550"/>
    </w:p>
    <w:p>
      <w:pPr>
        <w:pStyle w:val="Heading2"/>
        <w:numPr>
          <w:ilvl w:val="1"/>
          <w:numId w:val="1"/>
        </w:numPr>
        <w:rPr/>
      </w:pPr>
      <w:bookmarkStart w:id="702" w:name="__RefHeading___Toc11691567_1280447820"/>
      <w:bookmarkStart w:id="703" w:name="_Toc251"/>
      <w:bookmarkEnd w:id="701"/>
      <w:bookmarkEnd w:id="702"/>
      <w:r>
        <w:rPr>
          <w:rtl w:val="true"/>
        </w:rPr>
        <w:t>الفصل الثاني عشر</w:t>
      </w:r>
      <w:r>
        <w:rPr>
          <w:rtl w:val="true"/>
        </w:rPr>
        <w:t xml:space="preserve">: </w:t>
      </w:r>
      <w:r>
        <w:rPr>
          <w:rtl w:val="true"/>
        </w:rPr>
        <w:t>في تخصيص العام بالمفهوم</w:t>
      </w:r>
      <w:bookmarkEnd w:id="703"/>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لمفهوم الموافقة إطلاقات و هي کالتالي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الخصوصية و إسراء الحكم لفاقدها، كقول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ثوبي دم رعاف</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 نظر العرف في الأوّل هو الدم لا دم رعاف و لا دم زرارة، و في الثاني هو الشكّ لا شكّ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الكنائي الذي سيق لأجله الكلام مع عدم ثبوت الحكم للمنطوق،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وَ لا تَنْهَرْهُما وَ قُلْ لَهُما قَوْلًا كَرِيماً</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حرمة التأفيف و انّ الحرام هو مفهومه الموافق، أي الضرب و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 لكن المنطوق محكوم بحكم المفهوم أيضاً، كالآية المتقدّمة بناء على حرمة التأفيف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القطعية،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ذبيحة الكتابي فيدلّ بالأولوية القطعية على حرمة ذبيحة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المستفاد من العلّة المنصوصة،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لأنّه مسكر، فيفهم منه حرمة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المفهوم غير مذكور و إنّما يفهم بإحدى الطرق الخمسة، أطلق المفهوم على الجميع، و بما انّ حكمه موافق مع الحكم الوارد في المنطوق وُصِفَ بالموافقة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فيقع الكلام في مقامين</w:t>
      </w:r>
      <w:r>
        <w:rPr>
          <w:rFonts w:eastAsia="Amiri" w:cs="Amiri" w:ascii="Amiri" w:hAnsi="Amiri"/>
          <w:color w:val="111111"/>
          <w:sz w:val="28"/>
          <w:szCs w:val="28"/>
          <w:rtl w:val="true"/>
          <w:lang w:bidi="ar-SA"/>
        </w:rPr>
        <w:t xml:space="preserve">: </w:t>
      </w:r>
      <w:bookmarkStart w:id="704" w:name="pg16640_202551"/>
    </w:p>
    <w:p>
      <w:pPr>
        <w:pStyle w:val="Heading2"/>
        <w:numPr>
          <w:ilvl w:val="1"/>
          <w:numId w:val="1"/>
        </w:numPr>
        <w:rPr/>
      </w:pPr>
      <w:bookmarkStart w:id="705" w:name="__RefHeading___Toc11691569_1280447820"/>
      <w:bookmarkStart w:id="706" w:name="_Toc252"/>
      <w:bookmarkEnd w:id="704"/>
      <w:bookmarkEnd w:id="705"/>
      <w:r>
        <w:rPr>
          <w:rtl w:val="true"/>
        </w:rPr>
        <w:t>المقام الأوّل</w:t>
      </w:r>
      <w:r>
        <w:rPr>
          <w:rtl w:val="true"/>
        </w:rPr>
        <w:t xml:space="preserve">: </w:t>
      </w:r>
      <w:r>
        <w:rPr>
          <w:rtl w:val="true"/>
        </w:rPr>
        <w:t>تخصيص العام بالمفهوم الموافق</w:t>
      </w:r>
      <w:bookmarkEnd w:id="706"/>
    </w:p>
    <w:p>
      <w:pPr>
        <w:pStyle w:val="BookText"/>
        <w:rPr/>
      </w:pPr>
      <w:r>
        <w:rPr>
          <w:rFonts w:ascii="Amiri" w:hAnsi="Amiri" w:eastAsia="Amiri" w:cs="Amiri"/>
          <w:color w:val="111111"/>
          <w:sz w:val="28"/>
          <w:sz w:val="28"/>
          <w:szCs w:val="28"/>
          <w:rtl w:val="true"/>
          <w:lang w:bidi="ar-SA"/>
        </w:rPr>
        <w:t>إذا كان في مورد عام و مفهوم موافق، فهل يقدّم العام على المفهوم و يلغى الثاني، أو يقدّم المفهوم على العام و يخصص الثاني؟ مقتضى القواعد هو التخصيص لا الإلغاء، لأنّ كلاً منها دليل شرعي يجب إعماله حسب ما أمكن عرفاً؛ ففي الأوّل إلغاء للحجة الشرعية من رأس، و في الثاني إعمال لهما، و يقدّم الثاني علىالأوّل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حرمة تزويج ذات البعل التي هي المفهوم الموافق بالأولوية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يتزوج المرأة في عدتها و هو يعلم لا تحل له أبداً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إذ لا إشكال في أولوية حرمة تزويج ذات البعل من نكاح المعتدة، و هذا المفهوم يخصص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 بعد ذكر حرمة نكاح عدة من النساء كالأُم، و البنت و الأُخت، و العمة، و الخالة و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عموم وَ أُحِلَّ لَكُمْ ما وَراءَ ذلِكُم بالمفهوم الموافق المزبور،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المذكورات الّا ذات البعل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کما لو كان مكان المفهوم دلالة منطوقية فانها تکون مقدّمة على العام و مخصّصة له فكذلک الدلالة المفهومية إذ لاتنقص الثانية عن الأُولى و ليست إحداهما أقوى من الأُخرى، بل ربما يكون المفهوم أقوى اذ قد لا يُساق الكلام إلّا لإفهامه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يشترط في المفهوم ان يکون أخص مطلقاً لا عموماً من وجه و هو شرط زائد، لأنّه ليس من شرائط كون المفهوم مخصصاً، بل هو من شرائط كلّ مخصص، سواء أ كان لفظياً أو مفهومياً</w:t>
      </w:r>
      <w:r>
        <w:rPr>
          <w:rFonts w:eastAsia="IRNazanin" w:cs="IRNazanin"/>
          <w:color w:val="111111"/>
          <w:sz w:val="28"/>
          <w:szCs w:val="28"/>
          <w:rtl w:val="true"/>
          <w:lang w:bidi="fa-IR"/>
        </w:rPr>
        <w:t xml:space="preserve">. </w:t>
      </w:r>
      <w:bookmarkStart w:id="707" w:name="pg16640_202552"/>
    </w:p>
    <w:p>
      <w:pPr>
        <w:pStyle w:val="BookText"/>
        <w:rPr/>
      </w:pPr>
      <w:bookmarkEnd w:id="707"/>
      <w:r>
        <w:rPr>
          <w:rFonts w:ascii="IRNazanin" w:hAnsi="IRNazanin" w:eastAsia="IRNazanin"/>
          <w:color w:val="111111"/>
          <w:sz w:val="28"/>
          <w:sz w:val="28"/>
          <w:szCs w:val="28"/>
          <w:rtl w:val="true"/>
          <w:lang w:bidi="fa-IR"/>
        </w:rPr>
        <w:t>و اما دعوی المحقّق الخراساني الاتّفاق علی تخصيص العام بالمفهوم الموافق</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عبرة بها لعدم کون الاتفاق من الاجماع الکاشف عن نظر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جاء في کلمات المحقق النائيني اضافة صورة اخری في المقام تکون النسبة بينها و بين العام عموم من وجه لنکتة خاصة توجب تقديمها علی العام المقابل و حاصل کلامه انه 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في 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فساق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مفهومه بالاولوية وجوب اکرام العلماء حيث تکون النسبة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العموم من وجه و الاول من قبيل المفهوم و الثاني من قبيل المنطوق</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هنا في تقديم اکرم العلماء علی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 النسبة بين مفهوم المخصص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فساق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العموم و الخصوص المطلق و لا ريب في تقدمه عليه و تقدم مفهومه اي وجوب اکرام العلماء للاولية القطعية</w:t>
      </w:r>
      <w:r>
        <w:rPr>
          <w:rFonts w:eastAsia="IRNazanin" w:cs="IRNazanin"/>
          <w:color w:val="111111"/>
          <w:sz w:val="28"/>
          <w:szCs w:val="28"/>
          <w:rtl w:val="true"/>
          <w:lang w:bidi="fa-IR"/>
        </w:rPr>
        <w:t>.</w:t>
      </w:r>
    </w:p>
    <w:p>
      <w:pPr>
        <w:pStyle w:val="Heading2"/>
        <w:numPr>
          <w:ilvl w:val="1"/>
          <w:numId w:val="1"/>
        </w:numPr>
        <w:rPr/>
      </w:pPr>
      <w:bookmarkStart w:id="708" w:name="__RefHeading___Toc11691571_1280447820"/>
      <w:bookmarkStart w:id="709" w:name="_Toc253"/>
      <w:bookmarkEnd w:id="708"/>
      <w:r>
        <w:rPr>
          <w:rtl w:val="true"/>
        </w:rPr>
        <w:t>المقام الثاني</w:t>
      </w:r>
      <w:r>
        <w:rPr>
          <w:rtl w:val="true"/>
        </w:rPr>
        <w:t xml:space="preserve">: </w:t>
      </w:r>
      <w:r>
        <w:rPr>
          <w:rtl w:val="true"/>
        </w:rPr>
        <w:t>التخصيص بمفهوم المخالفة</w:t>
      </w:r>
      <w:bookmarkEnd w:id="709"/>
    </w:p>
    <w:p>
      <w:pPr>
        <w:pStyle w:val="BookText"/>
        <w:rPr/>
      </w:pPr>
      <w:r>
        <w:rPr>
          <w:rFonts w:ascii="Amiri" w:hAnsi="Amiri" w:eastAsia="Amiri" w:cs="Amiri"/>
          <w:color w:val="111111"/>
          <w:sz w:val="28"/>
          <w:sz w:val="28"/>
          <w:szCs w:val="28"/>
          <w:rtl w:val="true"/>
          <w:lang w:bidi="ar-SA"/>
        </w:rPr>
        <w:t xml:space="preserve">إذا كان هناك عام و مفهوم مخالف كمفهوم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يبلغ الماء قدر كر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تخصيص العام أعني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المخالفة أم لا؟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التخصيص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التفصيل بين استفادة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على العام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من </w:t>
      </w:r>
    </w:p>
    <w:p>
      <w:pPr>
        <w:pStyle w:val="BookText"/>
        <w:rPr/>
      </w:pPr>
      <w:r>
        <w:rPr>
          <w:rFonts w:ascii="Amiri" w:hAnsi="Amiri" w:eastAsia="Amiri" w:cs="Amiri"/>
          <w:color w:val="111111"/>
          <w:sz w:val="28"/>
          <w:sz w:val="28"/>
          <w:szCs w:val="28"/>
          <w:rtl w:val="true"/>
          <w:lang w:bidi="ar-SA"/>
        </w:rPr>
        <w:t>التفصيل،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كسائر موارد التعارض من حيث لزوم الأخذ بالأظهر من المتعارضين ان كان أحدهما أظهر، و إلّا فالتساقط و الرجوع إلى الأصل العملي في مادة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المفهومية ليست من موجبات الوهن و ضعف الدلالة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عام و ما له مفهوم يصلح لتخصيص العام، و كان كل منهما صالحاً لأن يكون قرينة على التصرف في الآخر، كما إذا كانا في كلام واحد، أو في كلامين يعدان بنظر العرف بمنزلة كلام واحد، فتارة يكون منشأ الدلالة و الظهور في كل منهما الوضع، و أخرى الإطلاق الناشئ عن مقدمات الحكمة، و ثالثة باختلافهما، بأن يكون أحدهما بالوضع، و الآخر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الصورتين الأوليين لا مفهوم و لا عموم، أما في الثانية، فلعدم تمامية مقدمات الحكمة في شي‌ء منهما، لتوقف تماميتها في كل واحد منهما على عدم الآخر، فلا يبقى منشأ للظهور في كل منهما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الأولى، فلتزاحم الظهورين، و عدم اعتبار كليهما إلّا إذا كان أحدهما أظهر من الآخر، كما إذا فرض كثرة استعمال أحدهما في معناه الحقيقي، و الآخر في معناه المجازي، و لذا يكون الأول أظهر في معناه الحقيقي من الثاني، فيقدم الأظهر على غيره ان كان العام و ما له المفهوم في كلام واحد،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أَنْ تُصِيبُوا قَوْماً بِجَهالَة</w:t>
      </w:r>
      <w:r>
        <w:rPr>
          <w:rFonts w:ascii="IRNazanin" w:hAnsi="IRNazanin" w:eastAsia="IRNazanin"/>
          <w:color w:val="111111"/>
          <w:sz w:val="28"/>
          <w:sz w:val="28"/>
          <w:szCs w:val="28"/>
          <w:rtl w:val="true"/>
          <w:lang w:bidi="fa-IR"/>
        </w:rPr>
        <w:t xml:space="preserve"> بناءً علی ان مفهومه عدم وجوب التبين في خبر العادل، و تلقيه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مقتضى عموم شناعة إصابة القوم بجهالة كون إصابتهم كذلك أمراً مرغوباً عنه و لو من ناحية خبر العادل، و لعدم استقرار الظهور بعد انعقاده في غير الأظهر ان 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العام و ما لهالمفهوم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كلامين كهذا المفهوم بالنسبة إلى عموم الآيات الناهية عن العمل بالظن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يتعرض المحقق الخراساني للصورة الثالثة أعني ما إذا كان ظهور العام بالوضع و ظهور المفهوم بالإطلاق بمقدمات الحكمة أو بالعكس و لا إشكال في تقدم ما ظهوره بالوضع على ما ظهوره بمقدمات الحكمة، لأن الظهور إذا كان بالوضع كان صالحاً لأن يكون بياناً مانعاً عن الظهور بالإطلاق الناشئ من مقدمات الحكمة التي منها عدم البيان،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من التفصيل بين كون النسبة بين العام و المفهوم هي العموم و الخصوص المطلق فيخصص به العام، و ما إذا كانت النسبة هي العموم من وجه فلا يخصص به العام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النائيني عن بعض من التفصيل بين ما إذا كان العموم متصلا بما له المفهوم و ما إذا كان منفصلا عنه فيلتزم بتقديم العموم و بكونه مانعا من انعقاد ظهور الكلام في المفهوم في فرض اتصال العموم بماله المفهوم و بتقديم المفهوم على العموم في فرض انفصالهما لانعقاد ظهور الكلام في المفهوم في هذا الفرض و كونه أخص مما له العموم على الفرض</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الأقوال في المسألة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الاقوال هو الاول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التخصيص مطلقاً کما سيتضح من خلال رد سائر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القول الثالث و هو التفصيل بين استفادة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فيقدم على العام و بين غيره ، فلا وجه له لعدم الفرق بين المفهوم المستفاد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سائر المفاهيم من حيث الحجّية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القول الرابع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المحقّق الخراساني فهو أيضاً خارج عن نطاق البحث، و ذلك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العموم و المفهوم مستفادين من الإطلاق فالظهور غير منعقد، و إذا كانا مستفادين من الظهور الوضعي فالظهور غير مستقر، و هذا إن دلّ على شي‌ء فإنّما يدلّ على عدم الإذعان بوجود العام أو المفهوم حيث إنّ مقدمات الحكمة في كلّ تنهار بالآخر و مع عدمها لا يكون هناك إذعان بالعام و بالمفهوم، و مثله إذا كان كلّ من العموم و المفهوم مستفاداً من الدلالة الوضعية، فالظهور و إن كان منعقداً لكنّه يكون غير مستقر، لأنّ كلاً قابل للتصرف فيالآخر، و هذا إن دل على شي‌ء فإنّما يدلّ على كون الشكّ في وجود الصغرى، و هو خارج عن نطاق النزاع، و يكون البحث مركّزاً على صورة واحدة و هي أقوائية أحدهما و أضعفية الآخر کأن يكون الأقوى وضعياً و الأضعف إطلاقياً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الخامس و هو التفصيل الذي اختاره المحقّق النائيني من شرطية كون المفهوم أخصّ مطلق من العام، فهذا ليس شرطاً في مخصصية المفهوم، بل هو شرط في مخصصية الخاص سواء أ كان مفهوماً أو منطوقاً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انه يرجع الی انکار الظهور في المفهوم اذا کان متصلا و هو اجنبي عن المقام لانه في کون ايهما مقدما بعد فرض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کونه ظاهرا ام لا فقد اجاب عنه المحقق النائيني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اتصال العموم بالكلام يستحيل ان يكون مانعاً من انعقاد ظهوره في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احتياج ظهور الكلام في المفهوم إلى جريان مقدمات الحكمة انما هو لإثبات انحصار قيد الحكم بما ذكر في المنطوق و عدم دخل شي‌ء آخر في ذلك الحكم لا منضماً إلى القيد المذكور في الكلام و لا بدلا عنه و اما كون القيد المذكور فيه راجعا إلى الحكم لا إلى موضوعه الّذي هو المناط في ظهور الكلام في المفهوم كما عرفت في بحث المفاهيم فالإطلاق أجنبي عنه و انما يثبت </w:t>
      </w:r>
      <w:bookmarkStart w:id="710" w:name="pg16640_202556"/>
    </w:p>
    <w:p>
      <w:pPr>
        <w:pStyle w:val="BookText"/>
        <w:rPr/>
      </w:pPr>
      <w:bookmarkEnd w:id="710"/>
      <w:r>
        <w:rPr>
          <w:rFonts w:ascii="Amiri" w:hAnsi="Amiri" w:eastAsia="Amiri" w:cs="Amiri"/>
          <w:color w:val="111111"/>
          <w:sz w:val="28"/>
          <w:sz w:val="28"/>
          <w:szCs w:val="28"/>
          <w:rtl w:val="true"/>
          <w:lang w:bidi="ar-SA"/>
        </w:rPr>
        <w:t>ذلك بظهور وضعي و من الواضح ان إطلاق متعلق العموم لا يصلح ان يكون مانعاً من الظهور الوضعي ليرفع اليد به عن المفهوم و يلتزم برجوع القيد إلى ناحية الموضوع فبعد الفراغ عن ظهور القضية في حد نفسها في المفهوم لا يبقى إشكال في تقدمه على العموم و كونه مبيّنا لدائرة متعلقه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القول الثاني اي عدم جوازه مطلقا فيبتني علی انّ كون الدلالة مفهومية أضعف من الدلالة المنطوقية توجب الأقوائية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في البحث السابق عدم الفرق بينهما، بل ربما يكون المفهوم أقوى من الآخر، و لذلك لا مانع من تخصيص العام بالمفهوم إذا حاز سائر الشرائط، و عليه فالقول الأوّل هو الصحيح</w:t>
      </w:r>
      <w:r>
        <w:rPr>
          <w:rFonts w:eastAsia="IRNazanin" w:cs="IRNazanin"/>
          <w:color w:val="111111"/>
          <w:sz w:val="28"/>
          <w:szCs w:val="28"/>
          <w:rtl w:val="true"/>
          <w:lang w:bidi="fa-IR"/>
        </w:rPr>
        <w:t>.</w:t>
      </w:r>
    </w:p>
    <w:p>
      <w:pPr>
        <w:pStyle w:val="Heading2"/>
        <w:numPr>
          <w:ilvl w:val="1"/>
          <w:numId w:val="1"/>
        </w:numPr>
        <w:rPr/>
      </w:pPr>
      <w:bookmarkStart w:id="711" w:name="__RefHeading___Toc11691573_1280447820"/>
      <w:bookmarkStart w:id="712" w:name="_Toc254"/>
      <w:bookmarkEnd w:id="711"/>
      <w:r>
        <w:rPr>
          <w:rtl w:val="true"/>
        </w:rPr>
        <w:t>نظرية المحقّق البروجردي في المقام</w:t>
      </w:r>
      <w:bookmarkEnd w:id="712"/>
    </w:p>
    <w:p>
      <w:pPr>
        <w:pStyle w:val="BookText"/>
        <w:rPr/>
      </w:pPr>
      <w:r>
        <w:rPr>
          <w:rFonts w:ascii="Amiri" w:hAnsi="Amiri" w:eastAsia="Amiri" w:cs="Amiri"/>
          <w:color w:val="111111"/>
          <w:sz w:val="28"/>
          <w:sz w:val="28"/>
          <w:szCs w:val="28"/>
          <w:rtl w:val="true"/>
          <w:lang w:bidi="ar-SA"/>
        </w:rPr>
        <w:t>ثمّ إنّ السيد المحقّق البروجردي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المفهوم على العام لأجل انّ التعارض يرجع إلى اختلاف المطلق و المقيد، فإنّ قوله في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طهوراًلا ينجسه شي‌ء إلّا ما غيّر لونه و طعمه أو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تمام الموضوع لعدم الانفعال هو الماء، و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الماء بعض الموضوع و أمّا تمام الموضوع للاعتصام فهو الماء بقيد الكرية، فيقدّم ما له المفهوم على العام تقدّم المقيد على المطلق</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لا علاقة له بالمطلق والمقيد على المطلق، بل هما من تقدّم المفهوم على العام بما هو هو من غير دخل لعنوان آخر کالاطلاق و التقييد</w:t>
      </w:r>
      <w:r>
        <w:rPr>
          <w:rFonts w:eastAsia="IRNazanin" w:cs="IRNazanin"/>
          <w:color w:val="111111"/>
          <w:sz w:val="28"/>
          <w:szCs w:val="28"/>
          <w:rtl w:val="true"/>
          <w:lang w:bidi="fa-IR"/>
        </w:rPr>
        <w:t xml:space="preserve">. </w:t>
      </w:r>
      <w:bookmarkStart w:id="713" w:name="pg16640_202557"/>
    </w:p>
    <w:p>
      <w:pPr>
        <w:pStyle w:val="BookText"/>
        <w:rPr/>
      </w:pPr>
      <w:bookmarkEnd w:id="713"/>
      <w:r>
        <w:rPr>
          <w:rFonts w:ascii="Amiri" w:hAnsi="Amiri" w:eastAsia="Amiri" w:cs="Amiri"/>
          <w:color w:val="111111"/>
          <w:sz w:val="28"/>
          <w:sz w:val="28"/>
          <w:szCs w:val="28"/>
          <w:rtl w:val="true"/>
          <w:lang w:bidi="ar-SA"/>
        </w:rPr>
        <w:t>و ربما لا يجري ما ذكره في بعض الموارد، أي لا يكون هناك حديث عن الإطلاق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فسّاقهم إذا أحسنوا إليك، فعلى فرض عدم إحسانهم يكون المفهوم عدم وجوب إكرام فسّاقهم فيتعارضان في العالم الفاسق، فلو قدّم العام يجب إكرامه، و لو قدّم المفهوم لا يجب، و ليس هناك حديث عن الإطلاق و التقييد</w:t>
      </w:r>
      <w:r>
        <w:rPr>
          <w:rFonts w:eastAsia="Amiri" w:cs="Amiri" w:ascii="Amiri" w:hAnsi="Amiri"/>
          <w:color w:val="111111"/>
          <w:sz w:val="28"/>
          <w:szCs w:val="28"/>
          <w:rtl w:val="true"/>
          <w:lang w:bidi="ar-SA"/>
        </w:rPr>
        <w:t>.</w:t>
      </w:r>
    </w:p>
    <w:p>
      <w:pPr>
        <w:pStyle w:val="Heading2"/>
        <w:numPr>
          <w:ilvl w:val="1"/>
          <w:numId w:val="1"/>
        </w:numPr>
        <w:rPr/>
      </w:pPr>
      <w:bookmarkStart w:id="714" w:name="__RefHeading___Toc11691575_1280447820"/>
      <w:bookmarkStart w:id="715" w:name="_Toc255"/>
      <w:bookmarkEnd w:id="714"/>
      <w:r>
        <w:rPr>
          <w:rtl w:val="true"/>
        </w:rPr>
        <w:t>الفصل الثالث عشر</w:t>
      </w:r>
      <w:r>
        <w:rPr>
          <w:rtl w:val="true"/>
        </w:rPr>
        <w:t xml:space="preserve">: </w:t>
      </w:r>
      <w:r>
        <w:rPr>
          <w:rtl w:val="true"/>
        </w:rPr>
        <w:t>الاستثناء المتعقِّب للجمل</w:t>
      </w:r>
      <w:bookmarkEnd w:id="715"/>
    </w:p>
    <w:p>
      <w:pPr>
        <w:pStyle w:val="BookText"/>
        <w:rPr/>
      </w:pPr>
      <w:r>
        <w:rPr>
          <w:rFonts w:ascii="Amiri" w:hAnsi="Amiri" w:eastAsia="Amiri" w:cs="Amiri"/>
          <w:color w:val="111111"/>
          <w:sz w:val="28"/>
          <w:sz w:val="28"/>
          <w:szCs w:val="28"/>
          <w:rtl w:val="true"/>
          <w:lang w:bidi="ar-SA"/>
        </w:rPr>
        <w:t>إذا كانت هناك جمل متعاطفة و تعقّبها استثناء فهل يرجع الاستثناء إلى الجميع أو إلى الأخيرة، أو لا ظهور له في أحدهما و إن كان الرجوع إلى الأخيرة متيقناً؟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مثاله قوله سبحانه في حقّ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 وَ 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 أَصْلَحُوا فَإِنَّ اللَّهَ غَفُورٌ رَحِيم</w:t>
      </w:r>
      <w:r>
        <w:rPr>
          <w:rStyle w:val="FootnoteAnchor"/>
          <w:rtl w:val="true"/>
        </w:rPr>
        <w:footnoteReference w:id="507"/>
      </w:r>
      <w:r>
        <w:rPr>
          <w:rFonts w:ascii="Amiri" w:hAnsi="Amiri" w:eastAsia="Amiri" w:cs="Amiri"/>
          <w:color w:val="111111"/>
          <w:sz w:val="28"/>
          <w:sz w:val="28"/>
          <w:szCs w:val="28"/>
          <w:rtl w:val="true"/>
          <w:lang w:bidi="ar-SA"/>
        </w:rPr>
        <w:t>فوقع الكلام في أنّ الاستثناء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هل يرجع إلى الحكم الأخير أعني</w:t>
      </w:r>
      <w:r>
        <w:rPr>
          <w:rFonts w:eastAsia="Amiri" w:cs="Amiri" w:ascii="Amiri" w:hAnsi="Amiri"/>
          <w:color w:val="111111"/>
          <w:sz w:val="28"/>
          <w:szCs w:val="28"/>
          <w:rtl w:val="true"/>
          <w:lang w:bidi="ar-SA"/>
        </w:rPr>
        <w:t xml:space="preserve">: </w:t>
      </w:r>
      <w:bookmarkStart w:id="716" w:name="pg16640_202558"/>
    </w:p>
    <w:p>
      <w:pPr>
        <w:pStyle w:val="BookText"/>
        <w:rPr/>
      </w:pPr>
      <w:bookmarkEnd w:id="716"/>
      <w:r>
        <w:rPr>
          <w:rFonts w:ascii="Amiri" w:hAnsi="Amiri" w:eastAsia="Amiri" w:cs="Amiri"/>
          <w:color w:val="111111"/>
          <w:sz w:val="28"/>
          <w:sz w:val="28"/>
          <w:szCs w:val="28"/>
          <w:rtl w:val="true"/>
          <w:lang w:bidi="ar-SA"/>
        </w:rPr>
        <w:t>أُولئِكَ هُمُ الْفاسِقُون أو يرجع إلى الجميع، يعني الأحكام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بالجلد و عدم قبول الشهادة و الحكم بالفسق؟</w:t>
      </w:r>
    </w:p>
    <w:p>
      <w:pPr>
        <w:pStyle w:val="Heading2"/>
        <w:numPr>
          <w:ilvl w:val="1"/>
          <w:numId w:val="1"/>
        </w:numPr>
        <w:rPr/>
      </w:pPr>
      <w:bookmarkStart w:id="717" w:name="__RefHeading___Toc11691577_1280447820"/>
      <w:bookmarkStart w:id="718" w:name="_Toc256"/>
      <w:bookmarkEnd w:id="717"/>
      <w:r>
        <w:rPr>
          <w:rtl w:val="true"/>
        </w:rPr>
        <w:t>تحرير محل النزاع</w:t>
      </w:r>
      <w:bookmarkEnd w:id="718"/>
    </w:p>
    <w:p>
      <w:pPr>
        <w:pStyle w:val="BookText"/>
        <w:rPr/>
      </w:pPr>
      <w:r>
        <w:rPr>
          <w:rFonts w:ascii="Amiri" w:hAnsi="Amiri" w:eastAsia="Amiri" w:cs="Amiri"/>
          <w:color w:val="111111"/>
          <w:sz w:val="28"/>
          <w:sz w:val="28"/>
          <w:szCs w:val="28"/>
          <w:rtl w:val="true"/>
          <w:lang w:bidi="ar-SA"/>
        </w:rPr>
        <w:t>ثم انه لا يخفى عدم اختصاص البحث بالاستثناء، بل يجري في سائر التوابع من النعت و الحال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و ان المخصص المنفصل يسقط الجميع عن الحجية، فانه و ان انعقد لكل منها ظهور في العموم مع الانفصال و انقطاع البيان، لكنه للعلم الإجمالي بتخصيص بعضها أو كلها لا تجري أصالة العموم في شي‌ء منها،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 أكرم الصلحاء، أكرم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للخاص ظهور في العموم أو الإطلاق، فلا إشكال في كونه معارضاً لكل منها معارضة العموم من وجه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يكن له ظهور كذلك صار مجملا، و لإجماله لا يصلح لأن يكون مخصصاً، بعد انعقاد ظهور لكل من الجمل المذكورة في العموم، لانفصال الخاصّ عن جميعها، و عدم ارتباطه بها، لعدم كونه من التوابع و الملابسات، و تساوي نسبته إلى الجميع، فتسقط حينئذ أصالة العموم عن الحجية، للعلم الإجمالي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فمحل النزاع هو الكلام الواحد الّذي يمكن أن يرجع فيه الخاصّ إلى الكل أو الأخيرة بحسب القواعد العربية، بأن يكون من التوابع و يصلح للقرينية و ليس هذا إلّا مع العطف، و كون الخاصّ من الملابسات</w:t>
      </w:r>
      <w:r>
        <w:rPr>
          <w:rFonts w:eastAsia="Amiri" w:cs="Amiri" w:ascii="Amiri" w:hAnsi="Amiri"/>
          <w:color w:val="111111"/>
          <w:sz w:val="28"/>
          <w:szCs w:val="28"/>
          <w:rtl w:val="true"/>
          <w:lang w:bidi="ar-SA"/>
        </w:rPr>
        <w:t xml:space="preserve">. </w:t>
      </w:r>
      <w:bookmarkStart w:id="719" w:name="pg16640_202559"/>
    </w:p>
    <w:p>
      <w:pPr>
        <w:pStyle w:val="BookText"/>
        <w:rPr/>
      </w:pPr>
      <w:bookmarkEnd w:id="719"/>
      <w:r>
        <w:rPr>
          <w:rFonts w:ascii="Amiri" w:hAnsi="Amiri" w:eastAsia="Amiri" w:cs="Amiri"/>
          <w:color w:val="111111"/>
          <w:sz w:val="28"/>
          <w:sz w:val="28"/>
          <w:szCs w:val="28"/>
          <w:rtl w:val="true"/>
          <w:lang w:bidi="ar-SA"/>
        </w:rPr>
        <w:t>اذا عرفت هذا فيقع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إمكان الرجوع إلى الجميع، و الآخر في مقام الإثبات و المراد منه استظهار ظهور الجملة في أيّ واحد منهما</w:t>
      </w:r>
      <w:r>
        <w:rPr>
          <w:rFonts w:eastAsia="Amiri" w:cs="Amiri" w:ascii="Amiri" w:hAnsi="Amiri"/>
          <w:color w:val="111111"/>
          <w:sz w:val="28"/>
          <w:szCs w:val="28"/>
          <w:rtl w:val="true"/>
          <w:lang w:bidi="ar-SA"/>
        </w:rPr>
        <w:t>.</w:t>
      </w:r>
    </w:p>
    <w:p>
      <w:pPr>
        <w:pStyle w:val="Heading2"/>
        <w:numPr>
          <w:ilvl w:val="1"/>
          <w:numId w:val="1"/>
        </w:numPr>
        <w:rPr/>
      </w:pPr>
      <w:bookmarkStart w:id="720" w:name="__RefHeading___Toc11691579_1280447820"/>
      <w:bookmarkStart w:id="721" w:name="_Toc257"/>
      <w:bookmarkEnd w:id="720"/>
      <w:r>
        <w:rPr>
          <w:rtl w:val="true"/>
        </w:rPr>
        <w:t>المقام الأوّل</w:t>
      </w:r>
      <w:r>
        <w:rPr>
          <w:rtl w:val="true"/>
        </w:rPr>
        <w:t xml:space="preserve">: </w:t>
      </w:r>
      <w:r>
        <w:rPr>
          <w:rtl w:val="true"/>
        </w:rPr>
        <w:t>في مقام الثبوت و إمكان الرجوع إلى الجميع</w:t>
      </w:r>
      <w:bookmarkEnd w:id="721"/>
    </w:p>
    <w:p>
      <w:pPr>
        <w:pStyle w:val="BookText"/>
        <w:rPr/>
      </w:pPr>
      <w:r>
        <w:rPr>
          <w:rFonts w:ascii="IRNazanin" w:hAnsi="IRNazanin" w:eastAsia="IRNazanin"/>
          <w:color w:val="111111"/>
          <w:sz w:val="28"/>
          <w:sz w:val="28"/>
          <w:szCs w:val="28"/>
          <w:rtl w:val="true"/>
          <w:lang w:bidi="fa-IR"/>
        </w:rPr>
        <w:t>هل رجوع الاستثناء إلى عامّة الجمل المتقدّمة أمر ممكن أو لا؟ ذهب المحقّق الخراساني الی أنّ إمكان الرجوع إلى الجميع أمر مسلّم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المستثنى و المستثنى منه و وحدتهما لا يوجبان اختلافاً في ناحية أدوات الاستثناء بحسب المعنى و هو الإخراج، سواء كان الموضوع له في الحروف عاماً أم خاصاً، ضرورة أن أداة الاستثناء تستعمل دائماً في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يتفاوت هذا المعنى بين تعدد المخرج و المخرج عنه و وحدتهما، فلو كانالموضوع له في الأدوات خاصاً لما كان تعدد المستثنى و المستثنى منه مضراً بالإخراج الشخصي، حيث ان نسبة الإخراج شخصية، لكنها باعتبار تعدد أطرافها تنحل إلى نسب ضمنية، إذ جزئية النسبة لا تنافي انحلالها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مانع من صحة رجوع الاستثناء إلى الكل و لو قيل بوضع الأدوات لجزئيات النسبة الإخراجية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المحقّق البروجردي إلى امتناع الرجوع إلى الجميع لأنّ معاني الحروف معان فانية و مندكَّة في المستعمل فيه، فإذا رجع إلى الأخيرة فيندك فيها و معه كيف يرجع إلى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الحروف آلة للحاظ المعاني الاسمية و فانية فيها، و لا يمكن فناء واحد في أُمور كثيرة، و لا يقاس ذلك بالاستثناء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إلّا زيداً و عمراً و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حروف العطف فيها رابطة فيُخرَجُ الأوّل 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يرتبط الثاني به بحرف العطف، </w:t>
      </w:r>
    </w:p>
    <w:p>
      <w:pPr>
        <w:pStyle w:val="BookText"/>
        <w:rPr/>
      </w:pPr>
      <w:r>
        <w:rPr>
          <w:rFonts w:ascii="Amiri" w:hAnsi="Amiri" w:eastAsia="Amiri" w:cs="Amiri"/>
          <w:color w:val="111111"/>
          <w:sz w:val="28"/>
          <w:sz w:val="28"/>
          <w:szCs w:val="28"/>
          <w:rtl w:val="true"/>
          <w:lang w:bidi="ar-SA"/>
        </w:rPr>
        <w:t xml:space="preserve">بخلاف الاستثناء الواحد من الجمل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 أهن الفساق، و سلّم على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قبيل استعمال اللفظ الواحد في معاني متعددة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ورد النص بامکانه فکيف يکون محالا؟ فروى القاسم بن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عليه السلام عن الرجل يقذف الرجل فيُجلَد حداً ثمّ يتوب و لا يعلم منه إلّا خير، أ تجوز شهادته؟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يقال عندكم؟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توبته فيما بينه و بين اللّه و لا تقبل شهادته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قالوا، 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و لم يُعلم منه إلّا خير جازت شهادته</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علی أنّ القاذف إذا تاب تقبل شهادته، و معنى ذلك انّ الاستثناء يرجع إلى الجملة الثانية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الرواية و ان کانت ضعيفة بالقاسم لانه مهمل الّا انها موثوق بها لان الراوي عنه هو حماد و هو من اصحاب الاجماع و علی فرض کونها ضعيفة فهي حجّة من أهل اللسان على إمكان رجوع الاستثناء إلى الجمل المتوسطة، فلو كان أمراً محالاً لما أخبر به الراوي و من بعده من الرواة الراوين عنه باعتبار کونهم من أهل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الحروف في إفادة الوحدة و الكثرة تابعةً لمتعلّق الاستثناء، فإن كان متعلّق الاستثناء واحداً يتحد، و إن كان كثيراً يتكثّر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 متعلّقهكثير، حيث ان المستثنى منه متعدّد، و المستثنى قابل للانطباق، على مصاديق كلّ الجمل المتقدّمة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الاستثناء و إن كان مستعملاً في الاستثناء المندك لكن رجوعه إلى أكثر من واحد لا يستلزم كون المعنى الربطي الواحد حقائق ربطية متكثرة، إذ هو في المثال المعروف أكرم العلماء و الطلاب و التجار إلّا الفساق استعملت في الاستثناء المندك في </w:t>
      </w:r>
      <w:bookmarkStart w:id="722" w:name="pg16640_202561"/>
    </w:p>
    <w:p>
      <w:pPr>
        <w:pStyle w:val="BookText"/>
        <w:rPr/>
      </w:pPr>
      <w:bookmarkEnd w:id="722"/>
      <w:r>
        <w:rPr>
          <w:rFonts w:ascii="IRNazanin" w:hAnsi="IRNazanin" w:eastAsia="IRNazanin"/>
          <w:color w:val="111111"/>
          <w:sz w:val="28"/>
          <w:sz w:val="28"/>
          <w:szCs w:val="28"/>
          <w:rtl w:val="true"/>
          <w:lang w:bidi="fa-IR"/>
        </w:rPr>
        <w:t>الفسّاق، غير أنّ الذي يُصحّح رجوعه إلى أكثر من واحد ليس عروض الكثرة على المعنى الربطي الواحد، بل لأجل وجود كثرة و سعة في متعلّقه، أي نفس مفهوم الفسّاق حيث يشمل الفاسق من الطوائف الثلاث، فلو كان المستثنى قابلاً للانطباق على أكثر من واحد بالذات، لسرت الكثرة مجازاً و بالعرض إلى نفس الاستثناء و لا يلزم من ذلک استعمال اللفظ الواحد في معاني متعددة</w:t>
      </w:r>
      <w:r>
        <w:rPr>
          <w:rFonts w:eastAsia="IRNazanin" w:cs="IRNazanin"/>
          <w:color w:val="111111"/>
          <w:sz w:val="28"/>
          <w:szCs w:val="28"/>
          <w:rtl w:val="true"/>
          <w:lang w:bidi="fa-IR"/>
        </w:rPr>
        <w:t>.</w:t>
      </w:r>
    </w:p>
    <w:p>
      <w:pPr>
        <w:pStyle w:val="Heading2"/>
        <w:numPr>
          <w:ilvl w:val="1"/>
          <w:numId w:val="1"/>
        </w:numPr>
        <w:rPr/>
      </w:pPr>
      <w:bookmarkStart w:id="723" w:name="__RefHeading___Toc11691581_1280447820"/>
      <w:bookmarkStart w:id="724" w:name="_Toc258"/>
      <w:bookmarkEnd w:id="723"/>
      <w:r>
        <w:rPr>
          <w:rtl w:val="true"/>
        </w:rPr>
        <w:t>المقام الثاني</w:t>
      </w:r>
      <w:r>
        <w:rPr>
          <w:rtl w:val="true"/>
        </w:rPr>
        <w:t xml:space="preserve">: </w:t>
      </w:r>
      <w:r>
        <w:rPr>
          <w:rtl w:val="true"/>
        </w:rPr>
        <w:t>في بيان ما هو ظاهر فيه</w:t>
      </w:r>
      <w:bookmarkEnd w:id="724"/>
    </w:p>
    <w:p>
      <w:pPr>
        <w:pStyle w:val="BookText"/>
        <w:rPr/>
      </w:pPr>
      <w:r>
        <w:rPr>
          <w:rFonts w:ascii="Amiri" w:hAnsi="Amiri" w:eastAsia="Amiri" w:cs="Amiri"/>
          <w:color w:val="111111"/>
          <w:sz w:val="28"/>
          <w:sz w:val="28"/>
          <w:szCs w:val="28"/>
          <w:rtl w:val="true"/>
          <w:lang w:bidi="ar-SA"/>
        </w:rPr>
        <w:t>إذا أمكن رجوع الاستثناء إلى الأخير او الجميع فيقع الكلام في استظهار ما هو الظاهر من الأمرين؟</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ذلك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الكلام في رجوع الاستثناء إلى خصوص الجملة الأخيرة، و انه و إن كان رجوعه إلى غير الأخيرة ممكنا لكنّه يحتاج إلى قرينة عليه ذهب اليه و العلّامة</w:t>
      </w:r>
      <w:r>
        <w:rPr>
          <w:rStyle w:val="FootnoteAnchor"/>
          <w:rtl w:val="true"/>
        </w:rPr>
        <w:footnoteReference w:id="511"/>
      </w:r>
      <w:r>
        <w:rPr>
          <w:rFonts w:ascii="IRNazanin" w:hAnsi="IRNazanin" w:eastAsia="IRNazanin"/>
          <w:color w:val="111111"/>
          <w:sz w:val="28"/>
          <w:sz w:val="28"/>
          <w:szCs w:val="28"/>
          <w:rtl w:val="true"/>
          <w:lang w:bidi="fa-IR"/>
        </w:rPr>
        <w:t>، و صاحب الفصول</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رجوعه الی الکل عرفا کما سيأتي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رجوعه إلى جميع الجمل؛ و تخصيصه بالأخيرة فقط هو الذي 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مختار الشيخ الطوسي رحمه الله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لانه هو الظاهر و کفی به دليلا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له الشيخ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إذا عطف بعضه على بعض بالواو الموضوعة للجمع </w:t>
      </w:r>
    </w:p>
    <w:p>
      <w:pPr>
        <w:pStyle w:val="BookText"/>
        <w:rPr/>
      </w:pPr>
      <w:r>
        <w:rPr>
          <w:rFonts w:ascii="Amiri" w:hAnsi="Amiri" w:eastAsia="Amiri" w:cs="Amiri"/>
          <w:color w:val="111111"/>
          <w:sz w:val="28"/>
          <w:sz w:val="28"/>
          <w:szCs w:val="28"/>
          <w:rtl w:val="true"/>
          <w:lang w:bidi="ar-SA"/>
        </w:rPr>
        <w:t>صار كأنّه مذكور بلفظ واحد، أ لا ترى أنّه لا فرق بين أن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 عمرا و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يشملهم، فإذا صحّ ذلك فالاستثناء لو ذكر عقيب الجملة المتناولة لجميعهم كان متعلّقا بهم، فكذلك إذا ذكر عقيب الجمل المعطوف بعضها على بعض، لأنّها في حكم الجملة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أيضا على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بمشيّة اللّه إذا تعقّب جملا كثيرة وجب رجوعه إلى جميعها، فكذلك يجب أن يكون حكم الاستثناء الآخر مثله، و العلّة الجامعة بينهما ما قدّمناها من افتقار كلّ واحد منهما إلى ما يتعلّق به، و كونه غير مستقلّ بنفسه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من خالف على صحّة ما ذهب إليه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الاستثناء إنّما وجب تعليقه بما تقدّم لأنّه لا يستقلّ بنفسه، و لو استقلّ بنفسه لما وجب ذلك فيه، فإذا علّقناه بما يليه فقد أفاد و استقلّ بنفسه، فلا معنى لردّه إلى جميع ما تقدّم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أوّلا ينتقض بالشّرط و الاستثناء بمشيئة اللّه، لأنّهما إنّما علّقا بما تقدّم، لأنّهما لا يستقلّان بأنفسهما، و مع هذا لا يجب تعليقهما بما يليهما فحسب دون ما تقدّم، فكذلك القول في الاستثناء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وجب تعليقه بما تقدّم لكونه غير مستقل بنفسه، فلم صار</w:t>
      </w:r>
      <w:r>
        <w:rPr>
          <w:rStyle w:val="FootnoteAnchor"/>
          <w:rtl w:val="true"/>
        </w:rPr>
        <w:footnoteReference w:id="516"/>
      </w:r>
      <w:r>
        <w:rPr>
          <w:rFonts w:ascii="Amiri" w:hAnsi="Amiri" w:eastAsia="Amiri" w:cs="Amiri"/>
          <w:color w:val="111111"/>
          <w:sz w:val="28"/>
          <w:sz w:val="28"/>
          <w:szCs w:val="28"/>
          <w:rtl w:val="true"/>
          <w:lang w:bidi="ar-SA"/>
        </w:rPr>
        <w:t>بأن يعلّق بما يليه بأولى من أن يعلّق بما قبله؟ و إذا لم يكن هناك ما يخصّصه بما يليه وجب تعليقه بجميع ما تقدّم لفقد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استدلّوا أيضا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الاستثناء من الاستثناء لا يرجع إلّا إلى ما يليه، و لا يرجع إلى الجملة الأولى، فكذلك القول في الجمل الكثيرة يجب أن يكون حكمه ذلك الحكم في رجوعه إلى 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إنّما أوجبنا في الجمل الكثيرة أن يرجع إلى جميعها لما كانت معطوفة بعضها على بعض بواو العطف الّتي يوجب الاشتراك و يصيّر الجمل الكثيرة في حكم الجملة الواحدة على ما بيّناه، و ليس هذا موجودا في الاستثناء من الاستثناء، لأنّه ليس هناك ما يوجب اشتراك الجملة الثّانية للجملة الأولى، فلا يجب أن يرجع إلى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لم يحسن ذلك لأنّه لا يفيد شيئا، لأنّ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عندي عشرة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له بالسّبعة، فإذا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رددناه إلى الجملتين معا لكان يجب أن ينقص من الثّلاثة واحدا فيصير المستثنى منه ثمانية، و كان يجب أن ينقص من الجملة الأولى أيضا واحدا فيرجع إلى السّبعة فلا يفيد إلّا ما أفاد الاستثناء الأوّل، و لا يكون لدخول الاستثناء الثّاني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يكون استثناء من الجملة الّتي يليها فيصير إقرارا بالثّمانية و يكون ذلك 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رددتموه إلى الجملة الأولى فحسب و جعلتم كأنّه أقرّ بستّة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هذا لم يعتبره أحد، لأنّ أحدا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ما تقدّم، و لا يرجع إلى ما يليه و مع إمكان أن يرجع إليه، لأنّ النّاس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ما يليه و هو مقصور عليه،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إليهما، و ليس هاهنا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ما تقدّم، و لا يرجع إلى ما يليه، و ذلك باطل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 ذلك لو كان مردودا إليها لوجب دخول واو العطف فيه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عشرة إلّا ثلاثة و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إقرارا بالسّتة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 في واحد منهما، و إن كان رجوعه إلى الأخيرة متيقّنا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عدا الأخيرة فتبقى مجملة لوجود ما يصلح للقرينيّة، فلا ينعقد لها ظهور في العموم، فلا تجري أصالة العموم فيها و اليه ذهب إليه السيّد المرتضى</w:t>
      </w:r>
      <w:r>
        <w:rPr>
          <w:rStyle w:val="FootnoteAnchor"/>
          <w:rtl w:val="true"/>
        </w:rPr>
        <w:footnoteReference w:id="518"/>
      </w:r>
      <w:r>
        <w:rPr>
          <w:rFonts w:ascii="Amiri" w:hAnsi="Amiri" w:eastAsia="Amiri" w:cs="Amiri"/>
          <w:color w:val="111111"/>
          <w:sz w:val="28"/>
          <w:sz w:val="28"/>
          <w:szCs w:val="28"/>
          <w:rtl w:val="true"/>
          <w:lang w:bidi="ar-SA"/>
        </w:rPr>
        <w:t xml:space="preserve">و اختاره المحقّق الخراسانيّ </w:t>
      </w:r>
      <w:r>
        <w:rPr>
          <w:rStyle w:val="FootnoteAnchor"/>
          <w:rtl w:val="true"/>
        </w:rPr>
        <w:footnoteReference w:id="519"/>
      </w:r>
      <w:r>
        <w:rPr>
          <w:rFonts w:ascii="Amiri" w:hAnsi="Amiri" w:eastAsia="Amiri" w:cs="Amiri"/>
          <w:color w:val="111111"/>
          <w:sz w:val="28"/>
          <w:sz w:val="28"/>
          <w:szCs w:val="28"/>
          <w:rtl w:val="true"/>
          <w:lang w:bidi="ar-SA"/>
        </w:rPr>
        <w:t xml:space="preserve">، و المحقّق العراقيّ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يرده ما تقدم من کلام الشيخ</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الموضوع واحدا للجمل المتعاقبة لم يتكرّر ذكره، و قد ذكر في صدر الكلام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الناس، و احترمهم، و اقض حوائجهم إلّا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إذا كان الموضوع متكرّرا ذكره لكلّ جملة، كالآية الكريمة المتقدّمة، و إن كان الموضوع في المعنى واحدا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فإنكان من قبيل الأوّل فهو ظاهر في رجوعه إلى الجميع؛ لأنّ الاستثناء إنّما هو من الموضوع باعتبار الحكم، و الموضوع لم يذكر إلّا في صدر الكلام فقط، فلا بدّ من رجوع الاستثناء إليه، فيرجع إلى الجميع؛ و إن كان من قبيل الثاني فهو ظاهر في الرجوع إلى الأخيرة؛ لأنّ الموضوع قد ذكر فيها مستقلاّ، فقد أخذ الاستثناء محلّه، و يحتاج تخصيص الجمل السابقة إلى دليل آخر مفقود بالفرض، فيتمسّك بأصالة عمومها</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مختار المحقّق النائينيّ</w:t>
      </w:r>
      <w:r>
        <w:rPr>
          <w:rFonts w:eastAsia="Amiri" w:cs="Amiri" w:ascii="Amiri" w:hAnsi="Amiri"/>
          <w:color w:val="111111"/>
          <w:sz w:val="28"/>
          <w:szCs w:val="28"/>
          <w:rtl w:val="true"/>
          <w:lang w:bidi="ar-SA"/>
        </w:rPr>
        <w:t xml:space="preserve">. </w:t>
      </w:r>
      <w:bookmarkStart w:id="725" w:name="pg16640_202565"/>
    </w:p>
    <w:p>
      <w:pPr>
        <w:pStyle w:val="BookText"/>
        <w:rPr/>
      </w:pPr>
      <w:bookmarkEnd w:id="725"/>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يشهد لبطلان هذا القول نفس الآية المباركة التي تكرّر فيها الموضوع و التي جعلها شاهدا علی تفصيله فانها ظاهرة اولا برجوع الاستثناء الی الجميع مضافا الی ما ورد من النص المعتبر في تفسيرها من رجوع الاستثناء الی الجملة الثانية کما تقدم </w:t>
      </w:r>
      <w:r>
        <w:rPr>
          <w:rFonts w:eastAsia="IRNazanin" w:cs="IRNazanin"/>
          <w:color w:val="111111"/>
          <w:sz w:val="28"/>
          <w:szCs w:val="28"/>
          <w:rtl w:val="true"/>
          <w:lang w:bidi="fa-IR"/>
        </w:rPr>
        <w:t>.</w:t>
      </w:r>
    </w:p>
    <w:p>
      <w:pPr>
        <w:pStyle w:val="Heading2"/>
        <w:numPr>
          <w:ilvl w:val="1"/>
          <w:numId w:val="1"/>
        </w:numPr>
        <w:rPr/>
      </w:pPr>
      <w:bookmarkStart w:id="726" w:name="__RefHeading___Toc11691583_1280447820"/>
      <w:bookmarkStart w:id="727" w:name="_Toc259"/>
      <w:bookmarkEnd w:id="726"/>
      <w:r>
        <w:rPr>
          <w:rtl w:val="true"/>
        </w:rPr>
        <w:t>الفصل الرابع عشر</w:t>
      </w:r>
      <w:r>
        <w:rPr>
          <w:rtl w:val="true"/>
        </w:rPr>
        <w:t xml:space="preserve">: </w:t>
      </w:r>
      <w:r>
        <w:rPr>
          <w:rtl w:val="true"/>
        </w:rPr>
        <w:t>تخصيص الكتاب بالخبر الواحد</w:t>
      </w:r>
      <w:bookmarkEnd w:id="727"/>
    </w:p>
    <w:p>
      <w:pPr>
        <w:pStyle w:val="BookText"/>
        <w:rPr/>
      </w:pPr>
      <w:r>
        <w:rPr>
          <w:rFonts w:ascii="Amiri" w:hAnsi="Amiri" w:eastAsia="Amiri" w:cs="Amiri"/>
          <w:color w:val="111111"/>
          <w:sz w:val="28"/>
          <w:sz w:val="28"/>
          <w:szCs w:val="28"/>
          <w:rtl w:val="true"/>
          <w:lang w:bidi="ar-SA"/>
        </w:rPr>
        <w:t>هل يجوز تخصيص الكتاب العزيز بالخبر الواحد أو لا؟ نظير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أُحِلَّ لَكُمْ ما وَراءَ ذلِكُم</w:t>
      </w:r>
      <w:r>
        <w:rPr>
          <w:rStyle w:val="FootnoteAnchor"/>
          <w:rtl w:val="true"/>
        </w:rPr>
        <w:footnoteReference w:id="522"/>
      </w:r>
      <w:r>
        <w:rPr>
          <w:rFonts w:ascii="Amiri" w:hAnsi="Amiri" w:eastAsia="Amiri" w:cs="Amiri"/>
          <w:color w:val="111111"/>
          <w:sz w:val="28"/>
          <w:sz w:val="28"/>
          <w:szCs w:val="28"/>
          <w:rtl w:val="true"/>
          <w:lang w:bidi="ar-SA"/>
        </w:rPr>
        <w:t>حيث تخصّص حلية وراء ذلكم بما ورد من أنّ المرأة لا تزوّج على عمتها و خالتها إلّا بإذنهما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523"/>
      </w:r>
      <w:r>
        <w:rPr>
          <w:rFonts w:ascii="Amiri" w:hAnsi="Amiri" w:eastAsia="Amiri" w:cs="Amiri"/>
          <w:color w:val="111111"/>
          <w:sz w:val="28"/>
          <w:sz w:val="28"/>
          <w:szCs w:val="28"/>
          <w:rtl w:val="true"/>
          <w:lang w:bidi="ar-SA"/>
        </w:rPr>
        <w:t>حيث خصّصت بأنّه لا ميراث للقاتل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أَحَلَّ اللَّهُ الْبَيْعَ وَ حَرَّمَ الرِّبا</w:t>
      </w:r>
      <w:r>
        <w:rPr>
          <w:rStyle w:val="FootnoteAnchor"/>
          <w:rtl w:val="true"/>
        </w:rPr>
        <w:footnoteReference w:id="525"/>
      </w:r>
      <w:r>
        <w:rPr>
          <w:rFonts w:ascii="Amiri" w:hAnsi="Amiri" w:eastAsia="Amiri" w:cs="Amiri"/>
          <w:color w:val="111111"/>
          <w:sz w:val="28"/>
          <w:sz w:val="28"/>
          <w:szCs w:val="28"/>
          <w:rtl w:val="true"/>
          <w:lang w:bidi="ar-SA"/>
        </w:rPr>
        <w:t>حيث خصصت بما دلّ على جواز الربا بين الوالد و الولد، و الزوج و الزوجة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 كلمتهم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اتّفقت علی جواز تخصيص العامّ الكتابي بنفس المخصّص الكتابي، كما لا ريب في جواز تخصيصه بالخبر المتواتر، وعلی تخصيص </w:t>
      </w:r>
    </w:p>
    <w:p>
      <w:pPr>
        <w:pStyle w:val="BookText"/>
        <w:rPr/>
      </w:pPr>
      <w:r>
        <w:rPr>
          <w:rFonts w:ascii="IRNazanin" w:hAnsi="IRNazanin" w:eastAsia="IRNazanin"/>
          <w:color w:val="111111"/>
          <w:sz w:val="28"/>
          <w:sz w:val="28"/>
          <w:szCs w:val="28"/>
          <w:rtl w:val="true"/>
          <w:lang w:bidi="fa-IR"/>
        </w:rPr>
        <w:t xml:space="preserve">الكتاب بالخبر الواحد المحفوف بالقرينة المفيدة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إلى المنع متقدمو أصحابنا، کالسيد المرتضى و الشيخ الطوسي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نذهب إليه أنّ أخبار الآحاد لا يجوز تخصيص العموم بها على كلّ حال، و قد كان جائزاً أن يتعبّدنا اللّه تعالى بذلك فيكون واجباً غير أنّه ما تُعبدنا به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أذهب إليه انّه لا يجوز تخصيص العموم بها على كلّ حال، سواء خصّ بدليل متّصل أو منفصل أو لم يخص</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المحقّق الحلي و الذي هو فاتحة المتاخرين منع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تخصيص العموم المقطوع به بخبر الواحد، و أنكر ذلك الشيخ أبو جعفر، ثمّ ذكر دليل المجيز بأنّهما دليلان تعارضا فيجب العمل بالخاص منهما لبطلان ما عداه من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بأنّه لا نسلّم انّ خبر الواحد دليل على الإطلاق، لأنّ الدلالة على العمل به الإجماع على استعماله فيما لا يوجد عليه دلالة، فإذا وجدت الدلالة القرآنية سقط وجوب العمل به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المشهور بين المتأخرين و من بعدهم هو الجواز حتّى استدلّ المحقّق البروجردي بوجود السيرة المستمرة في جميع الأعصار عليه، و انّه لولاه لما قام للمسلمين فقه ضرورة ندرة خبر لم يكن على خلافه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الاقوال في المسألة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كما عرفته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كما عرفته من المتاخرين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بين عام خُصّص بدليل قطعي، فيخصص بالخبر الواحد أيضاً،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التوقّف في المسألة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الخوض في البحث لابد من تشخيص المراد من خبر الواحد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الخبر الواحد باصطلاح المتأخرين علی مطلق الخبر الظني فکل خبر غير متواتر فهو من اخبار الاحاد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عند المتقدمين کالسيد و الشيخ الطوسي و غيرهما فيراد به الخبر الشاذ و غير الموثوق به و قد اجمعوا علی عدم جواز العمل به فضلا عن تخصيص الکتاب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خلاف بين المتقدمين و المتأخرين و ذلک لان من يجوز تخصيص الکتاب بالخبر الواحد من المتأخرين انما يجوزه بمعتبر الاخبار لا بمطلقها و المتقدمون لا يردون العمل بالاخبار الموثوق بها و تخصيصها للکتاب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اختلاف بين الفريقين و بذلک يتبين ان الحق هو الجواز و استدلّ له المحقّق الخراساني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الواضح من سيرة الأصحاب على العمل بأخبار الآحاد في قبال عمومات الكتاب إلى زمن الأئمة عليهم السلام و احتمال أن يكون ذلك بواسطة القرينة واضح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كان عملهم بأخبار الآحاد </w:t>
      </w:r>
    </w:p>
    <w:p>
      <w:pPr>
        <w:pStyle w:val="BookText"/>
        <w:rPr/>
      </w:pPr>
      <w:r>
        <w:rPr>
          <w:rFonts w:ascii="IRNazanin" w:hAnsi="IRNazanin" w:eastAsia="IRNazanin"/>
          <w:color w:val="111111"/>
          <w:sz w:val="28"/>
          <w:sz w:val="28"/>
          <w:szCs w:val="28"/>
          <w:rtl w:val="true"/>
          <w:lang w:bidi="fa-IR"/>
        </w:rPr>
        <w:t>لأجل القرينة لبان ذلك، لكثرة موارد العمل بها في قبال عمومات الكتاب و الحال عدم ظهور ذلک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ادّعاه من السيرة على تخصيص الكتاب بخبر الواحد غير ثابت، لمخالفة الأقطاب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و الطوسي و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هناك من القدماء من يمنع حجّية الواحد مطلقاً، مخصّصاً كان للكتاب أو لا، و القدر المتيقن من السيرة، هو أخبار الآحاد المحفوفة بالقرائن، و قد كانت في العصور الأُولى محفوفة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توفّر القرائن في عصر القدماء، قسّموا الحديث إلى قسمين معتبر و غير معتبر، فما أيّدته القرائن الداخلية كوثاقة الراوي، أو الخارجية كوجوده في أصل معتبر ثابت انتسابه إلى جماعة كزرارة و محمد بن مسلم و الفضيل بن يسار،فهو صحيح أي معتبر يجوز الاستناد إليه، و الفاقد لكلتا المزيتين غير صحيح بمعنى انّه لا يمكن الركون إليه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کما قال من ان الاخبار کانت محفوفة بالقرائن الداخلية او الخارجية فيحصل الوثوق بها عندهم لکنها لا تخرج بذلک عن کونها احاداً حسب اصطلاح المتاخرين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فهم کانوا يعملون بغير المقطوع الصدور من الاخبار و بذلک قامت السيرة القطعية على العمل بأخبار الآحاد في قبال عمومات الكتاب إلى زمن الأئمة عليهم السلام </w:t>
      </w:r>
      <w:r>
        <w:rPr>
          <w:rFonts w:eastAsia="IRNazanin" w:cs="IRNazanin"/>
          <w:color w:val="111111"/>
          <w:sz w:val="28"/>
          <w:szCs w:val="28"/>
          <w:rtl w:val="true"/>
          <w:lang w:bidi="fa-IR"/>
        </w:rPr>
        <w:t xml:space="preserve">. </w:t>
      </w:r>
      <w:bookmarkStart w:id="728" w:name="pg16640_202569"/>
    </w:p>
    <w:p>
      <w:pPr>
        <w:pStyle w:val="Heading2"/>
        <w:numPr>
          <w:ilvl w:val="1"/>
          <w:numId w:val="1"/>
        </w:numPr>
        <w:rPr/>
      </w:pPr>
      <w:bookmarkStart w:id="729" w:name="__RefHeading___Toc11691585_1280447820"/>
      <w:bookmarkStart w:id="730" w:name="_Toc260"/>
      <w:bookmarkEnd w:id="728"/>
      <w:bookmarkEnd w:id="729"/>
      <w:r>
        <w:rPr>
          <w:rtl w:val="true"/>
        </w:rPr>
        <w:t>أدلة المانعين</w:t>
      </w:r>
      <w:bookmarkEnd w:id="730"/>
    </w:p>
    <w:p>
      <w:pPr>
        <w:pStyle w:val="BookText"/>
        <w:rPr/>
      </w:pPr>
      <w:r>
        <w:rPr>
          <w:rFonts w:ascii="IRNazanin" w:hAnsi="IRNazanin" w:eastAsia="IRNazanin"/>
          <w:color w:val="111111"/>
          <w:sz w:val="28"/>
          <w:sz w:val="28"/>
          <w:szCs w:val="28"/>
          <w:rtl w:val="true"/>
          <w:lang w:bidi="fa-IR"/>
        </w:rPr>
        <w:t>احتجّ المانع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العام الكتابي قطعي الصدور، و خبر الواحد ظني الصدور و الدلالة، فلا يصلح لتخصيص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المحقّق الخراساني بوجهين نقضي و 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قطعية صدور العام الكتابي مانعة عن تصرف الخبر الظني الصدور في دلالة العام الكتابي التي هي ظنية لزم عدم جواز تخصيص الخبر المتواتر الّذي هو كالعام الكتابي قطعي الصدور بخبر الواحد الّذي هو ظني الصدور أيضا، مع أن جوازه مجمع عليه و مسلم عند من ينكر تخصيص العام الكتابي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قطعية الصدور لا تصلح لمنع التخصيص بظني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الدوران و التعارض يقع في الحقيقة بين أصالة العموم في العام الكتابي و بين دليل حجية الخبر، لا دلالته، لأن الخاصّ أقوى دلالة من العام، فلا شبهة في تقديمه عليه دلالة، فالكلام في حجية الخاصّ، إذ بدونها لا وجه لتقديمه على العام و لو كان نصاً، إذ لا بد أولا من إثبات صدوره حتى تكون دلالته معتبرة، حيث ان ظاهر كلام المعصوم حجة لا كلام غيره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طرفي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في العام الكتابي، و دليل حجية الخبر، فان ثبتت حجيته فلا ينبغي الإشكال في تقديمه على العام، لكونه أقوى دلالة منه، و ان لم تثبت حجيته، فمقتضى أصالة العموم في العام الكتابي سقوطالخاصّ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عن جواز تخصيص العام الكتابي بخبر الواحد بعد إثبات حجيته </w:t>
      </w:r>
    </w:p>
    <w:p>
      <w:pPr>
        <w:pStyle w:val="BookText"/>
        <w:rPr/>
      </w:pPr>
      <w:r>
        <w:rPr>
          <w:rFonts w:ascii="Amiri" w:hAnsi="Amiri" w:eastAsia="Amiri" w:cs="Amiri"/>
          <w:color w:val="111111"/>
          <w:sz w:val="28"/>
          <w:sz w:val="28"/>
          <w:szCs w:val="28"/>
          <w:rtl w:val="true"/>
          <w:lang w:bidi="ar-SA"/>
        </w:rPr>
        <w:t>بأدلتها من الكتاب و السنة و بناء العقلاء، لأن جريان أصالة العموم منوط بعدم دليل على خلافها، و أدلة حجية خبر الواحد تكون على خلافها، فتقدم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حجة مع عدم بيان على خلافها، و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حجيته 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بياناً على خلاف أصالة العموم، و مخصصاً للعام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 المحقق رحمه الله في المعارج من أن دليل حجية الخبر هو الإجماع و هو لبي، و المتيقن منه هو الخبر غير المخالف للكتاب فلا يشمل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فالمخالف يبقى تحت عدم حجية الأمارات 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خبر الواحد ليس منحصراً بالإجماع، لما عرفت من استقرار سيرة الأصحاب على العمل بخبر الواحد المخالف للعام الكتابي، و مع هذه السيرة لا وجه لدعوى انحصار مستند حجيته بالإجماع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جاز التخصيص بالخبر الواحد، لجاز نسخ الكتاب به لكونهما مشتركين في أصل التخصيص و يختلفان في أنّ النسخ تخصيص في الأزمان، و الآخر تخصيص في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في التقريرات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و ان كانت مقتضية لعدم الفرق بين التخصيص و النسخ، إلّا أن الإجماع على عدم جواز نسخ الكتاب بخبر الواحد أوجب الفرق بينهما، و لولاه لقلنا بعدم الفرق بينهما، و بالجواز في كليهما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النسخ بالتخصيص قياس مع الفارق، حيث ان الدواعي لضبط نواسخ القرآن كثيرة بحيث تصدى لضبطها جل الأصحاب، فلذلك قل الخلاف في تعيين موارد النسخ، فموارد النسخ ثابتة بالتواتر الموجب لعدم الخلاف، أو قلته فيها، و بهذا </w:t>
      </w:r>
    </w:p>
    <w:p>
      <w:pPr>
        <w:pStyle w:val="BookText"/>
        <w:rPr/>
      </w:pPr>
      <w:r>
        <w:rPr>
          <w:rFonts w:ascii="Amiri" w:hAnsi="Amiri" w:eastAsia="Amiri" w:cs="Amiri"/>
          <w:color w:val="111111"/>
          <w:sz w:val="28"/>
          <w:sz w:val="28"/>
          <w:szCs w:val="28"/>
          <w:rtl w:val="true"/>
          <w:lang w:bidi="ar-SA"/>
        </w:rPr>
        <w:t>التواتر يصير خبر الواحد موهوناً في إثبات النسخ، إذ لو كان لنقل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التخصيص، فان دواعي ضبطه لما لم تكن كثيرة، فيحصل الوثوق بصدور الخبر الّذي يمكن تخصيص الكتاب به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 لکونه قياسا مع الفارق اجماع و اتّفاق المسلمين على عدم جواز نسخ الكتاب بالخبر الواحد، بخلاف التخصيص فانّه أمر ذائع شائع فكم فرق بين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ميراث للقاتل المخصص لقوله تعالی </w:t>
      </w:r>
      <w:r>
        <w:rPr>
          <w:rFonts w:ascii="Amiri" w:hAnsi="Amiri" w:eastAsia="Amiri" w:cs="Amiri"/>
          <w:color w:val="111111"/>
          <w:sz w:val="28"/>
          <w:sz w:val="28"/>
          <w:szCs w:val="28"/>
          <w:rtl w:val="true"/>
          <w:lang w:bidi="ar-SA"/>
        </w:rPr>
        <w:t>لِلذَّكَرِ مِثْلُ حَظِّ الْأُنْثَيَيْن</w:t>
      </w:r>
      <w:r>
        <w:rPr>
          <w:rStyle w:val="FootnoteAnchor"/>
          <w:rtl w:val="true"/>
        </w:rPr>
        <w:footnoteReference w:id="533"/>
      </w:r>
      <w:r>
        <w:rPr>
          <w:rFonts w:ascii="Amiri" w:hAnsi="Amiri" w:eastAsia="Amiri" w:cs="Amiri"/>
          <w:color w:val="111111"/>
          <w:sz w:val="28"/>
          <w:sz w:val="28"/>
          <w:szCs w:val="28"/>
          <w:rtl w:val="true"/>
          <w:lang w:bidi="ar-SA"/>
        </w:rPr>
        <w:t>فهو مخرج للقاتل عن تحت العموم، و بين نسخ حلية المتعة، الواردة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w:t>
      </w:r>
      <w:r>
        <w:rPr>
          <w:rStyle w:val="FootnoteAnchor"/>
          <w:rtl w:val="true"/>
        </w:rPr>
        <w:footnoteReference w:id="534"/>
      </w:r>
      <w:r>
        <w:rPr>
          <w:rFonts w:ascii="Amiri" w:hAnsi="Amiri" w:eastAsia="Amiri" w:cs="Amiri"/>
          <w:color w:val="111111"/>
          <w:sz w:val="28"/>
          <w:sz w:val="28"/>
          <w:szCs w:val="28"/>
          <w:rtl w:val="true"/>
          <w:lang w:bidi="ar-SA"/>
        </w:rPr>
        <w:t>بخبر الواحد الذي يدّعيه العامّة فهو بمنزلة رفع الحكم من 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الاخبار الدالة على طرح الخبر المخالف للكتاب على كثرتها و اختلاف تعبيراتها من كون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تدل على طرح كل خبر مخالف للكتاب و ان كانت مخالفته بالعموم و الخصوص، على ما يقتضيه إطلاق المخالفة، و تلك الاخبار تخصص عموم أدلة حجية خبر الواحد، و تخرج الخبر المخالف للكتاب عن دائرة أدلة الحجية، و مع خروجه عن حيز الحجية كيف يصلح لتخصيص العام الكتابي، فان المخصص لا بد أن يكون حجة، إذ لا معنى لتخصيص الحجة بغير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تخصيص العام الكتابي بخبر الواحد غير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المحقق الخراساني عن الدليل المزبور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صدق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موضوع الاخبار الدالة على طرح ما خالف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المخالفة بالعموم و الخصوص، و لم نقل باختصاصها بالمخالفة التباينية، فلا بد من تخصيص المخالفة للكتاب بالعموم و الخصوص، و ذلك للعلم بصدور أخبار كثيرة مخالفة للكتاب بالعموم و الخصوص و جريان السيرة على العمل بها في مقابل عمومات الكتاب، و لا يكون ذلك الا لتخصيص المخالفة التي هي موضوع الاخبار الآمرة بطرح الخبر المخالف للكتاب بالمخالفة التباينية، و إخراج المخالفة بالعموم و الخصوص المطلق عن المخالفة، إذ لو لم نقل بهذا التخصيص يلزم طرح كثير من الاخبار التي علم بصدورها عن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المخالف للكتاب بغير المخالفة التباينية ليس مشمولا للاخبار الدالة على طرح الخبر المخالف</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العرفية التي هي موضوع الاخبار الآمرة بطرح ما خالف الكتاب لا تشمل المخالفة بالعموم و الخصوص، حيث ان المخالفة العرفية ما يوجب توقف العرف و تحيرهم في استظهار المراد من الكلامين المتخالفين، و من المعلوم أن مخالفة الإطلاق و التقييد و العموم و الخصوص ليست كذلك، إذ لا شبهة في أن العرف يجمع بينهما بحمل المطلق على المقيد، و العام على الخاصّ، و لا يتحير في الاستظهار و استكشاف المراد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هذا الجواب و بين الاول واضح، إذ الأول ناظر إلى الخروج الحكمي،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أن المخالفة للكتاب بالعموم و الخصوص مخالفة له، لكنها </w:t>
      </w:r>
    </w:p>
    <w:p>
      <w:pPr>
        <w:pStyle w:val="BookText"/>
        <w:rPr/>
      </w:pPr>
      <w:r>
        <w:rPr>
          <w:rFonts w:ascii="Amiri" w:hAnsi="Amiri" w:eastAsia="Amiri" w:cs="Amiri"/>
          <w:color w:val="111111"/>
          <w:sz w:val="28"/>
          <w:sz w:val="28"/>
          <w:szCs w:val="28"/>
          <w:rtl w:val="true"/>
          <w:lang w:bidi="ar-SA"/>
        </w:rPr>
        <w:t>خارجة عن حكم المخالفة للكتاب، و هو وجوب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ناظر إلى الخروج الموضوعي،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بالعموم و الخصوص ليست مخالفة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يراد بالمخالفة في تلك الاخبار المخالفة للحكم الواقعي الّذي كتبه اللَّه تعالى على عباده، بأن يكون الواجب طرحه هو الخبر المخالف للحكم الواقعي، لا المخالف لظاهر الكتاب، فخبر الواحد المخالف لظاهر الكتاب يحتمل أن يكون موافقاً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لا يحرز كونه مخالفاً للحكم الواقعي حتى تشمله الاخبار الآمرة بطرح ما خالف الكتاب، فلا يصح التمسك بها لطرحه، لكونه من التمسك بالدليل في الشبهة المصداقية، و هو غير جائز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التشبث بتلك الاخبار لطرح الخبر المخالف للكتاب مخالفة العموم و الخصوص، و جواز تخصيص العام الكتابي بخبر الواحد، فالاخبار الآمرة بطرح الخبر المخالف لا تمنع عن تخصيص خبر الواحد المخالف بالعموم و الخصوص لعموم الكتاب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ثالثا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بُعده في نفسه، لعدم انسباقه إلى الذهن و عدم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إحالة على المجهول الّذي لا يمكن لنا معرفته إلّا بدلالة المعصوم عليه السلام، ضرورة أنه لا سبيل إلى إحراز الواقع حتى تحرم مخالفته، مع أن موافقة الكتاب جعلت معياراً لصدق الخبر بعد عرضه على الكتاب، و المسلمعرضه على ظاهر الكتاب إذ العرض على واقع الكتاب غير ممكن لنا بعد وضوح عدم السبيل إلى معرفته</w:t>
      </w:r>
      <w:r>
        <w:rPr>
          <w:rFonts w:eastAsia="Amiri" w:cs="Amiri" w:ascii="Amiri" w:hAnsi="Amiri"/>
          <w:color w:val="111111"/>
          <w:sz w:val="28"/>
          <w:szCs w:val="28"/>
          <w:rtl w:val="true"/>
          <w:lang w:bidi="ar-SA"/>
        </w:rPr>
        <w:t xml:space="preserve">. </w:t>
      </w:r>
      <w:bookmarkStart w:id="731" w:name="pg16640_202574"/>
    </w:p>
    <w:p>
      <w:pPr>
        <w:pStyle w:val="BookText"/>
        <w:rPr/>
      </w:pPr>
      <w:bookmarkEnd w:id="731"/>
      <w:r>
        <w:rPr>
          <w:rFonts w:ascii="Amiri" w:hAnsi="Amiri" w:eastAsia="Amiri" w:cs="Amiri"/>
          <w:color w:val="111111"/>
          <w:sz w:val="28"/>
          <w:sz w:val="28"/>
          <w:szCs w:val="28"/>
          <w:rtl w:val="true"/>
          <w:lang w:bidi="ar-SA"/>
        </w:rPr>
        <w:t>و اما جوابه الاول فقد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حمل هذه الروايات على الخبر المباين يوجب حملها على الفرد النادر، لعدم وجود الخبر المباين في الروايات، فيكون الكلام بعيداً عن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علماءنا الأبرار بذلوا جهوداً جبارة في تهذيب أحاديث الشيعة عن الموضوعات، فلا تجد المباين في الجوامع الحديثية إلّا نادراً، و إلّا فقبل دورة التهذيب كانت الروايات المتباينة غير عزيزة</w:t>
      </w:r>
      <w:r>
        <w:rPr>
          <w:rFonts w:eastAsia="Amiri" w:cs="Amiri" w:ascii="Amiri" w:hAnsi="Amiri"/>
          <w:color w:val="111111"/>
          <w:sz w:val="28"/>
          <w:szCs w:val="28"/>
          <w:rtl w:val="true"/>
          <w:lang w:bidi="ar-SA"/>
        </w:rPr>
        <w:t>.</w:t>
      </w:r>
    </w:p>
    <w:p>
      <w:pPr>
        <w:pStyle w:val="Heading2"/>
        <w:numPr>
          <w:ilvl w:val="1"/>
          <w:numId w:val="1"/>
        </w:numPr>
        <w:rPr/>
      </w:pPr>
      <w:bookmarkStart w:id="732" w:name="__RefHeading___Toc11691587_1280447820"/>
      <w:bookmarkStart w:id="733" w:name="_Toc261"/>
      <w:bookmarkEnd w:id="732"/>
      <w:r>
        <w:rPr>
          <w:rtl w:val="true"/>
        </w:rPr>
        <w:t>الفصل الخامس عشر</w:t>
      </w:r>
      <w:r>
        <w:rPr>
          <w:rtl w:val="true"/>
        </w:rPr>
        <w:t xml:space="preserve">: </w:t>
      </w:r>
      <w:r>
        <w:rPr>
          <w:rtl w:val="true"/>
        </w:rPr>
        <w:t>في دوران الأمر بين التخصيص و النسخ</w:t>
      </w:r>
      <w:bookmarkEnd w:id="733"/>
    </w:p>
    <w:p>
      <w:pPr>
        <w:pStyle w:val="BookText"/>
        <w:rPr/>
      </w:pPr>
      <w:r>
        <w:rPr>
          <w:rFonts w:ascii="Amiri" w:hAnsi="Amiri" w:eastAsia="Amiri" w:cs="Amiri"/>
          <w:color w:val="111111"/>
          <w:sz w:val="28"/>
          <w:sz w:val="28"/>
          <w:szCs w:val="28"/>
          <w:rtl w:val="true"/>
          <w:lang w:bidi="ar-SA"/>
        </w:rPr>
        <w:t>اعلم أنّ العامّ و الخاصّ المنفصل يختلف حالهما من جهة العلم بتأريخهما معا، أو بتأريخ أحدهما، أو الجهل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 بعض الأحوال بتعيين أن يكون الخاصّ ناسخا للعام، أو منسوخا له، أو مخصّصا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يقع الشكّ في بعض الصور، و لتفصيل الحال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و العامّ من ناحية تأريخ صدورهما لا يخلوان من خمس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يكونا معلومي التأريخ، أو مجهولي التأريخ، أو أحدهما مجهولا و الآخر معلوما، هذه ثلاث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المعلوم تأريخهما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يعلم تقارنهما عرفا، أو يعلم تقدّم العامّ، أو يعلم تأخّر العامّ؛ فتكون الصور خمسةً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في تحرير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ان هذا البحث لا طائل تحته لان ما بايدينا في کتب الاخبار من العمومات و مخصصاتها منقولة عن الائمة الاطهار عليهم السلام و النسخ في زمانهم و بتوسطهم غير محتمل و لا مسموع من احد من الائمة عليهم السلام انه قام بنسخ حکم من الاحکام و ان الشريعة الغراء قد تمت و کملت في زمن الرسول الاکرم صلی الله عليه و </w:t>
      </w:r>
    </w:p>
    <w:p>
      <w:pPr>
        <w:pStyle w:val="BookText"/>
        <w:rPr/>
      </w:pPr>
      <w:r>
        <w:rPr>
          <w:rFonts w:ascii="IRNazanin" w:hAnsi="IRNazanin" w:eastAsia="IRNazanin"/>
          <w:color w:val="111111"/>
          <w:sz w:val="28"/>
          <w:sz w:val="28"/>
          <w:szCs w:val="28"/>
          <w:rtl w:val="true"/>
          <w:lang w:bidi="fa-IR"/>
        </w:rPr>
        <w:t>اله قال تعالی اليوم اکملت لکم دينکم و اتممت عليکم نعمتي و رضيت لکم الاسلام دينا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شأن الائمة عليهم السلام اتمام الحجة و تتميم البيان مما قد خفي علی الناس اما لقصور الناقلين من اصحاب النبي صلی الله عليه و اله عن الفهم الصحيح ام انهم لم يتفق ابتلاؤهم بالحکم کي يسألوا حکمه عن النبي صلی الله عليه و الهفيبقی مستورا عليهم او لوقوع التحريف في الاحکام بتحريف المبدعين او دس الدساسين و وضع الکذابين و شاع في زمانه صلی الله عليه و اله حتی نقل عنه صلی الله عليه و اله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الکذابة عليّ الّا فمن کذب عليّ فليتبوء مقعده من النار</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او لاجل المنع من کتابة الحديث و طول المدة و ذهول ذاکرة الاصحاب بل موت کثير منهم – 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لم يعهد وقوع النسخ في عصرهم عليهم السلام و لم يسمع من احد من اصحابهم ان يروي عنهم ذلک فهذا الاحتمال منتف قطعا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إمتناع النسخ بعد رحيل الرسول صلى الله عليه و آله و سلم ذهب المحقّق النائيني</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 المحقق الخوئي</w:t>
      </w:r>
      <w:r>
        <w:rPr>
          <w:rStyle w:val="FootnoteAnchor"/>
          <w:rtl w:val="true"/>
        </w:rPr>
        <w:footnoteReference w:id="539"/>
      </w:r>
      <w:r>
        <w:rPr>
          <w:rFonts w:ascii="IRNazanin" w:hAnsi="IRNazanin" w:eastAsia="IRNazanin"/>
          <w:color w:val="111111"/>
          <w:sz w:val="28"/>
          <w:sz w:val="28"/>
          <w:szCs w:val="28"/>
          <w:rtl w:val="true"/>
          <w:lang w:bidi="fa-IR"/>
        </w:rPr>
        <w:t>و هو الصحيح و عليه فلا نحتمل ورود النسخ في کلامهم عليهم السلام حتی يحصل الترديد بينه و بين 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وجود مورد </w:t>
      </w:r>
      <w:bookmarkStart w:id="734" w:name="pg16640_202576"/>
    </w:p>
    <w:p>
      <w:pPr>
        <w:pStyle w:val="BookText"/>
        <w:rPr/>
      </w:pPr>
      <w:bookmarkEnd w:id="734"/>
      <w:r>
        <w:rPr>
          <w:rFonts w:ascii="IRNazanin" w:hAnsi="IRNazanin" w:eastAsia="IRNazanin"/>
          <w:color w:val="111111"/>
          <w:sz w:val="28"/>
          <w:sz w:val="28"/>
          <w:szCs w:val="28"/>
          <w:rtl w:val="true"/>
          <w:lang w:bidi="fa-IR"/>
        </w:rPr>
        <w:t xml:space="preserve">واحد 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يذکر کثمرة لهذا البحث و لاجل هذا نعرض عن تفاصيله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النسخ و البداء فلا علاقة لهما بعلم الاصول و نکتفي في البحث عنهما بما في الکفاية </w:t>
      </w:r>
      <w:r>
        <w:rPr>
          <w:rFonts w:eastAsia="IRNazanin" w:cs="IRNazanin"/>
          <w:color w:val="111111"/>
          <w:sz w:val="28"/>
          <w:szCs w:val="28"/>
          <w:rtl w:val="true"/>
          <w:lang w:bidi="fa-IR"/>
        </w:rPr>
        <w:t>.</w:t>
      </w:r>
    </w:p>
    <w:p>
      <w:pPr>
        <w:pStyle w:val="Heading2"/>
        <w:numPr>
          <w:ilvl w:val="1"/>
          <w:numId w:val="1"/>
        </w:numPr>
        <w:rPr/>
      </w:pPr>
      <w:bookmarkStart w:id="735" w:name="__RefHeading___Toc11691589_1280447820"/>
      <w:bookmarkStart w:id="736" w:name="_Toc262"/>
      <w:bookmarkEnd w:id="735"/>
      <w:r>
        <w:rPr>
          <w:rtl w:val="true"/>
        </w:rPr>
        <w:t>في النسخ و البداء</w:t>
      </w:r>
      <w:bookmarkEnd w:id="736"/>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النسخ و إن كان رفع الحكم الثابت إثباتا، إلّا أنّه في الحقيقة دفع الحكم ثبوتا، و إنّما اقتضت الحكمة إظهار دوام الحكم و استمراره أو أصل إنشائه و إقراره، مع أنّه بحسب الواقع ليس له قرار أو ليس له دوام و استمرار؛ و ذلك لأنّ النبيّ الصادع للشرع</w:t>
      </w:r>
      <w:r>
        <w:rPr>
          <w:rStyle w:val="FootnoteAnchor"/>
          <w:rtl w:val="true"/>
        </w:rPr>
        <w:footnoteReference w:id="540"/>
      </w:r>
      <w:r>
        <w:rPr>
          <w:rFonts w:ascii="Amiri" w:hAnsi="Amiri" w:eastAsia="Amiri" w:cs="Amiri"/>
          <w:color w:val="111111"/>
          <w:sz w:val="28"/>
          <w:sz w:val="28"/>
          <w:szCs w:val="28"/>
          <w:rtl w:val="true"/>
          <w:lang w:bidi="ar-SA"/>
        </w:rPr>
        <w:t>ربما يلهم أو يوحى إليه أن يظهر الحكم أو استمراره مع اطّلاعه على حقيقة الحال و أنّه ينسخ في الاستقبال، أو مع عدماطّلاعه على ذلك، لعدم إحاطته بتمام ما جرى في علمه تبارك و تعالى</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لعلّه يكون أمر إبراهيم عليه السّلام بذبح إسماعيل عليه 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بحسب الحقيقة يكون دفعا و إن كان بحسب الظاهر رفعا، فلا بأس به مطلقا، و لو كان قبل حضور وقت العمل، لعدم لزوم البداء المحال في حقّه تبارك </w:t>
      </w:r>
    </w:p>
    <w:p>
      <w:pPr>
        <w:pStyle w:val="BookText"/>
        <w:rPr/>
      </w:pPr>
      <w:r>
        <w:rPr>
          <w:rFonts w:ascii="Amiri" w:hAnsi="Amiri" w:eastAsia="Amiri" w:cs="Amiri"/>
          <w:color w:val="111111"/>
          <w:sz w:val="28"/>
          <w:sz w:val="28"/>
          <w:szCs w:val="28"/>
          <w:rtl w:val="true"/>
          <w:lang w:bidi="ar-SA"/>
        </w:rPr>
        <w:t>و تعالى بالمعنى المستلزم لتغيّر إرادته تعالى مع اتّحادالفعل ذاتا وجهة</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ثمّ أجاب عنه صاحب الکفاية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بما ذكر إنّما يتمّ على القول بأنّ النسخ رفع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على القول بأنّه دفع الحكم فلا يتمّ، لعدم لزوم البداء المحال في حقّه تعالى، ضرورة أنّه حينئذ تعلّقت إرادته الجدّيّة من أوّل الأمر بتركه بعد مدّة، فلم تتغيّر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لزوم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أجاب عنه في الکفاية بما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الاستدلال أيضا إنّما يتمّ على القول بأنّ النسخ رفع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على أنّه دفع الحكم فلا يتمّ، لأنّ الأمر بالفعل لم يكن من جهة كونه مشتملا على مصلحة كي يمتنع دفعه، بل إنّما كان الأمر به أو إظهار دوامه عن حكمة و مصلحة إلهيّة غير المصلحة الّتي يكون الأمر بالشي‌ء تابعا لها، كمصلحة امتحان العبيد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امتناع النسخ أو الحكم المنسوخ، فإنّ 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مشتملا على مصلحة موجبة للأمر به امتنع</w:t>
      </w:r>
      <w:bookmarkStart w:id="737" w:name="pg16640_202578"/>
    </w:p>
    <w:p>
      <w:pPr>
        <w:pStyle w:val="BookText"/>
        <w:rPr/>
      </w:pPr>
      <w:bookmarkEnd w:id="737"/>
      <w:r>
        <w:rPr>
          <w:rFonts w:ascii="Amiri" w:hAnsi="Amiri" w:eastAsia="Amiri" w:cs="Amiri"/>
          <w:color w:val="111111"/>
          <w:sz w:val="28"/>
          <w:sz w:val="28"/>
          <w:szCs w:val="28"/>
          <w:rtl w:val="true"/>
          <w:lang w:bidi="ar-SA"/>
        </w:rPr>
        <w:t>النهي عنه، و إلّا امتنع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Style w:val="FootnoteAnchor"/>
          <w:rtl w:val="true"/>
        </w:rPr>
        <w:footnoteReference w:id="543"/>
      </w:r>
      <w:r>
        <w:rPr>
          <w:rFonts w:ascii="Amiri" w:hAnsi="Amiri" w:eastAsia="Amiri" w:cs="Amiri"/>
          <w:color w:val="111111"/>
          <w:sz w:val="28"/>
          <w:sz w:val="28"/>
          <w:szCs w:val="28"/>
          <w:rtl w:val="true"/>
          <w:lang w:bidi="ar-SA"/>
        </w:rPr>
        <w:t>لأنّ الفعل أو دوامه لم يكن متعلّقا لإرادته، فلا يستلزم نسخ أمره بالنهي تغيير إرادته؛ و لم يكن الأمر بالفعل</w:t>
      </w:r>
      <w:r>
        <w:rPr>
          <w:rStyle w:val="FootnoteAnchor"/>
          <w:rtl w:val="true"/>
        </w:rPr>
        <w:footnoteReference w:id="544"/>
      </w:r>
      <w:r>
        <w:rPr>
          <w:rFonts w:ascii="Amiri" w:hAnsi="Amiri" w:eastAsia="Amiri" w:cs="Amiri"/>
          <w:color w:val="111111"/>
          <w:sz w:val="28"/>
          <w:sz w:val="28"/>
          <w:szCs w:val="28"/>
          <w:rtl w:val="true"/>
          <w:lang w:bidi="ar-SA"/>
        </w:rPr>
        <w:t>من جهة كونه مشتملا على مصلحة، و إنّما كان إنشاء الأمر به أو إظهار دوامه عن حكمة و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البداء في التكوينيّات بغير 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دلّ عليه الروايات المتواترات</w:t>
      </w:r>
      <w:r>
        <w:rPr>
          <w:rStyle w:val="FootnoteAnchor"/>
          <w:rtl w:val="true"/>
        </w:rPr>
        <w:footnoteReference w:id="545"/>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إذا تعلّقت مشيئته تعالى بإظهار ثبوت ما يمحوه، لحكمة داعية إلى إظهاره، ألهم أو أوحى إلى نبيّه أو وليّه أن يخبر به 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يمحوه، أو مع عدم علمه</w:t>
      </w:r>
      <w:r>
        <w:rPr>
          <w:rStyle w:val="FootnoteAnchor"/>
          <w:rtl w:val="true"/>
        </w:rPr>
        <w:footnoteReference w:id="546"/>
      </w:r>
      <w:r>
        <w:rPr>
          <w:rFonts w:ascii="Amiri" w:hAnsi="Amiri" w:eastAsia="Amiri" w:cs="Amiri"/>
          <w:color w:val="111111"/>
          <w:sz w:val="28"/>
          <w:sz w:val="28"/>
          <w:szCs w:val="28"/>
          <w:rtl w:val="true"/>
          <w:lang w:bidi="ar-SA"/>
        </w:rPr>
        <w:t>به، لما اشير إليه من عدم الإحاطة بتمام ما جرى في علمه، و إنّما يخبر به لأنّه حال الوحي أو الإلهام اطّلع على ثبوته و لم يطّلع على كونه معلّقا على أمر غير واقع أو عدم الموانع؛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w:t>
      </w:r>
      <w:r>
        <w:rPr>
          <w:rStyle w:val="FootnoteAnchor"/>
          <w:rtl w:val="true"/>
        </w:rPr>
        <w:footnoteReference w:id="547"/>
      </w:r>
      <w:r>
        <w:rPr>
          <w:rFonts w:ascii="Amiri" w:hAnsi="Amiri" w:eastAsia="Amiri" w:cs="Amiri"/>
          <w:color w:val="111111"/>
          <w:sz w:val="28"/>
          <w:sz w:val="28"/>
          <w:szCs w:val="28"/>
          <w:rtl w:val="true"/>
          <w:lang w:bidi="ar-SA"/>
        </w:rPr>
        <w:t xml:space="preserve">الآية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8" w:name="__RefHeading___Toc11691591_1280447820"/>
      <w:bookmarkStart w:id="739" w:name="_Toc263"/>
      <w:bookmarkEnd w:id="738"/>
      <w:r>
        <w:rPr>
          <w:rtl w:val="true"/>
        </w:rPr>
        <w:t>المقصد الخامس في المطلق و المقيّد و المجمل و المبيّن</w:t>
      </w:r>
      <w:bookmarkEnd w:id="739"/>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المطلق و المقيّد</w:t>
      </w:r>
    </w:p>
    <w:p>
      <w:pPr>
        <w:pStyle w:val="BookText"/>
        <w:rPr/>
      </w:pPr>
      <w:r>
        <w:rPr>
          <w:rFonts w:ascii="Amiri" w:hAnsi="Amiri" w:eastAsia="Amiri" w:cs="Amiri"/>
          <w:color w:val="111111"/>
          <w:sz w:val="28"/>
          <w:sz w:val="28"/>
          <w:szCs w:val="28"/>
          <w:rtl w:val="true"/>
          <w:lang w:bidi="ar-SA"/>
        </w:rPr>
        <w:t xml:space="preserve">عرّفوا المطلق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دلّ على معنى شائع في جنسه</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هذا التعريف غير جامع، لخروج اسم الجنس عن تحته لانّ أسماء الأجناس عند القوم وضعت للماهية من حيث هي هي غير المقيّدة بشي‌ء حتّى الشمول و الشيوع، عدل الشهيد الثاني إلى تعريفه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 هو اللفظ الدالّ على الماهية من حيث هي لا بقيد وحدة و لا تعدد، و المقيّد بخلافه</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حتّى يدخل أسماء الأجناس في تعريف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أدخل اسم الجنس في تعريف المطلق لكنّه أخرج النكرة عن تحت المطلق مع أنّها من مصاديقه،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 أو طالباً إلى غير ذلك، فانّ المفهوم من النكرة غير المفهوم من اسم الجنس فالتنوين آية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للأصوليّين اصطلاح خاصّ في لفظي المطلق و المقيّد، بل هما مستعملان بما لهما من المعنى في اللغة، فإنّ المطلق مأخوذ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الإرسال و الشيوع، و يقابله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اللفظ في مقام الموضوعية للحكم مرسلًا عن القيد فهو مطلق و إن كان مزدوجاً مع شي‌ء آخر فهو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وقع تحت دائرة الطلب تمام الموضوع فهو مطلق أي مرسل عن القيد، و أمّا إذا كان جزء الموضوع و كان معه جزء آخر فهو مقيد بالقيد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تترتب على هذا التعريف هذه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المقوم للإطلاق هو كون الشي‌ء تمام الموضوع من غير فرق بين كونه اسم جنس أو نكرة أو علماً، فالشيوع و عدم الشيوع بالنسبة إلى الإطلاق كالحجر في جنب الإنسان، بل يكفي كون الشي‌ء قابلاً للتقييد، فالقابل للتقييد إذا جرد عن القيد فهو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ليس من المداليل اللفظية خلافاً للتعاريف السابقة، بل هو من المداليل العقلية حيث إنّ المتكلّم إذا كان في مقام بيان الموضوع و كان حكيماً غير ناقض لغرضه فأخذ لفظاً موضوعاً لحكمه و جرده عن القيد فالعقل يحكم بأنّه تمام الموضوع، و إلّا لما ترك المتكلّم الحكيم القيد اللازم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مبحث الإطلاق و التقييد من المباحث اللفظية فلأجل انّ مصب الإطلاق هو اللفظ و إلّا فاستنباط الإطلاق بمعنى كون ما وقع تحت دائرة الطلب تمام الموضوع إنّما هو بالعقل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مصب الإطلاق أعمّ من أن يكون اسم جنس أو نكرة أو معرّفاً باللام و لذا ينعقد الإطلاق حتی في الأعلام الشخصية، فان العلم الشخصيّ و المعرّف بلام العهد لا يسمّيان مطلقين باعتبار معناهما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شيوع و لا إرسال في شخص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مطلقان من حيث الاحوال؛ فإنّه إذا قال الآمر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عرفنا أنّ لمحمّد أحوالا مختلفة و لم يقيّد الحكم بحال من الأحوال، نستطيع أن نعرف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أو هذا الكلام بمجموعه يصحّ أن نصفه بالإطلاق بلحاظ الأحوال، و إن لم يكن له شيوع باعتبار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للأعلام الشخصيّة و المعرّف بلام العهد إطلاق، و كذلك عند ما نعرف أنّ العامّ لا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ينبغي أنّ نظنّ أنّه لا يجوز أن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لأنّا نعرف أنّ ذلك إنّما هو بالنسبة إلى أفراده، أمّا بالنسبة إلى أحوال أفراده غير </w:t>
      </w:r>
    </w:p>
    <w:p>
      <w:pPr>
        <w:pStyle w:val="BookText"/>
        <w:rPr/>
      </w:pPr>
      <w:r>
        <w:rPr>
          <w:rFonts w:ascii="Amiri" w:hAnsi="Amiri" w:eastAsia="Amiri" w:cs="Amiri"/>
          <w:color w:val="111111"/>
          <w:sz w:val="28"/>
          <w:sz w:val="28"/>
          <w:szCs w:val="28"/>
          <w:rtl w:val="true"/>
          <w:lang w:bidi="ar-SA"/>
        </w:rPr>
        <w:t xml:space="preserve">المفردة فإنّه لا مضايقة في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مانع من شمول تعريفالمطلق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دلّ على معنى شائع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 باعتبار أحواله، لا باعتبار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التقابل بين الإطلاق و التقييد، اشبه بتقابل العدم و الملكة حيث إنّ المطلق فاقد لما يكون المقيد واجداً له و إنّما قلنا شبه التقابل، لأنّ تقابل العدم و الملكة يطلق على المورد الذي من شأنه أن يكون فيه الملكة كالعمى بالنسبة إلى البصر و ليس كلّ مطلق من شأنه أن يكون مقيداً، بل يكفي كونه قابلاً للتقييد و القول بأنّ التقابل بينهما تقابل الملكة و عدمها منسوب إلى سلطان العلماء و من تبعه من المتأخّرين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و التقييد أمران إضافيان، فالدليل الواحد يمكن أن يكون مطلقاً من جهة و مقيداً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إنساناً في المسجد فهو مطلق من حيث الموضوع و مقيد من حيث ظرف الإكرام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لمّا فسّروا المطلق بما دلّ على شائع في جنسه بحثوا في ألفاظ يترقب فيها الدلالة على الشيوع كاسم الجنس و علمه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المختار فالبحث في معاني هذه الأصناف من الألفاظ ساقط لما عرفت من أنّ مقوم الإطلاق تمامية الشي‌ء للموضوع و عدمها، سواء أ كان اسم جنس أو علم جنس أو محلّى باللام، فاشتراط المطلق بكونه اسم جنس أو نظيريه كالحجر في جنب الإنسان و ليس لها أي دخل في تكوين الإطلاق</w:t>
      </w:r>
      <w:r>
        <w:rPr>
          <w:rFonts w:eastAsia="Amiri" w:cs="Amiri" w:ascii="Amiri" w:hAnsi="Amiri"/>
          <w:color w:val="111111"/>
          <w:sz w:val="28"/>
          <w:szCs w:val="28"/>
          <w:rtl w:val="true"/>
          <w:lang w:bidi="ar-SA"/>
        </w:rPr>
        <w:t xml:space="preserve">. </w:t>
      </w:r>
      <w:bookmarkStart w:id="740" w:name="pg16640_202582"/>
    </w:p>
    <w:p>
      <w:pPr>
        <w:pStyle w:val="Heading2"/>
        <w:numPr>
          <w:ilvl w:val="1"/>
          <w:numId w:val="1"/>
        </w:numPr>
        <w:rPr/>
      </w:pPr>
      <w:bookmarkStart w:id="741" w:name="__RefHeading___Toc11691593_1280447820"/>
      <w:bookmarkStart w:id="742" w:name="_Toc264"/>
      <w:bookmarkEnd w:id="740"/>
      <w:bookmarkEnd w:id="741"/>
      <w:r>
        <w:rPr>
          <w:rtl w:val="true"/>
        </w:rPr>
        <w:t>الفصل الأوّل</w:t>
      </w:r>
      <w:r>
        <w:rPr>
          <w:rtl w:val="true"/>
        </w:rPr>
        <w:t xml:space="preserve">: </w:t>
      </w:r>
      <w:r>
        <w:rPr>
          <w:rtl w:val="true"/>
        </w:rPr>
        <w:t>في ألفاظ المطلق</w:t>
      </w:r>
      <w:bookmarkEnd w:id="742"/>
    </w:p>
    <w:p>
      <w:pPr>
        <w:pStyle w:val="Heading2"/>
        <w:numPr>
          <w:ilvl w:val="1"/>
          <w:numId w:val="1"/>
        </w:numPr>
        <w:rPr/>
      </w:pPr>
      <w:bookmarkStart w:id="743" w:name="__RefHeading___Toc11691595_1280447820"/>
      <w:bookmarkStart w:id="744" w:name="_Toc265"/>
      <w:bookmarkEnd w:id="743"/>
      <w:r>
        <w:rPr/>
        <w:t>1</w:t>
      </w:r>
      <w:r>
        <w:rPr>
          <w:rtl w:val="true"/>
        </w:rPr>
        <w:t xml:space="preserve">- </w:t>
      </w:r>
      <w:r>
        <w:rPr>
          <w:rtl w:val="true"/>
        </w:rPr>
        <w:t>اسم الجنس</w:t>
      </w:r>
      <w:bookmarkEnd w:id="744"/>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الإطلاق في الأعلام بالنسبة إلى الأحوال ليس بالوضع، بل إنّما هو يستفاد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إطلاق الجمل ليس بالوضع بل بمقدّمات الحكمة؛ و هذا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الذي وقع فيه البحث هو أنّ الإطلاق في أسماء الأجناس و ما شابهها هل هو بالوضع أو بمقدّمات الحكمة؟ أي إنّ أسماء الأجناس هل هي موضوعة لمعانيها بما هي شائعة و مرسلة على وجه يكون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في المعنى الموضوع له اللفظ كما نسب إلى المشهور من القدماء قبل سلطانالعلماء</w:t>
      </w:r>
      <w:r>
        <w:rPr>
          <w:rStyle w:val="FootnoteAnchor"/>
          <w:rtl w:val="true"/>
        </w:rPr>
        <w:footnoteReference w:id="552"/>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موضوعة لنفس المعاني بما هي، و الإطلاق يستفاد من دالّ آخر، و هو نفس تجرّد اللفظ من القيد إذا كانت مقدّمات الحكمة متوفّرة فيه؟ و قد صرّح بالقول الثاني سلطان العلماء رحمه الله في حاشيته على معالم الأصول</w:t>
      </w:r>
      <w:r>
        <w:rPr>
          <w:rStyle w:val="FootnoteAnchor"/>
          <w:rtl w:val="true"/>
        </w:rPr>
        <w:footnoteReference w:id="553"/>
      </w:r>
      <w:r>
        <w:rPr>
          <w:rFonts w:ascii="Amiri" w:hAnsi="Amiri" w:eastAsia="Amiri" w:cs="Amiri"/>
          <w:color w:val="111111"/>
          <w:sz w:val="28"/>
          <w:sz w:val="28"/>
          <w:szCs w:val="28"/>
          <w:rtl w:val="true"/>
          <w:lang w:bidi="ar-SA"/>
        </w:rPr>
        <w:t>، و تبعه جميع من تأخّر عنه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الأوّل يكون استعمال اللفظ في المقيّد مجازا، و على القول الثاني يكون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ما ذهب إليه سلطان العلماء رحمه الله و لقد اجاد العلامة المظفر في توضيح هذا القول و تحقيقه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تقديم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اعتبارات الماهيّة</w:t>
      </w:r>
    </w:p>
    <w:p>
      <w:pPr>
        <w:pStyle w:val="BookText"/>
        <w:rPr/>
      </w:pPr>
      <w:r>
        <w:rPr>
          <w:rFonts w:ascii="Amiri" w:hAnsi="Amiri" w:eastAsia="Amiri" w:cs="Amiri"/>
          <w:color w:val="111111"/>
          <w:sz w:val="28"/>
          <w:sz w:val="28"/>
          <w:szCs w:val="28"/>
          <w:rtl w:val="true"/>
          <w:lang w:bidi="ar-SA"/>
        </w:rPr>
        <w:t>المشهور أنّ للماهيّة ثلاثة اعتبارات إذا قيست إلى ما هو خارج عن ذاتها</w:t>
      </w:r>
      <w:r>
        <w:rPr>
          <w:rStyle w:val="FootnoteAnchor"/>
          <w:rtl w:val="true"/>
        </w:rPr>
        <w:footnoteReference w:id="555"/>
      </w:r>
      <w:r>
        <w:rPr>
          <w:rFonts w:ascii="Amiri" w:hAnsi="Amiri" w:eastAsia="Amiri" w:cs="Amiri"/>
          <w:color w:val="111111"/>
          <w:sz w:val="28"/>
          <w:sz w:val="28"/>
          <w:szCs w:val="28"/>
          <w:rtl w:val="true"/>
          <w:lang w:bidi="ar-SA"/>
        </w:rPr>
        <w:t>، كما إذا قيست الرقبة إلى الإيمان عند الحكم عليها بحكم ما، كوجوب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تعتبر الماهيّة مشروطة بذلك الأمر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يجب عتق الرقبة المؤمنة، أي بشرط كونها 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تعتبر مشروطة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لا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كما إذا كان القصر واجبا في الصلاة على المسافر غير العاصي بسفره، أي بشرط عدم كونه عاصيا للّه بسفره، فأخذ عدم العصيان قيدا في موضوع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تعتبر مشروطة بوجوده و لا بعدمه،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كوجوب الصلاة على الإنسان باعتبار كونه حرّا مثلا، فإنّ الحرّيّة غير معتبرة لا بوجودها و لا بعدمها في وجوب الصلاة؛ لأنّ الإنسان بالنظر الى الحرّيّة في وجوب الصلاة عليه غير مشروط بالحرّيّة و لا بعدمها، فهو لا بشرط بالقياس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يسمّى هذا الاعتبار الثالث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قسم في مقابل القسمين الأوّلين، أي الماهيّة بشرط شي‌ء و الماهيّة بشرط لا، و هذا ظاهر لا 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اصطلاحان آخران 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اللا 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هذان الاصطلاحان تعبيران لمدلول واحد، أو هما اصطلاحان مختلفان في المعنى؟</w:t>
      </w:r>
    </w:p>
    <w:p>
      <w:pPr>
        <w:pStyle w:val="BookText"/>
        <w:rPr/>
      </w:pPr>
      <w:r>
        <w:rPr>
          <w:rFonts w:ascii="Amiri" w:hAnsi="Amiri" w:eastAsia="Amiri" w:cs="Amiri"/>
          <w:color w:val="111111"/>
          <w:sz w:val="28"/>
          <w:sz w:val="28"/>
          <w:szCs w:val="28"/>
          <w:rtl w:val="true"/>
          <w:lang w:bidi="ar-SA"/>
        </w:rPr>
        <w:t>و الذي يلجئنا إلى هذا الاستفسار ما وقع من الارتباك في التعبير عند بعض الأعلام فقد يظهر منه أنّهما اصطلاحان لمعنى واحد، كما هو ظاهر كفاية الأصول</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عنه العلامة المظفر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لا يساعد على ذلك، بل هما اصطلاحان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المتسالم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اختلاف فيه و لا 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هي، أي نفس الماهية بما هي مع قطع النظر عن جميع ما عداها، فيقتصر النظر على ذاتها و ذاتيّاتها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اللا 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المأخوذة لا بشرط التي تكون مقسما للاعتبارات الثلاثة المتقدّمة،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الاعتبارات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شي‌ء، و بشرط لا، و لا بشرط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سميت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مقسما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ظهر ذلك فلا يصحّ أن يدّعى أنّ الماهيّة بما هي هي تكون بنفسها مقسما للاعتبارات الثلاثة؛ و ذلك؛ لأنّ الماهيّة لا تخلو من حالتين،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مقيسة إلى ما هو خارج عن ذاتها، او أن ينظر إليها مقيسة إلى ما هو خارج عن ذاتها، و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الحالة الأولى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لا يخلو حالها من أحد الاعتبارات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فالملاحظة الأولى مباينة لجميع الاعتبارات الثلاثة و تكون قسمية لها، فكيف يصحّ أن تكون مقسما لها؟ و لا يصحّ أن يكون الشي‌ء مقسما لاعتباراتنقيضه؛ لأنّ الماهيّة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ملاحظتها غير مقيسة إلى الغير، و الاعتبارات الثلاثة ملاحظتها مقيسة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اعتبار الماهيّة غير مقيسة اعتبار ذهنيّ، له وجود مستقلّ في الذهن، فكيف يكون مقسما لوجودات ذهنيّة أخرى مستقلّة، و المقسم يجب أن يكون موجودا بوجود أقسامه، و لا يعقل أن يكون له وجود في مقابل وجودات الأقسام، و إلّا كان قسيما لها لا مقسما؟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فنحن نسلّم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ليس هو المصطلح عليه باللابشرط المقسميّ، فإنّ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اصطلاحات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بشرط أيّ شي‌ء خارج عن الماهيّة و ذاتيّاتها، و هي الماهيّة بما هي هي التي يقتصر فيها النظر على ذاتها و ذاتيّاتها،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المهملة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بشرط مقسميّ، و هو الماهيّة التي تكون مقسما للاعتبارات الثلاثة، أي الماهيّة المقيسة إلى ما هو خارج عن ذاتها؛ و المقصود بلا بشرط هنا لا بشرط شي‌ء من الاعتبارات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بشرط اعتبار بشرط شي‌ء، و اعتبار بشرط لا، و اعتبار اللابشرط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المراد بلا بشرط هنا، لا بشرط مطلقا من كلّ قيد و 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w:t>
      </w:r>
    </w:p>
    <w:p>
      <w:pPr>
        <w:pStyle w:val="BookText"/>
        <w:rPr/>
      </w:pPr>
      <w:r>
        <w:rPr>
          <w:rFonts w:ascii="Amiri" w:hAnsi="Amiri" w:eastAsia="Amiri" w:cs="Amiri"/>
          <w:color w:val="111111"/>
          <w:sz w:val="28"/>
          <w:sz w:val="28"/>
          <w:szCs w:val="28"/>
          <w:rtl w:val="true"/>
          <w:lang w:bidi="ar-SA"/>
        </w:rPr>
        <w:t>اعتبارا ذهنيّا في قبال هذه الاعتبارات، بل ليس له وجود في عالم الذهن إلّا بوجود واحد من هذه الاعتبارات، و لا تعيّن له مستقلّ غير تعيّناتها، و إلّا لما كان مقسما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بشرط قسميّ، و هو الاعتبار الثالث من اعتبارات الماهيّة المقيسة إلى ما هو خارج عن 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الماهيّة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اللابشرط المقسميّ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اتّضح أيضا أنّ الثاني لا معنی لأن يجعل من اعتبارات الماهيّة على وجه يثبت حكم للماهيّة باعتباره، أو يوضع له لفظ بحسبه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اعتبارات الماهيّة عند الحكم عليها</w:t>
      </w:r>
    </w:p>
    <w:p>
      <w:pPr>
        <w:pStyle w:val="BookText"/>
        <w:rPr/>
      </w:pPr>
      <w:r>
        <w:rPr>
          <w:rFonts w:ascii="Amiri" w:hAnsi="Amiri" w:eastAsia="Amiri" w:cs="Amiri"/>
          <w:color w:val="111111"/>
          <w:sz w:val="28"/>
          <w:sz w:val="28"/>
          <w:szCs w:val="28"/>
          <w:rtl w:val="true"/>
          <w:lang w:bidi="ar-SA"/>
        </w:rPr>
        <w:t>و اعلم أنّ الماهيّة إذا حكم عليها فإمّا أن يحكم عليها بذاتيّاتها، و إمّا أن يحكم عليها بأمر خارج عنها، و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الحكم بالحمل الأوّليّ، و ذلك في الحدود التامّة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بالحمل الشائع، و ذلك عند الحكم عليها ببعض ذاتيّاتها، كالجنس وحده أو الفصل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كلتا الصورتين فإنّ النظر إلى الماهيّة مقصور على ذاتيّاتها غير متجاوز فيه إلى ما هو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كلام فيه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ملاحظتها مقيسة إلى ما هو خارج عنها، فتخرج بذلك عن مقام ذاتها وحدها من حيث هي، أي عن تقرّرها الذاتيّ الذي لا ينظر فيه إلّا إلى ذاتها و 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لأنّه مع قطع النظر عن كلّ ما عداها لا يجتمع مع الحكم عليها بأمر خارج عن ذاتها؛ لأنّهما متناقضان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لو حكم عليها بأمر خارج عنها و قد لوحظت مقيسة إلى هذا الغير، فلا بدّ أن تكون معتبرة بأحد الاعتبارات الثلاثة المتقدّمة؛ إذ يستحيل أن يخلو الواقع من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معنى لاعتبارها باللابشرط المقسميّ؛ لما تقدّم أنّه ليس هو تعيّنا مستقلّا في قبال تلك التعيّنات، بل هو مقسم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الخارج عن ذاتها، الذي لوحظت الماهيّة مقيسة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نفس المحمول أو شيئا آخر، فإن كان هو المحمول فيتعيّن أن تؤخذ الماهيّة بالقياس إليه لا بشرط قسميّ؛ لعدم صحّة الاعتبارين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أخذها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ذلك دائما؛ لأنّه يلزم أن تكون القضيّة ضروريّة دائما، لاستحالة انفكاك المحمول عن الموضوع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أخذ المحمول في الموضوع يلزم منه حمل الشي‌ء على نفسه و تقدّمه على نفسه، و هو مستحيل إلّا إذا كان هناك تغاير بحسب الاعتبار، كحمل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متغايران باعتبار الإجمال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أخذها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عدم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لأنّه يلزم التناقض، فإنّ الإنسان بشرط عدم الكتابة يستحيل حمل الكتابة عليه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هذا الغير الخارج هو غير المحمول، فيجوز أن تكون الماهيّة حينئذ مأخوذة بالقياس إليه بشرط شي‌ء، كجواز تقليد المجتهد بشرط العدالة، أو بشرط لا، كوجوب صلاة الظهر يوم الجمعة بشرط عدم حضور الإمام، أو لا بشرط، كجواز السلام على المؤمن مطلقا بالقياس إلى العدالة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بشرط وجودها و لا بشرط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 أن تكون مهملة غير مقيسة إلى شي‌ء غير محمولها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قد يستشكل في كلّ ذلك بأنّ هذه الاعتبارات الثلاثة اعتبارات ذهنيّة، لا موطن لها إلّا الذهن، فلو تقيّدت الماهيّة بأحدها عند ما تؤخذ موضوعا للحكم للزم أن تكون جميع القضايا ذهنيّة عدا حمل الذاتيّات التي قد اعتبرت فيها الماهيّة منحيث هي، و لبطلت القضايا الخارجيّة و الحقيقيّة، مع أنّها عمدة القضايا، بل لاستحال في التكاليف الامتثال؛ لأنّ ما موطنه الذهن يمتنع إيجاده في الخارج</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الإشكال وجيه لو كان الحكم على الموضوع بما هو معتبر بأحد الاعتبارات الثلاثة على وجه يكون الاعتبار قيدا في الموضوع أو نفسه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ليس الأمر كذلك، فإنّ الموضوع في كلّ تلك القضايا هو ذات الماهيّة المعتبرة و لكن لا بقيد الاعتبار، بمعنى أنّ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المقترنة بذلك الشي‌ء، لا المقترنة بلحاظه و اعتباره،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المقترنة بعدمه، لا بلحاظ عدمه،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غير الملاحظ معها الشي‌ء و لا عدمه، لا الملاحظة بعدم لحاظ الشي‌ء و عدمه، و إلّا لكانت الماهيّة معتبرة في الجميع بشرط شي‌ء فقط، أي بشرط اللحاظ و الاعتبار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هذه الاعتبارات هي المصحّحة لموضوعيّة الموضوع على الوجه اللازم الذي يقتضيه واقع الحكم، لا أنّها مأخوذة قيدا فيه حتّى تكون جميع القضايا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الأمر كذلك، لكان الحكم بالذاتيّات أيضا قضيّة ذهنيّة؛ لأنّ اعتبار الماهيّة من حيث هي أيضا اعتبار 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يقرّب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الاعتبار مصحّحا لموضوعيّة الموضوع لا مأخوذا فيه مع أنّه لا بدّ منه عند الحكم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موضوع و محمول لا بدّ من تصوّره في مقام الحمل، و إلّا لاستحال الحمل، و لكن هذه اللابدّيّة لا تجعل التصوّر قيدا للموضوع أو المحمول، و إنّما التصوّر هو المصحّح للحمل، و بدونه لا يمكن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عند استعمال اللفظ في معناه لا بدّ من تصوّر اللفظ و المعنى، و لكن التصوّر ليس قيدا للّفظ، و لا للمعنى، فليس اللفظ دالّا بما هو متصوّر في الذهن و إن كانت دلالته في ظرف التصوّر، و لا المعنى مدلولا بما هو متصوّر و إن كان مدلوليّته في ظرف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يستحيل أن يكون التصوّر قيدا للّفظ أو المعنى، و مع ذلك لا يصحّ الاستعمال بدونه، فالتصوّر مقوّم للاستعمال لا للمستعمل فيه و لا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مقوّم للحمل و مصحّح له، لا للمحمول، و لا للمحمول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يتّضح ما نحن بصدد بيانه، و هو أنّه إذا أردنا أن نضع اللفظ للمعنى، لا يعقل أن نقصر اللحاظ على ذات المعنى بما هو هو مع قطع النظر عن كلّ ما عداه؛ لأنّ الوضع من المحمولات الواردة عليه، فلا بدّ أن يلاحظ المعنى حينئذ مقيسا إلى ما هو خارج عن ذاته، فقد يؤخذ بشرط شي‌ء، و قد يؤخذ بشرط لا، و قد يؤخذ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أن يكون الموضوع له هو المعنى بما له من الاعتبار الذهنيّ، بل الموضوع له نفس المعتبر و ذاته لا بما هو معتبر، و الاعتبار مصحّح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عن قدماء الأصحاب أنّهم يقولون بأنّ أسماء الأجناس موضوعة للمعاني المطلقة، على وجه يكون الإطلاق قيدا للموضوع له، فلذلك ذهبوا إلى أنّ استعمالها في المقيّد مجاز، و قد صوّر هذا القول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المعنى بشرط الإطلاق على وجه يكون اعتباره من باب اعتباره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المعنى المطلق، أي المعتبر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هذا القول بتصويريه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على كلا التصويرين أن يكون الموضوع له موجودا ذهنيّا، فيكون جميع القضايا ذهنيّة، فلو جعل اللفظ بما له من معناه موضوعا في القضية الخارجيّة أو الحقيقيّة، وجب تجريده عن هذا القيد الذهنيّ، فيكون مجازا دائما في القضايا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يكذّبه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إنّما يتوجّه إذا جعل الاعتبار قيدا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جعل الاعتبار مصحّحا للوضع، فلا يلزم هذا الإيراد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القدماء، و أمّا المتأخّرون ابتداء من سلطان العلماء قدّس سرّه فإنّهم جميعا اتّفقوا على أنّ الموضوع له ذات المعنى، لا المعنى المطلق حتّى لا يكون استعمال اللفظ في المقيّد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بهذا المقدار من البيان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العلماء من أساتذتنا اختلفوا في تأدية هذا المعنى بالعبارات الفنّيّة ممّا أوجب الارتباك على الباحث و إغلاق طريق البحث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التجأنا إلى تقديم المقدّمتين السابقتين لتوضيح هذه الاصطلاحات و التعبيرات الفنّيّة التي وقعت في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فيها على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هو الماهيّة المهملة المبهمة، أي الماهيّة من حيث 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الماهيّة المعبّرة باللاشرط المقسميّ</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جعل التعبير الأوّل نفس التعبير الثاني</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له ذات المعنى، لا الماهيّة المهملة، و لا الماهيّة المعبّرة باللابشرط المقسميّ، و لكنّه ملاحظ حين الوضع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هذا الاعتبار مصحّحا للموضوع، لا قيدا للموضوع له</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هذا القول نفس قول القدماء على التصوير الثاني إلّا أنّه لا يلزم منه أن يكون استعمال اللفظ في المقيّد مجازا؛ و لكنّ المنسوب إلى القدماء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مجاز في المقيّد، فينحصر قولهم في التصوير الأوّل</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حال هذه التعبيرات أو الأقوال من المقدّمتين السابقتين، فإنّه يعرف منهما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بما هي هي غير الماهيّة باعتبار اللابشرط المقسميّ؛ لأنّ النظر فيها على الأوّل مقصور على ذاتها و ذاتيّاتها، بخلافه على الثاني؛ إذ تلاحظ مقيسة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بطلان القول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حكم من الأحكام، و هو محمول على الماهيّة خارج عن ذاتها و ذاتيّاتها، فلا يعقل أن يلاحظ الموضوع له بنحو الماهيّة بما هي هي؛ لأنّه لاتجتمع ملاحظتها مقيسة إلى الغير و ملاحظتها مقصورة على ذاتها و 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بطلان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اللابشرط المقسميّ ليس اعتبارا مستقلّاً في قبال الاعتبارات الثلاثة؛ لأنّ المفروض أنّه مقسم لها، و لا تحقّق للمقسم إلّا بتحقّق أحد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يتصوّر أن يحكم باعتبار 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لهذا على ما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بطلان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القول الرابع، و هو أنّ الموضوع له ذات المعنى، و لكنّه حين الوضع يلاحظ المعنى بنحو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يطابق القول المنسوب إلى القدماء على التصوير الثاني، كما أشرنا إليه، فلا اختلاف، و يقع التصالح بين القدماء و المتأخّرين إذا لم يثبت عن القدماء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مجاز في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مشكوك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هذا القول الرابع أنّ ذات المعنى لمّا أراد الواضع أن يحكم عليه بوضع لفظ له، فمعناه أنّه قد لاحظه مقيسا إلى الغير، فهو في هذا الحال لا يخرج عن كونه معتبرا بأحد الاعتبارات الثلاثة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يراد تسرية الوضع لذات المعنى بجميع أطواره و حالاته و قيوده لا بدّ أن يعتبر على نحو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كون الموضوع له ذات المعنى، و بين كون ذات المعنى ملحوظا في مرحلة الوضع بنحو اللابشرط القسميّ؛ لأنّ هذا اللحاظ و الاعتبار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طريق إلى الحكم على ذات المعنى و هو المصحّح للموضوع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الاستعمال في ذات المعنى لا يجب أن يكون المعنى ملحوظا بنحو اللابشرط القسميّ، بل يجوز أن يعتبر بأيّ اعتبار كان ما دام الموضوع له ذات المعنى، فيجوز في مرحلة الاستعمال أن يقصر النظر على نفسه و يلحظه بما هو هو، </w:t>
      </w:r>
      <w:bookmarkStart w:id="745" w:name="pg16640_202593"/>
    </w:p>
    <w:p>
      <w:pPr>
        <w:pStyle w:val="BookText"/>
        <w:rPr/>
      </w:pPr>
      <w:bookmarkEnd w:id="745"/>
      <w:r>
        <w:rPr>
          <w:rFonts w:ascii="Amiri" w:hAnsi="Amiri" w:eastAsia="Amiri" w:cs="Amiri"/>
          <w:color w:val="111111"/>
          <w:sz w:val="28"/>
          <w:sz w:val="28"/>
          <w:szCs w:val="28"/>
          <w:rtl w:val="true"/>
          <w:lang w:bidi="ar-SA"/>
        </w:rPr>
        <w:t>و يجوز أن يلحظه مقيسا إلى الغير فيعتبر بأحد الاعتبارات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ذات المعنى بنحو اللابشرط القسميّ حين الوضع تصحيحا له لا توجب أن تكون قيدا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يكون الموضوع له موجودا ذهنيّا، إذا كان له اعتبار اللابشرط القسميّ حين الوضع؛ لأنّه ليس الموضوع له هو المعتبر بما هو معتبر، بل ذات المعتبر، كما أنّ استعماله في المقيّد لا يكون مجازا لما تقدّم أنّه يجوز أن يلحظذات المعنى حين الاستعمال مقيسا إلى الغير، فيعتبر بأحد الاعتبارات الثلاثة التي منها اعتباره بشرط شي‌ء، و هو المقيّد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6" w:name="__RefHeading___Toc11691597_1280447820"/>
      <w:bookmarkStart w:id="747" w:name="_Toc266"/>
      <w:bookmarkEnd w:id="746"/>
      <w:r>
        <w:rPr/>
        <w:t>2</w:t>
      </w:r>
      <w:r>
        <w:rPr>
          <w:rtl w:val="true"/>
        </w:rPr>
        <w:t xml:space="preserve">- </w:t>
      </w:r>
      <w:r>
        <w:rPr>
          <w:rtl w:val="true"/>
        </w:rPr>
        <w:t>المفرد المعرف باللام</w:t>
      </w:r>
      <w:bookmarkEnd w:id="747"/>
    </w:p>
    <w:p>
      <w:pPr>
        <w:pStyle w:val="BookText"/>
        <w:rPr/>
      </w:pPr>
      <w:r>
        <w:rPr>
          <w:rFonts w:ascii="Amiri" w:hAnsi="Amiri" w:eastAsia="Amiri" w:cs="Amiri"/>
          <w:color w:val="111111"/>
          <w:sz w:val="28"/>
          <w:sz w:val="28"/>
          <w:szCs w:val="28"/>
          <w:rtl w:val="true"/>
          <w:lang w:bidi="ar-SA"/>
        </w:rPr>
        <w:t>ينقسم اللفظ إلى معرب و مبنيّ، و المعرب ما يختلف آخره باختلاف العوامل و لا يستعمل إلّا بالتنوين أو اللام أو 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اللام تنقسم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الجنس، و لام الاستغراق، و لام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 العهد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ذهني، أو ذكري، أو حضوري؛ فتكون الأقسام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بلام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Style w:val="FootnoteAnchor"/>
          <w:rtl w:val="true"/>
        </w:rPr>
        <w:footnoteReference w:id="565"/>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 خير من جرادة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بلام استغراق الأفراد،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الأمير الصاغة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ان لام الجنس مرجعها الی لام الاستغراق و قد تقدم في العام و الخاص انه لا شک في ان المفرد المحلی باللام يدل علی العموم في الجملة کما اعترف به صاحب المعالم بل و حتی المنکرين لذلک قالوا به لکنهم ادعوا انه لاجل القرينة کما تقدم قول </w:t>
      </w:r>
    </w:p>
    <w:p>
      <w:pPr>
        <w:pStyle w:val="BookText"/>
        <w:rPr/>
      </w:pPr>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من الملاحظ ان المفرد المحلی باللام علی قسمين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يدل علی العموم هو الاول لا الثاني للتبادر بل هو الذي تقتضيه القاعدة فقوله تعالی الحمد لله يدل علی ان جنس الحمد يعني کل ما يصدق عليه هذا اللفظ لله جل و علا و هذا المعنی لا يختلف فيه اثنان و لا قرينة في البين و کذلک قوله تعالی </w:t>
      </w:r>
      <w:r>
        <w:rPr>
          <w:rFonts w:ascii="Amiri" w:hAnsi="Amiri" w:eastAsia="Amiri" w:cs="Amiri"/>
          <w:color w:val="111111"/>
          <w:sz w:val="28"/>
          <w:sz w:val="28"/>
          <w:szCs w:val="28"/>
          <w:rtl w:val="true"/>
          <w:lang w:bidi="ar-SA"/>
        </w:rPr>
        <w:t>احل الله البيع</w:t>
      </w:r>
      <w:r>
        <w:rPr>
          <w:rFonts w:ascii="IRNazanin" w:hAnsi="IRNazanin" w:eastAsia="IRNazanin"/>
          <w:color w:val="111111"/>
          <w:sz w:val="28"/>
          <w:sz w:val="28"/>
          <w:szCs w:val="28"/>
          <w:rtl w:val="true"/>
          <w:lang w:bidi="fa-IR"/>
        </w:rPr>
        <w:t xml:space="preserve"> و لا يحتاج العموم فيه الی مقدمات الحکمة بخلاف غير الجنس کما في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يدل علی العموم الّا بواسطة مقدمات الحکمة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بلام العهد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ثمة قلت لا يعنيني</w:t>
      </w:r>
    </w:p>
    <w:p>
      <w:pPr>
        <w:pStyle w:val="BookText"/>
        <w:rPr/>
      </w:pPr>
      <w:r>
        <w:rPr>
          <w:rFonts w:ascii="Amiri" w:hAnsi="Amiri" w:eastAsia="Amiri" w:cs="Amiri"/>
          <w:color w:val="111111"/>
          <w:sz w:val="28"/>
          <w:sz w:val="28"/>
          <w:szCs w:val="28"/>
          <w:rtl w:val="true"/>
          <w:lang w:bidi="ar-SA"/>
        </w:rPr>
        <w:t>و المعروف أنّه بمنزلة النكرة، و الفرق بينهما انّ القصد في الأوّل إلى نفس الطبيعة من حيث هي هي، و في الثاني إلى الطبيعة من حيث وجودها في فرد،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الْمَدِينَةِ رَجُلٌ يَسْعى‌</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بالعهد الذكري كقوله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 إِلَيْكُمْ رَسُولًا شاهِداً عَلَيْكُمْ كَما أَرْسَلْنا إِلى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 فَأَخَذْناهُ أَخْذاً وَبِيلاً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6640_202595"/>
    </w:p>
    <w:p>
      <w:pPr>
        <w:pStyle w:val="BookText"/>
        <w:rPr/>
      </w:pPr>
      <w:bookmarkEnd w:id="74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بلام العهد الحضوري، مثل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بهذا الجالس، مشيراً إلى زرارة بن أعين</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بأنّ اللام للتعريف، فما هو الدالّ على هذه الخصوصيات؟ فهناك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عليها هو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عليها هو المدخول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عليها هو المجموع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عليها هو القرائن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الأخير هو المتعيّن، في لام العهد کما يظهر ذلك بملاحظة الأمثلة المتقدّمة مثلًا استفادة العهد الذكري لأجل تقدّم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رَسُولاً كما أنّ استفادة العهد الحضوري لأجل قوله عَلَيْكُم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الثاني هو المتعين في لام الاستغراق و لام الجنس لأجل كون الدرهم اسم جنس و هو يشمل کل ما يصدق عليه کما تقدم و هکذا الدينار و الصاغة </w:t>
      </w:r>
      <w:r>
        <w:rPr>
          <w:rFonts w:eastAsia="IRNazanin" w:cs="IRNazanin"/>
          <w:color w:val="111111"/>
          <w:sz w:val="28"/>
          <w:szCs w:val="28"/>
          <w:rtl w:val="true"/>
          <w:lang w:bidi="fa-IR"/>
        </w:rPr>
        <w:t>.</w:t>
      </w:r>
    </w:p>
    <w:p>
      <w:pPr>
        <w:pStyle w:val="Heading2"/>
        <w:numPr>
          <w:ilvl w:val="1"/>
          <w:numId w:val="1"/>
        </w:numPr>
        <w:rPr/>
      </w:pPr>
      <w:bookmarkStart w:id="749" w:name="__RefHeading___Toc11691599_1280447820"/>
      <w:bookmarkStart w:id="750" w:name="_Toc267"/>
      <w:bookmarkEnd w:id="749"/>
      <w:r>
        <w:rPr/>
        <w:t>3</w:t>
      </w:r>
      <w:r>
        <w:rPr>
          <w:rtl w:val="true"/>
        </w:rPr>
        <w:t xml:space="preserve">- </w:t>
      </w:r>
      <w:r>
        <w:rPr>
          <w:rtl w:val="true"/>
        </w:rPr>
        <w:t>الجمع المحلّى باللام</w:t>
      </w:r>
      <w:bookmarkEnd w:id="750"/>
    </w:p>
    <w:p>
      <w:pPr>
        <w:pStyle w:val="BookText"/>
        <w:rPr/>
      </w:pPr>
      <w:r>
        <w:rPr>
          <w:rFonts w:ascii="IRNazanin" w:hAnsi="IRNazanin" w:eastAsia="IRNazanin"/>
          <w:color w:val="111111"/>
          <w:sz w:val="28"/>
          <w:sz w:val="28"/>
          <w:szCs w:val="28"/>
          <w:rtl w:val="true"/>
          <w:lang w:bidi="fa-IR"/>
        </w:rPr>
        <w:t xml:space="preserve">لا شكّ أنّ الجمع المحلّى باللام يفيد العموم و لا وجه لعدّه من ألفاظ الإطلاق و قد تقدم الکلام فيه في العام و الخاص فلا نعيد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1" w:name="__RefHeading___Toc11691601_1280447820"/>
      <w:bookmarkStart w:id="752" w:name="_Toc268"/>
      <w:bookmarkEnd w:id="751"/>
      <w:r>
        <w:rPr/>
        <w:t>4</w:t>
      </w:r>
      <w:r>
        <w:rPr>
          <w:rtl w:val="true"/>
        </w:rPr>
        <w:t xml:space="preserve">- </w:t>
      </w:r>
      <w:r>
        <w:rPr>
          <w:rtl w:val="true"/>
        </w:rPr>
        <w:t>النكرة</w:t>
      </w:r>
      <w:bookmarkEnd w:id="752"/>
    </w:p>
    <w:p>
      <w:p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ascii="Amiri" w:hAnsi="Amiri" w:eastAsia="Amiri" w:cs="Amiri"/>
          <w:color w:val="111111"/>
          <w:sz w:val="28"/>
          <w:sz w:val="28"/>
          <w:szCs w:val="28"/>
          <w:rtl w:val="true"/>
          <w:lang w:bidi="ar-SA"/>
        </w:rPr>
        <w:t>وَ جاءَ رَجُلٌ مِنْ أَقْصَى الْمَدِينَة</w:t>
      </w:r>
      <w:r>
        <w:rPr>
          <w:rStyle w:val="FootnoteAnchor"/>
          <w:rtl w:val="true"/>
        </w:rPr>
        <w:footnoteReference w:id="569"/>
      </w:r>
      <w:r>
        <w:rPr>
          <w:rFonts w:ascii="Amiri" w:hAnsi="Amiri" w:eastAsia="Amiri" w:cs="Amiri"/>
          <w:color w:val="111111"/>
          <w:sz w:val="28"/>
          <w:sz w:val="28"/>
          <w:szCs w:val="28"/>
          <w:rtl w:val="true"/>
          <w:lang w:bidi="ar-SA"/>
        </w:rPr>
        <w:t xml:space="preserve">،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أنّ المفهوم منها في الأوّل</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تعدّد الدالّ 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المعيّن في الواقع، المجهول عند المخاطب، المحتمل الانطباق على غير واحد من أفراد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الثاني</w:t>
      </w:r>
      <w:r>
        <w:rPr>
          <w:rStyle w:val="FootnoteAnchor"/>
          <w:rtl w:val="true"/>
        </w:rPr>
        <w:footnoteReference w:id="572"/>
      </w:r>
      <w:r>
        <w:rPr>
          <w:rFonts w:ascii="Amiri" w:hAnsi="Amiri" w:eastAsia="Amiri" w:cs="Amiri"/>
          <w:color w:val="111111"/>
          <w:sz w:val="28"/>
          <w:sz w:val="28"/>
          <w:szCs w:val="28"/>
          <w:rtl w:val="true"/>
          <w:lang w:bidi="ar-SA"/>
        </w:rPr>
        <w:t>هي الطبيعة المأخوذة مع قيد الوحدة، فيكون حصّة من الرجل، و يكون كلّيّا ينطبق على كثيرين، لا فردا مردّدا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بالحمل الشائع يكون نكرة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فرد معيّن في الواقع غير معيّن للمخاطب، أو حصّة كلّيّة، لا الفرد المردّد بين الأفراد؛ و ذلك لبداهة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مع أنّه يصدق على كلّ من جي‌ء به من الأفراد، و لا يكاد يكون واحد منها هذا أو غيره، كما هو قضيّة الفرد المردّد لو كان هو المراد منها، ضرورة أنّ كلّ واحد هو هو، لا هو أو غيره</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النكرة الواقعة في متعلّق الأمر هو الطبيعيّ المقيّد بمثل مفهوم الوحدة، فيكون كلّيّا قابلا للانطباق</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كون النكرة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الفرد المعين في الواقع المجهول عند المخاطب، حيث ان الاخبار عن مجي‌ء رجل يستلزم تعين فرد من طبيعة </w:t>
      </w:r>
    </w:p>
    <w:p>
      <w:pPr>
        <w:pStyle w:val="BookText"/>
        <w:rPr/>
      </w:pPr>
      <w:r>
        <w:rPr>
          <w:rFonts w:ascii="Amiri" w:hAnsi="Amiri" w:eastAsia="Amiri" w:cs="Amiri"/>
          <w:color w:val="111111"/>
          <w:sz w:val="28"/>
          <w:sz w:val="28"/>
          <w:szCs w:val="28"/>
          <w:rtl w:val="true"/>
          <w:lang w:bidi="ar-SA"/>
        </w:rPr>
        <w:t>الرّجل واقعاً و ان كان المخاطب جاهلا به، و لجهله به يكون الفرد المخبر بمجيئه محتمل الانطباق عنده على غير واحد من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المفهوم من النكرة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الطبيعة المقيدة بالوحدة، بمعنى أن المراد بالنكرة هو الحصة القابلة للانطباق على كل فرد على البدل، لا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النكرة هي الفرد المردد، ضرورة أنها بمعنى الفرد المردد لاتنطبق على شي‌ء من الافراد، حيث ان كل فرد في الخارج هو نفسه، لا هو أو غيره كما هو قضية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الكلي على شي‌ء إلّا إذا كان بما له من الحدود منطبقاً عليه، فان العالم العادل مثلا لا ينطبق على كل فرد من أفراد الإنسان، بل على خصوص المتلبس بالعلم و العدالة، فالعناوين الكلية الجوهرية و العرضية لا تصدق الّا على ما يكون واجداً لحدودها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يتصور للفرد المردد مصداق، ضرورة امتناع انطباق عنوان الفرد المردد بما هو مردد على الخارجيات، لأن الافراد الخارجية متعينة لا تردد فيها حتى تكون مصاديق لعنوان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من الواضح تحقق الامتثال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 بإتيان أي فرد من أفراد الرّجل فلا مجال للقول بأن النكرة هي الفرد المردد، و انما هي الحصة المقيدة بالوحدة الصادقة على كل فرد على البدل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عليه السيد المحقق المروج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للنكرة معنى واحداً لا معنيين،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المعين واقعاً غير معين للمخاطب، و الحصة المقيدة بالوحدة، و ذلك لبعد الاشتراك و قلته، و كونه خلاف الأصل، لاحتياجه إلى تعدد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بذلك المعنى الواحد هو الحصة المقيدة بالوحدة المفهومية،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اسم الجنس المنون </w:t>
      </w:r>
    </w:p>
    <w:p>
      <w:pPr>
        <w:pStyle w:val="BookText"/>
        <w:rPr/>
      </w:pPr>
      <w:r>
        <w:rPr>
          <w:rFonts w:ascii="Amiri" w:hAnsi="Amiri" w:eastAsia="Amiri" w:cs="Amiri"/>
          <w:color w:val="111111"/>
          <w:sz w:val="28"/>
          <w:sz w:val="28"/>
          <w:szCs w:val="28"/>
          <w:rtl w:val="true"/>
          <w:lang w:bidi="ar-SA"/>
        </w:rPr>
        <w:t>بتنوين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للحصة المزبورة، فالدال على نفس الطبيعة هو اسم الجنس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الوحدة هو التنوين، ففي جميع الموارد يكون معنى النكرة واحداً و هو الطبيعة المقيدة بالوحدة المفهومية القابلة للانطباق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تخرج النكرة عن قابلية الانطباق على كثيرين بقرينة خارجية تقوم على التعين، كالاخبار عن مجي‌ء رجل فان الاخبار قرينة على تعين الرّجل عند المتكلم، كما أن الإنشاء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أي رجل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التعين عند المخاطب، و التعين المدلول عليه بدال آخر غير اسم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الجنس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مفهوم النكرة، كما لا يقدح تقييد المطلق بمعنى الإطلاقكتقييد الرقبة بالايمان، و لذا لا يكون التقييد موجباً للمجازية كما حقق في محله</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و من الغريب انه ذهب العلّامة الحائري إلى إنّ النكرة مستعملة في كلا الموردين بمعنى واحد و انّه في كليهما جزئي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لا فرق بينهما إلّا انّ التعيين في الأوّل واقعي و في الثانية بيد المكلّف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خلط بين كون الصورة الذهنية بما انّها موجودة في الذهن و الوجود عين التشخّص، و بين كونه مفهوماً قابلاً للانطباق على كثيرين، و الجزئية بالمعنى الأوّل، لا تنافي الكلّية بالمعنى الثاني و إلّا فلا يوجد مصداق للكلّي، لأنّه بما هو موجود ذهني متشخص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العقول الى مباحث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النكرة لا تخرج عن الكلية حتّى فيما إذا وقع تحت الإخبار</w:t>
      </w:r>
      <w:r>
        <w:rPr>
          <w:rFonts w:eastAsia="Amiri" w:cs="Amiri" w:ascii="Amiri" w:hAnsi="Amiri"/>
          <w:color w:val="111111"/>
          <w:sz w:val="28"/>
          <w:szCs w:val="28"/>
          <w:rtl w:val="true"/>
          <w:lang w:bidi="ar-SA"/>
        </w:rPr>
        <w:t>.</w:t>
      </w:r>
      <w:bookmarkStart w:id="753" w:name="pg16640_202599"/>
    </w:p>
    <w:p>
      <w:pPr>
        <w:pStyle w:val="Heading2"/>
        <w:numPr>
          <w:ilvl w:val="1"/>
          <w:numId w:val="1"/>
        </w:numPr>
        <w:rPr/>
      </w:pPr>
      <w:bookmarkStart w:id="754" w:name="__RefHeading___Toc11691603_1280447820"/>
      <w:bookmarkStart w:id="755" w:name="_Toc269"/>
      <w:bookmarkEnd w:id="753"/>
      <w:bookmarkEnd w:id="754"/>
      <w:r>
        <w:rPr>
          <w:rtl w:val="true"/>
        </w:rPr>
        <w:t>الفصل الثاني</w:t>
      </w:r>
      <w:r>
        <w:rPr>
          <w:rtl w:val="true"/>
        </w:rPr>
        <w:t xml:space="preserve">: </w:t>
      </w:r>
      <w:r>
        <w:rPr>
          <w:rtl w:val="true"/>
        </w:rPr>
        <w:t>مقدّمات الحكمة</w:t>
      </w:r>
      <w:bookmarkEnd w:id="755"/>
    </w:p>
    <w:p>
      <w:pPr>
        <w:pStyle w:val="BookText"/>
        <w:rPr/>
      </w:pPr>
      <w:r>
        <w:rPr>
          <w:rFonts w:ascii="Amiri" w:hAnsi="Amiri" w:eastAsia="Amiri" w:cs="Amiri"/>
          <w:color w:val="111111"/>
          <w:sz w:val="28"/>
          <w:sz w:val="28"/>
          <w:szCs w:val="28"/>
          <w:rtl w:val="true"/>
          <w:lang w:bidi="ar-SA"/>
        </w:rPr>
        <w:t>لمّا ثبت أنّ الألفاظ موضوعة لذات المعاني، لا للمعاني بما هي مطلقة، فلا بدّ في إثبات أنّ المقصود من اللفظ هو المطلق لتسرية الحكم إلى تمام الأفراد و المصاديق من قرينة خاصّة أو قرينة عامّة تجعل الكلام في نفسه ظاهرا في إرادة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القرينة العامّة إنمّا تحصل إذا توفّرت جملة مقدّمات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المحقّق الخراسانيّ</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 و هي المقدّمات المذكورة في الكفاية، و زاد في ثالثتها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وجود القدر المتيقّن مطلقا أي و لو من الخارج</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الإطلاق و التقييد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قرينة على التقييد، لا متّصلة و لا منفصلة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في مقام البيان، و هذا ما يظهر من كلام المحقّق الخوئيّ</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اثنتان، و هي المقدّمة الثانية، و الثالثة المذكورتان في کلام المحقق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مختار الشيخ الأنصاريّ و المحقق النائيني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واحدة ذهب الی هذا القول السيّد البروجرديّ، و هي كون المتكلّم في مقام البيان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يُزاد عليها عدم وجود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ليس بمقدّمة مستقلة، لأنّه داخل في المقدّمة الثانية، أي انتفاء ما يوجب التعيين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 فلابد من تحقيق الحال بالنسبة الی هذه المقدمات فنقول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المقدمة الاولی اي إحراز كون المتكلّم في مقام بيان كلّ ما هو دخيل في متعلّق حكمه بحيث يكون الإخلال ببيان الأجزاء و الشرائط منافياً للحكمة لافتراض انّه في مقام بيان تمام ما هو الموضوع للحكم فلا ريب فيها لإنّه لو لم يكن في هذا المقام بأن كان في مقام التشريع فقط أو كان في مقام الإهمال، إمّا رأسا أو لأنّه في صدد بيان حكم آخر، فيكون في مقام الإهمال من جهة مورد الإطلاق فإنّه في كلّ ذلك لا ينعقد للكلام ظهور في الإطلاق؛ أمّا في مقام التشريع بأن كان في مقام بيان الحكم لا للعمل به فعلا بل لمجرّد </w:t>
      </w:r>
    </w:p>
    <w:p>
      <w:pPr>
        <w:pStyle w:val="BookText"/>
        <w:rPr/>
      </w:pPr>
      <w:r>
        <w:rPr>
          <w:rFonts w:ascii="Amiri" w:hAnsi="Amiri" w:eastAsia="Amiri" w:cs="Amiri"/>
          <w:color w:val="111111"/>
          <w:sz w:val="28"/>
          <w:sz w:val="28"/>
          <w:szCs w:val="28"/>
          <w:rtl w:val="true"/>
          <w:lang w:bidi="ar-SA"/>
        </w:rPr>
        <w:t>تشريعه، فيجوز ألّا يبيّن تمام مراده، مع أنّ الحكم في الواقع مقيّد بقيد لم يذكره في بيانه انتظارا لمجي‌ء وقت العمل، فلا يحرز أنّ المتكلّم في صدد بيان جميع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كان المتكلّم في مقام الإهمال رأسا؛ فإنّه لا ينعقد معه ظهور في الإطلاق، كما لا ينعقدللكلام ظهور في أيّ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إذا كان في صدد حكم آخر،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w:t>
      </w:r>
      <w:r>
        <w:rPr>
          <w:rStyle w:val="FootnoteAnchor"/>
          <w:rtl w:val="true"/>
        </w:rPr>
        <w:footnoteReference w:id="581"/>
      </w:r>
      <w:r>
        <w:rPr>
          <w:rFonts w:ascii="Amiri" w:hAnsi="Amiri" w:eastAsia="Amiri" w:cs="Amiri"/>
          <w:color w:val="111111"/>
          <w:sz w:val="28"/>
          <w:sz w:val="28"/>
          <w:szCs w:val="28"/>
          <w:rtl w:val="true"/>
          <w:lang w:bidi="ar-SA"/>
        </w:rPr>
        <w:t>الوارد في مقام بيان حلّ صيد الكلاب المعلّمة من جهة كونه ميتة، و ليس هو في مقام بيان مواضع الإمساك أنّها تتنجّس، فيجب تطهيرها أم لا، فلم يكن هو في مقام بيان هذه الجهة، فلا ينعقد للكلام ظهور في الإطلاق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المقدمة الثانية اي عدم نصب قرينة على التقييد، لا متّصلة و لا منفصلة فلأنّه مع القرينة المتّصلة لا ينعقد ظهور للكلام إلّا في المقيّد، و مع المنفصلة ينعقد للكلام ظهور في الإطلاق، و لكنّه يسقط عن الحجّيّة لقيام القرينة المقدّمة عليه و الحاكمة، فيكون ظهوره ظهورا بدويّا، و لا تكون للمطلق الدلالة التصديقيّة الكاشفة عن مراد المتكلّم، بل الدلالة التصديقيّة إنمّا هي على إرادة التقييد واقعا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المقدمة الثالثة اي إمكان الإطلاق و التقييد بأن يكون متعلّق الحكم أو موضوعه قبل فرض تعلّق الحكم به قابلا للانقسام، فلو لم يكن قابلا للقسمة إلّا بعد فرض تعلّق الحكم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باب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يستحيل فيه التقييد، فيستحيل فيه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في بحث التعبّديّ و التوصّليّ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بين کون المقدمة مقوّمة للإطلاق على نحو لولاها لما انعقد الإطلاق او کونها شرطا للتمسّك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مما لابد منها علی کلا التقديرين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انتفاء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له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مع وجود القدر المتيقن لا إخلال بالغرض لو كان المتيقن تمام مراده فإن الفرض أنه بصدد بيان تمامه و قد بينه لا بصدد بيان أنه تمامه كي أخل ببيانه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بين تمام مراده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بالمتيقن الخطابي، فلو لم يرد الشياع منه لم يلزم إخلال بغرضه أصلا، فلا يقدح الإطلاق حينئذ، لكون المتيقن كالقرينة اللفظية الحافة بالكلام المانعة عن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بصدد بيان وصف التمامية للمتيقن، و أنه موصوف بكونه تمام مراده من المطلق بحيث لا يكون شي‌ء وراء هذا المتيقن مراداً له منه، و مع ذلك أطلق الكلام و أمر بعتق رقبةمثلا، و لم ينصب قرينة على اتصاف المتيقن بوصف كونه تمام المراد لَزِم من ذكر المطلق الإخلال بالغرض، و هو إرادة المتيقن بما هو تمام المراد، ضرورة أن التيقن الخطابي قاصر عن إثبات هذا الوصف للمتيقن بعد إمكان أن يكون المتيقن مراداً في ضمن سائر الافراد، و المفروض أنه لم ينصب قرينة على ذلك فلا ينفي تيقن بعض الافراد مرادية سائر الافراد حتى يتصف المتيقن بكونه تمام المراد، فتيقن الرقبة المؤمنة لا ينفي مطلوبية غيرها من أفراد الرقبة حتى يثبت لها وصف التمامية، فحينئذ لا مانع من التمسك بالإطلاق لإثبات كون الموضوع نفس الطبيعة لا المقيدة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 الحكيم الملتفت لا بد له من إلقاء كلامه على طبق مرامه إطلاقا و تقييدا فإذا كانت إرادته مختصة بقسم خاص من المطلق المذكور في كلامه لزمه ان ينصب عليه قرينة متصلة أو منفصلة و مجرد اليقين بدخول ذلك القسم </w:t>
      </w:r>
      <w:bookmarkStart w:id="756" w:name="pg16640_202603"/>
    </w:p>
    <w:p>
      <w:pPr>
        <w:pStyle w:val="BookText"/>
        <w:rPr/>
      </w:pPr>
      <w:bookmarkEnd w:id="756"/>
      <w:r>
        <w:rPr>
          <w:rFonts w:ascii="Amiri" w:hAnsi="Amiri" w:eastAsia="Amiri" w:cs="Amiri"/>
          <w:color w:val="111111"/>
          <w:sz w:val="28"/>
          <w:sz w:val="28"/>
          <w:szCs w:val="28"/>
          <w:rtl w:val="true"/>
          <w:lang w:bidi="ar-SA"/>
        </w:rPr>
        <w:t>في موضوع حكمه أو في متعلقه لا يصلح لأن يكون قرينة على اختصاص الحكم به فإذا علم كون بعض افراد المطلق الّذي تعلق به الأمر مجزيا في مقام الامتثال لم يكن ذلك قرينة على اختصاص الأمر به لئلا يجوز الإتيان بغيره من افراد الطبيعة المأمور بها في مقام الامتثال و عليه فإذا كان المتكلم في مقام البيان و لم يأت بما يكشف عن اختصاص إرادته بقسم خاص كشف ذلك كشفاً إنيا عن عدم اختصاص إرادته بذلك القسم سواء كان هناك قدر متيقن في مقام التخاطب أم لم يكن كيف و لو كان وجود القدر المتيقن في مقام التخاطب مضرا بالتمسك بالإطلاق لما جاز التمسك بالمطلقات في غير موارد ورودها إذ المورد من أظهر موارد وجود القدر المتيقن في مقام التخاطب</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اضف الی ذلک ان الملاک في وجود القرينة هو العرف و ما هو واضح و ظاهر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وجود القدر المتيقن لدی التخاطب لا يکون كالقرينة اللفظية الحافة بالكلام المانعة عن إرادة الإطلاق عرفا و عهدتها علی مدعيها</w:t>
      </w:r>
      <w:r>
        <w:rPr>
          <w:rFonts w:eastAsia="IRNazanin" w:cs="IRNazanin"/>
          <w:color w:val="111111"/>
          <w:sz w:val="28"/>
          <w:szCs w:val="28"/>
          <w:rtl w:val="true"/>
          <w:lang w:bidi="fa-IR"/>
        </w:rPr>
        <w:t>.</w:t>
      </w:r>
    </w:p>
    <w:p>
      <w:pPr>
        <w:pStyle w:val="Heading2"/>
        <w:numPr>
          <w:ilvl w:val="1"/>
          <w:numId w:val="1"/>
        </w:numPr>
        <w:rPr/>
      </w:pPr>
      <w:bookmarkStart w:id="757" w:name="__RefHeading___Toc11691605_1280447820"/>
      <w:bookmarkStart w:id="758" w:name="_Toc270"/>
      <w:bookmarkEnd w:id="757"/>
      <w:r>
        <w:rPr>
          <w:rtl w:val="true"/>
        </w:rPr>
        <w:t>ما هو الأصل عند الشكّ في كون المتكلّم في مقام البيان؟</w:t>
      </w:r>
      <w:bookmarkEnd w:id="75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 أن يكون الأصل فيما إذا شكّ في كون المتكلّم في مقام بيان تمام المراد هو كونه بصدد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لما جرت عليه سيرة أهل المحاورات من التمسّك بالإطلاقات فيما إذا لم يكن هناك ما يوجب صرف وجهها إلى جهةخاصّة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ترى أنّ المشهور لا يزالون يتمسّكون بها مع عدم إحراز كون مطلقها بصدد البيان، و بعد كونه لأجل ذهابهم إلى أنّها موضوعة للشياع و السريان، و إن كان ربما نسب ذلك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لعلّ وجه النسبة ملاحظة أنّه لا وجه للتمسّك بها بدون الإحراز، و الغفلة عن وجهه</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سيرة العقلاء علی البناء علی کون المتکلم في مقام البيان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للشكّ في كونه في مقام البيان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يحرز أنّه في مقام البيان من أيّ جهة من الجهات، بل دار الأمر بين أن يكون في مقام البيان و أن يكون في مقام الإهمال من جميع الجهات، كما إذا شكّ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Style w:val="FootnoteAnchor"/>
          <w:rtl w:val="true"/>
        </w:rPr>
        <w:footnoteReference w:id="585"/>
      </w:r>
      <w:r>
        <w:rPr>
          <w:rFonts w:ascii="Amiri" w:hAnsi="Amiri" w:eastAsia="Amiri" w:cs="Amiri"/>
          <w:color w:val="111111"/>
          <w:sz w:val="28"/>
          <w:sz w:val="28"/>
          <w:szCs w:val="28"/>
          <w:rtl w:val="true"/>
          <w:lang w:bidi="ar-SA"/>
        </w:rPr>
        <w:t>، هل يكون في مقام بيان أصل التشريع أو في مقام بيان تمام المراد؟</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أنّه في مقام البيان من جهة خاصّة و يشكّ في كونه في مقام البيان من جهة اخرى،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w:t>
      </w:r>
      <w:r>
        <w:rPr>
          <w:rStyle w:val="FootnoteAnchor"/>
          <w:rtl w:val="true"/>
        </w:rPr>
        <w:footnoteReference w:id="586"/>
      </w:r>
      <w:r>
        <w:rPr>
          <w:rFonts w:ascii="Amiri" w:hAnsi="Amiri" w:eastAsia="Amiri" w:cs="Amiri"/>
          <w:color w:val="111111"/>
          <w:sz w:val="28"/>
          <w:sz w:val="28"/>
          <w:szCs w:val="28"/>
          <w:rtl w:val="true"/>
          <w:lang w:bidi="ar-SA"/>
        </w:rPr>
        <w:t>، و نعلم بإطلاقه من جهة أنّ حلّيّة أكله لا تحتاج إلى الذبح، سواء كان إمساكه من الحلقوم أو من موضع آخر، كان إلى القبلة أو إلى غيرها؛ و لا نعلم أنّه في مقام البيان من جهة طهارة محلّ الإمساك أو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كلام المحقق الخراساني المتقدم هو ثبوت بناء العقلاء على حمل كلام المتكلّم على كونه في مقام البيان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المحقّق العراقيّ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خالفه المحقّق الخوئيّ تبعا للنائينيّ بدعوى عدم قيام بناء العقلاء على حمل كلام المتكلّم على كونه في مقام البيان في الصورة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أخرى يكون الشك من جهة سعة الإرادة و ضيقها يعني انا نعلم بأن لكلامه إطلاقاً من جهة و لكن نشك في إطلاقه </w:t>
      </w:r>
      <w:bookmarkStart w:id="759" w:name="pg16640_202605"/>
    </w:p>
    <w:p>
      <w:pPr>
        <w:pStyle w:val="BookText"/>
        <w:rPr/>
      </w:pPr>
      <w:bookmarkEnd w:id="759"/>
      <w:r>
        <w:rPr>
          <w:rFonts w:ascii="Amiri" w:hAnsi="Amiri" w:eastAsia="Amiri" w:cs="Amiri"/>
          <w:color w:val="111111"/>
          <w:sz w:val="28"/>
          <w:sz w:val="28"/>
          <w:szCs w:val="28"/>
          <w:rtl w:val="true"/>
          <w:lang w:bidi="ar-SA"/>
        </w:rPr>
        <w:t>من جهة أخرى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امسكن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نعلم بإطلاقه من جهة ان حلية أكله لا نحتاج إلى الذبح سواء أ كان إمساكه من محل الذبح أو من موضع آخر كان إلى القبلة أو إلى غيرها و لكن لا نعلم أنه في مقام البيان من جهة أخرى و هي جهة طهارة محل الإمساك 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مثلذلك لا يمكن التمسك بالإطلاق كما عرفت، لعدم قيام السيرة على حمل كلامه في مقام البيان من هذه الجهة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الشک في قيام السيرة فالامر کما قاله رحمه الله </w:t>
      </w:r>
      <w:r>
        <w:rPr>
          <w:rFonts w:eastAsia="IRNazanin" w:cs="IRNazanin"/>
          <w:color w:val="111111"/>
          <w:sz w:val="28"/>
          <w:szCs w:val="28"/>
          <w:rtl w:val="true"/>
          <w:lang w:bidi="fa-IR"/>
        </w:rPr>
        <w:t>.</w:t>
      </w:r>
    </w:p>
    <w:p>
      <w:pPr>
        <w:pStyle w:val="Heading2"/>
        <w:numPr>
          <w:ilvl w:val="1"/>
          <w:numId w:val="1"/>
        </w:numPr>
        <w:rPr/>
      </w:pPr>
      <w:bookmarkStart w:id="760" w:name="__RefHeading___Toc11691607_1280447820"/>
      <w:bookmarkStart w:id="761" w:name="_Toc271"/>
      <w:bookmarkEnd w:id="760"/>
      <w:r>
        <w:rPr>
          <w:rtl w:val="true"/>
        </w:rPr>
        <w:t>وهم و دفع</w:t>
      </w:r>
      <w:bookmarkEnd w:id="761"/>
    </w:p>
    <w:p>
      <w:pPr>
        <w:pStyle w:val="BookText"/>
        <w:rPr/>
      </w:pPr>
      <w:r>
        <w:rPr>
          <w:rFonts w:ascii="IRNazanin" w:hAnsi="IRNazanin" w:eastAsia="IRNazanin"/>
          <w:color w:val="111111"/>
          <w:sz w:val="28"/>
          <w:sz w:val="28"/>
          <w:szCs w:val="28"/>
          <w:rtl w:val="true"/>
          <w:lang w:bidi="fa-IR"/>
        </w:rPr>
        <w:t xml:space="preserve">ثم قال صاحب الکفاية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عليك أن المراد بكونه في مقام بيان تمام مراده مجرد بيان ذلك و إظهاره و إفهامه و لو لم يكن عن جد بل قاعدة و قانونا لتكون حجة فيما لم تكن حجة أقوى على خلافه لا البيان في قاعدة قبح تأخير البيان عن وقت الحاجة فلا يكون الظفر بالمقيد و لو كان مخالفا كاشفا عن عدم كون المتكلم في مقام البيان و لذا لا ينثلم به إطلاقه و صحة التمسك به أصلا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ما يتوهم من عبارة التقريرات و دفعه، اما الوهم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الظاهر عدم جواز التمسك بالمطلقات بعد الظفر بمقيد </w:t>
      </w:r>
    </w:p>
    <w:p>
      <w:pPr>
        <w:pStyle w:val="BookText"/>
        <w:rPr/>
      </w:pPr>
      <w:r>
        <w:rPr>
          <w:rFonts w:ascii="Amiri" w:hAnsi="Amiri" w:eastAsia="Amiri" w:cs="Amiri"/>
          <w:color w:val="111111"/>
          <w:sz w:val="28"/>
          <w:sz w:val="28"/>
          <w:szCs w:val="28"/>
          <w:rtl w:val="true"/>
          <w:lang w:bidi="ar-SA"/>
        </w:rPr>
        <w:t>منفصل، لكشف المقيد عن عدم كون المتكلم بصدد بيان تمام مراده، و أنه كان في مقام الإهمال أو الإجمال،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يشكل التمسك بالإطلاق مع وجود الظن الغالب بوجود المقيد بالنسبة إلى الإطلاقات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المراد الجدي الواقعي، و هو المقصود في قاعدة قبح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من بيان المراد الواقعي، بأن يظهر الواقع و ان لم يكن مراداً جدياً له، بل يظهره و يلقيه إلى المخاطب بصورة القانون ليكون حجة و مرجعاً عند الشك في التقييد ما لم تقم حجة أقوى على خلافه، و هي دليل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بالبيان في المقام هو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المقيد المنفصل كاشفاً عن عدم كون المتكلم في مقام البيان حتى لا يصح التمسك بالإطلاق، لكشف المقيد عن عدم كون المتكلم في مقام البيان، بل في مقام الإهمال أو الإجمال، فما جرت عليه السيرة من التمسك بالإطلاقات بعد الظفر بمقيد منفصل في غاية المتانة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المراد من الحجية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حجة في ما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اذ الحجية ليست الّا الکشف المعتبر عن المراد الجدي فاذا کان هذا اي القاعدة و القانون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جعله من مصاديق عدم الجد فقال ولو لم تکن عن جد؟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762" w:name="pg16640_202607"/>
    </w:p>
    <w:p>
      <w:pPr>
        <w:pStyle w:val="BookText"/>
        <w:rPr/>
      </w:pPr>
      <w:bookmarkEnd w:id="762"/>
      <w:r>
        <w:rPr>
          <w:rFonts w:ascii="IRNazanin" w:hAnsi="IRNazanin" w:eastAsia="IRNazanin"/>
          <w:color w:val="111111"/>
          <w:sz w:val="28"/>
          <w:sz w:val="28"/>
          <w:szCs w:val="28"/>
          <w:rtl w:val="true"/>
          <w:lang w:bidi="fa-IR"/>
        </w:rPr>
        <w:t>و اجاب المورد نفسه عن هذا الاشکال في مبحث العام و الخاص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مستعمل دائما بنحو من الارادة الجدية المتعلقة به مع ضمائمه المنفصلة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العام مستعملا في العموم بالارادة الاستعمالية الخالية عن الجد غير صحيح و مخالف للواقع و لم نجده في کلمات صاحب الکفاية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الظاهر من الارادة الاستعمالية ارادة حکاية المعنی باللفظ و هي التي يتقوم بها الاستعمال و تکون الحقيقة و المجاز دائرةً 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الارادة الجدية المفقودة فالمراد منها ارادة تفهيم الحکم الشرعي الواقعي المجعول علی حسب المصالح الاولية و هو الغرض الاقصی من انشاء الادلة و 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الارادة الاستعمالية فهي ايضا جدية في مقابل الهزل لکن الغرض منها جعل القانون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 واضح انما الاشکال في ما اذا کان مجيء المخصص و المقيد بعد حضور وقت العمل فانه يستلزم تأخير البيان عن وقت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نلتزم بان حکم الله في تلک البرهة لاولئک هو الحکم الثانوي اي العموم او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لهم مراد بالارادة الجدية و حاله في ذلک حال التقية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معذورين لقصورهم عن الوقوف علی المخصص و المقيد بسبب حکومة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التاخير وجود الحکومات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العموم او الاطلاق مراد لهم بالارادة الجدية بل الحکم کما هو عليه في الواقع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3" w:name="__RefHeading___Toc11691609_1280447820"/>
      <w:bookmarkStart w:id="764" w:name="_Toc272"/>
      <w:bookmarkEnd w:id="763"/>
      <w:r>
        <w:rPr>
          <w:rtl w:val="true"/>
        </w:rPr>
        <w:t>الانصراف</w:t>
      </w:r>
      <w:bookmarkEnd w:id="764"/>
    </w:p>
    <w:p>
      <w:pPr>
        <w:pStyle w:val="BookText"/>
        <w:rPr/>
      </w:pPr>
      <w:r>
        <w:rPr>
          <w:rFonts w:ascii="IRNazanin" w:hAnsi="IRNazanin" w:eastAsia="IRNazanin"/>
          <w:color w:val="111111"/>
          <w:sz w:val="28"/>
          <w:sz w:val="28"/>
          <w:szCs w:val="28"/>
          <w:rtl w:val="true"/>
          <w:lang w:bidi="fa-IR"/>
        </w:rPr>
        <w:t xml:space="preserve">قال في الکفاية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إطلاق له فيما كان له الانصراف إلى خصوص بعض الأفراد أو الأصناف، لظهوره فيه، أو كونه متيقّنا منه و لو لم يكن ظاهرا فيه بخصوصه حسب اختلاف مراتب الانصراف؛ كما أنّه منها ما لا يوجب ذا و لا ذاك، بل يكون بدويّا زائلا بالتأمّل؛ كما أنّه منها ما يوجب الاشتراك، أو النقل</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الانصراف في کلام المحقق الخراساني على أنواع لابد من النظر في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البدوي الناشئ عن غلبة الوجود الموجبة لانصراف المطلق إليه، كخطور ماء الفرات في ذهن من في سواحله، و هذا الانصراف لا يقيد المطلق، للقطع بعدم كون المنصرف إليه مراداً قبل التأمل و بعده و لا يزول بالتأمل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عن التشكيك في الماهية في متفاهم العرف، و هو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التشكيك بمثابة يحكم العرف بخروج الفرد المنصرف عنه عن مصاديق المطلق، كانصراف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الإنسان، و عدم شموله له بنظرهم، و صيرورة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غير الإنسان، و لذا جوز الفقهاء الصلاة في شعره و ظفره و بصاقه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كون هذا الانصراف مقيداً للإطلاق بغير المنصرف عنه، لكون المطلق مع هذا التشكيك كاللفظ المحفوف بالقرينة اللفظية المتصلة في المنع عن انعقاد الظهور للمطلق في الإطلاق، و موجب لظهوره في المنصرف إليه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التشكيك بمثابة يشك العرف في خروج الفرد المنصرف عنه عن مصاديق المطلق، كانصراف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ماء الزاج و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الانصراف و ان لم يكن موجباً لظهور اللفظ في المنصرف إليه كما في الفرض السابق، إلّا أنه من قبيل اللفظ المحفوف بما يصلح للقرينية، و معه لا يكون اللفظ ظاهراً في الإطلاق، لفقدان شرط </w:t>
      </w:r>
    </w:p>
    <w:p>
      <w:pPr>
        <w:pStyle w:val="BookText"/>
        <w:rPr/>
      </w:pPr>
      <w:r>
        <w:rPr>
          <w:rFonts w:ascii="Amiri" w:hAnsi="Amiri" w:eastAsia="Amiri" w:cs="Amiri"/>
          <w:color w:val="111111"/>
          <w:sz w:val="28"/>
          <w:sz w:val="28"/>
          <w:szCs w:val="28"/>
          <w:rtl w:val="true"/>
          <w:lang w:bidi="ar-SA"/>
        </w:rPr>
        <w:t>الإطلاق و هو عدم احتفاف الكلام بالقرينة و بالصالح للقرينية، فالانصراف في هذين الفرضين مانع عن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عن بلوغ غلبة الاستعمال في فرد خاص حد المجاز المشهور عند تعارضه مع الحقيقة المرجوحة، لكنه يحكم في المجاز بالتوقف، و في المقام بالتقييد، لما مر في سابقه من فقدان شرط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الناشئ عن بلوغ شيوع المطلق و غلبة استعماله في المنصرف إليه حد اشتراك لفظه بين المعنى الحقيقي الإطلاقي و بين المعنى المنصرف إليه، و لا يحمل على أحدهما إلّا بالقرينة المعينة، و عليه فهذا الانصراف يمنع أيضا عن الأخذ بالإطلاق، كما إذا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لمطلق وجه الأرض، ثم استعمل كثيراً في خصوص التراب الخالص بحيث صار مشتركاً بينهما،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بالصعيد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على المطلق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يحمل على المنصرف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التراب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كثرة الاستعمال قرينة، أو صالحة للقرينية على الحمل على المعنى المنصرف إليه، لما تقدم من توقف الإطلاق على عدم 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عن بلوغ كثرة الاستعمال حد النقل، و مهجورية المعنى المطلق، و حمل اللفظ على المعنى المنصرف إليه في هذه الصورة أولى من السابقة، كما لا يخفى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إنّ انصراف الذهن إن كان ناشئا من ظهور اللفظ في المقيّد بمعنى أنّ نفس اللفظ ينصرف إلى المقيّد لكثرة استعماله فيه و شيوع إرادته منه، فلا شكّ في أنّه حينئذ لا مجال للتمسّك بالإطلاق، لأنّ هذا الظهور يجعل اللفظ بمنزلة المقيّد بالتقييد اللفظيّ، </w:t>
      </w:r>
      <w:bookmarkStart w:id="765" w:name="pg16640_202610"/>
    </w:p>
    <w:p>
      <w:pPr>
        <w:pStyle w:val="BookText"/>
        <w:rPr/>
      </w:pPr>
      <w:bookmarkEnd w:id="765"/>
      <w:r>
        <w:rPr>
          <w:rFonts w:ascii="Amiri" w:hAnsi="Amiri" w:eastAsia="Amiri" w:cs="Amiri"/>
          <w:color w:val="111111"/>
          <w:sz w:val="28"/>
          <w:sz w:val="28"/>
          <w:szCs w:val="28"/>
          <w:rtl w:val="true"/>
          <w:lang w:bidi="ar-SA"/>
        </w:rPr>
        <w:t>و معه لا ينعقد للكلام ظهور في الإطلاق حتّى يتمسّك بأصالة الإطلاق التي هي مرجعها في الحقيقة إلى أصالة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كان الانصراف غير ناشئ من اللفظ، بل كان من سبب خارجيّ، كغلبة وجود الفرد المنصرف إليه أو تعارف الممارسة الخارجيّة له، فيكون مألوفا قريبا إلى الذهن من دون أن يكون للّفظ تأثير في هذا الانصراف، كانصراف الذهن من لفظ الماء في العراق إلى ماء دجلة أو الفرات، فالحقّ أنّه لا أثر لهذا الانصراف في ظهور اللفظ في إطلاقه، فلا يمنع من التمسّك بأصالة الإطلاق؛ لأنّ هذا الانصراف قد يجتمع مع القطع بعدم إرادة المقيّد بخصوصه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يسمّى هذا الانصراف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 البدويّ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لزواله عند التأمّل و مراجعة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فالمسح في آية الوضوء ينصرف إلى المسح باليد، و لاشک في كون هذا الانصراف مستندا إلى اللفظ، و ينصرف أيضا إلى المسح بخصوص باطن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قد يشكّ في كون هذا الانصراف مستندا إلى اللفظ؛ فإنّه غير بعيد أنّه ناشئمن تعارف المسح بباطن اليد لسهولته؛ و لأنّه مقتضى طبع الإنسان في مسحه و ليس له علاقة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إنّ جملة من الفقهاء أفتوا بجواز المسح بظهر اليد عند تعذّر المسح بباطنها تمسّكا بإطلاق الآية</w:t>
      </w:r>
      <w:r>
        <w:rPr>
          <w:rStyle w:val="FootnoteAnchor"/>
          <w:rtl w:val="true"/>
        </w:rPr>
        <w:footnoteReference w:id="595"/>
      </w:r>
      <w:r>
        <w:rPr>
          <w:rFonts w:ascii="Amiri" w:hAnsi="Amiri" w:eastAsia="Amiri" w:cs="Amiri"/>
          <w:color w:val="111111"/>
          <w:sz w:val="28"/>
          <w:sz w:val="28"/>
          <w:szCs w:val="28"/>
          <w:rtl w:val="true"/>
          <w:lang w:bidi="ar-SA"/>
        </w:rPr>
        <w:t xml:space="preserve">، و لا معنى للتمسّك بالإطلاق لو كان لللفظ ظهور في المقيّد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6" w:name="__RefHeading___Toc11691611_1280447820"/>
      <w:bookmarkStart w:id="767" w:name="_Toc273"/>
      <w:bookmarkEnd w:id="766"/>
      <w:r>
        <w:rPr>
          <w:rtl w:val="true"/>
        </w:rPr>
        <w:t>الفصل الثالث</w:t>
      </w:r>
      <w:r>
        <w:rPr>
          <w:rtl w:val="true"/>
        </w:rPr>
        <w:t xml:space="preserve">: </w:t>
      </w:r>
      <w:r>
        <w:rPr>
          <w:rtl w:val="true"/>
        </w:rPr>
        <w:t>في حمل المطلق على المقيّد</w:t>
      </w:r>
      <w:bookmarkEnd w:id="767"/>
    </w:p>
    <w:p>
      <w:pPr>
        <w:pStyle w:val="BookText"/>
        <w:rPr/>
      </w:pPr>
      <w:r>
        <w:rPr>
          <w:rFonts w:ascii="IRNazanin" w:hAnsi="IRNazanin" w:eastAsia="IRNazanin"/>
          <w:color w:val="111111"/>
          <w:sz w:val="28"/>
          <w:sz w:val="28"/>
          <w:szCs w:val="28"/>
          <w:rtl w:val="true"/>
          <w:lang w:bidi="fa-IR"/>
        </w:rPr>
        <w:t>لو حصل التنافي بين المطلق و المقيد فما هو حکمه؟ و لا يخفی ان المراد من معنى التنافي بين المطلق و المقيّد هو أنّ التكليف في المطلق لا يجتمع مع التكليف في المقيّد مع فرض المحافظة على ظهورهما معا، أي أنّهما يتكاذبان في ظهورهما، مثل قول الطبيب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لبنا 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الثاني تعيين شرب الحلو منه، و ظاهر الأوّل جواز شرب غير الحلو حسب إطلاقه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فيتحقّق التنافي بين المطلق و المقيّد إذا كان التكليف فيهما واحدا، كالمثال المتقدّم، و لا يتنافيان اذا كان التكليف في أحدهما معلّقا على شي‌ء و في الآخر معلّقا على شي‌ء آخر، كما إذا قال الطبيب 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 فاشرب لبنا، و عند الاستيقاظ من النوم اشرب لبنا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يتنافيان لو كان التكليف في المطلق إلزاميّا، و في المقيّد على نحو الاستحباب، ففي المثال لو وجب أصل شرب اللبن فإنّه لا ينافيه رجحان الحلو منه باعتبار أنّه أحد أفراد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يتنافيان لو فهم من التكليف في المقيّد أنّه تكليف في وجود ثان غير المطلوب من التكليف الأوّل، كما إذا فهم من المقيّد في المثال طلب شرب اللبن الحلو ثانيا بعد شرب لبن ما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في لسان الشارع مطلق و مقيّد متنافيان، سواء تقدّم أو تأخّر، و سواء كان مجي‌ء المتأخّر بعد وقت العمل بالمتقدّم أو قبله، فإنّه لا بدّ من الجمع بينهما إمّا بالتصرّف في ظهور المطلق فيحمل على المقيّد، أو بالتصرّف في المقيّد على وجه لا ينافي الإطلاق، فيبقى ظهور المطلق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فلابد من البحث هنا في أنّه أيّ التصرّفين أولى بالأخذ؟ و الجواب انه يختلف باختلاف الصور فيهما، فإنّ المطلق و المقيّد إمّا أن يكونا مختلفين فيالإثبات أو النفي، و إمّا أن يكونا متّفقين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المتفقان إمّا يكونان مثبتين أو نافيين فهذه صور ثلاثة</w:t>
      </w:r>
      <w:r>
        <w:rPr>
          <w:rFonts w:eastAsia="Amiri" w:cs="Amiri" w:ascii="Amiri" w:hAnsi="Amiri"/>
          <w:color w:val="111111"/>
          <w:sz w:val="28"/>
          <w:szCs w:val="28"/>
          <w:rtl w:val="true"/>
          <w:lang w:bidi="ar-SA"/>
        </w:rPr>
        <w:t xml:space="preserve">: </w:t>
      </w:r>
      <w:bookmarkStart w:id="768" w:name="pg16640_202612"/>
    </w:p>
    <w:p>
      <w:pPr>
        <w:pStyle w:val="Heading2"/>
        <w:numPr>
          <w:ilvl w:val="1"/>
          <w:numId w:val="1"/>
        </w:numPr>
        <w:rPr/>
      </w:pPr>
      <w:bookmarkStart w:id="769" w:name="__RefHeading___Toc11691613_1280447820"/>
      <w:bookmarkStart w:id="770" w:name="_Toc274"/>
      <w:bookmarkEnd w:id="768"/>
      <w:bookmarkEnd w:id="769"/>
      <w:r>
        <w:rPr>
          <w:rtl w:val="true"/>
        </w:rPr>
        <w:t>الصورة الاولی</w:t>
      </w:r>
      <w:r>
        <w:rPr>
          <w:rtl w:val="true"/>
        </w:rPr>
        <w:t xml:space="preserve">: </w:t>
      </w:r>
      <w:r>
        <w:rPr>
          <w:rtl w:val="true"/>
        </w:rPr>
        <w:t>أن يكون أحدهما مثبتاً و الآخر نافياً</w:t>
      </w:r>
      <w:bookmarkEnd w:id="770"/>
    </w:p>
    <w:p>
      <w:pPr>
        <w:pStyle w:val="BookText"/>
        <w:rPr/>
      </w:pPr>
      <w:r>
        <w:rPr>
          <w:rFonts w:ascii="IRNazanin" w:hAnsi="IRNazanin" w:eastAsia="IRNazanin"/>
          <w:color w:val="111111"/>
          <w:sz w:val="28"/>
          <w:sz w:val="28"/>
          <w:szCs w:val="28"/>
          <w:rtl w:val="true"/>
          <w:lang w:bidi="fa-IR"/>
        </w:rPr>
        <w:t>و بعبارة اخری أن يكونا مختلفين في السلب و الايجاب، و هذه الصورة علی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المطلق نافياً و المقيّد مثبتاً،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رقبة و أعتق رقبة مؤمنة، فالتنافي بين الدليلين واضح، إذ لا يمكن تحريم عتق مطلق الرقبة مع إيجاب عتق الرقبة المؤمنة، كما لا يمكن كراهة عتق مطلق الرقبة و رجحان عتق الرقبة المؤمنة، فلا محيص في رفع التنافي من حمل المطلق على المقيّد؛ لأنّ المقيّد يكون قرينة على المطلق،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اللبن الحامض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يفهم منه أنّ المطلوب هو شرب اللبن غير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يفرق فيه بين أن يكون إطلاق المطلق بدليّا،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أن يكون شموليّا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الغنم المعلوفة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 المطلق مثبتاً و النافي مقيّداً،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و لا تعتق رقبة كافرة، و هذا علی ثلاث 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أنّ النهي تحريمي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أنّ النهي تنزيهيّ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بين الاحتمالين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 فالتنافي محرز، إذ لا يصحّ إيجاب عتق مطلق الرقبة الذي يشمل الكافر مع تحريم عتق خصوص الرقبة الكافرة، لأنّ الخاص الحرام قسم من العام الواجب، فلا يرتفع التنافي إلّا بحمل المطلق على المقيّد و هو جمع عرفي</w:t>
      </w:r>
      <w:r>
        <w:rPr>
          <w:rFonts w:eastAsia="IRNazanin" w:cs="IRNazanin"/>
          <w:color w:val="111111"/>
          <w:sz w:val="28"/>
          <w:szCs w:val="28"/>
          <w:rtl w:val="true"/>
          <w:lang w:bidi="fa-IR"/>
        </w:rPr>
        <w:t xml:space="preserve">. </w:t>
      </w:r>
      <w:bookmarkStart w:id="771" w:name="pg16640_202613"/>
    </w:p>
    <w:p>
      <w:pPr>
        <w:pStyle w:val="BookText"/>
        <w:rPr/>
      </w:pPr>
      <w:bookmarkEnd w:id="771"/>
      <w:r>
        <w:rPr>
          <w:rFonts w:ascii="IRNazanin" w:hAnsi="IRNazanin" w:eastAsia="IRNazanin"/>
          <w:color w:val="111111"/>
          <w:sz w:val="28"/>
          <w:sz w:val="28"/>
          <w:szCs w:val="28"/>
          <w:rtl w:val="true"/>
          <w:lang w:bidi="fa-IR"/>
        </w:rPr>
        <w:t>و أمّا الثانية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النهي تنزيهياً،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تصلّ في الحمّام، فلا مجال لحمل المطلق علی المقيد، إذ لا تنافي بين إيجاب الصلاة في مطلق الأمكنة و النهي عن الصلاة في الحمّام و يکون النهي إرشاداً إلى أقليّة الثواب، كما هو معنى الكراهة في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يحرز أنّ النهي تحريمي أو تنزيهي كالنهي عن الصلاة في مواضع التهمة مثلا، و هنا يکون الحمل تابع لتشخيص حکم النهي فان کان تحريميا فلا بدّ من حمل المطلق علی المقيد و الّا فلا وجه له</w:t>
      </w:r>
      <w:r>
        <w:rPr>
          <w:rFonts w:eastAsia="IRNazanin" w:cs="IRNazanin"/>
          <w:color w:val="111111"/>
          <w:sz w:val="28"/>
          <w:szCs w:val="28"/>
          <w:rtl w:val="true"/>
          <w:lang w:bidi="fa-IR"/>
        </w:rPr>
        <w:t>.</w:t>
      </w:r>
    </w:p>
    <w:p>
      <w:pPr>
        <w:pStyle w:val="Heading2"/>
        <w:numPr>
          <w:ilvl w:val="1"/>
          <w:numId w:val="1"/>
        </w:numPr>
        <w:rPr/>
      </w:pPr>
      <w:bookmarkStart w:id="772" w:name="__RefHeading___Toc11691615_1280447820"/>
      <w:bookmarkStart w:id="773" w:name="_Toc275"/>
      <w:bookmarkEnd w:id="772"/>
      <w:r>
        <w:rPr>
          <w:rtl w:val="true"/>
        </w:rPr>
        <w:t>الصورة الثانية</w:t>
      </w:r>
      <w:r>
        <w:rPr>
          <w:rtl w:val="true"/>
        </w:rPr>
        <w:t xml:space="preserve">: </w:t>
      </w:r>
      <w:r>
        <w:rPr>
          <w:rtl w:val="true"/>
        </w:rPr>
        <w:t>إذا كانا نافيين</w:t>
      </w:r>
      <w:bookmarkEnd w:id="773"/>
    </w:p>
    <w:p>
      <w:pPr>
        <w:pStyle w:val="BookText"/>
        <w:rPr/>
      </w:pPr>
      <w:r>
        <w:rPr>
          <w:rFonts w:ascii="Amiri" w:hAnsi="Amiri" w:eastAsia="Amiri" w:cs="Amiri"/>
          <w:color w:val="111111"/>
          <w:sz w:val="28"/>
          <w:sz w:val="28"/>
          <w:szCs w:val="28"/>
          <w:rtl w:val="true"/>
          <w:lang w:bidi="ar-SA"/>
        </w:rPr>
        <w:t>إذا كان الدليلان نافيين،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الذي هو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المسكر المأخوذ من 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المسكر، فلا وجه لحمل المطلق على المقيّد، لعدم التنافي بين الدليلين، غاية الأمر يحمل النهي عن شرب الخمر على الحرمة المؤكّدة</w:t>
      </w:r>
      <w:r>
        <w:rPr>
          <w:rFonts w:eastAsia="Amiri" w:cs="Amiri" w:ascii="Amiri" w:hAnsi="Amiri"/>
          <w:color w:val="111111"/>
          <w:sz w:val="28"/>
          <w:szCs w:val="28"/>
          <w:rtl w:val="true"/>
          <w:lang w:bidi="ar-SA"/>
        </w:rPr>
        <w:t>.</w:t>
      </w:r>
    </w:p>
    <w:p>
      <w:pPr>
        <w:pStyle w:val="Heading2"/>
        <w:numPr>
          <w:ilvl w:val="1"/>
          <w:numId w:val="1"/>
        </w:numPr>
        <w:rPr/>
      </w:pPr>
      <w:bookmarkStart w:id="774" w:name="__RefHeading___Toc11691617_1280447820"/>
      <w:bookmarkStart w:id="775" w:name="_Toc276"/>
      <w:bookmarkEnd w:id="774"/>
      <w:r>
        <w:rPr>
          <w:rtl w:val="true"/>
        </w:rPr>
        <w:t>الصورة الثالثة</w:t>
      </w:r>
      <w:r>
        <w:rPr>
          <w:rtl w:val="true"/>
        </w:rPr>
        <w:t xml:space="preserve">: </w:t>
      </w:r>
      <w:r>
        <w:rPr>
          <w:rtl w:val="true"/>
        </w:rPr>
        <w:t>إذا كانا مثبتين</w:t>
      </w:r>
      <w:bookmarkEnd w:id="775"/>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مؤمنة، فهل يحمل المطلق على المقيّد أو لا؟ ففيه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الإطلاق بدليّا، و 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شموليّا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كان الإطلاق بدليّا فقال فيه المحقّق الخراساني الی انّه يمكن الجمع بين المطلق و المقيّد بأحد الوجهين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المطلق على المقيّد، لأنّ فيه جمعاً بين الدليلين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المطلق على أفضل الأفراد، و فيه أيضاً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الوجهُ الأوّل بأنّ حمل المطلق على المقيد لا يحدث تصرّفاً في المطلق لكشف المقيّد عن عدم وجود الإطلاق و أنّه كان تخيّليّاً بخلاف حمل المقيّد على الاستحباب فإنّه تصرّف في دلالة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حمل المطلق على المقيّد أيضاً تصرّف، و ذلك لما عرفت من أنّ العثور على المقيّد و إن كان لا يكشف عن عدم كون المطلق وارداً في مقام البيان كما هو ظاهر كلام المؤيّد، لكن يكون كاشفاً عن عدم كون الإطلاق بمراد جدّاً و انّ الإرادتين ليستا بمتطابقتين، و هذا أيضاً نوع تصرّف</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المحقّق الخراساني لحمل المطلق على المقيّد بوجه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الصيغة في الإيجاب التعييني أقوى من ظهور المطلق في الإطلاق، و ذلك لأنّ الأمر دائر بين الأخذ بالمطلق و رفع اليد عن الوجوب التعييني في موردالمقيّد، و بين أن يكون المكلّف مخيّراً بين عتق المؤمنة و الكافرة و الأخذ بالظهور التعييني في جانب المقيّد، و تكون النتيجة لزوم الإتيان بالقيد، و لكن الظهور الثاني أقوى من الظهور الأوّل فيتصرّف فيه ببركة الظهور الثاني</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المقيّد ظاهرا في أنّ الأمر فيه للوجوب التعيينيّ، و التصرّف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بحمله على الاستحباب أي أنّ الأمر بعتق الرقبة المؤمنة بخصوصها باعتبار أنّها أفضل الأفراد أو بحمله على الوجوب التخييريّ، أي إنّ الأمر بعتق الرقبة المؤمنة باعتبار أنّه أحد أفراد الواجب، لا لخصوصيّة فيها حتّى خصوصيّة الأفضليّة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ممكنا، لكن ظهور المقيّد في الوجوب التعيينيّ </w:t>
      </w:r>
    </w:p>
    <w:p>
      <w:pPr>
        <w:pStyle w:val="BookText"/>
        <w:rPr/>
      </w:pPr>
      <w:r>
        <w:rPr>
          <w:rFonts w:ascii="Amiri" w:hAnsi="Amiri" w:eastAsia="Amiri" w:cs="Amiri"/>
          <w:color w:val="111111"/>
          <w:sz w:val="28"/>
          <w:sz w:val="28"/>
          <w:szCs w:val="28"/>
          <w:rtl w:val="true"/>
          <w:lang w:bidi="ar-SA"/>
        </w:rPr>
        <w:t>مقدّم على ظهور المطلق في إطلاقه</w:t>
      </w:r>
      <w:r>
        <w:rPr>
          <w:rStyle w:val="FootnoteAnchor"/>
          <w:rtl w:val="true"/>
        </w:rPr>
        <w:footnoteReference w:id="597"/>
      </w:r>
      <w:r>
        <w:rPr>
          <w:rFonts w:ascii="Amiri" w:hAnsi="Amiri" w:eastAsia="Amiri" w:cs="Amiri"/>
          <w:color w:val="111111"/>
          <w:sz w:val="28"/>
          <w:sz w:val="28"/>
          <w:szCs w:val="28"/>
          <w:rtl w:val="true"/>
          <w:lang w:bidi="ar-SA"/>
        </w:rPr>
        <w:t>لأنّ المقيّد صالح لأن يكون قرينة للمطلق، و لعلّ المتكلّم اعتمد عليه في بيان مرامه، و لو في وقت آخر، لا سيّما مع احتمال أنّ المطلق الوارد كان محفوفا بقرينة متّصلة غابت عنّا، فيكون المقيّد كاشفا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الی ان أن إطلاق الرقبة مثلا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يقتضي تعين فرد من الافراد، و لذا يجزي في الامتثال عتق أي فرد من أفراد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الرقبة المؤمنة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يقتضي تعين خصوص المؤمنة، و مع الدوران بين التعيين و التخيير يحكم العقل بالأول، لحصول يقين الفراغ به دون غيره، فلو لم تثبت أقوائية ظهور المقيد في التعيين كان مقتضى الأصل التعيينية، كما أنها قضية المقتضي و اللامقتضي، ضرورة تقدم الأول على الثاني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تعرف ضعف ما قد يقال من ان كلا الأمرين من نتائج الإطلاق فلا وجه لتقديم أحدهما على الآخر بعد كون الجميع من نتائج شي‌ء واحد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الإطلاق شموليّا،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تتحقّق المنافاة بينهما حتّى يجب التصرّف في أحدهما؛ لأنّ وجوب الزكاة في الغنم السائمة بمقتضى الجملة الثانية لا ينافي وجوب الزكاة في غير السائمة، إلّا على القول بدلالة الوصف على المفهوم، و قد عرفت أنّه لا مفهوم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منافاة بين الجملتين لنرفع بها اليد عن إطلاق المطلق</w:t>
      </w:r>
      <w:r>
        <w:rPr>
          <w:rFonts w:eastAsia="Amiri" w:cs="Amiri" w:ascii="Amiri" w:hAnsi="Amiri"/>
          <w:color w:val="111111"/>
          <w:sz w:val="28"/>
          <w:szCs w:val="28"/>
          <w:rtl w:val="true"/>
          <w:lang w:bidi="ar-SA"/>
        </w:rPr>
        <w:t xml:space="preserve">. </w:t>
      </w:r>
      <w:bookmarkStart w:id="776" w:name="pg16640_202616"/>
    </w:p>
    <w:p>
      <w:pPr>
        <w:pStyle w:val="Heading2"/>
        <w:numPr>
          <w:ilvl w:val="1"/>
          <w:numId w:val="1"/>
        </w:numPr>
        <w:rPr/>
      </w:pPr>
      <w:bookmarkStart w:id="777" w:name="__RefHeading___Toc11691619_1280447820"/>
      <w:bookmarkStart w:id="778" w:name="_Toc277"/>
      <w:bookmarkEnd w:id="776"/>
      <w:bookmarkEnd w:id="777"/>
      <w:r>
        <w:rPr>
          <w:rtl w:val="true"/>
        </w:rPr>
        <w:t>و ينبغي التنبيه على أمرين</w:t>
      </w:r>
      <w:r>
        <w:rPr>
          <w:rtl w:val="true"/>
        </w:rPr>
        <w:t>:</w:t>
      </w:r>
      <w:bookmarkEnd w:id="778"/>
    </w:p>
    <w:p>
      <w:pPr>
        <w:pStyle w:val="Heading2"/>
        <w:numPr>
          <w:ilvl w:val="1"/>
          <w:numId w:val="1"/>
        </w:numPr>
        <w:rPr/>
      </w:pPr>
      <w:bookmarkStart w:id="779" w:name="__RefHeading___Toc11691621_1280447820"/>
      <w:bookmarkStart w:id="780" w:name="_Toc278"/>
      <w:bookmarkEnd w:id="779"/>
      <w:r>
        <w:rPr>
          <w:rtl w:val="true"/>
        </w:rPr>
        <w:t>الأوّل</w:t>
      </w:r>
      <w:r>
        <w:rPr>
          <w:rtl w:val="true"/>
        </w:rPr>
        <w:t xml:space="preserve">: </w:t>
      </w:r>
      <w:r>
        <w:rPr>
          <w:rtl w:val="true"/>
        </w:rPr>
        <w:t>حكم الأحكام الوضعية</w:t>
      </w:r>
      <w:bookmarkEnd w:id="780"/>
    </w:p>
    <w:p>
      <w:pPr>
        <w:pStyle w:val="BookText"/>
        <w:rPr/>
      </w:pPr>
      <w:r>
        <w:rPr>
          <w:rFonts w:ascii="Amiri" w:hAnsi="Amiri" w:eastAsia="Amiri" w:cs="Amiri"/>
          <w:color w:val="111111"/>
          <w:sz w:val="28"/>
          <w:sz w:val="28"/>
          <w:szCs w:val="28"/>
          <w:rtl w:val="true"/>
          <w:lang w:bidi="ar-SA"/>
        </w:rPr>
        <w:t>لا فرق بين الأحكام التكليفية و الوضعية في أنّ مدار الحمل هو وجود التنافي بين حكمي المطلق و المقيّد، أي التنافي الذي هو لازم وحدة الحكم، فلو كان هذا الشرط موجوداً في الأحكام الوضعية، يحمل الوضعي المطلق على الوضعيّ المقيّد،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جلد 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انتفى التنافي يبقى الحكمان على حالهما،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أجزاء ما لا يؤكل لحمه، ثمّ قال في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مانع من أن تكون الصلاة في مطلق ما لا يؤكل لحمه فاسدة، و في خصوص وبره أيضاً كذلك، و إنّما خصّ الوبر لسبب خاص</w:t>
      </w:r>
      <w:r>
        <w:rPr>
          <w:rFonts w:eastAsia="Amiri" w:cs="Amiri" w:ascii="Amiri" w:hAnsi="Amiri"/>
          <w:color w:val="111111"/>
          <w:sz w:val="28"/>
          <w:szCs w:val="28"/>
          <w:rtl w:val="true"/>
          <w:lang w:bidi="ar-SA"/>
        </w:rPr>
        <w:t>.</w:t>
      </w:r>
    </w:p>
    <w:p>
      <w:pPr>
        <w:pStyle w:val="Heading2"/>
        <w:numPr>
          <w:ilvl w:val="1"/>
          <w:numId w:val="1"/>
        </w:numPr>
        <w:rPr/>
      </w:pPr>
      <w:bookmarkStart w:id="781" w:name="__RefHeading___Toc11691623_1280447820"/>
      <w:bookmarkStart w:id="782" w:name="_Toc279"/>
      <w:bookmarkEnd w:id="781"/>
      <w:r>
        <w:rPr>
          <w:rtl w:val="true"/>
        </w:rPr>
        <w:t>الثاني</w:t>
      </w:r>
      <w:r>
        <w:rPr>
          <w:rtl w:val="true"/>
        </w:rPr>
        <w:t xml:space="preserve">: </w:t>
      </w:r>
      <w:r>
        <w:rPr>
          <w:rtl w:val="true"/>
        </w:rPr>
        <w:t>في حكم المستحبّات</w:t>
      </w:r>
      <w:bookmarkEnd w:id="78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على الألسن أنّ القيود في المستحبّات ليست مقوّمة للعمل فلا يجب حمل المطلق على المقيّد،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الإمام الطاهر سيد الشهداء عليه السلام تحت السماء، ثمّ قال في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الإمام الطاهر سيد الشهداء عليه السلام، فلا يحمل المطلق على المقيّد، بل يحمل المقيّد على كونه أفضل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المشهور بين الأصحاب، و إنّما الكلام في وجه هذا الحكم، فقد ذكروا هنا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في باب المستحبّات هو تفاوت الأفراد بحسب مراتب المحبوبية</w:t>
      </w:r>
      <w:r>
        <w:rPr>
          <w:rStyle w:val="FootnoteAnchor"/>
          <w:rtl w:val="true"/>
        </w:rPr>
        <w:footnoteReference w:id="598"/>
      </w:r>
      <w:r>
        <w:rPr>
          <w:rFonts w:ascii="Amiri" w:hAnsi="Amiri" w:eastAsia="Amiri" w:cs="Amiri"/>
          <w:color w:val="111111"/>
          <w:sz w:val="28"/>
          <w:sz w:val="28"/>
          <w:szCs w:val="28"/>
          <w:rtl w:val="true"/>
          <w:lang w:bidi="ar-SA"/>
        </w:rPr>
        <w:t>، فتكون تلك الغلبة قرينة على إرادة الأفضلية من القيد الوارد في المستحبّات، و انّ العمل معه من أفضل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اجابه المحقق الخوئي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المستحبات ذات مراتب انما هو باعتبار غالب قيودها و من الواضح ان مجرد ثبوت الغلبة في ذلك لا تصلح لصرف ظهور القضية الشرطية في كونها ذات مفهوم و إلّا لزم الالتزام بعدم التقييد فيما إذا كان التقييد بمتصل أيضاً مع انه خلاف الواقع و المفروض فالصحيح في موارد كون القضية ذات مفهوم هو حمل المطلق على المقيد و الحكم باختصاص الطلب الاستحبابي بالمقيد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انه ان كان المدار في التقديم أقوائية الظهور فكيف يوجب اختلاف المستحبات في المحبوبية ظهور دليل المقيد في تأكد الاستحباب، و الغلبة و ان كانت موجبة للظن بالتأكد، لكنها لا توجب ظهور اللفظ في ذلك، و هو المدار في تقديم أحد الظاهرين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انه لو کان المراد من الغلبة هو الغلبة في الوجود و أنّ القيود </w:t>
      </w:r>
    </w:p>
    <w:p>
      <w:pPr>
        <w:pStyle w:val="BookText"/>
        <w:rPr/>
      </w:pPr>
      <w:r>
        <w:rPr>
          <w:rFonts w:ascii="Amiri" w:hAnsi="Amiri" w:eastAsia="Amiri" w:cs="Amiri"/>
          <w:color w:val="111111"/>
          <w:sz w:val="28"/>
          <w:sz w:val="28"/>
          <w:szCs w:val="28"/>
          <w:rtl w:val="true"/>
          <w:lang w:bidi="ar-SA"/>
        </w:rPr>
        <w:t>في المستحبّات حسب التتبّع قيود لمراتب الفضيلة و تأكّد الاستحباب، فمن المعلوم أنّ كثرة الوجود لا توجب الانصراف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يلزم من ذلک الحكم باستحباب خصوص المقيّد دون المطلق في باب المستحبّات، كما إذا ورد استحباب زيارة مولانا الحسين عليه السّلام بنحو الإطلاق، ثمّ ورد استحبابها في يوم عرفة، فلو كان ظهور إطلاق الصيغة في التعيينيّ أقوى من ظهور المطلق في الإطلاق و كان مقتضاه تقييد المطلق يلزم الحكم باستحباب زيارته عليه السّلام في خصوص يوم عرفة، و هو خلاف المشهور، فإنّهم بنوا فيها على حمل المقيّد على تأكّد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کثيرا من القيود الاستحبابية معلومة الحال لاحتفافها بالقرينة و عليه فالحکم باستحباب زيارة الحسين عليه السلام في يوم عرفه لا غير معلوم البطلان بل غير متوهم لکثرة الادلة في کون اصل الزيارة مستحبة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أدلّة التسامح في أدلّة المستحبات فيحكم باستحباب المطلق مع وجود المقيد مسامحة من باب صدق بلوغ الثواب عليه، لا لدليل نفس المطلق حتى يلزم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التسامح مفقود في الواجبات، و لذا يقيدون مطلقها بمقيدها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يخفى فأنه لو كان حمل المطلق على المقيد جمعاً عرفياً كان مقتضاه عدم الاستحباب الّا للمقيد، و حينئذ ان كان بلوغ الثواب صادقاً على المطلق كان استحبابه تسامحياً، و إلّا فلا استحباب له وحده ، مضافا الی أن مرجعه إلى تقوية دلالة دليل المطلق، و تضعيف دلالة دليل المقيد، و عدم صلاحية المقيد لتقييد المطلق، و هو مبني على </w:t>
      </w:r>
    </w:p>
    <w:p>
      <w:pPr>
        <w:pStyle w:val="BookText"/>
        <w:rPr/>
      </w:pPr>
      <w:r>
        <w:rPr>
          <w:rFonts w:ascii="IRNazanin" w:hAnsi="IRNazanin" w:eastAsia="IRNazanin"/>
          <w:color w:val="111111"/>
          <w:sz w:val="28"/>
          <w:sz w:val="28"/>
          <w:szCs w:val="28"/>
          <w:rtl w:val="true"/>
          <w:lang w:bidi="fa-IR"/>
        </w:rPr>
        <w:t xml:space="preserve">جابرية أخبار من بلغ لضعف الدلالة، و هذا في غاية الضعف و السقوط، و أجنبي عن مفاد تلك الاخبار، و قد تعرضنا لذلک مفصلا في باب البراءة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أفاده المحقّق النائيني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الأمر إلزامياً فلا وجه لرفع اليد عن الإطلاق بحمله على المقيّد منهما، و الوجه في ذلك هو أنّه إذا كان الحكم المتعلّق بالمقيد غير إلزامي جازت مخالفته، فلا تكون منافاة حينئذ بينه و بين إطلاق متعلّق الحكم الآخر، المستلزم لجواز تطبيقه على كلّ فرد أراد المكلّف تطبيقه عليه في الخارج، و من الواضح أنّه مع عدم المنافاة بينهما لا موجب لرفع اليد عن الإطلاق بحمله على المقيّد، ضرورة أنّ المنافاة إنّما ترتفع بعدم الإلزام و بالترخيص في ترك امتثال الحكم المتعلّق به فلا يكون هناك مانع من التمسّك بإطلاق متعلّق الحكم الآخر، سواء كان إلزامياً أم كان غير إلزامي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كون الأمر بالمقيد غير إلزامي لا يكون سبباً للأخذ بالمطلق و إلغاء القيد بحجّة أنّ العمل بالمقيّد غير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القيد ناظراً لبيان الدرجة العليا من المستحب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القيد إرشاداً إلى الشرطيّة أو الجزئية أو المانعيّة و غيره، فلا محيص عن حمل المطلق على المقيّد إذ في هذه الصورة يكون القيد مقوّماً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ذلك لا تصحّ صلاة الليل بلا طهور و لا استقبال، و ما ذلك إلّا لأنّ صلاة الليل و إن لم تكن واجبة لكن حقيقة الصلاة تنتفي بانتفاء أحدهما</w:t>
      </w:r>
      <w:r>
        <w:rPr>
          <w:rFonts w:eastAsia="IRNazanin" w:cs="IRNazanin"/>
          <w:color w:val="111111"/>
          <w:sz w:val="28"/>
          <w:szCs w:val="28"/>
          <w:rtl w:val="true"/>
          <w:lang w:bidi="fa-IR"/>
        </w:rPr>
        <w:t xml:space="preserve">. </w:t>
      </w:r>
      <w:bookmarkStart w:id="783" w:name="pg16640_202620"/>
    </w:p>
    <w:p>
      <w:pPr>
        <w:pStyle w:val="BookText"/>
        <w:rPr/>
      </w:pPr>
      <w:bookmarkEnd w:id="783"/>
      <w:r>
        <w:rPr>
          <w:rFonts w:ascii="IRNazanin" w:hAnsi="IRNazanin" w:eastAsia="IRNazanin"/>
          <w:color w:val="111111"/>
          <w:sz w:val="28"/>
          <w:sz w:val="28"/>
          <w:szCs w:val="28"/>
          <w:rtl w:val="true"/>
          <w:lang w:bidi="fa-IR"/>
        </w:rPr>
        <w:t>ثمّ إذا تردّد القيد بين كونه إرشاداً إلى الشرطية أو الجزئية أو المانعيّة أو كونه ناظراً لبيان الدرجة العليا من المستحب، کان مجملا و لا معين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فيتوقّف عن العمل فلا يصحّ الاكتفاء بالمطلق بإلغاء القيد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في ما إذا لم يذكر السبب في كلّ من المطلق و المقيّد </w:t>
      </w:r>
      <w:r>
        <w:rPr>
          <w:rFonts w:eastAsia="IRNazanin" w:cs="IRNazanin"/>
          <w:color w:val="111111"/>
          <w:sz w:val="28"/>
          <w:szCs w:val="28"/>
          <w:rtl w:val="true"/>
          <w:lang w:bidi="fa-IR"/>
        </w:rPr>
        <w:t>.</w:t>
      </w:r>
    </w:p>
    <w:p>
      <w:pPr>
        <w:pStyle w:val="Heading2"/>
        <w:numPr>
          <w:ilvl w:val="1"/>
          <w:numId w:val="1"/>
        </w:numPr>
        <w:rPr/>
      </w:pPr>
      <w:bookmarkStart w:id="784" w:name="__RefHeading___Toc11691625_1280447820"/>
      <w:bookmarkStart w:id="785" w:name="_Toc280"/>
      <w:bookmarkEnd w:id="784"/>
      <w:r>
        <w:rPr>
          <w:rtl w:val="true"/>
        </w:rPr>
        <w:t>حکم ما إذا كان السبب مذكوراً</w:t>
      </w:r>
      <w:bookmarkEnd w:id="785"/>
    </w:p>
    <w:p>
      <w:pPr>
        <w:pStyle w:val="BookText"/>
        <w:rPr/>
      </w:pPr>
      <w:r>
        <w:rPr>
          <w:rFonts w:ascii="Amiri" w:hAnsi="Amiri" w:eastAsia="Amiri" w:cs="Amiri"/>
          <w:color w:val="111111"/>
          <w:sz w:val="28"/>
          <w:sz w:val="28"/>
          <w:szCs w:val="28"/>
          <w:rtl w:val="true"/>
          <w:lang w:bidi="ar-SA"/>
        </w:rPr>
        <w:t>اما إذا كان السبب مذكوراً فله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السبب في أحدهما غيره في الآخر نوعاً،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أعتق رقبة،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ظاهرت أعتق رقبة مؤمنة، فلا وجه للحمل، لعدم التنافي بين الحكمين، و بالتالي عدم وحدة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السبب مذكوراً فيهما، و يكونان متّحدين نوعاً،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أفطرت أعتق رقبة، و إذا أفطرت أعتق رقبة مؤمنة، فالجمع بين الدليلين و إن كان يمكن بحمل المقيّد على أفضل الأفراد الا انه جمع تبرعي حيث لا ظهور للدليلين في ذلک بل هما مجملان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فلابد من الاخذ بالمتيقن و هو حمل المطلق علی المقيد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السبب مذكوراً في واحد منهما إذا كان السبب مذكوراً في أحدهما،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أعتق رقبة مؤمنة، فلو كان السبب مذكوراً في كليهما نستكشف من وحدة السبب وحدة الحكم، و أمّا إذا كان السبب مذكوراً في واحد دون الآخر، فبما أنّ وحدة الحكم ليست بمحرزة فنحتمل أن يكون هنا غرضان تامّان، أحدهما يتحقّق بعتق مطلق الرقبة، و الآخر بعتق الرقبة المؤمنة، فلا وجه للجمع </w:t>
      </w:r>
      <w:bookmarkStart w:id="786" w:name="pg16640_202621"/>
    </w:p>
    <w:p>
      <w:pPr>
        <w:pStyle w:val="BookText"/>
        <w:rPr/>
      </w:pPr>
      <w:bookmarkEnd w:id="786"/>
      <w:r>
        <w:rPr>
          <w:rFonts w:ascii="Amiri" w:hAnsi="Amiri" w:eastAsia="Amiri" w:cs="Amiri"/>
          <w:color w:val="111111"/>
          <w:sz w:val="28"/>
          <w:sz w:val="28"/>
          <w:szCs w:val="28"/>
          <w:rtl w:val="true"/>
          <w:lang w:bidi="ar-SA"/>
        </w:rPr>
        <w:t>كما لا وجه للاقتصار على خصوص عتق الرقبة المؤمنة، لما عرفت من أنّ مرجع الشكّ في حصول الامتثال و سقوط التكليف</w:t>
      </w:r>
      <w:r>
        <w:rPr>
          <w:rFonts w:eastAsia="Amiri" w:cs="Amiri" w:ascii="Amiri" w:hAnsi="Amiri"/>
          <w:color w:val="111111"/>
          <w:sz w:val="28"/>
          <w:szCs w:val="28"/>
          <w:rtl w:val="true"/>
          <w:lang w:bidi="ar-SA"/>
        </w:rPr>
        <w:t>.</w:t>
      </w:r>
    </w:p>
    <w:p>
      <w:pPr>
        <w:pStyle w:val="Heading2"/>
        <w:numPr>
          <w:ilvl w:val="1"/>
          <w:numId w:val="1"/>
        </w:numPr>
        <w:rPr/>
      </w:pPr>
      <w:bookmarkStart w:id="787" w:name="__RefHeading___Toc11691627_1280447820"/>
      <w:bookmarkStart w:id="788" w:name="_Toc281"/>
      <w:bookmarkEnd w:id="787"/>
      <w:r>
        <w:rPr>
          <w:rtl w:val="true"/>
        </w:rPr>
        <w:t>الفصل الرابع</w:t>
      </w:r>
      <w:r>
        <w:rPr>
          <w:rtl w:val="true"/>
        </w:rPr>
        <w:t xml:space="preserve">: </w:t>
      </w:r>
      <w:r>
        <w:rPr>
          <w:rtl w:val="true"/>
        </w:rPr>
        <w:t>في المجمل و المبيّن</w:t>
      </w:r>
      <w:bookmarkEnd w:id="788"/>
    </w:p>
    <w:p>
      <w:pPr>
        <w:pStyle w:val="BookText"/>
        <w:rPr/>
      </w:pPr>
      <w:r>
        <w:rPr>
          <w:rFonts w:ascii="Amiri" w:hAnsi="Amiri" w:eastAsia="Amiri" w:cs="Amiri"/>
          <w:color w:val="111111"/>
          <w:sz w:val="28"/>
          <w:sz w:val="28"/>
          <w:szCs w:val="28"/>
          <w:rtl w:val="true"/>
          <w:lang w:bidi="ar-SA"/>
        </w:rPr>
        <w:t>المجمل و المبيّن لغة و اصطلاحاً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عرّفوا المجمل اصطلاحا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لم تتّضح دلالته</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 يقابله المبيّن لکن الظاهر من الکفاية أن المجمل و المبين من أوصاف الكلام، و خروج مجملات المفردات كالوطن و ما شابهه، و الافعال و الإشارات، لعدم كونهما من الكلام فقال في الکفاية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المراد من المبين في موارد إطلاقه الكلام الذي له ظاهر و يكون بحسب متفاهم العرف قالبا لخصوص معنى و المجمل بخلافه فما ليس له ظهور مجمل و إن علم بقرينة خارجية ما أريد منه كما أن ما له الظهورمبين و إن علم بالقرينة الخارجية أنه ما أريد ظهوره و أنه مؤول</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 مع أن الظاهر عدم الوجه في تخصيص المجمل بالكلام، و لذا عد الفقهاء جملة من الألفاظ كالصعيد و الوطن و غيرهما من الألفاظ المجملة، فلا يختص المجمل و المبين بالمعاني التركيبية، بل يجريان في المعاني الإفرادية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البيان تعرف أنّ المجمل يشمل اللفظ و الفعل اصطلاحا،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المجمل اصطلاحا مختصّ بالألفاظ، و من باب التسامح يطلق على الفعل، و معنى كون الفعل مجملا أن يجهل وجه </w:t>
      </w:r>
    </w:p>
    <w:p>
      <w:pPr>
        <w:pStyle w:val="BookText"/>
        <w:rPr/>
      </w:pPr>
      <w:r>
        <w:rPr>
          <w:rFonts w:ascii="IRNazanin" w:hAnsi="IRNazanin" w:eastAsia="IRNazanin"/>
          <w:color w:val="111111"/>
          <w:sz w:val="28"/>
          <w:sz w:val="28"/>
          <w:szCs w:val="28"/>
          <w:rtl w:val="true"/>
          <w:lang w:bidi="fa-IR"/>
        </w:rPr>
        <w:t>وقوعه</w:t>
      </w:r>
      <w:r>
        <w:rPr>
          <w:rStyle w:val="FootnoteAnchor"/>
          <w:rtl w:val="true"/>
        </w:rPr>
        <w:footnoteReference w:id="603"/>
      </w:r>
      <w:r>
        <w:rPr>
          <w:rFonts w:ascii="Amiri" w:hAnsi="Amiri" w:eastAsia="Amiri" w:cs="Amiri"/>
          <w:color w:val="111111"/>
          <w:sz w:val="28"/>
          <w:sz w:val="28"/>
          <w:szCs w:val="28"/>
          <w:rtl w:val="true"/>
          <w:lang w:bidi="ar-SA"/>
        </w:rPr>
        <w:t>، كما لو توضّأ الإمام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واحد يتّقي منه أو يحتمل أنّه يتّقيه، فيحتمل أنّ وضوءه وقع على وجه التقيّة، فلا يستكشف مشروعيّة الوضوء على الكيفيّة التي وقع عليها، و يحتمل أنّه وقع على وجه الامتثال للأمر الواقعيّ فيستكشف منه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إذا فعل الإمام شيئا في الصلاة كجلسة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يدرى أنّ فعله كان على وجه الوجوب أو الاستحباب، فمن هذه الناحية يكون مجملا، و إن كان من ناحية دلالته على جواز الفعل في مقابل الحرمة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الإجمال و البيان وصفان نفسيان</w:t>
      </w:r>
    </w:p>
    <w:p>
      <w:pPr>
        <w:pStyle w:val="BookText"/>
        <w:rPr/>
      </w:pPr>
      <w:r>
        <w:rPr>
          <w:rFonts w:ascii="Amiri" w:hAnsi="Amiri" w:eastAsia="Amiri" w:cs="Amiri"/>
          <w:color w:val="111111"/>
          <w:sz w:val="28"/>
          <w:sz w:val="28"/>
          <w:szCs w:val="28"/>
          <w:rtl w:val="true"/>
          <w:lang w:bidi="ar-SA"/>
        </w:rPr>
        <w:t>ثم ان المجمل و المبين ملحوظان بالنسبة إلى العارف بالوضع، لا الجاهل به، فالكلام العربي الّذي له معنى ظاهر لا يعد مجملا عند غير العرب ممن لا يعرف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الإجمال عبارة عن عدم علم المخاطب بالمعنى لجهله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فالإجمال و البيان وصفان نفسيّان للكلام، يجمعهما كون اللفظ قالباً للمعنى و عدمه، و هذا شي‌ء يوصف به الكلام بما هو هو من دون إضافة إلى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يظهر ضعف ما قاله المحقّق الخراساني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وصفان إضافيّان ربما يكون مجملًا عند واحد لعدم معرفته بالوضع، أو لتصادم ظهوره بما حَفَّ به لديه، و مبيّناً لدى الآخر لمعرفته و عدم التصادم بنظره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انّه لو كان ملاك الإجمال جهل المخاطب باللغة، يلزم أن يكون القرآن كلّه مجملًا عند من لا يعرف لغته، و مبيّناً عند من يعرف، و هو بديهي البطلان و على كل حال لا يطلق لفظ المجمل الّا بعد الفحص و المراجعة</w:t>
      </w:r>
      <w:r>
        <w:rPr>
          <w:rFonts w:eastAsia="IRNazanin" w:cs="IRNazanin"/>
          <w:color w:val="111111"/>
          <w:sz w:val="28"/>
          <w:szCs w:val="28"/>
          <w:rtl w:val="true"/>
          <w:lang w:bidi="fa-IR"/>
        </w:rPr>
        <w:t xml:space="preserve">. </w:t>
      </w:r>
      <w:bookmarkStart w:id="789" w:name="pg16640_202623"/>
    </w:p>
    <w:p>
      <w:pPr>
        <w:pStyle w:val="Heading2"/>
        <w:numPr>
          <w:ilvl w:val="1"/>
          <w:numId w:val="1"/>
        </w:numPr>
        <w:rPr/>
      </w:pPr>
      <w:bookmarkStart w:id="790" w:name="__RefHeading___Toc11691629_1280447820"/>
      <w:bookmarkStart w:id="791" w:name="_Toc282"/>
      <w:bookmarkEnd w:id="789"/>
      <w:bookmarkEnd w:id="790"/>
      <w:r>
        <w:rPr>
          <w:rtl w:val="true"/>
        </w:rPr>
        <w:t>اسباب الإجمال</w:t>
      </w:r>
      <w:bookmarkEnd w:id="791"/>
    </w:p>
    <w:p>
      <w:pPr>
        <w:pStyle w:val="BookText"/>
        <w:rPr/>
      </w:pPr>
      <w:r>
        <w:rPr>
          <w:rFonts w:ascii="Amiri" w:hAnsi="Amiri" w:eastAsia="Amiri" w:cs="Amiri"/>
          <w:color w:val="111111"/>
          <w:sz w:val="28"/>
          <w:sz w:val="28"/>
          <w:szCs w:val="28"/>
          <w:rtl w:val="true"/>
          <w:lang w:bidi="ar-SA"/>
        </w:rPr>
        <w:t xml:space="preserve">و اما سبب الإجمال فيكون لأسباب كثيرة؛ فإذا كان مفردا فقد يكون إجماله لكونه لفظا مشتركا و لا قرينة على أحد معانيه،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المشتركة بين المخاطب و الغائبة،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اسم الفاعل و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إجماله لكونه مجازا، أو لعدم معرفة عود الضمير فيه الذي هو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المماراة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 القائل لمّا سئل عن أفضل أصحاب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بنته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 عقيل حينما امره معاوية لعنه الله ان يسب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أن ألعن عليّ بن أبي طالب، فالعنوه</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و قد يكون الإجمال لاختلال التركيب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مثله في الناس إلّا مملّكا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أمّه حيّ أبوه يقاربه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الإجمال لوجود القرينة او ما يصلح للقرينة،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w:t>
      </w:r>
      <w:r>
        <w:rPr>
          <w:rStyle w:val="FootnoteAnchor"/>
          <w:rtl w:val="true"/>
        </w:rPr>
        <w:footnoteReference w:id="606"/>
      </w:r>
      <w:r>
        <w:rPr>
          <w:rFonts w:ascii="Amiri" w:hAnsi="Amiri" w:eastAsia="Amiri" w:cs="Amiri"/>
          <w:color w:val="111111"/>
          <w:sz w:val="28"/>
          <w:sz w:val="28"/>
          <w:szCs w:val="28"/>
          <w:rtl w:val="true"/>
          <w:lang w:bidi="ar-SA"/>
        </w:rPr>
        <w:t>الآية، فإنّ هذا الوصف في الآية يدلّ على عدالة جميع من كان مع النبيّ صلّى اللّه عليه و آله من أصحابه، إلّا أنّ ذيل الآية وَعَدَ اللَّهُ الَّذِينَ</w:t>
      </w:r>
      <w:bookmarkStart w:id="792" w:name="pg16640_202624"/>
    </w:p>
    <w:p>
      <w:pPr>
        <w:pStyle w:val="BookText"/>
        <w:rPr/>
      </w:pPr>
      <w:bookmarkEnd w:id="792"/>
      <w:r>
        <w:rPr>
          <w:rFonts w:ascii="Amiri" w:hAnsi="Amiri" w:eastAsia="Amiri" w:cs="Amiri"/>
          <w:color w:val="111111"/>
          <w:sz w:val="28"/>
          <w:sz w:val="28"/>
          <w:szCs w:val="28"/>
          <w:rtl w:val="true"/>
          <w:lang w:bidi="ar-SA"/>
        </w:rPr>
        <w:t>آمَنُوا وَ عَمِلُوا الصَّالِحاتِ مِنْهُمْ مَغْفِرَةً وَ أَجْراً عَظِيماً</w:t>
      </w:r>
      <w:r>
        <w:rPr>
          <w:rStyle w:val="FootnoteAnchor"/>
          <w:rtl w:val="true"/>
        </w:rPr>
        <w:footnoteReference w:id="607"/>
      </w:r>
      <w:r>
        <w:rPr>
          <w:rFonts w:ascii="Amiri" w:hAnsi="Amiri" w:eastAsia="Amiri" w:cs="Amiri"/>
          <w:color w:val="111111"/>
          <w:sz w:val="28"/>
          <w:sz w:val="28"/>
          <w:szCs w:val="28"/>
          <w:rtl w:val="true"/>
          <w:lang w:bidi="ar-SA"/>
        </w:rPr>
        <w:t xml:space="preserve">قرينة على أنّ المراد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لا جميعهم، فتصبح الآية مجملة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الإجمال لكون المتكلّم في مقام الإهمال و الإجمال، إلى غير ذلك من موارد الإجمال</w:t>
      </w:r>
      <w:r>
        <w:rPr>
          <w:rFonts w:eastAsia="Amiri" w:cs="Amiri" w:ascii="Amiri" w:hAnsi="Amiri"/>
          <w:color w:val="111111"/>
          <w:sz w:val="28"/>
          <w:szCs w:val="28"/>
          <w:rtl w:val="true"/>
          <w:lang w:bidi="ar-SA"/>
        </w:rPr>
        <w:t>.</w:t>
      </w:r>
    </w:p>
    <w:p>
      <w:pPr>
        <w:pStyle w:val="Heading2"/>
        <w:numPr>
          <w:ilvl w:val="1"/>
          <w:numId w:val="1"/>
        </w:numPr>
        <w:rPr/>
      </w:pPr>
      <w:bookmarkStart w:id="793" w:name="__RefHeading___Toc11691631_1280447820"/>
      <w:bookmarkStart w:id="794" w:name="_Toc283"/>
      <w:bookmarkEnd w:id="793"/>
      <w:r>
        <w:rPr>
          <w:rtl w:val="true"/>
        </w:rPr>
        <w:t>المواضع التي وقع الشكّ في إجمالها</w:t>
      </w:r>
      <w:bookmarkEnd w:id="794"/>
    </w:p>
    <w:p>
      <w:pPr>
        <w:pStyle w:val="BookText"/>
        <w:rPr/>
      </w:pPr>
      <w:r>
        <w:rPr>
          <w:rFonts w:ascii="Amiri" w:hAnsi="Amiri" w:eastAsia="Amiri" w:cs="Amiri"/>
          <w:color w:val="111111"/>
          <w:sz w:val="28"/>
          <w:sz w:val="28"/>
          <w:szCs w:val="28"/>
          <w:rtl w:val="true"/>
          <w:lang w:bidi="ar-SA"/>
        </w:rPr>
        <w:t>المتعارف عند الأصوليّين أن يذكروا بعض الأمثلة مما قد وقع الشكّ في كونها مجملة أو مبيّنة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جماعة إلى أنّ الآية من المجمل المتشابه</w:t>
      </w:r>
      <w:r>
        <w:rPr>
          <w:rStyle w:val="FootnoteAnchor"/>
          <w:rtl w:val="true"/>
        </w:rPr>
        <w:footnoteReference w:id="609"/>
      </w:r>
      <w:r>
        <w:rPr>
          <w:rFonts w:ascii="Amiri" w:hAnsi="Amiri" w:eastAsia="Amiri" w:cs="Amiri"/>
          <w:color w:val="111111"/>
          <w:sz w:val="28"/>
          <w:sz w:val="28"/>
          <w:szCs w:val="28"/>
          <w:rtl w:val="true"/>
          <w:lang w:bidi="ar-SA"/>
        </w:rPr>
        <w:t xml:space="preserve">، إمّا من جهة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يطلق على الإبانة، و يطلق على الجرح كما يقال لمن جرح يده بالسكين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 لمن أبانها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 جهة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العضو المعروف كلّه، و على الكفّ إلى أصول الأصابع، و على العضو إلى الزند، و إلى المرفق،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تناولت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تناول بالكفّ بل بالأنامل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الحقّ أنّها من ناحية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مجملة؛ لأنّ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الإبانة و الفصل، و إذا أطلق على الجرح فباعتبار أنّه أبان قسما من اليد، فتكون المسامحة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 القرينة، لا أنّ القطع استعمل في مفهوم الجرح؛ فيكون المراد في المثال من اليد بعضها،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إنّما تناولت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إرادة تمام العضو المخصوص، و لكنّه غير مراد يقينا في الآية، فيتردّد بين المراتب العديدة من الأصابع إلى المرفق؛ لأنّه بعد فرض عدم إرادة تمام العضو لم تكن ظاهرة في واحدة من هذه المراتب، فتكون الآية مجملة في نفسها من هذه الناحية، و إن كانت مبيّنة بالأحاديث عن آل البيت عليهم السلام الكاشفة عن إرادة القطع من أصول الأصابع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و أمثاله من المركّبات التي تشتمل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بيع إلّا في </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جاره المسجد إلّا في المسجد</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النفي في مثل هذه المركّبات موجّه ظاهرا لنفس الماهيّة و الحقيقة،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نفي الماهيّة متعذّر فيها، فلا بدّ أن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للماهيّة هو المنفيّ حقيقة،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الكمال، و الفضيلة، و الفائدة،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المجاز مردّدا بين عدّة معان، كان الكلام مجملا، و لا قرينة في نفس اللفظ تعيّن واحدا منها، فإنّ نفي الصحّة ليس بأولى من نفي الكمال أو الفضيلة، و لا نفي الكمال بأولى من نفي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المحقق القمي بأنّ هذا إنّما يتمّ إذا كانت ألفاظ العبادات و المعاملات موضوعة للأعمّ، فلا يمكن فيها نفي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بالوضع للصحيح فلا يتعذّر نفي الحقيقة، بل هو المتعيّن على الأكثر، فلا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الألفاظ الشرعيّة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القرينة يكون اللفظ مجملا؛ إذ يتعذّر نفي الحقيقة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اجاب العلامة المظفر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توجيه البحث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المركّبات لنفي الجنس، فهي تحتاج إلى اسم و خبر على حسب ما تقتضيه القواعد النحويّة؛ و لكنّ الخبر محذوف حتّى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متعلّق بالخبر المحذوف؛ و هذا الخبر المحذوف لا بدّ له من قرينة، سواء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و ليس هو مجازا في واحد من هذه الأمور التي يصحّ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القصد أنّه سواء كان المراد نفي الحقيقة أو نفي الصحّة و نحوها؛ فإنّه لا بدّ من تقدير خبر محذوف بقرينة، و إنّما يكون مجملا إذا تجرّد عن القرينة؛ و لكنّالظاهر أنّ القرينة حاصلة على الأكثر، و هي القرينة العامّة في مثله؛ فإنّ الظاهر من نفي الجنس أنّ المحذوف فيه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بمعناه من نحو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متحقّق</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تعذّر تقدير هذا اللفظ العامّ لأيّ سبب كان، فإنّ هناك قرينة موجودة غالبا و هي مناسبة الحكم و الموضوع؛ فإنّها تقتضي غالبا تقدير لفظ خاصّ مناسب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المفهوم منه أنّه لا علم نافع</w:t>
      </w:r>
      <w:r>
        <w:rPr>
          <w:rStyle w:val="FootnoteAnchor"/>
          <w:rtl w:val="true"/>
        </w:rPr>
        <w:footnoteReference w:id="617"/>
      </w:r>
      <w:r>
        <w:rPr>
          <w:rFonts w:ascii="Amiri" w:hAnsi="Amiri" w:eastAsia="Amiri" w:cs="Amiri"/>
          <w:color w:val="111111"/>
          <w:sz w:val="28"/>
          <w:sz w:val="28"/>
          <w:szCs w:val="28"/>
          <w:rtl w:val="true"/>
          <w:lang w:bidi="ar-SA"/>
        </w:rPr>
        <w:t>، و المفهوم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محرّمة، و المفهوم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لا رضاع سائغ، و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لا جماعة مشروعة، و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إقرار لمن أقرّ بنفسه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إقرار نافذ و معتبر، و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صحيحة، و </w:t>
      </w:r>
    </w:p>
    <w:p>
      <w:pPr>
        <w:pStyle w:val="BookText"/>
        <w:rPr/>
      </w:pPr>
      <w:r>
        <w:rPr>
          <w:rFonts w:ascii="Amiri" w:hAnsi="Amiri" w:eastAsia="Amiri" w:cs="Amiri"/>
          <w:color w:val="111111"/>
          <w:sz w:val="28"/>
          <w:sz w:val="28"/>
          <w:szCs w:val="28"/>
          <w:rtl w:val="true"/>
          <w:lang w:bidi="ar-SA"/>
        </w:rPr>
        <w:t>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لا صلاة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قيام الدليل على أنّ الحاقن لا تفسد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قرينة مناسبة الحكم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تحت ضابطة معيّنة، و لكنّها موجودة على الأكثر، و يحتاج إدراكها إلى ذوق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البعيد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المحذوف في جميع 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لنفي الجنس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بمعناها، غاية الأمر أنّه في بعض الموارد تقوم القرينة على عدم إرادة نفي الوجود و التحقّق حقيقة، فلا بدّ حينئذ من حملها على نفي التحقّق ادّعاء و تنزيلا، بأن ننزّل الموجود منزلة المعدوم باعتبار عدم حصول الأثر المرغوب فيه أو المتوقّع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يدّعى أنّ الموجود الخارجيّ ليس من أفراد الجنس الذي تعلّق به النفي تنزيلا، و ذلك لعدم حصول الأثر المطلوب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العلم بلا عمل كلا علم؛ إذ لم تحصل الفائدة المترقّبة منه،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إقرار لمن أقرّ بنفسه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إقراره كلا إقرار باعتبار عدم نفوذه عليه،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لمن كثر عليه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سهوه كلا سهو باعتبار عدم ترتّب آثار السهو عليه من سجود أو صلاة أو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النفي من جهة تكوين الشي‌ء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النفي راجعا إلى عالم التشريع فإن كان النفي متعلّقا بالفعل، دلّ نفيه على عدم ثبوت حكمه في الشريعة،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فإنّ معنى عدم ثبوتها عدم تشريع الرهبانيّة و أنّه غير مرخّص بها،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معنى عدم ثبوتها عدم </w:t>
      </w:r>
    </w:p>
    <w:p>
      <w:pPr>
        <w:pStyle w:val="BookText"/>
        <w:rPr/>
      </w:pPr>
      <w:r>
        <w:rPr>
          <w:rFonts w:ascii="Amiri" w:hAnsi="Amiri" w:eastAsia="Amiri" w:cs="Amiri"/>
          <w:color w:val="111111"/>
          <w:sz w:val="28"/>
          <w:sz w:val="28"/>
          <w:szCs w:val="28"/>
          <w:rtl w:val="true"/>
          <w:lang w:bidi="ar-SA"/>
        </w:rPr>
        <w:t>حرمة غيبة الفاسق، و كذلك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غشّ في الإسلام</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ذلك معناه عدم مشروعيّة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النفي متعلّقا بعنوان يصحّ انطباقه على الحكم، فيدلّ النفي على عدم تشريع حكم ينطبق عليه هذا العنوان، كما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مثل هذه الجمل و المركّبات ليست مجملة في حدّ أنفسها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أُمَّهاتُكُم</w:t>
      </w:r>
      <w:r>
        <w:rPr>
          <w:rStyle w:val="FootnoteAnchor"/>
          <w:rtl w:val="true"/>
        </w:rPr>
        <w:footnoteReference w:id="626"/>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أُحِلَّتْ لَكُمْ بَهِيمَةُ الْأَنْعام</w:t>
      </w:r>
      <w:r>
        <w:rPr>
          <w:rStyle w:val="FootnoteAnchor"/>
          <w:rtl w:val="true"/>
        </w:rPr>
        <w:footnoteReference w:id="627"/>
      </w:r>
      <w:r>
        <w:rPr>
          <w:rFonts w:ascii="Amiri" w:hAnsi="Amiri" w:eastAsia="Amiri" w:cs="Amiri"/>
          <w:color w:val="111111"/>
          <w:sz w:val="28"/>
          <w:sz w:val="28"/>
          <w:szCs w:val="28"/>
          <w:rtl w:val="true"/>
          <w:lang w:bidi="ar-SA"/>
        </w:rPr>
        <w:t>ممّا أسند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كالتحريم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الطبرسي بإجمالها</w:t>
      </w:r>
      <w:r>
        <w:rPr>
          <w:rStyle w:val="FootnoteAnchor"/>
          <w:rtl w:val="true"/>
        </w:rPr>
        <w:footnoteReference w:id="628"/>
      </w:r>
      <w:r>
        <w:rPr>
          <w:rFonts w:ascii="Amiri" w:hAnsi="Amiri" w:eastAsia="Amiri" w:cs="Amiri"/>
          <w:color w:val="111111"/>
          <w:sz w:val="28"/>
          <w:sz w:val="28"/>
          <w:szCs w:val="28"/>
          <w:rtl w:val="true"/>
          <w:lang w:bidi="ar-SA"/>
        </w:rPr>
        <w:t>نظرا إلى أنّ إسناد التحريم و التحليل لا يصحّ إلّا إلى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فلا معنى لتعلّق الحكم بها، بل يستحيل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تسمّى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 للأحكام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الأفعال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فلا بدّ أن يقدّر في مثل هذه المركّبات فعل يصحّ إضافته إلى العين المذكورة في الجملة، و يصحّ أن يكون متعلّقا للحكم، ففي مثل الآية الأولى يقدّركلمة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مثل وَ أَنْعامٌ حُرِّمَتْ ظُهُورُها</w:t>
      </w:r>
      <w:r>
        <w:rPr>
          <w:rStyle w:val="FootnoteAnchor"/>
          <w:rtl w:val="true"/>
        </w:rPr>
        <w:footnoteReference w:id="629"/>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مثل النَّفْسَ الَّتِي حَرَّمَ اللَّهُ</w:t>
      </w:r>
      <w:r>
        <w:rPr>
          <w:rStyle w:val="FootnoteAnchor"/>
          <w:rtl w:val="true"/>
        </w:rPr>
        <w:footnoteReference w:id="630"/>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إنّ نفس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ملاحظة الموضوع و الحكم و عن أيّة 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يقتضي الإجمال لو لا أنّ الإطلاق يقتضي تقدير كلّ فعل صالح للتقدير، إلّا إذا قامت قرينة خاصّة على تعيين نوع الفعل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غالبا لا يخلو مثل هذا التركيب من وجود القرينة الخاصّة و لو قرينة 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أنّا لا نتردّد في تقدير الفعل المخصوص في الأمثلة المذكورة في صدر البحث و مثيلاتها، و ما ذلك إلّا لما قلناه من وجود القرينة الخاصّة و لو مناسبة الحكم و الموضوع</w:t>
      </w:r>
      <w:r>
        <w:rPr>
          <w:rFonts w:eastAsia="Amiri" w:cs="Amiri" w:ascii="Amiri" w:hAnsi="Amiri"/>
          <w:color w:val="111111"/>
          <w:sz w:val="28"/>
          <w:szCs w:val="28"/>
          <w:rtl w:val="true"/>
          <w:lang w:bidi="ar-SA"/>
        </w:rPr>
        <w:t xml:space="preserve">. </w:t>
      </w:r>
      <w:bookmarkStart w:id="795" w:name="pg16640_202631"/>
    </w:p>
    <w:p>
      <w:pPr>
        <w:pStyle w:val="Heading2"/>
        <w:numPr>
          <w:ilvl w:val="1"/>
          <w:numId w:val="1"/>
        </w:numPr>
        <w:rPr/>
      </w:pPr>
      <w:bookmarkStart w:id="796" w:name="__RefHeading___Toc11691633_1280447820"/>
      <w:bookmarkStart w:id="797" w:name="_Toc284"/>
      <w:bookmarkEnd w:id="795"/>
      <w:bookmarkEnd w:id="796"/>
      <w:r>
        <w:rPr>
          <w:rtl w:val="true"/>
        </w:rPr>
        <w:t>الفهرس</w:t>
      </w:r>
      <w:bookmarkEnd w:id="797"/>
    </w:p>
    <w:p>
      <w:pPr>
        <w:pStyle w:val="BookText"/>
        <w:rPr/>
      </w:pPr>
      <w:r>
        <w:rPr>
          <w:rFonts w:ascii="Amiri" w:hAnsi="Amiri" w:eastAsia="Amiri" w:cs="Amiri"/>
          <w:color w:val="111111"/>
          <w:sz w:val="28"/>
          <w:sz w:val="28"/>
          <w:szCs w:val="28"/>
          <w:rtl w:val="true"/>
          <w:lang w:bidi="ar-SA"/>
        </w:rPr>
        <w:t xml:space="preserve">المقصد الثاني في النواهي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الفصل الأوّل في مادّة النهي و صيغته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مفاد هيئة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ما هو متعلّق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عدم دلالتها على الدوام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حکم مخالفة النهي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الفصل الثاني في اجتماع الأمر و النهي في شي‌ء واحد باعتبار عنوانين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بالواحد الذي تعلق به الأمر و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الثاني الفرق بين هذه المسألة و مسألة النهي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تغاير جهة البحث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هل النزاع صغروي أو كبرويّ؟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التمييز بالموضوع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التمييز بالموضوع و المحمول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التمييز بكون البحث عقلياً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اقوال اخر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المسألة عقلية لا 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النزاع في مسألة الاجتماع لأنواع الإيجاب و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أخذ عنوان المندوحة في النزاع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النزاع على كلا الرأيين في متعلّق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التعارض و 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جواب المحقّق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نظرية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ثمرات القولين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المحقّق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ادلة القائلين بامتناع اجتماع الأمر و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جواب المحقق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ادلة المجوزين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قدماء الأُصوليّين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المحقّق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الوجه الخامس للمحقّق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إيضاح النظرية بذكر ما تبتني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المحاذير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المحذور في مقام الجعل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المحذور في مبادئ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المحذور في مقام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جواز الاجتماع من عدم ورود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بالعبادات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جواب المحقّق الخراساني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جواب المحقق الخراساني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تقسيم العبادات المكروهة على أقسام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اجابة المحقق الخراساني عن القسم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إجابة المحقّق الخراساني عن القسم الثاني و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مناط الاضطرار الرافع للحرمة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استدلال المحقق السيد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حكم الاضطرار بسوء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الخروج تكليفاً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مأمور به و منهيّ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واجب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به، و منهي بالنهي الساقط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منهي عنه بالنهي الفعلي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منهي عنه و مأمور به بالترتّب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محكوماً بحكم فعلًا مع جريان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حكم العبادة حين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حكم الخروج إذا تاب بعد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حکم ما إذا اضطرّ إلى ارتكاب الحرام لكن لا بسوء الاختيار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وجوه تقديم النهي علی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أقوى دلالة من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المفسدة أولى من جلب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احکام التوضّؤ بماءين مشتبهين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الفصل الثالث في کاشفية النهي عن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هذه المسألة و مبحث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المسألة عقلية ام 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ملاك البحث للنهي التنزيهي و 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جواب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حکم النهي الإرشادي و التشريعي و التخييري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المراد من العبادة و المعاملة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الصحّة و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الصحّة و الفساد مجعولان؟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الصحة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الأصل المعوّل عليه عند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الاصل في المسألة الاصولية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الاصل في المسألة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كلام المحقّق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كلام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للمحقّق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تعلّق النهي بالعبادة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حکم تعلّق النهي بالجزء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ايراد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حکم تعلّق النهي بالشرط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حکم تعلّق النهي بالوصف اللازم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 تعلّق النهي بالوصف المفارق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حکم النهي عن العبادة لأجل أحد الأمور المتقدمة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تعلّق النهي بالعبادة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التحريمي المولوي الذاتي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جواب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المولوي التشريعي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الإرشادي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تعلق النهي في المعاملات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الاستدلال على اقتضاء الحرمة للفساد بالأخبار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ملازمة النهي للصحّة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إجابة المحقّق الخراساني في مورد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إجابة المحقّق الخراساني في مورد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تطبيقات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المقصد الثالث المفاهيم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موقع المداليل السياقية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حجّيّة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الفصل الأوّل في مفهوم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نظرية المحقق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اثبات حجية مفهوم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دلالة الجملة الشرطية علی السببية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دلالة الجملة الشرطية علی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الجملة الشرطية علی الانحصار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التمسّك بالإطلاق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الانحصار مقتضى إطلاق أداة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الانحصار مقتضى إطلاق فعل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المحقّق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الوجه الثامن الاستدلال بالاخبار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استدلال المنكرين للمفهوم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دفع و وهم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جواب صاحب الکفاية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التنبيه الاول إذا تعدّد الشرط و اتّحد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وجوه لرفع التعارض بين مفهوم إحدى القضيتين مع منطوق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تخصيص مفهوم كلّ بمنطوق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تقييد منطوق كلّ بالآخر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دوران الأمر بين الوجهين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رأي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المفهوم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الشرط هو القدر المشترك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بطلان قاعدة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مفهوم إحدى القضيتين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التنبيه الثاني في تداخل الأسباب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التداخل في 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رأي المحقّق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وحدة الأسباب جنساً و 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التفصيل بين كون الأسباب معرفات أو مؤثّرات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التنبيه الثالث في تداخل المسببات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حجّة القول بعدم التداخل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الشيخ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حجّة القول بالتداخل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الأصل العمليّ في المسألتين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تطبيقات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السالبة الكلية و مفهومها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الفصل الثاني في مفهوم الوصف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موضوع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أقسام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هل مفهوم الوصف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ادلة القول بالحجية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اللغوية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القيود أنها احترازية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بالجمل الدالة علی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أبي عبيدة و هو من أهل اللسان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الجملة في مدخلية الوصف بما هو هو لا بجامعه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الامام الصادق علیه السلام بمفهوم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تفصيل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أدلّة النافي للمفهوم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الثالث في مفهوم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مقتضی الاصل العملي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هل هناک ضابطة لتمييز ما يرجع إلى الحكم ؟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الفصل الرابع في مفهوم الحصر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الاضرابية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ما حقّه التأخير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المسند إليه المعرف باللام للحصر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بعض أدوات الحصر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الفصل الخامس مفهوم اللقب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الفصل السادس مفهوم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تطبيقات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الاقتضاء و التنبيه و الإشارة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الدلالات الثلاث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الاقتضاء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هذه الدلالات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المقصد الرابع في العام و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رأي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أحد الأقسام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الفصل الأوّل في صيغ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صيغ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النكرة في سياق النفي أو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هل استفادة العموم رهن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كل و جميع و ما يعادلهما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المحلّى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المحلّى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المضاف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الفصل الثاني هل العام حجة فيما بقي بعد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القائل بعدم حجّية العام في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الجواب علی الاستدلال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لا يوجب المجازية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ايراد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العام في مورد إجمال المخصص مفهوماً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تقرير الاشکال المتقدم ببيان اخر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اللفظي المجمل مصداقاً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أدلة المجوزين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المخصّص اللبّي و الشكّ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التفصيل بين المخصّص الموجب للتنويع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بيان العلامة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رأي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المشتبه بالأصل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نظرية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مناقشة نظرية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التفصيل بين القيد المقسِّم و المقارن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نظرية المحقّق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ما هو المرجع إذا لم يكن الأصل العدمي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بالعام في غير الشك في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حال الفرد المشتبه بالأصل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الفحص عن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العام في معرض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الشخصي بالتكليف رهن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العلم الإجمالي بالمخصّص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هل الفحص عن المخصّص فحص عن المزاحم أو المتمم للحجّية؟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مقدار الفحص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الخطابات الشفاهية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تكليف المعدوم و 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خطاب المعدوم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عمومية ما وقع بعد أداة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خطابات الكتاب لغير المشافهين و 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بالإطلاقات على التعميم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جواب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الفصل الحادي عشر تعقب العام بضمير يرجع إلى بعض أفراده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بالمفهوم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بالمفهوم الموافق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بمفهوم المخالفة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نظرية المحقّق البروجردي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المتعقِّب للجمل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و إمكان الرجوع إلى الجميع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هو ظاهر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الكتاب بالخبر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أدلة المانعين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التخصيص و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 النسخ و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المقصد الخامس في المطلق و المقيّد و المجمل و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المعرف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المحلّى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ما هو الأصل عند الشكّ في كون المتكلّم في مقام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الانصراف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المطلق على 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أحدهما مثبتاً و الآخر نافياً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نافيين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مثبتين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ينبغي التنبيه على أمرين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حکم ما إذا كان السبب مذكوراً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المجمل و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اسباب الإجمال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المواضع التي وقع الشكّ في إجمالها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798" w:name="pg16640_202641"/>
    </w:p>
    <w:p>
      <w:pPr>
        <w:pStyle w:val="Heading2"/>
        <w:numPr>
          <w:ilvl w:val="1"/>
          <w:numId w:val="1"/>
        </w:numPr>
        <w:rPr/>
      </w:pPr>
      <w:bookmarkStart w:id="799" w:name="__RefHeading___Toc11691635_1280447820"/>
      <w:bookmarkStart w:id="800" w:name="_Toc285"/>
      <w:bookmarkEnd w:id="798"/>
      <w:bookmarkEnd w:id="799"/>
      <w:r>
        <w:rPr>
          <w:rtl w:val="true"/>
        </w:rPr>
        <w:t>من مؤلفات المؤلف</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الفقهية في شرح اللمعة الدمشقية و هو کتاب مبسوط حول مدارک الاحکام الشرعية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الفلسفية نقد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الی الفارسية باسم نقد اراء فلسفي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اسئلة حول التوحيد الالهي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الی الفارسية باسم اصول شناخت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الاسلامية؛ و فيه ما يقارب خمسمائة رواية في نقد الفکر الفلسفي الرائج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فقهي حول النيروز و قد ترجم الی الفارسية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 جواز طلب الشفاعة و بطلان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الی 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المکذوبة ؛ و ترجم الی الفارسية باسم روايات ساختگي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الکفاية من الاصول هذا الکتاب الحاضر و هو يشتمل علی دورة اصولية کاملة في اربع مجلدات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تحقيق و تقديم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وتعليق علی کتاب التوحيد الفائق للعلامة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الی الفارسية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مقالتان في مباني المحقق البهبهاني الاصولية و الکلامية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کتاب السنخية ام العينية و الاتحاد ام التباين و کتاب آيات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لامير المؤمنين عليه السلام و ترجمة کتب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الدجال المدعي کونه اليماني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الالهي في نهج البلاغة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العلماء و اصحاب الائمة تجاه الفلسفة و العرفان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يکون الملاک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لما فيه من 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انه بتركه تحصل مفسدة عظمى كما في ترك الصلاة و الزکاة و الجهاد فانّ ترکه يوجب الذّلّ و الهوان و سيطرة العدو على النفوس و الأموال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قوانين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الکفاية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فصل في دلالة النهي على فساد المنهي عنه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شرح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التنبيه من تنبيهات اجتماع الأمر و النهي،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البيتعليهم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الهامش؛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لأجل احتمال جزئية الكون للصلاة كاحتمال خروجه عنها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من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ثمّ إنّ المحقق الخراساني 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المخاطب في استفادة الشمول لفي غنى عن إجراء مقدّمات الحكمة، و ذلك لأنّ مكانة النهي و النفي في لغة العرب كلفظة كلّ في كلّ رجل، فكما أنّ استفادة الشمول في الثاني غير موقوف على إجراء مقدّمات الحكمة في متعلّقه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السامع ينتقل إلى السريان و الشمول لأجل لفظة كلّ، فهكذا المقام، حيث إنّ دلالة النفي و النهي على الشمول و الاستيعاب تغني المخاطب عن اجراء مقدمات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ايده السيد المحقق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يخفی ضعفه، إذ لا فرق بين النفي و النهي و لفظة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استفادة السعة و الضيق تابع لسعة المتعلّق و ضيقه، مضافا الی انّه كان في وسع المكلّف تقييد المتعلّق في جانب النفي و النهي، و مع التقييد تضيق دائرة الشمول، و الدالّ على عدم القيد هو الإطلاق بإجراء مقدّمات الحكمة، و عليه فلا صحة لهذا الاحتمال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العام و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 بعد التخصص حقيقة و ليس بمجاز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في قانون اجتماع الأمر و النهي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اية </w:t>
      </w:r>
      <w:r>
        <w:rPr>
          <w:rFonts w:eastAsia="IRNazanin" w:cs="IRNazanin"/>
          <w:b w:val="false"/>
          <w:bCs w:val="false"/>
          <w:i w:val="false"/>
          <w:iCs w:val="false"/>
          <w:color w:val="333333"/>
          <w:sz w:val="20"/>
          <w:szCs w:val="20"/>
        </w:rPr>
        <w:t>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أشار إليه بقوله مما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طهّر بالثانية مواضع الملاقاة بالأولى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اختلفت كلماتهم في عنوان الفصل فتارة يعبّرون عنه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النهي عن الشي‌ء يقتضي فساده أو لا؟ و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النهي يدلّ على الفساد أو لا؟ و الأوّل غير صحيح، لعدم کون النهي مؤثراً في الفساد، و إنّما هو دالّ عليه أو كاشف عنه، و الثاني منصرف إلى الدلالة اللفظية، و لا يشمل استكشاف الفساد، من الملازمة العقلية، و عليه فالأولى أن يعبر بکاشفية النهي عن الفساد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Pr>
        <w:t>180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الثالث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في المقدمة الاولى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ان ذکر مثالا للبحث الّا ان ذيل الحديث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السجود زيادة في المكتوبة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علی ان النهي للارشاد الی ان زيادة السجود في صلاة الفريضة موجب لبطلانها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فالنهي خارج عن موضوع بحثنا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مثله صحيح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علیه السلام أكون في الصّلاة فأجد غمزاً في بطني أو أذًى أو ضرباناً فقال انصرف ثمّ توضّأ و ابنِ على ما مضى من صلاتك ما لم تنقض الصّلاة بالكلام 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للمحقق النائيني فانه خص اللازم البين بالمعنی الاخص بالمفهوم و اما اللازم البين بالمعنی الاعم فجعله خارجا عن المفهوم و المنطوق کما سيأتي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و الأمل المعروف بمختصر الحاجبي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العضدي على مختصر المنتهى لابن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القاعدة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في أصول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في علم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في جوابه عن ثالث وجوه أدلة القول بثبوت المفهوم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الاراكي، محمدعلي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ط الجديد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ط الجديد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بالمعنی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عدم استحالة اجتماعهما في المقام لأن الوجوب من الأمور الاعتبارية التي لا محذور في اجتماعه مع مثله، و ليس من الأمور الوجودية المشتركة في حقيقة واحدة حتى يكون من باب اجتماع المثلين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أحكام السهو و الشكّ في الصلاة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الطباطبائي بحر العلوم في فوائده المطبوعة بالطبعة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طهارة الماء،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في 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الأنصاريّ إلى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الأوّل نسب إلى ظاهر كلام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الشافعي و مالك و أكثر أصحابهما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التجارة،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المجالس،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الواجد بالدين يحل عرضه و عقوبته ما لم يكن دينه فيما يكرهه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حديث الشريد بن سويد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الصدقات، باب الحبس في الدين و الملازمة،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الاقضية، باب الحبس في الدين و غيره،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كما في المتن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 المحقق الخوئي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محمد بن يعقوب، عن حميد بن زياد، عن الحسن بن محمد بن سماعة، قال دفع إلي صفوان كتابا لموسى بن بكر فقال لي هذا سماعي من موسى بن بكر و قرأته عليه فإذا فيه موسى بن بكر، عن علي بن سعيد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ليس فيه اختلاف عند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الميراث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ميراث الولد مع الزوج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الرواية 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المشار اليه في کلام صفوان هو کتاب موسی بن بکر الکاشف عن وثاقته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مدرب على الاصطياد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 رهط جرير الذي هجاه الفرزدق بشعره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نهشل و مجاشع أبناء دارم رهط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فالشاعر يفتخر بآبائه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باب الحروف، حرف حتّى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مفاد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إليك نصّها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نظيف حتّى تعلم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طاهر حتّى تعلم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الأواني،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اغسلوا ايديکم الی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متعلق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اليد موضوع الحکم و الغاية قيد للموضوع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يمسک عنه الصائم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السيد الموسوي الجزايري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محكوماً بشخص الحكم لكن من المحتمل أن يكون محكوماً بسنخه كما يحتمل أن لا يكون كذلك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ط ال البيت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اية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اية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الولاية في القرآن، المکارم الشيرازي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السيد الموسوي الجزائري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الولاية في القرآن، المکارم الشيرازي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المسجد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في البحث عن هذه الدلالات الثلاثة مما کتبه العلامة المظفر في کتابه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r>
        <w:rPr>
          <w:rFonts w:eastAsia="IRNazanin" w:cs="IRNazanin"/>
          <w:b w:val="false"/>
          <w:bCs w:val="false"/>
          <w:i w:val="false"/>
          <w:iCs w:val="false"/>
          <w:color w:val="333333"/>
          <w:sz w:val="20"/>
          <w:szCs w:val="20"/>
        </w:rPr>
        <w:t>216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هامش</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المحكي عن المحقّق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الشيخ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العلّامة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عزاه بعضهم الى الأكثر هنا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للسيد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المجيب هو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الکفاية ط ال البيت عليهم السلام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القوانين في أوّل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تعليقة الزارعي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166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الاصوليين لکنهم ترکوا نسبته للاخفش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حواشي سلطان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كأبي ثور ؛ و عيسى بن أبان ؛ راجع الإحكام في أصول الأحكام،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الموسوي الجزائري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هامش</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جماعة المدرسين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221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المحقّق العراقيّ في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استدلّ لهذا القول المحقّق العراقيّ في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لاحظ تشريح الأُصول للمحقّق النهاوندي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قال المحقّق البروجرديّ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ظهر لك أنّ الشيخ رحمه الله لم يفرق بين اللفظيّ و اللبيّ بما هما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 عبارة المطارح لا تساعد عليه، فإنّ الشيخ الأنصاريّ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التخصيص تارة يوجب تعدّد الموضوعين، و أخرى لا يوجب ذلك، فعلى الأوّل لا وجه لتحكيم العامّ و أغلب ما يكون ذلك إنّما هو في التخصيصات اللفظيّة، و على الثاني يجب تحكيم العامّ و أغلب ما يكون إنّما هو في التخصيصات اللبّيّة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بخروجه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للمحقّق الخراسانيّ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النشر الإسلامي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الاحاديث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المواقيت؛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أحرم قبل الميقات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المسافر و المريض في الصيام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الوصول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المفهوم من كلام الوحيد البهبهاني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راجع ما ذكره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اصوله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هو العفائف، فانّ تلك اللفظة تطلق تارة و يراد بها إحصان العفة، فيعم كلّ مرأة عفيفة، سواء أ كانت مجردة أم متزوّجة، و قد تطلق و يراد بها إحصان التزوّج حيث إنّ المتزوّجة تُحْصِن نفسها، و المراد كما عرفت هو الأوّل، و ذلك لأنّ الميزان في حرمة القذف هو كون المرأة متعفّفة لا متزوّجة، و إن كان مورد نزول الآية هو المتزوّجة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نسبه الشيخ الطوسيّ إلى السيّد المرتضى، فراجع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ذهب إليه أبو حنيفة کما نقله الشيخ عنه و کما في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إليه ذهب الشافعيّ من العامّة کما نقله الشيخ عنه في العدة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التعليق بالغير خلاف الأصل، فليقتصر فيه على قدر الضرورة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كون التعليق بالغير خلاف الأصل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إليه ذهب الشافعيّ من العامّة کما نقله الشيخ عنه في العدة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الآراء كتاب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السيد المحقق الجزائري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المظهر و المبيّن للشرع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القرآن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كُنْتُ أَعْلَمُ الْغَيْبَ لَاسْتَكْثَرْتُ مِنَ الْخَيْرِ وَ ما مَسَّنِيَ السُّوءُ﴾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أحد الوجوه الّتي استدلّ بها على امتناع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النسخ يستلزم البداء الباطل المستحيل في حقّه تعالى، لأنّ إثبات حكم في زمان و رفعه في زمان آخر يستلزم تعلّق إرادة الواجب تعالى بفعل في زمان و تعلّق إرادته تعالى بتركه في زمان آخر من دون أيّ تغيّر في الفعل، لا في أجزائه و لا أركانه و لا الجهة الّتي لها دخل في المصلحة الداعية للأمر به، و هذا هو البداء الباطل و المحال في حقّه تعالى، لأنّه مستلزم لجهله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لزوم البداء المحال في حقّه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لعدم لزوم امتناع النسخ أو امتناع الحكم المنسوخ</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الضميران في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يرجعان إلى النبيّ أو الوليّ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التعريف المحقّق القمي إلى أكثر الأصوليّين؛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لزين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إليهم في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الحاشية ضمن المعالم المطبوع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المكتبة العلميّة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الماهية بشرط 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يقصدون بذلك الماهية المجرّدة على وجه يكون كلّ ما يقارنها يعتبر زائدا عليها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الماهيّة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يسمّى الماهيّة بشرط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الماهيّة المخلوطة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الماهيّة بشرط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الماهيّة المجرّدة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المحقّق الخراسانيّ في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حاشية المشكيني على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المنسوب إلى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النائينيّ،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 أن يكون موضوعا لجامع بينهما، و ليس ذلك إلّا اللابشرط المقسميّ، و هو الماهيّة المبهمة المهملة القابلة للانقسامات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ذهب إليه العلامة المظفر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القول بأنّ أسماء الأجناس موضوعة بإزاء اللابشرط القسميّ و يكون الإطلاق و السريان مأخوذا في المعنى الموضوع 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الزارعي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 الى مباحث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مثال لما إذا وقعت النكرة في الجملة الخبريّة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مثال لما إذا وقعت النكرة في الجملة الإنشائيّة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مورد الخبر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مورد الإنشاء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المراد من النكرة هو الفرد المردّد لزم أن يصدق على كلّ فرد أنّه نفسه، لا أنّه نفسه أو غيره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هامش</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ط ال البيت عليهم السلام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 في توضيح الكفاية،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الموسوي الجزائري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الموسوي الجزائري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الاصول؛ الموسوي الجزائري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 البيت عليهم السلام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الاصول ط ال البيت عليهم السلام ص </w:t>
      </w:r>
      <w:r>
        <w:rPr>
          <w:rFonts w:eastAsia="IRNazanin" w:cs="IRNazanin"/>
          <w:b w:val="false"/>
          <w:bCs w:val="false"/>
          <w:i w:val="false"/>
          <w:iCs w:val="false"/>
          <w:color w:val="333333"/>
          <w:sz w:val="20"/>
          <w:szCs w:val="20"/>
        </w:rPr>
        <w:t>251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الاصول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بعض الحنفيّة على ما في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السيّد المرتضى إلى إجماله من جهة لفظ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مفاد الروايات الواردة في باب وجوب قراءة فاتحة الكتاب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مستفاد من الروايات الواردة في باب اشتراط كون المبيع مملوكا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مفاد الروايات الدالّة على كراهة تأخّر جيران المسجد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المسجد؛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نعت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لنفي الجنس الرفع و النصب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نافلة شهر رمضان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مقتنص من الروايات فراجع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مفاد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جَعَلَ عَلَيْكُمْ فِي الدِّينِ مِنْ حَرَجٍ﴾ ؛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تعليقة الزارعي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67507</Words>
  <Characters>284469</Characters>
  <CharactersWithSpaces>350186</CharactersWithSpaces>
  <Paragraphs>2083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2026-08-25T16:08:20Z</dcterms:created>
  <dc:creator>ghaemiyeh.com</dc:creator>
  <dc:description/>
  <dc:language>en-US</dc:language>
  <cp:lastModifiedBy/>
  <dcterms:modified xsi:type="dcterms:W3CDTF">2026-08-25T19:38:36Z</dcterms:modified>
  <cp:revision>1</cp:revision>
  <dc:subject/>
  <dc:title>الکفایة من الاصول جلد 2</dc:title>
</cp:coreProperties>
</file>

<file path=docProps/custom.xml><?xml version="1.0" encoding="utf-8"?>
<Properties xmlns="http://schemas.openxmlformats.org/officeDocument/2006/custom-properties" xmlns:vt="http://schemas.openxmlformats.org/officeDocument/2006/docPropsVTypes"/>
</file>