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97.xml" ContentType="application/vnd.openxmlformats-officedocument.wordprocessingml.footer+xml"/>
  <Override PartName="/word/footer68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0.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الرسائل و المسائل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39453_1280447820">
            <w:r>
              <w:rPr>
                <w:webHidden/>
                <w:rStyle w:val="IndexLink"/>
                <w:rtl w:val="true"/>
              </w:rPr>
              <w:t>هویة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8039455_128044782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8039457_1280447820">
            <w:r>
              <w:rPr>
                <w:webHidden/>
                <w:rStyle w:val="IndexLink"/>
                <w:rtl w:val="true"/>
              </w:rPr>
              <w:t>الفهرس الإجمالي</w:t>
            </w:r>
            <w:r>
              <w:rPr>
                <w:rStyle w:val="IndexLink"/>
                <w:rtl w:val="true"/>
              </w:rPr>
              <w:tab/>
            </w:r>
            <w:r>
              <w:rPr>
                <w:rStyle w:val="IndexLink"/>
              </w:rPr>
              <w:t>19</w:t>
            </w:r>
          </w:hyperlink>
        </w:p>
        <w:p>
          <w:pPr>
            <w:pStyle w:val="Contents2"/>
            <w:tabs>
              <w:tab w:val="clear" w:pos="8743"/>
              <w:tab w:val="right" w:pos="9026" w:leader="dot"/>
            </w:tabs>
            <w:rPr/>
          </w:pPr>
          <w:hyperlink w:anchor="__RefHeading___Toc8039459_1280447820">
            <w:r>
              <w:rPr>
                <w:webHidden/>
                <w:rStyle w:val="IndexLink"/>
                <w:rtl w:val="true"/>
              </w:rPr>
              <w:t>د</w:t>
            </w:r>
            <w:r>
              <w:rPr>
                <w:rStyle w:val="IndexLink"/>
                <w:rtl w:val="true"/>
              </w:rPr>
              <w:t xml:space="preserve">. </w:t>
            </w:r>
            <w:r>
              <w:rPr>
                <w:rStyle w:val="IndexLink"/>
                <w:rtl w:val="true"/>
              </w:rPr>
              <w:t>الرسائل الفقهيّة</w:t>
            </w:r>
            <w:r>
              <w:rPr>
                <w:rStyle w:val="IndexLink"/>
                <w:rtl w:val="true"/>
              </w:rPr>
              <w:tab/>
            </w:r>
            <w:r>
              <w:rPr>
                <w:rStyle w:val="IndexLink"/>
              </w:rPr>
              <w:t>21</w:t>
            </w:r>
          </w:hyperlink>
        </w:p>
        <w:p>
          <w:pPr>
            <w:pStyle w:val="Contents3"/>
            <w:tabs>
              <w:tab w:val="clear" w:pos="8459"/>
              <w:tab w:val="right" w:pos="9026" w:leader="dot"/>
            </w:tabs>
            <w:rPr/>
          </w:pPr>
          <w:hyperlink w:anchor="__RefHeading___Toc8039461_1280447820">
            <w:r>
              <w:rPr>
                <w:webHidden/>
                <w:rStyle w:val="IndexLink"/>
                <w:rtl w:val="true"/>
              </w:rPr>
              <w:t>(</w:t>
            </w:r>
            <w:r>
              <w:rPr>
                <w:rStyle w:val="IndexLink"/>
              </w:rPr>
              <w:t>75</w:t>
            </w:r>
            <w:r>
              <w:rPr>
                <w:rStyle w:val="IndexLink"/>
                <w:rtl w:val="true"/>
              </w:rPr>
              <w:t xml:space="preserve">) </w:t>
            </w:r>
            <w:r>
              <w:rPr>
                <w:rStyle w:val="IndexLink"/>
                <w:rtl w:val="true"/>
              </w:rPr>
              <w:t>جواباتُ المَسائلِ الرَّسّيّةِ الأُولىٰ‌</w:t>
            </w:r>
            <w:r>
              <w:rPr>
                <w:rStyle w:val="IndexLink"/>
                <w:rtl w:val="true"/>
              </w:rPr>
              <w:tab/>
            </w:r>
            <w:r>
              <w:rPr>
                <w:rStyle w:val="IndexLink"/>
              </w:rPr>
              <w:t>21</w:t>
            </w:r>
          </w:hyperlink>
        </w:p>
        <w:p>
          <w:pPr>
            <w:pStyle w:val="Contents4"/>
            <w:tabs>
              <w:tab w:val="clear" w:pos="8176"/>
              <w:tab w:val="right" w:pos="9026" w:leader="dot"/>
            </w:tabs>
            <w:rPr/>
          </w:pPr>
          <w:hyperlink w:anchor="__RefHeading___Toc8039463_128044782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8039465_1280447820">
            <w:r>
              <w:rPr>
                <w:webHidden/>
                <w:rStyle w:val="IndexLink"/>
                <w:rtl w:val="true"/>
              </w:rPr>
              <w:t>مقدّمة التحقيق</w:t>
            </w:r>
            <w:r>
              <w:rPr>
                <w:rStyle w:val="IndexLink"/>
                <w:rtl w:val="true"/>
              </w:rPr>
              <w:tab/>
            </w:r>
            <w:r>
              <w:rPr>
                <w:rStyle w:val="IndexLink"/>
              </w:rPr>
              <w:t>23</w:t>
            </w:r>
          </w:hyperlink>
        </w:p>
        <w:p>
          <w:pPr>
            <w:pStyle w:val="Contents5"/>
            <w:tabs>
              <w:tab w:val="clear" w:pos="7892"/>
              <w:tab w:val="right" w:pos="9026" w:leader="dot"/>
            </w:tabs>
            <w:rPr/>
          </w:pPr>
          <w:hyperlink w:anchor="__RefHeading___Toc8039467_1280447820">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8039469_1280447820">
            <w:r>
              <w:rPr>
                <w:webHidden/>
                <w:rStyle w:val="IndexLink"/>
                <w:rtl w:val="true"/>
              </w:rPr>
              <w:t>نسبتها إلى المؤلّف</w:t>
            </w:r>
            <w:r>
              <w:rPr>
                <w:rStyle w:val="IndexLink"/>
                <w:rtl w:val="true"/>
              </w:rPr>
              <w:tab/>
            </w:r>
            <w:r>
              <w:rPr>
                <w:rStyle w:val="IndexLink"/>
              </w:rPr>
              <w:t>25</w:t>
            </w:r>
          </w:hyperlink>
        </w:p>
        <w:p>
          <w:pPr>
            <w:pStyle w:val="Contents5"/>
            <w:tabs>
              <w:tab w:val="clear" w:pos="7892"/>
              <w:tab w:val="right" w:pos="9026" w:leader="dot"/>
            </w:tabs>
            <w:rPr/>
          </w:pPr>
          <w:hyperlink w:anchor="__RefHeading___Toc8039471_1280447820">
            <w:r>
              <w:rPr>
                <w:webHidden/>
                <w:rStyle w:val="IndexLink"/>
                <w:rtl w:val="true"/>
              </w:rPr>
              <w:t>مخطوطات الرسالة</w:t>
            </w:r>
            <w:r>
              <w:rPr>
                <w:rStyle w:val="IndexLink"/>
                <w:rtl w:val="true"/>
              </w:rPr>
              <w:tab/>
            </w:r>
            <w:r>
              <w:rPr>
                <w:rStyle w:val="IndexLink"/>
              </w:rPr>
              <w:t>26</w:t>
            </w:r>
          </w:hyperlink>
        </w:p>
        <w:p>
          <w:pPr>
            <w:pStyle w:val="Contents6"/>
            <w:tabs>
              <w:tab w:val="clear" w:pos="7609"/>
              <w:tab w:val="right" w:pos="9026" w:leader="dot"/>
            </w:tabs>
            <w:rPr/>
          </w:pPr>
          <w:hyperlink w:anchor="__RefHeading___Toc8039473_1280447820">
            <w:r>
              <w:rPr>
                <w:webHidden/>
                <w:rStyle w:val="IndexLink"/>
                <w:rtl w:val="true"/>
              </w:rPr>
              <w:t>ألف</w:t>
            </w:r>
            <w:r>
              <w:rPr>
                <w:rStyle w:val="IndexLink"/>
                <w:rtl w:val="true"/>
              </w:rPr>
              <w:t xml:space="preserve">) </w:t>
            </w:r>
            <w:r>
              <w:rPr>
                <w:rStyle w:val="IndexLink"/>
                <w:rtl w:val="true"/>
              </w:rPr>
              <w:t>النسخ المعتمدة</w:t>
            </w:r>
            <w:r>
              <w:rPr>
                <w:rStyle w:val="IndexLink"/>
                <w:rtl w:val="true"/>
              </w:rPr>
              <w:t>:</w:t>
              <w:tab/>
            </w:r>
            <w:r>
              <w:rPr>
                <w:rStyle w:val="IndexLink"/>
              </w:rPr>
              <w:t>26</w:t>
            </w:r>
          </w:hyperlink>
        </w:p>
        <w:p>
          <w:pPr>
            <w:pStyle w:val="Contents6"/>
            <w:tabs>
              <w:tab w:val="clear" w:pos="7609"/>
              <w:tab w:val="right" w:pos="9026" w:leader="dot"/>
            </w:tabs>
            <w:rPr/>
          </w:pPr>
          <w:hyperlink w:anchor="__RefHeading___Toc8039475_1280447820">
            <w:r>
              <w:rPr>
                <w:webHidden/>
                <w:rStyle w:val="IndexLink"/>
                <w:rtl w:val="true"/>
              </w:rPr>
              <w:t>ب</w:t>
            </w:r>
            <w:r>
              <w:rPr>
                <w:rStyle w:val="IndexLink"/>
                <w:rtl w:val="true"/>
              </w:rPr>
              <w:t xml:space="preserve">) </w:t>
            </w:r>
            <w:r>
              <w:rPr>
                <w:rStyle w:val="IndexLink"/>
                <w:rtl w:val="true"/>
              </w:rPr>
              <w:t>سائر النسخ</w:t>
            </w:r>
            <w:r>
              <w:rPr>
                <w:rStyle w:val="IndexLink"/>
                <w:rtl w:val="true"/>
              </w:rPr>
              <w:t>:</w:t>
              <w:tab/>
            </w:r>
            <w:r>
              <w:rPr>
                <w:rStyle w:val="IndexLink"/>
              </w:rPr>
              <w:t>26</w:t>
            </w:r>
          </w:hyperlink>
        </w:p>
        <w:p>
          <w:pPr>
            <w:pStyle w:val="Contents4"/>
            <w:tabs>
              <w:tab w:val="clear" w:pos="8176"/>
              <w:tab w:val="right" w:pos="9026" w:leader="dot"/>
            </w:tabs>
            <w:rPr/>
          </w:pPr>
          <w:hyperlink w:anchor="__RefHeading___Toc8039477_1280447820">
            <w:r>
              <w:rPr>
                <w:webHidden/>
                <w:rStyle w:val="IndexLink"/>
                <w:rtl w:val="true"/>
              </w:rPr>
              <w:t>جواباتُ المَسائلِ الرَّسّيّةِ الأُولىٰ‌</w:t>
            </w:r>
            <w:r>
              <w:rPr>
                <w:rStyle w:val="IndexLink"/>
                <w:rtl w:val="true"/>
              </w:rPr>
              <w:tab/>
            </w:r>
            <w:r>
              <w:rPr>
                <w:rStyle w:val="IndexLink"/>
              </w:rPr>
              <w:t>29</w:t>
            </w:r>
          </w:hyperlink>
        </w:p>
        <w:p>
          <w:pPr>
            <w:pStyle w:val="Contents5"/>
            <w:tabs>
              <w:tab w:val="clear" w:pos="7892"/>
              <w:tab w:val="right" w:pos="9026" w:leader="dot"/>
            </w:tabs>
            <w:rPr/>
          </w:pPr>
          <w:hyperlink w:anchor="__RefHeading___Toc8039479_1280447820">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8039481_1280447820">
            <w:r>
              <w:rPr>
                <w:webHidden/>
                <w:rStyle w:val="IndexLink"/>
                <w:rtl w:val="true"/>
              </w:rPr>
              <w:t>مُقدِّمةُ المؤلِّفِ‌</w:t>
            </w:r>
            <w:r>
              <w:rPr>
                <w:rStyle w:val="IndexLink"/>
                <w:rtl w:val="true"/>
              </w:rPr>
              <w:tab/>
            </w:r>
            <w:r>
              <w:rPr>
                <w:rStyle w:val="IndexLink"/>
              </w:rPr>
              <w:t>29</w:t>
            </w:r>
          </w:hyperlink>
        </w:p>
        <w:p>
          <w:pPr>
            <w:pStyle w:val="Contents5"/>
            <w:tabs>
              <w:tab w:val="clear" w:pos="7892"/>
              <w:tab w:val="right" w:pos="9026" w:leader="dot"/>
            </w:tabs>
            <w:rPr/>
          </w:pPr>
          <w:hyperlink w:anchor="__RefHeading___Toc8039483_1280447820">
            <w:r>
              <w:rPr>
                <w:webHidden/>
                <w:rStyle w:val="IndexLink"/>
                <w:rtl w:val="true"/>
              </w:rPr>
              <w:t>المسألةُ الأُولىٰ حُكمُ عباداتِ المقلِّدِ و تاركِ النظرِ</w:t>
            </w:r>
            <w:r>
              <w:rPr>
                <w:rStyle w:val="IndexLink"/>
                <w:rtl w:val="true"/>
              </w:rPr>
              <w:tab/>
            </w:r>
            <w:r>
              <w:rPr>
                <w:rStyle w:val="IndexLink"/>
              </w:rPr>
              <w:t>31</w:t>
            </w:r>
          </w:hyperlink>
        </w:p>
        <w:p>
          <w:pPr>
            <w:pStyle w:val="Contents5"/>
            <w:tabs>
              <w:tab w:val="clear" w:pos="7892"/>
              <w:tab w:val="right" w:pos="9026" w:leader="dot"/>
            </w:tabs>
            <w:rPr/>
          </w:pPr>
          <w:hyperlink w:anchor="__RefHeading___Toc8039485_1280447820">
            <w:r>
              <w:rPr>
                <w:webHidden/>
                <w:rStyle w:val="IndexLink"/>
                <w:rtl w:val="true"/>
              </w:rPr>
              <w:t>المَسألةُ الثانيةُ كَيفيّةُ رُجوعِ العامّيِّ إلَى العالِمِ‌</w:t>
            </w:r>
            <w:r>
              <w:rPr>
                <w:rStyle w:val="IndexLink"/>
                <w:rtl w:val="true"/>
              </w:rPr>
              <w:tab/>
            </w:r>
            <w:r>
              <w:rPr>
                <w:rStyle w:val="IndexLink"/>
              </w:rPr>
              <w:t>38</w:t>
            </w:r>
          </w:hyperlink>
        </w:p>
        <w:p>
          <w:pPr>
            <w:pStyle w:val="Contents6"/>
            <w:tabs>
              <w:tab w:val="clear" w:pos="7609"/>
              <w:tab w:val="right" w:pos="9026" w:leader="dot"/>
            </w:tabs>
            <w:rPr/>
          </w:pPr>
          <w:hyperlink w:anchor="__RefHeading___Toc8039487_1280447820">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8039489_1280447820">
            <w:r>
              <w:rPr>
                <w:webHidden/>
                <w:rStyle w:val="IndexLink"/>
                <w:rtl w:val="true"/>
              </w:rPr>
              <w:t>في بيان حقيقة العقل</w:t>
            </w:r>
            <w:r>
              <w:rPr>
                <w:rStyle w:val="IndexLink"/>
                <w:rtl w:val="true"/>
              </w:rPr>
              <w:tab/>
            </w:r>
            <w:r>
              <w:rPr>
                <w:rStyle w:val="IndexLink"/>
              </w:rPr>
              <w:t>41</w:t>
            </w:r>
          </w:hyperlink>
        </w:p>
        <w:p>
          <w:pPr>
            <w:pStyle w:val="Contents5"/>
            <w:tabs>
              <w:tab w:val="clear" w:pos="7892"/>
              <w:tab w:val="right" w:pos="9026" w:leader="dot"/>
            </w:tabs>
            <w:rPr/>
          </w:pPr>
          <w:hyperlink w:anchor="__RefHeading___Toc8039491_1280447820">
            <w:r>
              <w:rPr>
                <w:webHidden/>
                <w:rStyle w:val="IndexLink"/>
                <w:rtl w:val="true"/>
              </w:rPr>
              <w:t>المسألةُ الثالثةُ عدمُ توقّفِ القولِ بالصرفةِ علَى العلمِ بالعربيّةِ و فنونِ الفصاحةِ‌</w:t>
            </w:r>
            <w:r>
              <w:rPr>
                <w:rStyle w:val="IndexLink"/>
                <w:rtl w:val="true"/>
              </w:rPr>
              <w:tab/>
            </w:r>
            <w:r>
              <w:rPr>
                <w:rStyle w:val="IndexLink"/>
              </w:rPr>
              <w:t>43</w:t>
            </w:r>
          </w:hyperlink>
        </w:p>
        <w:p>
          <w:pPr>
            <w:pStyle w:val="Contents5"/>
            <w:tabs>
              <w:tab w:val="clear" w:pos="7892"/>
              <w:tab w:val="right" w:pos="9026" w:leader="dot"/>
            </w:tabs>
            <w:rPr/>
          </w:pPr>
          <w:hyperlink w:anchor="__RefHeading___Toc8039493_1280447820">
            <w:r>
              <w:rPr>
                <w:webHidden/>
                <w:rStyle w:val="IndexLink"/>
                <w:rtl w:val="true"/>
              </w:rPr>
              <w:t>المسألةُ الرابعةُ نفيُ حصولِ المعرفةِ باللّٰهِ تَعالىٰ للكُفّارِ</w:t>
            </w:r>
            <w:r>
              <w:rPr>
                <w:rStyle w:val="IndexLink"/>
                <w:rtl w:val="true"/>
              </w:rPr>
              <w:tab/>
            </w:r>
            <w:r>
              <w:rPr>
                <w:rStyle w:val="IndexLink"/>
              </w:rPr>
              <w:t>51</w:t>
            </w:r>
          </w:hyperlink>
        </w:p>
        <w:p>
          <w:pPr>
            <w:pStyle w:val="Contents5"/>
            <w:tabs>
              <w:tab w:val="clear" w:pos="7892"/>
              <w:tab w:val="right" w:pos="9026" w:leader="dot"/>
            </w:tabs>
            <w:rPr/>
          </w:pPr>
          <w:hyperlink w:anchor="__RefHeading___Toc8039495_1280447820">
            <w:r>
              <w:rPr>
                <w:webHidden/>
                <w:rStyle w:val="IndexLink"/>
                <w:rtl w:val="true"/>
              </w:rPr>
              <w:t>المسألةُ الخامسةُ عدمُ جوازِ الرجوعِ إلَى الكتبِ المصنَّفةِ لمعرفةِ الأحكامِ‌</w:t>
            </w:r>
            <w:r>
              <w:rPr>
                <w:rStyle w:val="IndexLink"/>
                <w:rtl w:val="true"/>
              </w:rPr>
              <w:tab/>
            </w:r>
            <w:r>
              <w:rPr>
                <w:rStyle w:val="IndexLink"/>
              </w:rPr>
              <w:t>57</w:t>
            </w:r>
          </w:hyperlink>
        </w:p>
        <w:p>
          <w:pPr>
            <w:pStyle w:val="Contents5"/>
            <w:tabs>
              <w:tab w:val="clear" w:pos="7892"/>
              <w:tab w:val="right" w:pos="9026" w:leader="dot"/>
            </w:tabs>
            <w:rPr/>
          </w:pPr>
          <w:hyperlink w:anchor="__RefHeading___Toc8039497_1280447820">
            <w:r>
              <w:rPr>
                <w:webHidden/>
                <w:rStyle w:val="IndexLink"/>
                <w:rtl w:val="true"/>
              </w:rPr>
              <w:t>المسألةُ السادسةُ وجوبُ قضاءِ الحجِّ التطوُّعيِّ عند إفسادِه</w:t>
            </w:r>
            <w:r>
              <w:rPr>
                <w:rStyle w:val="IndexLink"/>
                <w:rtl w:val="true"/>
              </w:rPr>
              <w:tab/>
            </w:r>
            <w:r>
              <w:rPr>
                <w:rStyle w:val="IndexLink"/>
              </w:rPr>
              <w:t>62</w:t>
            </w:r>
          </w:hyperlink>
        </w:p>
        <w:p>
          <w:pPr>
            <w:pStyle w:val="Contents5"/>
            <w:tabs>
              <w:tab w:val="clear" w:pos="7892"/>
              <w:tab w:val="right" w:pos="9026" w:leader="dot"/>
            </w:tabs>
            <w:rPr/>
          </w:pPr>
          <w:hyperlink w:anchor="__RefHeading___Toc8039499_1280447820">
            <w:r>
              <w:rPr>
                <w:webHidden/>
                <w:rStyle w:val="IndexLink"/>
                <w:rtl w:val="true"/>
              </w:rPr>
              <w:t>المسألةُ السابعةُ حَولَ الخبرِ المُتَواتِرِ</w:t>
            </w:r>
            <w:r>
              <w:rPr>
                <w:rStyle w:val="IndexLink"/>
                <w:rtl w:val="true"/>
              </w:rPr>
              <w:tab/>
            </w:r>
            <w:r>
              <w:rPr>
                <w:rStyle w:val="IndexLink"/>
              </w:rPr>
              <w:t>66</w:t>
            </w:r>
          </w:hyperlink>
        </w:p>
        <w:p>
          <w:pPr>
            <w:pStyle w:val="Contents5"/>
            <w:tabs>
              <w:tab w:val="clear" w:pos="7892"/>
              <w:tab w:val="right" w:pos="9026" w:leader="dot"/>
            </w:tabs>
            <w:rPr/>
          </w:pPr>
          <w:hyperlink w:anchor="__RefHeading___Toc8039501_1280447820">
            <w:r>
              <w:rPr>
                <w:webHidden/>
                <w:rStyle w:val="IndexLink"/>
                <w:rtl w:val="true"/>
              </w:rPr>
              <w:t>فَصلٌ</w:t>
            </w:r>
            <w:r>
              <w:rPr>
                <w:rStyle w:val="IndexLink"/>
                <w:rtl w:val="true"/>
              </w:rPr>
              <w:t xml:space="preserve">: </w:t>
            </w:r>
            <w:r>
              <w:rPr>
                <w:rStyle w:val="IndexLink"/>
                <w:rtl w:val="true"/>
              </w:rPr>
              <w:t>فيه سِتُّ مَسائلَ تَتعلَّقُ بالنيّاتِ في العباداتِ‌</w:t>
            </w:r>
            <w:r>
              <w:rPr>
                <w:rStyle w:val="IndexLink"/>
                <w:rtl w:val="true"/>
              </w:rPr>
              <w:tab/>
            </w:r>
            <w:r>
              <w:rPr>
                <w:rStyle w:val="IndexLink"/>
              </w:rPr>
              <w:t>73</w:t>
            </w:r>
          </w:hyperlink>
        </w:p>
        <w:p>
          <w:pPr>
            <w:pStyle w:val="Contents6"/>
            <w:tabs>
              <w:tab w:val="clear" w:pos="7609"/>
              <w:tab w:val="right" w:pos="9026" w:leader="dot"/>
            </w:tabs>
            <w:rPr/>
          </w:pPr>
          <w:hyperlink w:anchor="__RefHeading___Toc8039503_1280447820">
            <w:r>
              <w:rPr>
                <w:webHidden/>
                <w:rStyle w:val="IndexLink"/>
                <w:rtl w:val="true"/>
              </w:rPr>
              <w:t>المَسألةُ الأُولىٰ‌</w:t>
            </w:r>
            <w:r>
              <w:rPr>
                <w:rStyle w:val="IndexLink"/>
                <w:rtl w:val="true"/>
              </w:rPr>
              <w:tab/>
            </w:r>
            <w:r>
              <w:rPr>
                <w:rStyle w:val="IndexLink"/>
              </w:rPr>
              <w:t>73</w:t>
            </w:r>
          </w:hyperlink>
        </w:p>
        <w:p>
          <w:pPr>
            <w:pStyle w:val="Contents6"/>
            <w:tabs>
              <w:tab w:val="clear" w:pos="7609"/>
              <w:tab w:val="right" w:pos="9026" w:leader="dot"/>
            </w:tabs>
            <w:rPr/>
          </w:pPr>
          <w:hyperlink w:anchor="__RefHeading___Toc8039505_1280447820">
            <w:r>
              <w:rPr>
                <w:webHidden/>
                <w:rStyle w:val="IndexLink"/>
                <w:rtl w:val="true"/>
              </w:rPr>
              <w:t>المَسألةُ الثانيةُ‌</w:t>
            </w:r>
            <w:r>
              <w:rPr>
                <w:rStyle w:val="IndexLink"/>
                <w:rtl w:val="true"/>
              </w:rPr>
              <w:tab/>
            </w:r>
            <w:r>
              <w:rPr>
                <w:rStyle w:val="IndexLink"/>
              </w:rPr>
              <w:t>74</w:t>
            </w:r>
          </w:hyperlink>
        </w:p>
        <w:p>
          <w:pPr>
            <w:pStyle w:val="Contents6"/>
            <w:tabs>
              <w:tab w:val="clear" w:pos="7609"/>
              <w:tab w:val="right" w:pos="9026" w:leader="dot"/>
            </w:tabs>
            <w:rPr/>
          </w:pPr>
          <w:hyperlink w:anchor="__RefHeading___Toc8039507_1280447820">
            <w:r>
              <w:rPr>
                <w:webHidden/>
                <w:rStyle w:val="IndexLink"/>
                <w:rtl w:val="true"/>
              </w:rPr>
              <w:t>المَسألةُ الثالثةُ‌</w:t>
            </w:r>
            <w:r>
              <w:rPr>
                <w:rStyle w:val="IndexLink"/>
                <w:rtl w:val="true"/>
              </w:rPr>
              <w:tab/>
            </w:r>
            <w:r>
              <w:rPr>
                <w:rStyle w:val="IndexLink"/>
              </w:rPr>
              <w:t>75</w:t>
            </w:r>
          </w:hyperlink>
        </w:p>
        <w:p>
          <w:pPr>
            <w:pStyle w:val="Contents6"/>
            <w:tabs>
              <w:tab w:val="clear" w:pos="7609"/>
              <w:tab w:val="right" w:pos="9026" w:leader="dot"/>
            </w:tabs>
            <w:rPr/>
          </w:pPr>
          <w:hyperlink w:anchor="__RefHeading___Toc8039509_1280447820">
            <w:r>
              <w:rPr>
                <w:webHidden/>
                <w:rStyle w:val="IndexLink"/>
                <w:rtl w:val="true"/>
              </w:rPr>
              <w:t>المَسألةُ الرابعةُ‌</w:t>
            </w:r>
            <w:r>
              <w:rPr>
                <w:rStyle w:val="IndexLink"/>
                <w:rtl w:val="true"/>
              </w:rPr>
              <w:tab/>
            </w:r>
            <w:r>
              <w:rPr>
                <w:rStyle w:val="IndexLink"/>
              </w:rPr>
              <w:t>76</w:t>
            </w:r>
          </w:hyperlink>
        </w:p>
        <w:p>
          <w:pPr>
            <w:pStyle w:val="Contents6"/>
            <w:tabs>
              <w:tab w:val="clear" w:pos="7609"/>
              <w:tab w:val="right" w:pos="9026" w:leader="dot"/>
            </w:tabs>
            <w:rPr/>
          </w:pPr>
          <w:hyperlink w:anchor="__RefHeading___Toc8039511_1280447820">
            <w:r>
              <w:rPr>
                <w:webHidden/>
                <w:rStyle w:val="IndexLink"/>
                <w:rtl w:val="true"/>
              </w:rPr>
              <w:t>المَسألةُ الخامِسةُ‌</w:t>
            </w:r>
            <w:r>
              <w:rPr>
                <w:rStyle w:val="IndexLink"/>
                <w:rtl w:val="true"/>
              </w:rPr>
              <w:tab/>
            </w:r>
            <w:r>
              <w:rPr>
                <w:rStyle w:val="IndexLink"/>
              </w:rPr>
              <w:t>77</w:t>
            </w:r>
          </w:hyperlink>
        </w:p>
        <w:p>
          <w:pPr>
            <w:pStyle w:val="Contents6"/>
            <w:tabs>
              <w:tab w:val="clear" w:pos="7609"/>
              <w:tab w:val="right" w:pos="9026" w:leader="dot"/>
            </w:tabs>
            <w:rPr/>
          </w:pPr>
          <w:hyperlink w:anchor="__RefHeading___Toc8039513_1280447820">
            <w:r>
              <w:rPr>
                <w:webHidden/>
                <w:rStyle w:val="IndexLink"/>
                <w:rtl w:val="true"/>
              </w:rPr>
              <w:t>المَسألةُ السادسةُ‌</w:t>
            </w:r>
            <w:r>
              <w:rPr>
                <w:rStyle w:val="IndexLink"/>
                <w:rtl w:val="true"/>
              </w:rPr>
              <w:tab/>
            </w:r>
            <w:r>
              <w:rPr>
                <w:rStyle w:val="IndexLink"/>
              </w:rPr>
              <w:t>78</w:t>
            </w:r>
          </w:hyperlink>
        </w:p>
        <w:p>
          <w:pPr>
            <w:pStyle w:val="Contents4"/>
            <w:tabs>
              <w:tab w:val="clear" w:pos="8176"/>
              <w:tab w:val="right" w:pos="9026" w:leader="dot"/>
            </w:tabs>
            <w:rPr/>
          </w:pPr>
          <w:hyperlink w:anchor="__RefHeading___Toc8039515_1280447820">
            <w:r>
              <w:rPr>
                <w:webHidden/>
                <w:rStyle w:val="IndexLink"/>
                <w:rtl w:val="true"/>
              </w:rPr>
              <w:t>جوابُ المسائلِ الستِّ المتعلِّقةِ بالنيّاتِ‌</w:t>
            </w:r>
            <w:r>
              <w:rPr>
                <w:rStyle w:val="IndexLink"/>
                <w:rtl w:val="true"/>
              </w:rPr>
              <w:tab/>
            </w:r>
            <w:r>
              <w:rPr>
                <w:rStyle w:val="IndexLink"/>
              </w:rPr>
              <w:t>80</w:t>
            </w:r>
          </w:hyperlink>
        </w:p>
        <w:p>
          <w:pPr>
            <w:pStyle w:val="Contents5"/>
            <w:tabs>
              <w:tab w:val="clear" w:pos="7892"/>
              <w:tab w:val="right" w:pos="9026" w:leader="dot"/>
            </w:tabs>
            <w:rPr/>
          </w:pPr>
          <w:hyperlink w:anchor="__RefHeading___Toc8039517_128044782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8039519_1280447820">
            <w:r>
              <w:rPr>
                <w:webHidden/>
                <w:rStyle w:val="IndexLink"/>
                <w:rtl w:val="true"/>
              </w:rPr>
              <w:t>جوازُ نَقلِ نيّةِ الصلاةِ من الحاضرةِ إلَى الفائتةِ‌</w:t>
            </w:r>
            <w:r>
              <w:rPr>
                <w:rStyle w:val="IndexLink"/>
                <w:rtl w:val="true"/>
              </w:rPr>
              <w:tab/>
            </w:r>
            <w:r>
              <w:rPr>
                <w:rStyle w:val="IndexLink"/>
              </w:rPr>
              <w:t>80</w:t>
            </w:r>
          </w:hyperlink>
        </w:p>
        <w:p>
          <w:pPr>
            <w:pStyle w:val="Contents5"/>
            <w:tabs>
              <w:tab w:val="clear" w:pos="7892"/>
              <w:tab w:val="right" w:pos="9026" w:leader="dot"/>
            </w:tabs>
            <w:rPr/>
          </w:pPr>
          <w:hyperlink w:anchor="__RefHeading___Toc8039521_1280447820">
            <w:r>
              <w:rPr>
                <w:webHidden/>
                <w:rStyle w:val="IndexLink"/>
                <w:rtl w:val="true"/>
              </w:rPr>
              <w:t>استحبابُ إعادةِ المُنفَرِدِ صَلاتَه جَماعةً‌</w:t>
            </w:r>
            <w:r>
              <w:rPr>
                <w:rStyle w:val="IndexLink"/>
                <w:rtl w:val="true"/>
              </w:rPr>
              <w:tab/>
            </w:r>
            <w:r>
              <w:rPr>
                <w:rStyle w:val="IndexLink"/>
              </w:rPr>
              <w:t>86</w:t>
            </w:r>
          </w:hyperlink>
        </w:p>
        <w:p>
          <w:pPr>
            <w:pStyle w:val="Contents5"/>
            <w:tabs>
              <w:tab w:val="clear" w:pos="7892"/>
              <w:tab w:val="right" w:pos="9026" w:leader="dot"/>
            </w:tabs>
            <w:rPr/>
          </w:pPr>
          <w:hyperlink w:anchor="__RefHeading___Toc8039523_1280447820">
            <w:r>
              <w:rPr>
                <w:webHidden/>
                <w:rStyle w:val="IndexLink"/>
                <w:rtl w:val="true"/>
              </w:rPr>
              <w:t>حُكمُ مَن فاتَته صَلاةٌ غيرُ مُتعيِّنةٍ‌</w:t>
            </w:r>
            <w:r>
              <w:rPr>
                <w:rStyle w:val="IndexLink"/>
                <w:rtl w:val="true"/>
              </w:rPr>
              <w:tab/>
            </w:r>
            <w:r>
              <w:rPr>
                <w:rStyle w:val="IndexLink"/>
              </w:rPr>
              <w:t>90</w:t>
            </w:r>
          </w:hyperlink>
        </w:p>
        <w:p>
          <w:pPr>
            <w:pStyle w:val="Contents5"/>
            <w:tabs>
              <w:tab w:val="clear" w:pos="7892"/>
              <w:tab w:val="right" w:pos="9026" w:leader="dot"/>
            </w:tabs>
            <w:rPr/>
          </w:pPr>
          <w:hyperlink w:anchor="__RefHeading___Toc8039525_1280447820">
            <w:r>
              <w:rPr>
                <w:webHidden/>
                <w:rStyle w:val="IndexLink"/>
                <w:rtl w:val="true"/>
              </w:rPr>
              <w:t>حُكمُ الواقعِ بعضُ صَلاتهِ قَبلَ الوقتِ‌</w:t>
            </w:r>
            <w:r>
              <w:rPr>
                <w:rStyle w:val="IndexLink"/>
                <w:rtl w:val="true"/>
              </w:rPr>
              <w:tab/>
            </w:r>
            <w:r>
              <w:rPr>
                <w:rStyle w:val="IndexLink"/>
              </w:rPr>
              <w:t>92</w:t>
            </w:r>
          </w:hyperlink>
        </w:p>
        <w:p>
          <w:pPr>
            <w:pStyle w:val="Contents5"/>
            <w:tabs>
              <w:tab w:val="clear" w:pos="7892"/>
              <w:tab w:val="right" w:pos="9026" w:leader="dot"/>
            </w:tabs>
            <w:rPr/>
          </w:pPr>
          <w:hyperlink w:anchor="__RefHeading___Toc8039527_1280447820">
            <w:r>
              <w:rPr>
                <w:webHidden/>
                <w:rStyle w:val="IndexLink"/>
                <w:rtl w:val="true"/>
              </w:rPr>
              <w:t>حُكمُ صيامِ يَومِ الشكِّ‌</w:t>
            </w:r>
            <w:r>
              <w:rPr>
                <w:rStyle w:val="IndexLink"/>
                <w:rtl w:val="true"/>
              </w:rPr>
              <w:tab/>
            </w:r>
            <w:r>
              <w:rPr>
                <w:rStyle w:val="IndexLink"/>
              </w:rPr>
              <w:t>96</w:t>
            </w:r>
          </w:hyperlink>
        </w:p>
        <w:p>
          <w:pPr>
            <w:pStyle w:val="Contents5"/>
            <w:tabs>
              <w:tab w:val="clear" w:pos="7892"/>
              <w:tab w:val="right" w:pos="9026" w:leader="dot"/>
            </w:tabs>
            <w:rPr/>
          </w:pPr>
          <w:hyperlink w:anchor="__RefHeading___Toc8039529_1280447820">
            <w:r>
              <w:rPr>
                <w:webHidden/>
                <w:rStyle w:val="IndexLink"/>
                <w:rtl w:val="true"/>
              </w:rPr>
              <w:t>حُكمُ نيّةِ صَومِ الشهرِ كُلِّه في أوّلِه</w:t>
            </w:r>
            <w:r>
              <w:rPr>
                <w:rStyle w:val="IndexLink"/>
                <w:rtl w:val="true"/>
              </w:rPr>
              <w:tab/>
            </w:r>
            <w:r>
              <w:rPr>
                <w:rStyle w:val="IndexLink"/>
              </w:rPr>
              <w:t>100</w:t>
            </w:r>
          </w:hyperlink>
        </w:p>
        <w:p>
          <w:pPr>
            <w:pStyle w:val="Contents4"/>
            <w:tabs>
              <w:tab w:val="clear" w:pos="8176"/>
              <w:tab w:val="right" w:pos="9026" w:leader="dot"/>
            </w:tabs>
            <w:rPr/>
          </w:pPr>
          <w:hyperlink w:anchor="__RefHeading___Toc8039531_1280447820">
            <w:r>
              <w:rPr>
                <w:webHidden/>
                <w:rStyle w:val="IndexLink"/>
                <w:rtl w:val="true"/>
              </w:rPr>
              <w:t>فَصلٌ يَتضمَّنُ مسألتَينِ تَتعلَّقُ أيضاً بأحكامِ النيّةِ في العبادةِ‌</w:t>
            </w:r>
            <w:r>
              <w:rPr>
                <w:rStyle w:val="IndexLink"/>
                <w:rtl w:val="true"/>
              </w:rPr>
              <w:tab/>
            </w:r>
            <w:r>
              <w:rPr>
                <w:rStyle w:val="IndexLink"/>
              </w:rPr>
              <w:t>103</w:t>
            </w:r>
          </w:hyperlink>
        </w:p>
        <w:p>
          <w:pPr>
            <w:pStyle w:val="Contents5"/>
            <w:tabs>
              <w:tab w:val="clear" w:pos="7892"/>
              <w:tab w:val="right" w:pos="9026" w:leader="dot"/>
            </w:tabs>
            <w:rPr/>
          </w:pPr>
          <w:hyperlink w:anchor="__RefHeading___Toc8039533_1280447820">
            <w:r>
              <w:rPr>
                <w:webHidden/>
                <w:rStyle w:val="IndexLink"/>
                <w:rtl w:val="true"/>
              </w:rPr>
              <w:t xml:space="preserve">المَسألةُ الأُولىٰ </w:t>
            </w:r>
            <w:r>
              <w:rPr>
                <w:rStyle w:val="IndexLink"/>
                <w:rtl w:val="true"/>
              </w:rPr>
              <w:t>:</w:t>
              <w:tab/>
            </w:r>
            <w:r>
              <w:rPr>
                <w:rStyle w:val="IndexLink"/>
              </w:rPr>
              <w:t>103</w:t>
            </w:r>
          </w:hyperlink>
        </w:p>
        <w:p>
          <w:pPr>
            <w:pStyle w:val="Contents5"/>
            <w:tabs>
              <w:tab w:val="clear" w:pos="7892"/>
              <w:tab w:val="right" w:pos="9026" w:leader="dot"/>
            </w:tabs>
            <w:rPr/>
          </w:pPr>
          <w:hyperlink w:anchor="__RefHeading___Toc8039535_1280447820">
            <w:r>
              <w:rPr>
                <w:webHidden/>
                <w:rStyle w:val="IndexLink"/>
                <w:rtl w:val="true"/>
              </w:rPr>
              <w:t>المَسألةُ الثانيةُ</w:t>
            </w:r>
            <w:r>
              <w:rPr>
                <w:rStyle w:val="IndexLink"/>
                <w:rtl w:val="true"/>
              </w:rPr>
              <w:t>:</w:t>
              <w:tab/>
            </w:r>
            <w:r>
              <w:rPr>
                <w:rStyle w:val="IndexLink"/>
              </w:rPr>
              <w:t>103</w:t>
            </w:r>
          </w:hyperlink>
        </w:p>
        <w:p>
          <w:pPr>
            <w:pStyle w:val="Contents4"/>
            <w:tabs>
              <w:tab w:val="clear" w:pos="8176"/>
              <w:tab w:val="right" w:pos="9026" w:leader="dot"/>
            </w:tabs>
            <w:rPr/>
          </w:pPr>
          <w:hyperlink w:anchor="__RefHeading___Toc8039537_1280447820">
            <w:r>
              <w:rPr>
                <w:webHidden/>
                <w:rStyle w:val="IndexLink"/>
                <w:rtl w:val="true"/>
              </w:rPr>
              <w:t>جواب المسألتين المتعلِّقتَين أيضاً بالنيّات</w:t>
            </w:r>
            <w:r>
              <w:rPr>
                <w:rStyle w:val="IndexLink"/>
                <w:rtl w:val="true"/>
              </w:rPr>
              <w:tab/>
            </w:r>
            <w:r>
              <w:rPr>
                <w:rStyle w:val="IndexLink"/>
              </w:rPr>
              <w:t>104</w:t>
            </w:r>
          </w:hyperlink>
        </w:p>
        <w:p>
          <w:pPr>
            <w:pStyle w:val="Contents5"/>
            <w:tabs>
              <w:tab w:val="clear" w:pos="7892"/>
              <w:tab w:val="right" w:pos="9026" w:leader="dot"/>
            </w:tabs>
            <w:rPr/>
          </w:pPr>
          <w:hyperlink w:anchor="__RefHeading___Toc8039539_1280447820">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8039541_1280447820">
            <w:r>
              <w:rPr>
                <w:webHidden/>
                <w:rStyle w:val="IndexLink"/>
                <w:rtl w:val="true"/>
              </w:rPr>
              <w:t>حُكمُ المُخِلِّ بالنيّةِ في العبادةِ‌</w:t>
            </w:r>
            <w:r>
              <w:rPr>
                <w:rStyle w:val="IndexLink"/>
                <w:rtl w:val="true"/>
              </w:rPr>
              <w:tab/>
            </w:r>
            <w:r>
              <w:rPr>
                <w:rStyle w:val="IndexLink"/>
              </w:rPr>
              <w:t>104</w:t>
            </w:r>
          </w:hyperlink>
        </w:p>
        <w:p>
          <w:pPr>
            <w:pStyle w:val="Contents5"/>
            <w:tabs>
              <w:tab w:val="clear" w:pos="7892"/>
              <w:tab w:val="right" w:pos="9026" w:leader="dot"/>
            </w:tabs>
            <w:rPr/>
          </w:pPr>
          <w:hyperlink w:anchor="__RefHeading___Toc8039543_1280447820">
            <w:r>
              <w:rPr>
                <w:webHidden/>
                <w:rStyle w:val="IndexLink"/>
                <w:rtl w:val="true"/>
              </w:rPr>
              <w:t>حُكمُ نيّةِ العبادةِ المُشتَمِلةِ علىٰ أفعالٍ كَثيرةٍ‌</w:t>
            </w:r>
            <w:r>
              <w:rPr>
                <w:rStyle w:val="IndexLink"/>
                <w:rtl w:val="true"/>
              </w:rPr>
              <w:tab/>
            </w:r>
            <w:r>
              <w:rPr>
                <w:rStyle w:val="IndexLink"/>
              </w:rPr>
              <w:t>106</w:t>
            </w:r>
          </w:hyperlink>
        </w:p>
        <w:p>
          <w:pPr>
            <w:pStyle w:val="Contents4"/>
            <w:tabs>
              <w:tab w:val="clear" w:pos="8176"/>
              <w:tab w:val="right" w:pos="9026" w:leader="dot"/>
            </w:tabs>
            <w:rPr/>
          </w:pPr>
          <w:hyperlink w:anchor="__RefHeading___Toc8039545_1280447820">
            <w:r>
              <w:rPr>
                <w:webHidden/>
                <w:rStyle w:val="IndexLink"/>
                <w:rtl w:val="true"/>
              </w:rPr>
              <w:t>المسألةُ السادسةَ عَشْرةَ نيّةُ النيابةِ في العباداتِ و ثوابُها</w:t>
            </w:r>
            <w:r>
              <w:rPr>
                <w:rStyle w:val="IndexLink"/>
                <w:rtl w:val="true"/>
              </w:rPr>
              <w:tab/>
            </w:r>
            <w:r>
              <w:rPr>
                <w:rStyle w:val="IndexLink"/>
              </w:rPr>
              <w:t>107</w:t>
            </w:r>
          </w:hyperlink>
        </w:p>
        <w:p>
          <w:pPr>
            <w:pStyle w:val="Contents4"/>
            <w:tabs>
              <w:tab w:val="clear" w:pos="8176"/>
              <w:tab w:val="right" w:pos="9026" w:leader="dot"/>
            </w:tabs>
            <w:rPr/>
          </w:pPr>
          <w:hyperlink w:anchor="__RefHeading___Toc8039547_1280447820">
            <w:r>
              <w:rPr>
                <w:webHidden/>
                <w:rStyle w:val="IndexLink"/>
                <w:rtl w:val="true"/>
              </w:rPr>
              <w:t>المسألةُ السابعةَ عَشْرةَ‌حُكمُ الماءِ النجِسِ يُتمَّمُ كُرّاً</w:t>
            </w:r>
            <w:r>
              <w:rPr>
                <w:rStyle w:val="IndexLink"/>
                <w:rtl w:val="true"/>
              </w:rPr>
              <w:tab/>
            </w:r>
            <w:r>
              <w:rPr>
                <w:rStyle w:val="IndexLink"/>
              </w:rPr>
              <w:t>110</w:t>
            </w:r>
          </w:hyperlink>
        </w:p>
        <w:p>
          <w:pPr>
            <w:pStyle w:val="Contents4"/>
            <w:tabs>
              <w:tab w:val="clear" w:pos="8176"/>
              <w:tab w:val="right" w:pos="9026" w:leader="dot"/>
            </w:tabs>
            <w:rPr/>
          </w:pPr>
          <w:hyperlink w:anchor="__RefHeading___Toc8039549_1280447820">
            <w:r>
              <w:rPr>
                <w:webHidden/>
                <w:rStyle w:val="IndexLink"/>
                <w:rtl w:val="true"/>
              </w:rPr>
              <w:t>المَسألةُ الثامنةَ عَشْرَةَ‌سَجدةُ قِراءةِ العَزائمِ في الصلاةِ تَجِبُ بَعدَ الفَراغِ مِن الصَلاةِ‌</w:t>
            </w:r>
            <w:r>
              <w:rPr>
                <w:rStyle w:val="IndexLink"/>
                <w:rtl w:val="true"/>
              </w:rPr>
              <w:tab/>
            </w:r>
            <w:r>
              <w:rPr>
                <w:rStyle w:val="IndexLink"/>
              </w:rPr>
              <w:t>112</w:t>
            </w:r>
          </w:hyperlink>
        </w:p>
        <w:p>
          <w:pPr>
            <w:pStyle w:val="Contents4"/>
            <w:tabs>
              <w:tab w:val="clear" w:pos="8176"/>
              <w:tab w:val="right" w:pos="9026" w:leader="dot"/>
            </w:tabs>
            <w:rPr/>
          </w:pPr>
          <w:hyperlink w:anchor="__RefHeading___Toc8039551_1280447820">
            <w:r>
              <w:rPr>
                <w:webHidden/>
                <w:rStyle w:val="IndexLink"/>
                <w:rtl w:val="true"/>
              </w:rPr>
              <w:t>فَصلٌ يَتضمَّنُ مَسألتَينِ تَتعلَّقُ بقضاءِ الصلواتِ الفائتةِ‌</w:t>
            </w:r>
            <w:r>
              <w:rPr>
                <w:rStyle w:val="IndexLink"/>
                <w:rtl w:val="true"/>
              </w:rPr>
              <w:tab/>
            </w:r>
            <w:r>
              <w:rPr>
                <w:rStyle w:val="IndexLink"/>
              </w:rPr>
              <w:t>114</w:t>
            </w:r>
          </w:hyperlink>
        </w:p>
        <w:p>
          <w:pPr>
            <w:pStyle w:val="Contents4"/>
            <w:tabs>
              <w:tab w:val="clear" w:pos="8176"/>
              <w:tab w:val="right" w:pos="9026" w:leader="dot"/>
            </w:tabs>
            <w:rPr/>
          </w:pPr>
          <w:hyperlink w:anchor="__RefHeading___Toc8039553_1280447820">
            <w:r>
              <w:rPr>
                <w:webHidden/>
                <w:rStyle w:val="IndexLink"/>
                <w:rtl w:val="true"/>
              </w:rPr>
              <w:t>المَسألةُ التاسعةَ عَشْرةَ و العِشرونَ‌</w:t>
            </w:r>
            <w:r>
              <w:rPr>
                <w:rStyle w:val="IndexLink"/>
                <w:rtl w:val="true"/>
              </w:rPr>
              <w:tab/>
            </w:r>
            <w:r>
              <w:rPr>
                <w:rStyle w:val="IndexLink"/>
              </w:rPr>
              <w:t>114</w:t>
            </w:r>
          </w:hyperlink>
        </w:p>
        <w:p>
          <w:pPr>
            <w:pStyle w:val="Contents4"/>
            <w:tabs>
              <w:tab w:val="clear" w:pos="8176"/>
              <w:tab w:val="right" w:pos="9026" w:leader="dot"/>
            </w:tabs>
            <w:rPr/>
          </w:pPr>
          <w:hyperlink w:anchor="__RefHeading___Toc8039555_1280447820">
            <w:r>
              <w:rPr>
                <w:webHidden/>
                <w:rStyle w:val="IndexLink"/>
                <w:rtl w:val="true"/>
              </w:rPr>
              <w:t>جوابُ المسألتَينِ المتعلِّقتَينِ بقضاءِ الصلواتِ الفائتةِ‌</w:t>
            </w:r>
            <w:r>
              <w:rPr>
                <w:rStyle w:val="IndexLink"/>
                <w:rtl w:val="true"/>
              </w:rPr>
              <w:tab/>
            </w:r>
            <w:r>
              <w:rPr>
                <w:rStyle w:val="IndexLink"/>
              </w:rPr>
              <w:t>116</w:t>
            </w:r>
          </w:hyperlink>
        </w:p>
        <w:p>
          <w:pPr>
            <w:pStyle w:val="Contents5"/>
            <w:tabs>
              <w:tab w:val="clear" w:pos="7892"/>
              <w:tab w:val="right" w:pos="9026" w:leader="dot"/>
            </w:tabs>
            <w:rPr/>
          </w:pPr>
          <w:hyperlink w:anchor="__RefHeading___Toc8039557_1280447820">
            <w:r>
              <w:rPr>
                <w:webHidden/>
                <w:rStyle w:val="IndexLink"/>
                <w:rtl w:val="true"/>
              </w:rPr>
              <w:t>عدم إجزاء أداء الصلاة مع تذكّر الفائتة</w:t>
            </w:r>
            <w:r>
              <w:rPr>
                <w:rStyle w:val="IndexLink"/>
                <w:rtl w:val="true"/>
              </w:rPr>
              <w:tab/>
            </w:r>
            <w:r>
              <w:rPr>
                <w:rStyle w:val="IndexLink"/>
              </w:rPr>
              <w:t>116</w:t>
            </w:r>
          </w:hyperlink>
        </w:p>
        <w:p>
          <w:pPr>
            <w:pStyle w:val="Contents5"/>
            <w:tabs>
              <w:tab w:val="clear" w:pos="7892"/>
              <w:tab w:val="right" w:pos="9026" w:leader="dot"/>
            </w:tabs>
            <w:rPr/>
          </w:pPr>
          <w:hyperlink w:anchor="__RefHeading___Toc8039559_1280447820">
            <w:r>
              <w:rPr>
                <w:webHidden/>
                <w:rStyle w:val="IndexLink"/>
                <w:rtl w:val="true"/>
              </w:rPr>
              <w:t>حكمُ مَن عليه صلواتٌ فائتةٌ كثيرةٌ‌</w:t>
            </w:r>
            <w:r>
              <w:rPr>
                <w:rStyle w:val="IndexLink"/>
                <w:rtl w:val="true"/>
              </w:rPr>
              <w:tab/>
            </w:r>
            <w:r>
              <w:rPr>
                <w:rStyle w:val="IndexLink"/>
              </w:rPr>
              <w:t>117</w:t>
            </w:r>
          </w:hyperlink>
        </w:p>
        <w:p>
          <w:pPr>
            <w:pStyle w:val="Contents4"/>
            <w:tabs>
              <w:tab w:val="clear" w:pos="8176"/>
              <w:tab w:val="right" w:pos="9026" w:leader="dot"/>
            </w:tabs>
            <w:rPr/>
          </w:pPr>
          <w:hyperlink w:anchor="__RefHeading___Toc8039561_1280447820">
            <w:r>
              <w:rPr>
                <w:webHidden/>
                <w:rStyle w:val="IndexLink"/>
                <w:rtl w:val="true"/>
              </w:rPr>
              <w:t>المَسألةُ الحاديةُ و العِشرونَ إ ثباتُ حُجّيّةِ إجماعِ الطائفةِ‌</w:t>
            </w:r>
            <w:r>
              <w:rPr>
                <w:rStyle w:val="IndexLink"/>
                <w:rtl w:val="true"/>
              </w:rPr>
              <w:tab/>
            </w:r>
            <w:r>
              <w:rPr>
                <w:rStyle w:val="IndexLink"/>
              </w:rPr>
              <w:t>120</w:t>
            </w:r>
          </w:hyperlink>
        </w:p>
        <w:p>
          <w:pPr>
            <w:pStyle w:val="Contents4"/>
            <w:tabs>
              <w:tab w:val="clear" w:pos="8176"/>
              <w:tab w:val="right" w:pos="9026" w:leader="dot"/>
            </w:tabs>
            <w:rPr/>
          </w:pPr>
          <w:hyperlink w:anchor="__RefHeading___Toc8039563_1280447820">
            <w:r>
              <w:rPr>
                <w:webHidden/>
                <w:rStyle w:val="IndexLink"/>
                <w:rtl w:val="true"/>
              </w:rPr>
              <w:t>المَسألةُ الثانيةُ و العشرونَ حُكمُ العاقدِ في الإحرامِ مع الجهلِ بالحكمِ‌</w:t>
            </w:r>
            <w:r>
              <w:rPr>
                <w:rStyle w:val="IndexLink"/>
                <w:rtl w:val="true"/>
              </w:rPr>
              <w:tab/>
            </w:r>
            <w:r>
              <w:rPr>
                <w:rStyle w:val="IndexLink"/>
              </w:rPr>
              <w:t>127</w:t>
            </w:r>
          </w:hyperlink>
        </w:p>
        <w:p>
          <w:pPr>
            <w:pStyle w:val="Contents4"/>
            <w:tabs>
              <w:tab w:val="clear" w:pos="8176"/>
              <w:tab w:val="right" w:pos="9026" w:leader="dot"/>
            </w:tabs>
            <w:rPr/>
          </w:pPr>
          <w:hyperlink w:anchor="__RefHeading___Toc8039565_1280447820">
            <w:r>
              <w:rPr>
                <w:webHidden/>
                <w:rStyle w:val="IndexLink"/>
                <w:rtl w:val="true"/>
              </w:rPr>
              <w:t>المَسألةُ الثالثةُ و العِشرونَ ما يَجوزُ قَتلُه مِن الحَيَوانِ المؤذي</w:t>
            </w:r>
            <w:r>
              <w:rPr>
                <w:rStyle w:val="IndexLink"/>
                <w:rtl w:val="true"/>
              </w:rPr>
              <w:tab/>
            </w:r>
            <w:r>
              <w:rPr>
                <w:rStyle w:val="IndexLink"/>
              </w:rPr>
              <w:t>129</w:t>
            </w:r>
          </w:hyperlink>
        </w:p>
        <w:p>
          <w:pPr>
            <w:pStyle w:val="Contents4"/>
            <w:tabs>
              <w:tab w:val="clear" w:pos="8176"/>
              <w:tab w:val="right" w:pos="9026" w:leader="dot"/>
            </w:tabs>
            <w:rPr/>
          </w:pPr>
          <w:hyperlink w:anchor="__RefHeading___Toc8039567_1280447820">
            <w:r>
              <w:rPr>
                <w:webHidden/>
                <w:rStyle w:val="IndexLink"/>
                <w:rtl w:val="true"/>
              </w:rPr>
              <w:t>المَسألةُ الرابعةُ و العِشرونَ بِرُّ الوالدَينِ الكافرَينِ أو الفاسقَينِ‌</w:t>
            </w:r>
            <w:r>
              <w:rPr>
                <w:rStyle w:val="IndexLink"/>
                <w:rtl w:val="true"/>
              </w:rPr>
              <w:tab/>
            </w:r>
            <w:r>
              <w:rPr>
                <w:rStyle w:val="IndexLink"/>
              </w:rPr>
              <w:t>133</w:t>
            </w:r>
          </w:hyperlink>
        </w:p>
        <w:p>
          <w:pPr>
            <w:pStyle w:val="Contents4"/>
            <w:tabs>
              <w:tab w:val="clear" w:pos="8176"/>
              <w:tab w:val="right" w:pos="9026" w:leader="dot"/>
            </w:tabs>
            <w:rPr/>
          </w:pPr>
          <w:hyperlink w:anchor="__RefHeading___Toc8039569_1280447820">
            <w:r>
              <w:rPr>
                <w:webHidden/>
                <w:rStyle w:val="IndexLink"/>
                <w:rtl w:val="true"/>
              </w:rPr>
              <w:t>المَسألةُ الخامسةُ و العِشرونَ حُكمُ المُنعِمِ الكافرِ</w:t>
            </w:r>
            <w:r>
              <w:rPr>
                <w:rStyle w:val="IndexLink"/>
                <w:rtl w:val="true"/>
              </w:rPr>
              <w:tab/>
            </w:r>
            <w:r>
              <w:rPr>
                <w:rStyle w:val="IndexLink"/>
              </w:rPr>
              <w:t>135</w:t>
            </w:r>
          </w:hyperlink>
        </w:p>
        <w:p>
          <w:pPr>
            <w:pStyle w:val="Contents4"/>
            <w:tabs>
              <w:tab w:val="clear" w:pos="8176"/>
              <w:tab w:val="right" w:pos="9026" w:leader="dot"/>
            </w:tabs>
            <w:rPr/>
          </w:pPr>
          <w:hyperlink w:anchor="__RefHeading___Toc8039571_1280447820">
            <w:r>
              <w:rPr>
                <w:webHidden/>
                <w:rStyle w:val="IndexLink"/>
                <w:rtl w:val="true"/>
              </w:rPr>
              <w:t>المَسألةُ السادسةُ و العِشرونَ أعواضُ الكافرِ في الآخرة</w:t>
            </w:r>
            <w:r>
              <w:rPr>
                <w:rStyle w:val="IndexLink"/>
                <w:rtl w:val="true"/>
              </w:rPr>
              <w:tab/>
            </w:r>
            <w:r>
              <w:rPr>
                <w:rStyle w:val="IndexLink"/>
              </w:rPr>
              <w:t>137</w:t>
            </w:r>
          </w:hyperlink>
        </w:p>
        <w:p>
          <w:pPr>
            <w:pStyle w:val="Contents4"/>
            <w:tabs>
              <w:tab w:val="clear" w:pos="8176"/>
              <w:tab w:val="right" w:pos="9026" w:leader="dot"/>
            </w:tabs>
            <w:rPr/>
          </w:pPr>
          <w:hyperlink w:anchor="__RefHeading___Toc8039573_1280447820">
            <w:r>
              <w:rPr>
                <w:webHidden/>
                <w:rStyle w:val="IndexLink"/>
                <w:rtl w:val="true"/>
              </w:rPr>
              <w:t>المَسألةُ السابعةُ و العِشرونَ حُكمُ العالِمِ بقَبائحِ غيرِه</w:t>
            </w:r>
            <w:r>
              <w:rPr>
                <w:rStyle w:val="IndexLink"/>
                <w:rtl w:val="true"/>
              </w:rPr>
              <w:tab/>
            </w:r>
            <w:r>
              <w:rPr>
                <w:rStyle w:val="IndexLink"/>
              </w:rPr>
              <w:t>139</w:t>
            </w:r>
          </w:hyperlink>
        </w:p>
        <w:p>
          <w:pPr>
            <w:pStyle w:val="Contents4"/>
            <w:tabs>
              <w:tab w:val="clear" w:pos="8176"/>
              <w:tab w:val="right" w:pos="9026" w:leader="dot"/>
            </w:tabs>
            <w:rPr/>
          </w:pPr>
          <w:hyperlink w:anchor="__RefHeading___Toc8039575_1280447820">
            <w:r>
              <w:rPr>
                <w:webHidden/>
                <w:rStyle w:val="IndexLink"/>
                <w:rtl w:val="true"/>
              </w:rPr>
              <w:t>المَسألةُ الثامنةُ و العِشرونَ معرفةُ الشُّهَداءِ و الأنبياءِ و الأوصياءِ بعاقبتِهم الحميدةِ لا يستلزم الإلجاءَ‌</w:t>
            </w:r>
            <w:r>
              <w:rPr>
                <w:rStyle w:val="IndexLink"/>
                <w:rtl w:val="true"/>
              </w:rPr>
              <w:tab/>
            </w:r>
            <w:r>
              <w:rPr>
                <w:rStyle w:val="IndexLink"/>
              </w:rPr>
              <w:t>141</w:t>
            </w:r>
          </w:hyperlink>
        </w:p>
        <w:p>
          <w:pPr>
            <w:pStyle w:val="Contents5"/>
            <w:tabs>
              <w:tab w:val="clear" w:pos="7892"/>
              <w:tab w:val="right" w:pos="9026" w:leader="dot"/>
            </w:tabs>
            <w:rPr/>
          </w:pPr>
          <w:hyperlink w:anchor="__RefHeading___Toc8039577_128044782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8039579_1280447820">
            <w:r>
              <w:rPr>
                <w:webHidden/>
                <w:rStyle w:val="IndexLink"/>
                <w:rtl w:val="true"/>
              </w:rPr>
              <w:t>الخاتِمةُ‌</w:t>
            </w:r>
            <w:r>
              <w:rPr>
                <w:rStyle w:val="IndexLink"/>
                <w:rtl w:val="true"/>
              </w:rPr>
              <w:tab/>
            </w:r>
            <w:r>
              <w:rPr>
                <w:rStyle w:val="IndexLink"/>
              </w:rPr>
              <w:t>143</w:t>
            </w:r>
          </w:hyperlink>
        </w:p>
        <w:p>
          <w:pPr>
            <w:pStyle w:val="Contents3"/>
            <w:tabs>
              <w:tab w:val="clear" w:pos="8459"/>
              <w:tab w:val="right" w:pos="9026" w:leader="dot"/>
            </w:tabs>
            <w:rPr/>
          </w:pPr>
          <w:hyperlink w:anchor="__RefHeading___Toc8039581_1280447820">
            <w:r>
              <w:rPr>
                <w:webHidden/>
                <w:rStyle w:val="IndexLink"/>
                <w:rtl w:val="true"/>
              </w:rPr>
              <w:t>(</w:t>
            </w:r>
            <w:r>
              <w:rPr>
                <w:rStyle w:val="IndexLink"/>
              </w:rPr>
              <w:t>76</w:t>
            </w:r>
            <w:r>
              <w:rPr>
                <w:rStyle w:val="IndexLink"/>
                <w:rtl w:val="true"/>
              </w:rPr>
              <w:t xml:space="preserve">) </w:t>
            </w:r>
            <w:r>
              <w:rPr>
                <w:rStyle w:val="IndexLink"/>
                <w:rtl w:val="true"/>
              </w:rPr>
              <w:t>جواباتُ المَسائلِ الرسّيّةِ الثانيةِ‌</w:t>
            </w:r>
            <w:r>
              <w:rPr>
                <w:rStyle w:val="IndexLink"/>
                <w:rtl w:val="true"/>
              </w:rPr>
              <w:tab/>
            </w:r>
            <w:r>
              <w:rPr>
                <w:rStyle w:val="IndexLink"/>
              </w:rPr>
              <w:t>145</w:t>
            </w:r>
          </w:hyperlink>
        </w:p>
        <w:p>
          <w:pPr>
            <w:pStyle w:val="Contents4"/>
            <w:tabs>
              <w:tab w:val="clear" w:pos="8176"/>
              <w:tab w:val="right" w:pos="9026" w:leader="dot"/>
            </w:tabs>
            <w:rPr/>
          </w:pPr>
          <w:hyperlink w:anchor="__RefHeading___Toc8039583_128044782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8039585_1280447820">
            <w:r>
              <w:rPr>
                <w:webHidden/>
                <w:rStyle w:val="IndexLink"/>
                <w:rtl w:val="true"/>
              </w:rPr>
              <w:t>مقدّمة التحقيق</w:t>
            </w:r>
            <w:r>
              <w:rPr>
                <w:rStyle w:val="IndexLink"/>
                <w:rtl w:val="true"/>
              </w:rPr>
              <w:tab/>
            </w:r>
            <w:r>
              <w:rPr>
                <w:rStyle w:val="IndexLink"/>
              </w:rPr>
              <w:t>147</w:t>
            </w:r>
          </w:hyperlink>
        </w:p>
        <w:p>
          <w:pPr>
            <w:pStyle w:val="Contents5"/>
            <w:tabs>
              <w:tab w:val="clear" w:pos="7892"/>
              <w:tab w:val="right" w:pos="9026" w:leader="dot"/>
            </w:tabs>
            <w:rPr/>
          </w:pPr>
          <w:hyperlink w:anchor="__RefHeading___Toc8039587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8039589_1280447820">
            <w:r>
              <w:rPr>
                <w:webHidden/>
                <w:rStyle w:val="IndexLink"/>
                <w:rtl w:val="true"/>
              </w:rPr>
              <w:t>نسبتها إلى المؤلّف و تاريخها</w:t>
            </w:r>
            <w:r>
              <w:rPr>
                <w:rStyle w:val="IndexLink"/>
                <w:rtl w:val="true"/>
              </w:rPr>
              <w:tab/>
            </w:r>
            <w:r>
              <w:rPr>
                <w:rStyle w:val="IndexLink"/>
              </w:rPr>
              <w:t>148</w:t>
            </w:r>
          </w:hyperlink>
        </w:p>
        <w:p>
          <w:pPr>
            <w:pStyle w:val="Contents5"/>
            <w:tabs>
              <w:tab w:val="clear" w:pos="7892"/>
              <w:tab w:val="right" w:pos="9026" w:leader="dot"/>
            </w:tabs>
            <w:rPr/>
          </w:pPr>
          <w:hyperlink w:anchor="__RefHeading___Toc8039591_1280447820">
            <w:r>
              <w:rPr>
                <w:webHidden/>
                <w:rStyle w:val="IndexLink"/>
                <w:rtl w:val="true"/>
              </w:rPr>
              <w:t>مخطوطات الرسالة</w:t>
            </w:r>
            <w:r>
              <w:rPr>
                <w:rStyle w:val="IndexLink"/>
                <w:rtl w:val="true"/>
              </w:rPr>
              <w:tab/>
            </w:r>
            <w:r>
              <w:rPr>
                <w:rStyle w:val="IndexLink"/>
              </w:rPr>
              <w:t>148</w:t>
            </w:r>
          </w:hyperlink>
        </w:p>
        <w:p>
          <w:pPr>
            <w:pStyle w:val="Contents6"/>
            <w:tabs>
              <w:tab w:val="clear" w:pos="7609"/>
              <w:tab w:val="right" w:pos="9026" w:leader="dot"/>
            </w:tabs>
            <w:rPr/>
          </w:pPr>
          <w:hyperlink w:anchor="__RefHeading___Toc8039593_1280447820">
            <w:r>
              <w:rPr>
                <w:webHidden/>
                <w:rStyle w:val="IndexLink"/>
                <w:rtl w:val="true"/>
              </w:rPr>
              <w:t>ألف</w:t>
            </w:r>
            <w:r>
              <w:rPr>
                <w:rStyle w:val="IndexLink"/>
                <w:rtl w:val="true"/>
              </w:rPr>
              <w:t xml:space="preserve">) </w:t>
            </w:r>
            <w:r>
              <w:rPr>
                <w:rStyle w:val="IndexLink"/>
                <w:rtl w:val="true"/>
              </w:rPr>
              <w:t>النسخ المعتمدة</w:t>
            </w:r>
            <w:r>
              <w:rPr>
                <w:rStyle w:val="IndexLink"/>
                <w:rtl w:val="true"/>
              </w:rPr>
              <w:t>:</w:t>
              <w:tab/>
            </w:r>
            <w:r>
              <w:rPr>
                <w:rStyle w:val="IndexLink"/>
              </w:rPr>
              <w:t>148</w:t>
            </w:r>
          </w:hyperlink>
        </w:p>
        <w:p>
          <w:pPr>
            <w:pStyle w:val="Contents6"/>
            <w:tabs>
              <w:tab w:val="clear" w:pos="7609"/>
              <w:tab w:val="right" w:pos="9026" w:leader="dot"/>
            </w:tabs>
            <w:rPr/>
          </w:pPr>
          <w:hyperlink w:anchor="__RefHeading___Toc8039595_1280447820">
            <w:r>
              <w:rPr>
                <w:webHidden/>
                <w:rStyle w:val="IndexLink"/>
                <w:rtl w:val="true"/>
              </w:rPr>
              <w:t>ب</w:t>
            </w:r>
            <w:r>
              <w:rPr>
                <w:rStyle w:val="IndexLink"/>
                <w:rtl w:val="true"/>
              </w:rPr>
              <w:t xml:space="preserve">) </w:t>
            </w:r>
            <w:r>
              <w:rPr>
                <w:rStyle w:val="IndexLink"/>
                <w:rtl w:val="true"/>
              </w:rPr>
              <w:t>سائر النسخ</w:t>
            </w:r>
            <w:r>
              <w:rPr>
                <w:rStyle w:val="IndexLink"/>
                <w:rtl w:val="true"/>
              </w:rPr>
              <w:t>:</w:t>
              <w:tab/>
            </w:r>
            <w:r>
              <w:rPr>
                <w:rStyle w:val="IndexLink"/>
              </w:rPr>
              <w:t>148</w:t>
            </w:r>
          </w:hyperlink>
        </w:p>
        <w:p>
          <w:pPr>
            <w:pStyle w:val="Contents4"/>
            <w:tabs>
              <w:tab w:val="clear" w:pos="8176"/>
              <w:tab w:val="right" w:pos="9026" w:leader="dot"/>
            </w:tabs>
            <w:rPr/>
          </w:pPr>
          <w:hyperlink w:anchor="__RefHeading___Toc8039597_1280447820">
            <w:r>
              <w:rPr>
                <w:webHidden/>
                <w:rStyle w:val="IndexLink"/>
                <w:rtl w:val="true"/>
              </w:rPr>
              <w:t>جواباتُ المَسائلِ الرسّيّةِ الثانيةِ‌</w:t>
            </w:r>
            <w:r>
              <w:rPr>
                <w:rStyle w:val="IndexLink"/>
                <w:rtl w:val="true"/>
              </w:rPr>
              <w:tab/>
            </w:r>
            <w:r>
              <w:rPr>
                <w:rStyle w:val="IndexLink"/>
              </w:rPr>
              <w:t>151</w:t>
            </w:r>
          </w:hyperlink>
        </w:p>
        <w:p>
          <w:pPr>
            <w:pStyle w:val="Contents5"/>
            <w:tabs>
              <w:tab w:val="clear" w:pos="7892"/>
              <w:tab w:val="right" w:pos="9026" w:leader="dot"/>
            </w:tabs>
            <w:rPr/>
          </w:pPr>
          <w:hyperlink w:anchor="__RefHeading___Toc8039599_1280447820">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8039601_1280447820">
            <w:r>
              <w:rPr>
                <w:webHidden/>
                <w:rStyle w:val="IndexLink"/>
                <w:rtl w:val="true"/>
              </w:rPr>
              <w:t>المسألةُ الأُولىٰ سُقوطُ القَضاءِ بَعدَ الوقتِ عمّن صَلّىٰ تَماماً في مَوضِعِ القَصرِ</w:t>
            </w:r>
            <w:r>
              <w:rPr>
                <w:rStyle w:val="IndexLink"/>
                <w:rtl w:val="true"/>
              </w:rPr>
              <w:tab/>
            </w:r>
            <w:r>
              <w:rPr>
                <w:rStyle w:val="IndexLink"/>
              </w:rPr>
              <w:t>151</w:t>
            </w:r>
          </w:hyperlink>
        </w:p>
        <w:p>
          <w:pPr>
            <w:pStyle w:val="Contents5"/>
            <w:tabs>
              <w:tab w:val="clear" w:pos="7892"/>
              <w:tab w:val="right" w:pos="9026" w:leader="dot"/>
            </w:tabs>
            <w:rPr/>
          </w:pPr>
          <w:hyperlink w:anchor="__RefHeading___Toc8039603_1280447820">
            <w:r>
              <w:rPr>
                <w:webHidden/>
                <w:rStyle w:val="IndexLink"/>
                <w:rtl w:val="true"/>
              </w:rPr>
              <w:t>المسألةُ الثانيةُ جوازُ تجديدِ نيّةِ الصومِ بَعدَ مُضيِّ شَطرِ النهارِ</w:t>
            </w:r>
            <w:r>
              <w:rPr>
                <w:rStyle w:val="IndexLink"/>
                <w:rtl w:val="true"/>
              </w:rPr>
              <w:tab/>
            </w:r>
            <w:r>
              <w:rPr>
                <w:rStyle w:val="IndexLink"/>
              </w:rPr>
              <w:t>153</w:t>
            </w:r>
          </w:hyperlink>
        </w:p>
        <w:p>
          <w:pPr>
            <w:pStyle w:val="Contents5"/>
            <w:tabs>
              <w:tab w:val="clear" w:pos="7892"/>
              <w:tab w:val="right" w:pos="9026" w:leader="dot"/>
            </w:tabs>
            <w:rPr/>
          </w:pPr>
          <w:hyperlink w:anchor="__RefHeading___Toc8039605_1280447820">
            <w:r>
              <w:rPr>
                <w:webHidden/>
                <w:rStyle w:val="IndexLink"/>
                <w:rtl w:val="true"/>
              </w:rPr>
              <w:t>المسألةُ الثالثةُ أحكامُ الصلَواتِ المفروضاتِ غيرِ الصلواتِ الخمسِ‌</w:t>
            </w:r>
            <w:r>
              <w:rPr>
                <w:rStyle w:val="IndexLink"/>
                <w:rtl w:val="true"/>
              </w:rPr>
              <w:tab/>
            </w:r>
            <w:r>
              <w:rPr>
                <w:rStyle w:val="IndexLink"/>
              </w:rPr>
              <w:t>155</w:t>
            </w:r>
          </w:hyperlink>
        </w:p>
        <w:p>
          <w:pPr>
            <w:pStyle w:val="Contents5"/>
            <w:tabs>
              <w:tab w:val="clear" w:pos="7892"/>
              <w:tab w:val="right" w:pos="9026" w:leader="dot"/>
            </w:tabs>
            <w:rPr/>
          </w:pPr>
          <w:hyperlink w:anchor="__RefHeading___Toc8039607_1280447820">
            <w:r>
              <w:rPr>
                <w:webHidden/>
                <w:rStyle w:val="IndexLink"/>
                <w:rtl w:val="true"/>
              </w:rPr>
              <w:t>المسألةُ الرابعةُ حُكمُ اللاحِنِ في القِراءةِ في الصلاةِ‌</w:t>
            </w:r>
            <w:r>
              <w:rPr>
                <w:rStyle w:val="IndexLink"/>
                <w:rtl w:val="true"/>
              </w:rPr>
              <w:tab/>
            </w:r>
            <w:r>
              <w:rPr>
                <w:rStyle w:val="IndexLink"/>
              </w:rPr>
              <w:t>157</w:t>
            </w:r>
          </w:hyperlink>
        </w:p>
        <w:p>
          <w:pPr>
            <w:pStyle w:val="Contents5"/>
            <w:tabs>
              <w:tab w:val="clear" w:pos="7892"/>
              <w:tab w:val="right" w:pos="9026" w:leader="dot"/>
            </w:tabs>
            <w:rPr/>
          </w:pPr>
          <w:hyperlink w:anchor="__RefHeading___Toc8039609_1280447820">
            <w:r>
              <w:rPr>
                <w:webHidden/>
                <w:rStyle w:val="IndexLink"/>
                <w:rtl w:val="true"/>
              </w:rPr>
              <w:t>المسألةُ الخامسةُ هَل يَدُلُّ الكلامُ المُرتَّبُ المُتَّسِقُ علىٰ كَونِ فاعلِه عالِماً؟</w:t>
            </w:r>
            <w:r>
              <w:rPr>
                <w:rStyle w:val="IndexLink"/>
                <w:rtl w:val="true"/>
              </w:rPr>
              <w:tab/>
            </w:r>
            <w:r>
              <w:rPr>
                <w:rStyle w:val="IndexLink"/>
              </w:rPr>
              <w:t>159</w:t>
            </w:r>
          </w:hyperlink>
        </w:p>
        <w:p>
          <w:pPr>
            <w:pStyle w:val="Contents3"/>
            <w:tabs>
              <w:tab w:val="clear" w:pos="8459"/>
              <w:tab w:val="right" w:pos="9026" w:leader="dot"/>
            </w:tabs>
            <w:rPr/>
          </w:pPr>
          <w:hyperlink w:anchor="__RefHeading___Toc8039611_1280447820">
            <w:r>
              <w:rPr>
                <w:webHidden/>
                <w:rStyle w:val="IndexLink"/>
                <w:rtl w:val="true"/>
              </w:rPr>
              <w:t>(</w:t>
            </w:r>
            <w:r>
              <w:rPr>
                <w:rStyle w:val="IndexLink"/>
              </w:rPr>
              <w:t>77</w:t>
            </w:r>
            <w:r>
              <w:rPr>
                <w:rStyle w:val="IndexLink"/>
                <w:rtl w:val="true"/>
              </w:rPr>
              <w:t xml:space="preserve">) </w:t>
            </w:r>
            <w:r>
              <w:rPr>
                <w:rStyle w:val="IndexLink"/>
                <w:rtl w:val="true"/>
              </w:rPr>
              <w:t>جواباتُ المَسائلِ المَوصِليّاتِ الثانيةِ‌</w:t>
            </w:r>
            <w:r>
              <w:rPr>
                <w:rStyle w:val="IndexLink"/>
                <w:rtl w:val="true"/>
              </w:rPr>
              <w:tab/>
            </w:r>
            <w:r>
              <w:rPr>
                <w:rStyle w:val="IndexLink"/>
              </w:rPr>
              <w:t>165</w:t>
            </w:r>
          </w:hyperlink>
        </w:p>
        <w:p>
          <w:pPr>
            <w:pStyle w:val="Contents4"/>
            <w:tabs>
              <w:tab w:val="clear" w:pos="8176"/>
              <w:tab w:val="right" w:pos="9026" w:leader="dot"/>
            </w:tabs>
            <w:rPr/>
          </w:pPr>
          <w:hyperlink w:anchor="__RefHeading___Toc8039613_12804478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8039615_1280447820">
            <w:r>
              <w:rPr>
                <w:webHidden/>
                <w:rStyle w:val="IndexLink"/>
                <w:rtl w:val="true"/>
              </w:rPr>
              <w:t>مقدّمة التحقيق</w:t>
            </w:r>
            <w:r>
              <w:rPr>
                <w:rStyle w:val="IndexLink"/>
                <w:rtl w:val="true"/>
              </w:rPr>
              <w:tab/>
            </w:r>
            <w:r>
              <w:rPr>
                <w:rStyle w:val="IndexLink"/>
              </w:rPr>
              <w:t>167</w:t>
            </w:r>
          </w:hyperlink>
        </w:p>
        <w:p>
          <w:pPr>
            <w:pStyle w:val="Contents5"/>
            <w:tabs>
              <w:tab w:val="clear" w:pos="7892"/>
              <w:tab w:val="right" w:pos="9026" w:leader="dot"/>
            </w:tabs>
            <w:rPr/>
          </w:pPr>
          <w:hyperlink w:anchor="__RefHeading___Toc8039617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8039619_1280447820">
            <w:r>
              <w:rPr>
                <w:webHidden/>
                <w:rStyle w:val="IndexLink"/>
                <w:rtl w:val="true"/>
              </w:rPr>
              <w:t>عنوان الرسالة و نسبتها إلى المؤلف</w:t>
            </w:r>
            <w:r>
              <w:rPr>
                <w:rStyle w:val="IndexLink"/>
                <w:rtl w:val="true"/>
              </w:rPr>
              <w:tab/>
            </w:r>
            <w:r>
              <w:rPr>
                <w:rStyle w:val="IndexLink"/>
              </w:rPr>
              <w:t>169</w:t>
            </w:r>
          </w:hyperlink>
        </w:p>
        <w:p>
          <w:pPr>
            <w:pStyle w:val="Contents5"/>
            <w:tabs>
              <w:tab w:val="clear" w:pos="7892"/>
              <w:tab w:val="right" w:pos="9026" w:leader="dot"/>
            </w:tabs>
            <w:rPr/>
          </w:pPr>
          <w:hyperlink w:anchor="__RefHeading___Toc8039621_1280447820">
            <w:r>
              <w:rPr>
                <w:webHidden/>
                <w:rStyle w:val="IndexLink"/>
                <w:rtl w:val="true"/>
              </w:rPr>
              <w:t>مخطوطات الرسالة</w:t>
            </w:r>
            <w:r>
              <w:rPr>
                <w:rStyle w:val="IndexLink"/>
                <w:rtl w:val="true"/>
              </w:rPr>
              <w:tab/>
            </w:r>
            <w:r>
              <w:rPr>
                <w:rStyle w:val="IndexLink"/>
              </w:rPr>
              <w:t>172</w:t>
            </w:r>
          </w:hyperlink>
        </w:p>
        <w:p>
          <w:pPr>
            <w:pStyle w:val="Contents6"/>
            <w:tabs>
              <w:tab w:val="clear" w:pos="7609"/>
              <w:tab w:val="right" w:pos="9026" w:leader="dot"/>
            </w:tabs>
            <w:rPr/>
          </w:pPr>
          <w:hyperlink w:anchor="__RefHeading___Toc8039623_1280447820">
            <w:r>
              <w:rPr>
                <w:webHidden/>
                <w:rStyle w:val="IndexLink"/>
                <w:rtl w:val="true"/>
              </w:rPr>
              <w:t>ألف</w:t>
            </w:r>
            <w:r>
              <w:rPr>
                <w:rStyle w:val="IndexLink"/>
                <w:rtl w:val="true"/>
              </w:rPr>
              <w:t xml:space="preserve">) </w:t>
            </w:r>
            <w:r>
              <w:rPr>
                <w:rStyle w:val="IndexLink"/>
                <w:rtl w:val="true"/>
              </w:rPr>
              <w:t>النسخ المعتمدة</w:t>
            </w:r>
            <w:r>
              <w:rPr>
                <w:rStyle w:val="IndexLink"/>
                <w:rtl w:val="true"/>
              </w:rPr>
              <w:t>:</w:t>
              <w:tab/>
            </w:r>
            <w:r>
              <w:rPr>
                <w:rStyle w:val="IndexLink"/>
              </w:rPr>
              <w:t>172</w:t>
            </w:r>
          </w:hyperlink>
        </w:p>
        <w:p>
          <w:pPr>
            <w:pStyle w:val="Contents6"/>
            <w:tabs>
              <w:tab w:val="clear" w:pos="7609"/>
              <w:tab w:val="right" w:pos="9026" w:leader="dot"/>
            </w:tabs>
            <w:rPr/>
          </w:pPr>
          <w:hyperlink w:anchor="__RefHeading___Toc8039625_1280447820">
            <w:r>
              <w:rPr>
                <w:webHidden/>
                <w:rStyle w:val="IndexLink"/>
                <w:rtl w:val="true"/>
              </w:rPr>
              <w:t>ب</w:t>
            </w:r>
            <w:r>
              <w:rPr>
                <w:rStyle w:val="IndexLink"/>
                <w:rtl w:val="true"/>
              </w:rPr>
              <w:t xml:space="preserve">) </w:t>
            </w:r>
            <w:r>
              <w:rPr>
                <w:rStyle w:val="IndexLink"/>
                <w:rtl w:val="true"/>
              </w:rPr>
              <w:t>سائر النسخ</w:t>
            </w:r>
            <w:r>
              <w:rPr>
                <w:rStyle w:val="IndexLink"/>
                <w:rtl w:val="true"/>
              </w:rPr>
              <w:t>:</w:t>
              <w:tab/>
            </w:r>
            <w:r>
              <w:rPr>
                <w:rStyle w:val="IndexLink"/>
              </w:rPr>
              <w:t>173</w:t>
            </w:r>
          </w:hyperlink>
        </w:p>
        <w:p>
          <w:pPr>
            <w:pStyle w:val="Contents4"/>
            <w:tabs>
              <w:tab w:val="clear" w:pos="8176"/>
              <w:tab w:val="right" w:pos="9026" w:leader="dot"/>
            </w:tabs>
            <w:rPr/>
          </w:pPr>
          <w:hyperlink w:anchor="__RefHeading___Toc8039627_1280447820">
            <w:r>
              <w:rPr>
                <w:webHidden/>
                <w:rStyle w:val="IndexLink"/>
                <w:rtl w:val="true"/>
              </w:rPr>
              <w:t>جواباتُ المَسائلِ المَوصِليّاتِ الثانيةِ‌</w:t>
            </w:r>
            <w:r>
              <w:rPr>
                <w:rStyle w:val="IndexLink"/>
                <w:rtl w:val="true"/>
              </w:rPr>
              <w:tab/>
            </w:r>
            <w:r>
              <w:rPr>
                <w:rStyle w:val="IndexLink"/>
              </w:rPr>
              <w:t>175</w:t>
            </w:r>
          </w:hyperlink>
        </w:p>
        <w:p>
          <w:pPr>
            <w:pStyle w:val="Contents5"/>
            <w:tabs>
              <w:tab w:val="clear" w:pos="7892"/>
              <w:tab w:val="right" w:pos="9026" w:leader="dot"/>
            </w:tabs>
            <w:rPr/>
          </w:pPr>
          <w:hyperlink w:anchor="__RefHeading___Toc8039629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8039631_1280447820">
            <w:r>
              <w:rPr>
                <w:webHidden/>
                <w:rStyle w:val="IndexLink"/>
                <w:rtl w:val="true"/>
              </w:rPr>
              <w:t>المقدِّمة</w:t>
            </w:r>
            <w:r>
              <w:rPr>
                <w:rStyle w:val="IndexLink"/>
                <w:rtl w:val="true"/>
              </w:rPr>
              <w:tab/>
            </w:r>
            <w:r>
              <w:rPr>
                <w:rStyle w:val="IndexLink"/>
              </w:rPr>
              <w:t>175</w:t>
            </w:r>
          </w:hyperlink>
        </w:p>
        <w:p>
          <w:pPr>
            <w:pStyle w:val="Contents5"/>
            <w:tabs>
              <w:tab w:val="clear" w:pos="7892"/>
              <w:tab w:val="right" w:pos="9026" w:leader="dot"/>
            </w:tabs>
            <w:rPr/>
          </w:pPr>
          <w:hyperlink w:anchor="__RefHeading___Toc8039633_1280447820">
            <w:r>
              <w:rPr>
                <w:webHidden/>
                <w:rStyle w:val="IndexLink"/>
                <w:rtl w:val="true"/>
              </w:rPr>
              <w:t>المَسألةُ الأُولىٰ حُكمُ المَذيِ و الوَديِ‌</w:t>
            </w:r>
            <w:r>
              <w:rPr>
                <w:rStyle w:val="IndexLink"/>
                <w:rtl w:val="true"/>
              </w:rPr>
              <w:tab/>
            </w:r>
            <w:r>
              <w:rPr>
                <w:rStyle w:val="IndexLink"/>
              </w:rPr>
              <w:t>177</w:t>
            </w:r>
          </w:hyperlink>
        </w:p>
        <w:p>
          <w:pPr>
            <w:pStyle w:val="Contents5"/>
            <w:tabs>
              <w:tab w:val="clear" w:pos="7892"/>
              <w:tab w:val="right" w:pos="9026" w:leader="dot"/>
            </w:tabs>
            <w:rPr/>
          </w:pPr>
          <w:hyperlink w:anchor="__RefHeading___Toc8039635_1280447820">
            <w:r>
              <w:rPr>
                <w:webHidden/>
                <w:rStyle w:val="IndexLink"/>
                <w:rtl w:val="true"/>
              </w:rPr>
              <w:t>المَسألةُ الثانيةُ أكثَرُ النِّفاسِ و أقَلُّه</w:t>
            </w:r>
            <w:r>
              <w:rPr>
                <w:rStyle w:val="IndexLink"/>
                <w:rtl w:val="true"/>
              </w:rPr>
              <w:tab/>
            </w:r>
            <w:r>
              <w:rPr>
                <w:rStyle w:val="IndexLink"/>
              </w:rPr>
              <w:t>180</w:t>
            </w:r>
          </w:hyperlink>
        </w:p>
        <w:p>
          <w:pPr>
            <w:pStyle w:val="Contents5"/>
            <w:tabs>
              <w:tab w:val="clear" w:pos="7892"/>
              <w:tab w:val="right" w:pos="9026" w:leader="dot"/>
            </w:tabs>
            <w:rPr/>
          </w:pPr>
          <w:hyperlink w:anchor="__RefHeading___Toc8039637_1280447820">
            <w:r>
              <w:rPr>
                <w:webHidden/>
                <w:rStyle w:val="IndexLink"/>
                <w:rtl w:val="true"/>
              </w:rPr>
              <w:t>المسألةُ الثالثةُ كَراهةُ السُّجودِ علَى الثَّوبِ المنسوجِ‌</w:t>
            </w:r>
            <w:r>
              <w:rPr>
                <w:rStyle w:val="IndexLink"/>
                <w:rtl w:val="true"/>
              </w:rPr>
              <w:tab/>
            </w:r>
            <w:r>
              <w:rPr>
                <w:rStyle w:val="IndexLink"/>
              </w:rPr>
              <w:t>184</w:t>
            </w:r>
          </w:hyperlink>
        </w:p>
        <w:p>
          <w:pPr>
            <w:pStyle w:val="Contents5"/>
            <w:tabs>
              <w:tab w:val="clear" w:pos="7892"/>
              <w:tab w:val="right" w:pos="9026" w:leader="dot"/>
            </w:tabs>
            <w:rPr/>
          </w:pPr>
          <w:hyperlink w:anchor="__RefHeading___Toc8039639_1280447820">
            <w:r>
              <w:rPr>
                <w:webHidden/>
                <w:rStyle w:val="IndexLink"/>
                <w:rtl w:val="true"/>
              </w:rPr>
              <w:t>المَسألةُ الرابِعةُ مَسائلُ في الشُّفعةِ‌</w:t>
            </w:r>
            <w:r>
              <w:rPr>
                <w:rStyle w:val="IndexLink"/>
                <w:rtl w:val="true"/>
              </w:rPr>
              <w:tab/>
            </w:r>
            <w:r>
              <w:rPr>
                <w:rStyle w:val="IndexLink"/>
              </w:rPr>
              <w:t>186</w:t>
            </w:r>
          </w:hyperlink>
        </w:p>
        <w:p>
          <w:pPr>
            <w:pStyle w:val="Contents5"/>
            <w:tabs>
              <w:tab w:val="clear" w:pos="7892"/>
              <w:tab w:val="right" w:pos="9026" w:leader="dot"/>
            </w:tabs>
            <w:rPr/>
          </w:pPr>
          <w:hyperlink w:anchor="__RefHeading___Toc8039641_1280447820">
            <w:r>
              <w:rPr>
                <w:webHidden/>
                <w:rStyle w:val="IndexLink"/>
                <w:rtl w:val="true"/>
              </w:rPr>
              <w:t>المَسألةُ الخامسةُ مَن لا رِبا بَينَهما</w:t>
            </w:r>
            <w:r>
              <w:rPr>
                <w:rStyle w:val="IndexLink"/>
                <w:rtl w:val="true"/>
              </w:rPr>
              <w:tab/>
            </w:r>
            <w:r>
              <w:rPr>
                <w:rStyle w:val="IndexLink"/>
              </w:rPr>
              <w:t>193</w:t>
            </w:r>
          </w:hyperlink>
        </w:p>
        <w:p>
          <w:pPr>
            <w:pStyle w:val="Contents5"/>
            <w:tabs>
              <w:tab w:val="clear" w:pos="7892"/>
              <w:tab w:val="right" w:pos="9026" w:leader="dot"/>
            </w:tabs>
            <w:rPr/>
          </w:pPr>
          <w:hyperlink w:anchor="__RefHeading___Toc8039643_1280447820">
            <w:r>
              <w:rPr>
                <w:webHidden/>
                <w:rStyle w:val="IndexLink"/>
                <w:rtl w:val="true"/>
              </w:rPr>
              <w:t>المَسألةُ السادسةُ عِدّةُ الحاملِ‌</w:t>
            </w:r>
            <w:r>
              <w:rPr>
                <w:rStyle w:val="IndexLink"/>
                <w:rtl w:val="true"/>
              </w:rPr>
              <w:tab/>
            </w:r>
            <w:r>
              <w:rPr>
                <w:rStyle w:val="IndexLink"/>
              </w:rPr>
              <w:t>200</w:t>
            </w:r>
          </w:hyperlink>
        </w:p>
        <w:p>
          <w:pPr>
            <w:pStyle w:val="Contents5"/>
            <w:tabs>
              <w:tab w:val="clear" w:pos="7892"/>
              <w:tab w:val="right" w:pos="9026" w:leader="dot"/>
            </w:tabs>
            <w:rPr/>
          </w:pPr>
          <w:hyperlink w:anchor="__RefHeading___Toc8039645_1280447820">
            <w:r>
              <w:rPr>
                <w:webHidden/>
                <w:rStyle w:val="IndexLink"/>
                <w:rtl w:val="true"/>
              </w:rPr>
              <w:t>المسألةُ السابعةُ أقَلُّ مُدّةِ الحَملِ و أكثَرُها</w:t>
            </w:r>
            <w:r>
              <w:rPr>
                <w:rStyle w:val="IndexLink"/>
                <w:rtl w:val="true"/>
              </w:rPr>
              <w:tab/>
            </w:r>
            <w:r>
              <w:rPr>
                <w:rStyle w:val="IndexLink"/>
              </w:rPr>
              <w:t>207</w:t>
            </w:r>
          </w:hyperlink>
        </w:p>
        <w:p>
          <w:pPr>
            <w:pStyle w:val="Contents5"/>
            <w:tabs>
              <w:tab w:val="clear" w:pos="7892"/>
              <w:tab w:val="right" w:pos="9026" w:leader="dot"/>
            </w:tabs>
            <w:rPr/>
          </w:pPr>
          <w:hyperlink w:anchor="__RefHeading___Toc8039647_1280447820">
            <w:r>
              <w:rPr>
                <w:webHidden/>
                <w:rStyle w:val="IndexLink"/>
                <w:rtl w:val="true"/>
              </w:rPr>
              <w:t>المسألةُ الثامِنةُ حُكمُ المُطلَّقةِ في مرضِ بَعلِها</w:t>
            </w:r>
            <w:r>
              <w:rPr>
                <w:rStyle w:val="IndexLink"/>
                <w:rtl w:val="true"/>
              </w:rPr>
              <w:tab/>
            </w:r>
            <w:r>
              <w:rPr>
                <w:rStyle w:val="IndexLink"/>
              </w:rPr>
              <w:t>211</w:t>
            </w:r>
          </w:hyperlink>
        </w:p>
        <w:p>
          <w:pPr>
            <w:pStyle w:val="Contents5"/>
            <w:tabs>
              <w:tab w:val="clear" w:pos="7892"/>
              <w:tab w:val="right" w:pos="9026" w:leader="dot"/>
            </w:tabs>
            <w:rPr/>
          </w:pPr>
          <w:hyperlink w:anchor="__RefHeading___Toc8039649_1280447820">
            <w:r>
              <w:rPr>
                <w:webHidden/>
                <w:rStyle w:val="IndexLink"/>
                <w:rtl w:val="true"/>
              </w:rPr>
              <w:t>المَسألةُ التاسعةُ حُكمُ عِتقِ عَبدِ المُكاتَبِ و توريثِه</w:t>
            </w:r>
            <w:r>
              <w:rPr>
                <w:rStyle w:val="IndexLink"/>
                <w:rtl w:val="true"/>
              </w:rPr>
              <w:tab/>
            </w:r>
            <w:r>
              <w:rPr>
                <w:rStyle w:val="IndexLink"/>
              </w:rPr>
              <w:t>214</w:t>
            </w:r>
          </w:hyperlink>
        </w:p>
        <w:p>
          <w:pPr>
            <w:pStyle w:val="Contents3"/>
            <w:tabs>
              <w:tab w:val="clear" w:pos="8459"/>
              <w:tab w:val="right" w:pos="9026" w:leader="dot"/>
            </w:tabs>
            <w:rPr/>
          </w:pPr>
          <w:hyperlink w:anchor="__RefHeading___Toc8039651_1280447820">
            <w:r>
              <w:rPr>
                <w:webHidden/>
                <w:rStyle w:val="IndexLink"/>
                <w:rtl w:val="true"/>
              </w:rPr>
              <w:t>(</w:t>
            </w:r>
            <w:r>
              <w:rPr>
                <w:rStyle w:val="IndexLink"/>
              </w:rPr>
              <w:t>78</w:t>
            </w:r>
            <w:r>
              <w:rPr>
                <w:rStyle w:val="IndexLink"/>
                <w:rtl w:val="true"/>
              </w:rPr>
              <w:t xml:space="preserve">) </w:t>
            </w:r>
            <w:r>
              <w:rPr>
                <w:rStyle w:val="IndexLink"/>
                <w:rtl w:val="true"/>
              </w:rPr>
              <w:t>جَواباتُ المَسائلِ المَوصِليّاتِ الثالِثةِ‌</w:t>
            </w:r>
            <w:r>
              <w:rPr>
                <w:rStyle w:val="IndexLink"/>
                <w:rtl w:val="true"/>
              </w:rPr>
              <w:tab/>
            </w:r>
            <w:r>
              <w:rPr>
                <w:rStyle w:val="IndexLink"/>
              </w:rPr>
              <w:t>217</w:t>
            </w:r>
          </w:hyperlink>
        </w:p>
        <w:p>
          <w:pPr>
            <w:pStyle w:val="Contents4"/>
            <w:tabs>
              <w:tab w:val="clear" w:pos="8176"/>
              <w:tab w:val="right" w:pos="9026" w:leader="dot"/>
            </w:tabs>
            <w:rPr/>
          </w:pPr>
          <w:hyperlink w:anchor="__RefHeading___Toc8039653_1280447820">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8039655_1280447820">
            <w:r>
              <w:rPr>
                <w:webHidden/>
                <w:rStyle w:val="IndexLink"/>
                <w:rtl w:val="true"/>
              </w:rPr>
              <w:t>مقدّمة التحقيق</w:t>
            </w:r>
            <w:r>
              <w:rPr>
                <w:rStyle w:val="IndexLink"/>
                <w:rtl w:val="true"/>
              </w:rPr>
              <w:tab/>
            </w:r>
            <w:r>
              <w:rPr>
                <w:rStyle w:val="IndexLink"/>
              </w:rPr>
              <w:t>219</w:t>
            </w:r>
          </w:hyperlink>
        </w:p>
        <w:p>
          <w:pPr>
            <w:pStyle w:val="Contents5"/>
            <w:tabs>
              <w:tab w:val="clear" w:pos="7892"/>
              <w:tab w:val="right" w:pos="9026" w:leader="dot"/>
            </w:tabs>
            <w:rPr/>
          </w:pPr>
          <w:hyperlink w:anchor="__RefHeading___Toc8039657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8039659_1280447820">
            <w:r>
              <w:rPr>
                <w:webHidden/>
                <w:rStyle w:val="IndexLink"/>
                <w:rtl w:val="true"/>
              </w:rPr>
              <w:t xml:space="preserve">بين الموصليّات الثالثة و كتاب </w:t>
            </w:r>
            <w:r>
              <w:rPr>
                <w:rStyle w:val="IndexLink"/>
                <w:rtl w:val="true"/>
              </w:rPr>
              <w:t>«</w:t>
            </w:r>
            <w:r>
              <w:rPr>
                <w:rStyle w:val="IndexLink"/>
                <w:rtl w:val="true"/>
              </w:rPr>
              <w:t>الإعلام</w:t>
            </w:r>
            <w:r>
              <w:rPr>
                <w:rStyle w:val="IndexLink"/>
                <w:rtl w:val="true"/>
              </w:rPr>
              <w:t>»</w:t>
              <w:tab/>
            </w:r>
            <w:r>
              <w:rPr>
                <w:rStyle w:val="IndexLink"/>
              </w:rPr>
              <w:t>220</w:t>
            </w:r>
          </w:hyperlink>
        </w:p>
        <w:p>
          <w:pPr>
            <w:pStyle w:val="Contents5"/>
            <w:tabs>
              <w:tab w:val="clear" w:pos="7892"/>
              <w:tab w:val="right" w:pos="9026" w:leader="dot"/>
            </w:tabs>
            <w:rPr/>
          </w:pPr>
          <w:hyperlink w:anchor="__RefHeading___Toc8039661_1280447820">
            <w:r>
              <w:rPr>
                <w:webHidden/>
                <w:rStyle w:val="IndexLink"/>
                <w:rtl w:val="true"/>
              </w:rPr>
              <w:t>فوائد مستلّة من المسائل</w:t>
            </w:r>
            <w:r>
              <w:rPr>
                <w:rStyle w:val="IndexLink"/>
                <w:rtl w:val="true"/>
              </w:rPr>
              <w:tab/>
            </w:r>
            <w:r>
              <w:rPr>
                <w:rStyle w:val="IndexLink"/>
              </w:rPr>
              <w:t>221</w:t>
            </w:r>
          </w:hyperlink>
        </w:p>
        <w:p>
          <w:pPr>
            <w:pStyle w:val="Contents5"/>
            <w:tabs>
              <w:tab w:val="clear" w:pos="7892"/>
              <w:tab w:val="right" w:pos="9026" w:leader="dot"/>
            </w:tabs>
            <w:rPr/>
          </w:pPr>
          <w:hyperlink w:anchor="__RefHeading___Toc8039663_1280447820">
            <w:r>
              <w:rPr>
                <w:webHidden/>
                <w:rStyle w:val="IndexLink"/>
                <w:rtl w:val="true"/>
              </w:rPr>
              <w:t>نسبتها إلى المؤلّف</w:t>
            </w:r>
            <w:r>
              <w:rPr>
                <w:rStyle w:val="IndexLink"/>
                <w:rtl w:val="true"/>
              </w:rPr>
              <w:tab/>
            </w:r>
            <w:r>
              <w:rPr>
                <w:rStyle w:val="IndexLink"/>
              </w:rPr>
              <w:t>222</w:t>
            </w:r>
          </w:hyperlink>
        </w:p>
        <w:p>
          <w:pPr>
            <w:pStyle w:val="Contents5"/>
            <w:tabs>
              <w:tab w:val="clear" w:pos="7892"/>
              <w:tab w:val="right" w:pos="9026" w:leader="dot"/>
            </w:tabs>
            <w:rPr/>
          </w:pPr>
          <w:hyperlink w:anchor="__RefHeading___Toc8039665_1280447820">
            <w:r>
              <w:rPr>
                <w:webHidden/>
                <w:rStyle w:val="IndexLink"/>
                <w:rtl w:val="true"/>
              </w:rPr>
              <w:t>مخطوطات الرسالة</w:t>
            </w:r>
            <w:r>
              <w:rPr>
                <w:rStyle w:val="IndexLink"/>
                <w:rtl w:val="true"/>
              </w:rPr>
              <w:tab/>
            </w:r>
            <w:r>
              <w:rPr>
                <w:rStyle w:val="IndexLink"/>
              </w:rPr>
              <w:t>223</w:t>
            </w:r>
          </w:hyperlink>
        </w:p>
        <w:p>
          <w:pPr>
            <w:pStyle w:val="Contents6"/>
            <w:tabs>
              <w:tab w:val="clear" w:pos="7609"/>
              <w:tab w:val="right" w:pos="9026" w:leader="dot"/>
            </w:tabs>
            <w:rPr/>
          </w:pPr>
          <w:hyperlink w:anchor="__RefHeading___Toc8039667_1280447820">
            <w:r>
              <w:rPr>
                <w:webHidden/>
                <w:rStyle w:val="IndexLink"/>
                <w:rtl w:val="true"/>
              </w:rPr>
              <w:t>ألف</w:t>
            </w:r>
            <w:r>
              <w:rPr>
                <w:rStyle w:val="IndexLink"/>
                <w:rtl w:val="true"/>
              </w:rPr>
              <w:t xml:space="preserve">) </w:t>
            </w:r>
            <w:r>
              <w:rPr>
                <w:rStyle w:val="IndexLink"/>
                <w:rtl w:val="true"/>
              </w:rPr>
              <w:t>النسخ المعتمدة</w:t>
            </w:r>
            <w:r>
              <w:rPr>
                <w:rStyle w:val="IndexLink"/>
                <w:rtl w:val="true"/>
              </w:rPr>
              <w:t>:</w:t>
              <w:tab/>
            </w:r>
            <w:r>
              <w:rPr>
                <w:rStyle w:val="IndexLink"/>
              </w:rPr>
              <w:t>223</w:t>
            </w:r>
          </w:hyperlink>
        </w:p>
        <w:p>
          <w:pPr>
            <w:pStyle w:val="Contents6"/>
            <w:tabs>
              <w:tab w:val="clear" w:pos="7609"/>
              <w:tab w:val="right" w:pos="9026" w:leader="dot"/>
            </w:tabs>
            <w:rPr/>
          </w:pPr>
          <w:hyperlink w:anchor="__RefHeading___Toc8039669_1280447820">
            <w:r>
              <w:rPr>
                <w:webHidden/>
                <w:rStyle w:val="IndexLink"/>
                <w:rtl w:val="true"/>
              </w:rPr>
              <w:t>ب</w:t>
            </w:r>
            <w:r>
              <w:rPr>
                <w:rStyle w:val="IndexLink"/>
                <w:rtl w:val="true"/>
              </w:rPr>
              <w:t xml:space="preserve">) </w:t>
            </w:r>
            <w:r>
              <w:rPr>
                <w:rStyle w:val="IndexLink"/>
                <w:rtl w:val="true"/>
              </w:rPr>
              <w:t>سائر النسخ</w:t>
            </w:r>
            <w:r>
              <w:rPr>
                <w:rStyle w:val="IndexLink"/>
                <w:rtl w:val="true"/>
              </w:rPr>
              <w:t>:</w:t>
              <w:tab/>
            </w:r>
            <w:r>
              <w:rPr>
                <w:rStyle w:val="IndexLink"/>
              </w:rPr>
              <w:t>224</w:t>
            </w:r>
          </w:hyperlink>
        </w:p>
        <w:p>
          <w:pPr>
            <w:pStyle w:val="Contents4"/>
            <w:tabs>
              <w:tab w:val="clear" w:pos="8176"/>
              <w:tab w:val="right" w:pos="9026" w:leader="dot"/>
            </w:tabs>
            <w:rPr/>
          </w:pPr>
          <w:hyperlink w:anchor="__RefHeading___Toc8039671_1280447820">
            <w:r>
              <w:rPr>
                <w:webHidden/>
                <w:rStyle w:val="IndexLink"/>
                <w:rtl w:val="true"/>
              </w:rPr>
              <w:t>جَواباتُ المَسائلِ المَوصِليّاتِ الثالِثةِ‌</w:t>
            </w:r>
            <w:r>
              <w:rPr>
                <w:rStyle w:val="IndexLink"/>
                <w:rtl w:val="true"/>
              </w:rPr>
              <w:tab/>
            </w:r>
            <w:r>
              <w:rPr>
                <w:rStyle w:val="IndexLink"/>
              </w:rPr>
              <w:t>225</w:t>
            </w:r>
          </w:hyperlink>
        </w:p>
        <w:p>
          <w:pPr>
            <w:pStyle w:val="Contents5"/>
            <w:tabs>
              <w:tab w:val="clear" w:pos="7892"/>
              <w:tab w:val="right" w:pos="9026" w:leader="dot"/>
            </w:tabs>
            <w:rPr/>
          </w:pPr>
          <w:hyperlink w:anchor="__RefHeading___Toc8039673_1280447820">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8039675_1280447820">
            <w:r>
              <w:rPr>
                <w:webHidden/>
                <w:rStyle w:val="IndexLink"/>
                <w:rtl w:val="true"/>
              </w:rPr>
              <w:t>مقدِّمة</w:t>
            </w:r>
            <w:r>
              <w:rPr>
                <w:rStyle w:val="IndexLink"/>
                <w:rtl w:val="true"/>
              </w:rPr>
              <w:tab/>
            </w:r>
            <w:r>
              <w:rPr>
                <w:rStyle w:val="IndexLink"/>
              </w:rPr>
              <w:t>225</w:t>
            </w:r>
          </w:hyperlink>
        </w:p>
        <w:p>
          <w:pPr>
            <w:pStyle w:val="Contents5"/>
            <w:tabs>
              <w:tab w:val="clear" w:pos="7892"/>
              <w:tab w:val="right" w:pos="9026" w:leader="dot"/>
            </w:tabs>
            <w:rPr/>
          </w:pPr>
          <w:hyperlink w:anchor="__RefHeading___Toc8039677_1280447820">
            <w:r>
              <w:rPr>
                <w:webHidden/>
                <w:rStyle w:val="IndexLink"/>
                <w:rtl w:val="true"/>
              </w:rPr>
              <w:t>بُطلانُ العملِ بالقياسِ و خبرِ الواحدِ</w:t>
            </w:r>
            <w:r>
              <w:rPr>
                <w:rStyle w:val="IndexLink"/>
                <w:rtl w:val="true"/>
              </w:rPr>
              <w:tab/>
            </w:r>
            <w:r>
              <w:rPr>
                <w:rStyle w:val="IndexLink"/>
              </w:rPr>
              <w:t>226</w:t>
            </w:r>
          </w:hyperlink>
        </w:p>
        <w:p>
          <w:pPr>
            <w:pStyle w:val="Contents5"/>
            <w:tabs>
              <w:tab w:val="clear" w:pos="7892"/>
              <w:tab w:val="right" w:pos="9026" w:leader="dot"/>
            </w:tabs>
            <w:rPr/>
          </w:pPr>
          <w:hyperlink w:anchor="__RefHeading___Toc8039679_1280447820">
            <w:r>
              <w:rPr>
                <w:webHidden/>
                <w:rStyle w:val="IndexLink"/>
                <w:rtl w:val="true"/>
              </w:rPr>
              <w:t>الدليلُ علىٰ بُطلانِ العملِ بِهما</w:t>
            </w:r>
            <w:r>
              <w:rPr>
                <w:rStyle w:val="IndexLink"/>
                <w:rtl w:val="true"/>
              </w:rPr>
              <w:tab/>
            </w:r>
            <w:r>
              <w:rPr>
                <w:rStyle w:val="IndexLink"/>
              </w:rPr>
              <w:t>228</w:t>
            </w:r>
          </w:hyperlink>
        </w:p>
        <w:p>
          <w:pPr>
            <w:pStyle w:val="Contents5"/>
            <w:tabs>
              <w:tab w:val="clear" w:pos="7892"/>
              <w:tab w:val="right" w:pos="9026" w:leader="dot"/>
            </w:tabs>
            <w:rPr/>
          </w:pPr>
          <w:hyperlink w:anchor="__RefHeading___Toc8039681_1280447820">
            <w:r>
              <w:rPr>
                <w:webHidden/>
                <w:rStyle w:val="IndexLink"/>
                <w:rtl w:val="true"/>
              </w:rPr>
              <w:t>بيان الطريق إلى العلم بالأحكام الشرعيّة</w:t>
            </w:r>
            <w:r>
              <w:rPr>
                <w:rStyle w:val="IndexLink"/>
                <w:rtl w:val="true"/>
              </w:rPr>
              <w:tab/>
            </w:r>
            <w:r>
              <w:rPr>
                <w:rStyle w:val="IndexLink"/>
              </w:rPr>
              <w:t>228</w:t>
            </w:r>
          </w:hyperlink>
        </w:p>
        <w:p>
          <w:pPr>
            <w:pStyle w:val="Contents5"/>
            <w:tabs>
              <w:tab w:val="clear" w:pos="7892"/>
              <w:tab w:val="right" w:pos="9026" w:leader="dot"/>
            </w:tabs>
            <w:rPr/>
          </w:pPr>
          <w:hyperlink w:anchor="__RefHeading___Toc8039683_1280447820">
            <w:r>
              <w:rPr>
                <w:webHidden/>
                <w:rStyle w:val="IndexLink"/>
                <w:rtl w:val="true"/>
              </w:rPr>
              <w:t>إثباتُ حُجّيّةِ الإجماعِ في الأحكامِ الشرعيّةِ‌</w:t>
            </w:r>
            <w:r>
              <w:rPr>
                <w:rStyle w:val="IndexLink"/>
                <w:rtl w:val="true"/>
              </w:rPr>
              <w:tab/>
            </w:r>
            <w:r>
              <w:rPr>
                <w:rStyle w:val="IndexLink"/>
              </w:rPr>
              <w:t>229</w:t>
            </w:r>
          </w:hyperlink>
        </w:p>
        <w:p>
          <w:pPr>
            <w:pStyle w:val="Contents5"/>
            <w:tabs>
              <w:tab w:val="clear" w:pos="7892"/>
              <w:tab w:val="right" w:pos="9026" w:leader="dot"/>
            </w:tabs>
            <w:rPr/>
          </w:pPr>
          <w:hyperlink w:anchor="__RefHeading___Toc8039685_1280447820">
            <w:r>
              <w:rPr>
                <w:webHidden/>
                <w:rStyle w:val="IndexLink"/>
                <w:rtl w:val="true"/>
              </w:rPr>
              <w:t>كَيفيّةُ تحصيلِ إجماعِ الطائفةِ‌</w:t>
            </w:r>
            <w:r>
              <w:rPr>
                <w:rStyle w:val="IndexLink"/>
                <w:rtl w:val="true"/>
              </w:rPr>
              <w:tab/>
            </w:r>
            <w:r>
              <w:rPr>
                <w:rStyle w:val="IndexLink"/>
              </w:rPr>
              <w:t>230</w:t>
            </w:r>
          </w:hyperlink>
        </w:p>
        <w:p>
          <w:pPr>
            <w:pStyle w:val="Contents5"/>
            <w:tabs>
              <w:tab w:val="clear" w:pos="7892"/>
              <w:tab w:val="right" w:pos="9026" w:leader="dot"/>
            </w:tabs>
            <w:rPr/>
          </w:pPr>
          <w:hyperlink w:anchor="__RefHeading___Toc8039687_1280447820">
            <w:r>
              <w:rPr>
                <w:webHidden/>
                <w:rStyle w:val="IndexLink"/>
                <w:rtl w:val="true"/>
              </w:rPr>
              <w:t>بيان طرق أُخرىٰ غير الإجماع لإثبات الأحكام الشرعيّة</w:t>
            </w:r>
            <w:r>
              <w:rPr>
                <w:rStyle w:val="IndexLink"/>
                <w:rtl w:val="true"/>
              </w:rPr>
              <w:tab/>
            </w:r>
            <w:r>
              <w:rPr>
                <w:rStyle w:val="IndexLink"/>
              </w:rPr>
              <w:t>235</w:t>
            </w:r>
          </w:hyperlink>
        </w:p>
        <w:p>
          <w:pPr>
            <w:pStyle w:val="Contents5"/>
            <w:tabs>
              <w:tab w:val="clear" w:pos="7892"/>
              <w:tab w:val="right" w:pos="9026" w:leader="dot"/>
            </w:tabs>
            <w:rPr/>
          </w:pPr>
          <w:hyperlink w:anchor="__RefHeading___Toc8039689_1280447820">
            <w:r>
              <w:rPr>
                <w:webHidden/>
                <w:rStyle w:val="IndexLink"/>
                <w:rtl w:val="true"/>
              </w:rPr>
              <w:t>حُكمُ المَسألةِ الشرعيّةِ التي لا دليلَ عليها مِن الكتابِ و السُّنّةِ‌</w:t>
            </w:r>
            <w:r>
              <w:rPr>
                <w:rStyle w:val="IndexLink"/>
                <w:rtl w:val="true"/>
              </w:rPr>
              <w:tab/>
            </w:r>
            <w:r>
              <w:rPr>
                <w:rStyle w:val="IndexLink"/>
              </w:rPr>
              <w:t>236</w:t>
            </w:r>
          </w:hyperlink>
        </w:p>
        <w:p>
          <w:pPr>
            <w:pStyle w:val="Contents5"/>
            <w:tabs>
              <w:tab w:val="clear" w:pos="7892"/>
              <w:tab w:val="right" w:pos="9026" w:leader="dot"/>
            </w:tabs>
            <w:rPr/>
          </w:pPr>
          <w:hyperlink w:anchor="__RefHeading___Toc8039691_1280447820">
            <w:r>
              <w:rPr>
                <w:webHidden/>
                <w:rStyle w:val="IndexLink"/>
                <w:rtl w:val="true"/>
              </w:rPr>
              <w:t>عدمُ حُجّيّةِ جُلِّ الأخبارِ المنقولةِ مِن طريقِ أصحابِ الحَديثِ‌</w:t>
            </w:r>
            <w:r>
              <w:rPr>
                <w:rStyle w:val="IndexLink"/>
                <w:rtl w:val="true"/>
              </w:rPr>
              <w:tab/>
            </w:r>
            <w:r>
              <w:rPr>
                <w:rStyle w:val="IndexLink"/>
              </w:rPr>
              <w:t>237</w:t>
            </w:r>
          </w:hyperlink>
        </w:p>
        <w:p>
          <w:pPr>
            <w:pStyle w:val="Contents4"/>
            <w:tabs>
              <w:tab w:val="clear" w:pos="8176"/>
              <w:tab w:val="right" w:pos="9026" w:leader="dot"/>
            </w:tabs>
            <w:rPr/>
          </w:pPr>
          <w:hyperlink w:anchor="__RefHeading___Toc8039693_1280447820">
            <w:r>
              <w:rPr>
                <w:webHidden/>
                <w:rStyle w:val="IndexLink"/>
                <w:rtl w:val="true"/>
              </w:rPr>
              <w:t>أحكامُ الطهارةِ‌</w:t>
            </w:r>
            <w:r>
              <w:rPr>
                <w:rStyle w:val="IndexLink"/>
                <w:rtl w:val="true"/>
              </w:rPr>
              <w:tab/>
            </w:r>
            <w:r>
              <w:rPr>
                <w:rStyle w:val="IndexLink"/>
              </w:rPr>
              <w:t>241</w:t>
            </w:r>
          </w:hyperlink>
        </w:p>
        <w:p>
          <w:pPr>
            <w:pStyle w:val="Contents5"/>
            <w:tabs>
              <w:tab w:val="clear" w:pos="7892"/>
              <w:tab w:val="right" w:pos="9026" w:leader="dot"/>
            </w:tabs>
            <w:rPr/>
          </w:pPr>
          <w:hyperlink w:anchor="__RefHeading___Toc8039695_1280447820">
            <w:r>
              <w:rPr>
                <w:webHidden/>
                <w:rStyle w:val="IndexLink"/>
                <w:rtl w:val="true"/>
              </w:rPr>
              <w:t>المَسألةُ الأُولىٰ كَيفيّةُ غَسلِ اليَدَينِ في الوضوءِ‌</w:t>
            </w:r>
            <w:r>
              <w:rPr>
                <w:rStyle w:val="IndexLink"/>
                <w:rtl w:val="true"/>
              </w:rPr>
              <w:tab/>
            </w:r>
            <w:r>
              <w:rPr>
                <w:rStyle w:val="IndexLink"/>
              </w:rPr>
              <w:t>241</w:t>
            </w:r>
          </w:hyperlink>
        </w:p>
        <w:p>
          <w:pPr>
            <w:pStyle w:val="Contents5"/>
            <w:tabs>
              <w:tab w:val="clear" w:pos="7892"/>
              <w:tab w:val="right" w:pos="9026" w:leader="dot"/>
            </w:tabs>
            <w:rPr/>
          </w:pPr>
          <w:hyperlink w:anchor="__RefHeading___Toc8039697_1280447820">
            <w:r>
              <w:rPr>
                <w:webHidden/>
                <w:rStyle w:val="IndexLink"/>
                <w:rtl w:val="true"/>
              </w:rPr>
              <w:t>المَسألةُ الثانيةُ كَيفيّةُ مَسحِ الرأسِ في الوضوءِ‌</w:t>
            </w:r>
            <w:r>
              <w:rPr>
                <w:rStyle w:val="IndexLink"/>
                <w:rtl w:val="true"/>
              </w:rPr>
              <w:tab/>
            </w:r>
            <w:r>
              <w:rPr>
                <w:rStyle w:val="IndexLink"/>
              </w:rPr>
              <w:t>245</w:t>
            </w:r>
          </w:hyperlink>
        </w:p>
        <w:p>
          <w:pPr>
            <w:pStyle w:val="Contents6"/>
            <w:tabs>
              <w:tab w:val="clear" w:pos="7609"/>
              <w:tab w:val="right" w:pos="9026" w:leader="dot"/>
            </w:tabs>
            <w:rPr/>
          </w:pPr>
          <w:hyperlink w:anchor="__RefHeading___Toc8039699_1280447820">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8039701_1280447820">
            <w:r>
              <w:rPr>
                <w:webHidden/>
                <w:rStyle w:val="IndexLink"/>
                <w:rtl w:val="true"/>
              </w:rPr>
              <w:t>عدم جواز مسحِ جميع الرأس، و غَسلِ الرِّجلَين</w:t>
            </w:r>
            <w:r>
              <w:rPr>
                <w:rStyle w:val="IndexLink"/>
                <w:rtl w:val="true"/>
              </w:rPr>
              <w:tab/>
            </w:r>
            <w:r>
              <w:rPr>
                <w:rStyle w:val="IndexLink"/>
              </w:rPr>
              <w:t>246</w:t>
            </w:r>
          </w:hyperlink>
        </w:p>
        <w:p>
          <w:pPr>
            <w:pStyle w:val="Contents5"/>
            <w:tabs>
              <w:tab w:val="clear" w:pos="7892"/>
              <w:tab w:val="right" w:pos="9026" w:leader="dot"/>
            </w:tabs>
            <w:rPr/>
          </w:pPr>
          <w:hyperlink w:anchor="__RefHeading___Toc8039703_1280447820">
            <w:r>
              <w:rPr>
                <w:webHidden/>
                <w:rStyle w:val="IndexLink"/>
                <w:rtl w:val="true"/>
              </w:rPr>
              <w:t>المَسألةُ الثالثةُ حُكمُ مَسحِ الأُذُنَينِ أو غَسلِهما</w:t>
            </w:r>
            <w:r>
              <w:rPr>
                <w:rStyle w:val="IndexLink"/>
                <w:rtl w:val="true"/>
              </w:rPr>
              <w:tab/>
            </w:r>
            <w:r>
              <w:rPr>
                <w:rStyle w:val="IndexLink"/>
              </w:rPr>
              <w:t>246</w:t>
            </w:r>
          </w:hyperlink>
        </w:p>
        <w:p>
          <w:pPr>
            <w:pStyle w:val="Contents5"/>
            <w:tabs>
              <w:tab w:val="clear" w:pos="7892"/>
              <w:tab w:val="right" w:pos="9026" w:leader="dot"/>
            </w:tabs>
            <w:rPr/>
          </w:pPr>
          <w:hyperlink w:anchor="__RefHeading___Toc8039705_1280447820">
            <w:r>
              <w:rPr>
                <w:webHidden/>
                <w:rStyle w:val="IndexLink"/>
                <w:rtl w:val="true"/>
              </w:rPr>
              <w:t>المَسألةُ الرابعةُ عَدَدُ الغَسَلاتِ في الوضوءِ‌</w:t>
            </w:r>
            <w:r>
              <w:rPr>
                <w:rStyle w:val="IndexLink"/>
                <w:rtl w:val="true"/>
              </w:rPr>
              <w:tab/>
            </w:r>
            <w:r>
              <w:rPr>
                <w:rStyle w:val="IndexLink"/>
              </w:rPr>
              <w:t>248</w:t>
            </w:r>
          </w:hyperlink>
        </w:p>
        <w:p>
          <w:pPr>
            <w:pStyle w:val="Contents5"/>
            <w:tabs>
              <w:tab w:val="clear" w:pos="7892"/>
              <w:tab w:val="right" w:pos="9026" w:leader="dot"/>
            </w:tabs>
            <w:rPr/>
          </w:pPr>
          <w:hyperlink w:anchor="__RefHeading___Toc8039707_1280447820">
            <w:r>
              <w:rPr>
                <w:webHidden/>
                <w:rStyle w:val="IndexLink"/>
                <w:rtl w:val="true"/>
              </w:rPr>
              <w:t>المَسألةُ الخامسةُ أكثَرُ أيّامِ النِّفاسِ‌</w:t>
            </w:r>
            <w:r>
              <w:rPr>
                <w:rStyle w:val="IndexLink"/>
                <w:rtl w:val="true"/>
              </w:rPr>
              <w:tab/>
            </w:r>
            <w:r>
              <w:rPr>
                <w:rStyle w:val="IndexLink"/>
              </w:rPr>
              <w:t>249</w:t>
            </w:r>
          </w:hyperlink>
        </w:p>
        <w:p>
          <w:pPr>
            <w:pStyle w:val="Contents5"/>
            <w:tabs>
              <w:tab w:val="clear" w:pos="7892"/>
              <w:tab w:val="right" w:pos="9026" w:leader="dot"/>
            </w:tabs>
            <w:rPr/>
          </w:pPr>
          <w:hyperlink w:anchor="__RefHeading___Toc8039709_1280447820">
            <w:r>
              <w:rPr>
                <w:webHidden/>
                <w:rStyle w:val="IndexLink"/>
                <w:rtl w:val="true"/>
              </w:rPr>
              <w:t>المَسألةُ السادسةُ حُكمُ قِراءةِ القُرآنِ للجُنُبِ و الحائضِ‌</w:t>
            </w:r>
            <w:r>
              <w:rPr>
                <w:rStyle w:val="IndexLink"/>
                <w:rtl w:val="true"/>
              </w:rPr>
              <w:tab/>
            </w:r>
            <w:r>
              <w:rPr>
                <w:rStyle w:val="IndexLink"/>
              </w:rPr>
              <w:t>249</w:t>
            </w:r>
          </w:hyperlink>
        </w:p>
        <w:p>
          <w:pPr>
            <w:pStyle w:val="Contents5"/>
            <w:tabs>
              <w:tab w:val="clear" w:pos="7892"/>
              <w:tab w:val="right" w:pos="9026" w:leader="dot"/>
            </w:tabs>
            <w:rPr/>
          </w:pPr>
          <w:hyperlink w:anchor="__RefHeading___Toc8039711_1280447820">
            <w:r>
              <w:rPr>
                <w:webHidden/>
                <w:rStyle w:val="IndexLink"/>
                <w:rtl w:val="true"/>
              </w:rPr>
              <w:t>فَصلٌ فيه سِتُّ مَسائلَ تَتعلَّقُ بالأمواتِ‌</w:t>
            </w:r>
            <w:r>
              <w:rPr>
                <w:rStyle w:val="IndexLink"/>
                <w:rtl w:val="true"/>
              </w:rPr>
              <w:tab/>
            </w:r>
            <w:r>
              <w:rPr>
                <w:rStyle w:val="IndexLink"/>
              </w:rPr>
              <w:t>251</w:t>
            </w:r>
          </w:hyperlink>
        </w:p>
        <w:p>
          <w:pPr>
            <w:pStyle w:val="Contents4"/>
            <w:tabs>
              <w:tab w:val="clear" w:pos="8176"/>
              <w:tab w:val="right" w:pos="9026" w:leader="dot"/>
            </w:tabs>
            <w:rPr/>
          </w:pPr>
          <w:hyperlink w:anchor="__RefHeading___Toc8039713_1280447820">
            <w:r>
              <w:rPr>
                <w:webHidden/>
                <w:rStyle w:val="IndexLink"/>
                <w:rtl w:val="true"/>
              </w:rPr>
              <w:t>أحكامُ الصلاة</w:t>
            </w:r>
            <w:r>
              <w:rPr>
                <w:rStyle w:val="IndexLink"/>
                <w:rtl w:val="true"/>
              </w:rPr>
              <w:tab/>
            </w:r>
            <w:r>
              <w:rPr>
                <w:rStyle w:val="IndexLink"/>
              </w:rPr>
              <w:t>253</w:t>
            </w:r>
          </w:hyperlink>
        </w:p>
        <w:p>
          <w:pPr>
            <w:pStyle w:val="Contents5"/>
            <w:tabs>
              <w:tab w:val="clear" w:pos="7892"/>
              <w:tab w:val="right" w:pos="9026" w:leader="dot"/>
            </w:tabs>
            <w:rPr/>
          </w:pPr>
          <w:hyperlink w:anchor="__RefHeading___Toc8039715_1280447820">
            <w:r>
              <w:rPr>
                <w:webHidden/>
                <w:rStyle w:val="IndexLink"/>
                <w:rtl w:val="true"/>
              </w:rPr>
              <w:t xml:space="preserve">المَسألةُ الثالثةَ عَشَرَ وجوبُ </w:t>
            </w:r>
            <w:r>
              <w:rPr>
                <w:rStyle w:val="IndexLink"/>
                <w:rtl w:val="true"/>
              </w:rPr>
              <w:t>«</w:t>
            </w:r>
            <w:r>
              <w:rPr>
                <w:rStyle w:val="IndexLink"/>
                <w:rtl w:val="true"/>
              </w:rPr>
              <w:t>حيَّ علىٰ خيرِ العملِ</w:t>
            </w:r>
            <w:r>
              <w:rPr>
                <w:rStyle w:val="IndexLink"/>
                <w:rtl w:val="true"/>
              </w:rPr>
              <w:t xml:space="preserve">» </w:t>
            </w:r>
            <w:r>
              <w:rPr>
                <w:rStyle w:val="IndexLink"/>
                <w:rtl w:val="true"/>
              </w:rPr>
              <w:t>في الأذانِ‌</w:t>
            </w:r>
            <w:r>
              <w:rPr>
                <w:rStyle w:val="IndexLink"/>
                <w:rtl w:val="true"/>
              </w:rPr>
              <w:tab/>
            </w:r>
            <w:r>
              <w:rPr>
                <w:rStyle w:val="IndexLink"/>
              </w:rPr>
              <w:t>253</w:t>
            </w:r>
          </w:hyperlink>
        </w:p>
        <w:p>
          <w:pPr>
            <w:pStyle w:val="Contents5"/>
            <w:tabs>
              <w:tab w:val="clear" w:pos="7892"/>
              <w:tab w:val="right" w:pos="9026" w:leader="dot"/>
            </w:tabs>
            <w:rPr/>
          </w:pPr>
          <w:hyperlink w:anchor="__RefHeading___Toc8039717_1280447820">
            <w:r>
              <w:rPr>
                <w:webHidden/>
                <w:rStyle w:val="IndexLink"/>
                <w:rtl w:val="true"/>
              </w:rPr>
              <w:t>المَسألةُ الرابعةَ عَشَرَ حُكمُ إرسالِ اليَدَينِ في الصلاةِ و كَتفِهما</w:t>
            </w:r>
            <w:r>
              <w:rPr>
                <w:rStyle w:val="IndexLink"/>
                <w:rtl w:val="true"/>
              </w:rPr>
              <w:tab/>
            </w:r>
            <w:r>
              <w:rPr>
                <w:rStyle w:val="IndexLink"/>
              </w:rPr>
              <w:t>253</w:t>
            </w:r>
          </w:hyperlink>
        </w:p>
        <w:p>
          <w:pPr>
            <w:pStyle w:val="Contents5"/>
            <w:tabs>
              <w:tab w:val="clear" w:pos="7892"/>
              <w:tab w:val="right" w:pos="9026" w:leader="dot"/>
            </w:tabs>
            <w:rPr/>
          </w:pPr>
          <w:hyperlink w:anchor="__RefHeading___Toc8039719_1280447820">
            <w:r>
              <w:rPr>
                <w:webHidden/>
                <w:rStyle w:val="IndexLink"/>
                <w:rtl w:val="true"/>
              </w:rPr>
              <w:t xml:space="preserve">المَسألةُ الخامسةَ عَشَرَ قولُ </w:t>
            </w:r>
            <w:r>
              <w:rPr>
                <w:rStyle w:val="IndexLink"/>
                <w:rtl w:val="true"/>
              </w:rPr>
              <w:t>«</w:t>
            </w:r>
            <w:r>
              <w:rPr>
                <w:rStyle w:val="IndexLink"/>
                <w:rtl w:val="true"/>
              </w:rPr>
              <w:t>آمينَ</w:t>
            </w:r>
            <w:r>
              <w:rPr>
                <w:rStyle w:val="IndexLink"/>
                <w:rtl w:val="true"/>
              </w:rPr>
              <w:t xml:space="preserve">» </w:t>
            </w:r>
            <w:r>
              <w:rPr>
                <w:rStyle w:val="IndexLink"/>
                <w:rtl w:val="true"/>
              </w:rPr>
              <w:t>مُبطِلٌ للصلاةِ‌</w:t>
            </w:r>
            <w:r>
              <w:rPr>
                <w:rStyle w:val="IndexLink"/>
                <w:rtl w:val="true"/>
              </w:rPr>
              <w:tab/>
            </w:r>
            <w:r>
              <w:rPr>
                <w:rStyle w:val="IndexLink"/>
              </w:rPr>
              <w:t>254</w:t>
            </w:r>
          </w:hyperlink>
        </w:p>
        <w:p>
          <w:pPr>
            <w:pStyle w:val="Contents5"/>
            <w:tabs>
              <w:tab w:val="clear" w:pos="7892"/>
              <w:tab w:val="right" w:pos="9026" w:leader="dot"/>
            </w:tabs>
            <w:rPr/>
          </w:pPr>
          <w:hyperlink w:anchor="__RefHeading___Toc8039721_1280447820">
            <w:r>
              <w:rPr>
                <w:webHidden/>
                <w:rStyle w:val="IndexLink"/>
                <w:rtl w:val="true"/>
              </w:rPr>
              <w:t>المَسألةُ السادسةَ عَشَرَ عدمُ جوازِ قِراءةِ أكثَرَ أو أقلَّ مِن سورةٍ بَعدَ الحَمدِ</w:t>
            </w:r>
            <w:r>
              <w:rPr>
                <w:rStyle w:val="IndexLink"/>
                <w:rtl w:val="true"/>
              </w:rPr>
              <w:tab/>
            </w:r>
            <w:r>
              <w:rPr>
                <w:rStyle w:val="IndexLink"/>
              </w:rPr>
              <w:t>254</w:t>
            </w:r>
          </w:hyperlink>
        </w:p>
        <w:p>
          <w:pPr>
            <w:pStyle w:val="Contents5"/>
            <w:tabs>
              <w:tab w:val="clear" w:pos="7892"/>
              <w:tab w:val="right" w:pos="9026" w:leader="dot"/>
            </w:tabs>
            <w:rPr/>
          </w:pPr>
          <w:hyperlink w:anchor="__RefHeading___Toc8039723_1280447820">
            <w:r>
              <w:rPr>
                <w:webHidden/>
                <w:rStyle w:val="IndexLink"/>
                <w:rtl w:val="true"/>
              </w:rPr>
              <w:t>المَسألةُ السابعةَ عَشَرَ ما يُسجَدُ عليه</w:t>
            </w:r>
            <w:r>
              <w:rPr>
                <w:rStyle w:val="IndexLink"/>
                <w:rtl w:val="true"/>
              </w:rPr>
              <w:tab/>
            </w:r>
            <w:r>
              <w:rPr>
                <w:rStyle w:val="IndexLink"/>
              </w:rPr>
              <w:t>255</w:t>
            </w:r>
          </w:hyperlink>
        </w:p>
        <w:p>
          <w:pPr>
            <w:pStyle w:val="Contents5"/>
            <w:tabs>
              <w:tab w:val="clear" w:pos="7892"/>
              <w:tab w:val="right" w:pos="9026" w:leader="dot"/>
            </w:tabs>
            <w:rPr/>
          </w:pPr>
          <w:hyperlink w:anchor="__RefHeading___Toc8039725_1280447820">
            <w:r>
              <w:rPr>
                <w:webHidden/>
                <w:rStyle w:val="IndexLink"/>
                <w:rtl w:val="true"/>
              </w:rPr>
              <w:t>المَسألةُ الثامنةَ عَشَرَ صَلاةُ التَّراويحِ بِدعةٌ‌</w:t>
            </w:r>
            <w:r>
              <w:rPr>
                <w:rStyle w:val="IndexLink"/>
                <w:rtl w:val="true"/>
              </w:rPr>
              <w:tab/>
            </w:r>
            <w:r>
              <w:rPr>
                <w:rStyle w:val="IndexLink"/>
              </w:rPr>
              <w:t>255</w:t>
            </w:r>
          </w:hyperlink>
        </w:p>
        <w:p>
          <w:pPr>
            <w:pStyle w:val="Contents5"/>
            <w:tabs>
              <w:tab w:val="clear" w:pos="7892"/>
              <w:tab w:val="right" w:pos="9026" w:leader="dot"/>
            </w:tabs>
            <w:rPr/>
          </w:pPr>
          <w:hyperlink w:anchor="__RefHeading___Toc8039727_1280447820">
            <w:r>
              <w:rPr>
                <w:webHidden/>
                <w:rStyle w:val="IndexLink"/>
                <w:rtl w:val="true"/>
              </w:rPr>
              <w:t>المَسألةُ التاسعةَ عَشَرَ صَلاةُ الضُّحىٰ بِدعةٌ‌</w:t>
            </w:r>
            <w:r>
              <w:rPr>
                <w:rStyle w:val="IndexLink"/>
                <w:rtl w:val="true"/>
              </w:rPr>
              <w:tab/>
            </w:r>
            <w:r>
              <w:rPr>
                <w:rStyle w:val="IndexLink"/>
              </w:rPr>
              <w:t>256</w:t>
            </w:r>
          </w:hyperlink>
        </w:p>
        <w:p>
          <w:pPr>
            <w:pStyle w:val="Contents5"/>
            <w:tabs>
              <w:tab w:val="clear" w:pos="7892"/>
              <w:tab w:val="right" w:pos="9026" w:leader="dot"/>
            </w:tabs>
            <w:rPr/>
          </w:pPr>
          <w:hyperlink w:anchor="__RefHeading___Toc8039729_1280447820">
            <w:r>
              <w:rPr>
                <w:webHidden/>
                <w:rStyle w:val="IndexLink"/>
                <w:rtl w:val="true"/>
              </w:rPr>
              <w:t>المَسألةُ العِشرونَ حُكمُ سُجودِ الشُّكرِ</w:t>
            </w:r>
            <w:r>
              <w:rPr>
                <w:rStyle w:val="IndexLink"/>
                <w:rtl w:val="true"/>
              </w:rPr>
              <w:tab/>
            </w:r>
            <w:r>
              <w:rPr>
                <w:rStyle w:val="IndexLink"/>
              </w:rPr>
              <w:t>256</w:t>
            </w:r>
          </w:hyperlink>
        </w:p>
        <w:p>
          <w:pPr>
            <w:pStyle w:val="Contents5"/>
            <w:tabs>
              <w:tab w:val="clear" w:pos="7892"/>
              <w:tab w:val="right" w:pos="9026" w:leader="dot"/>
            </w:tabs>
            <w:rPr/>
          </w:pPr>
          <w:hyperlink w:anchor="__RefHeading___Toc8039731_1280447820">
            <w:r>
              <w:rPr>
                <w:webHidden/>
                <w:rStyle w:val="IndexLink"/>
                <w:rtl w:val="true"/>
              </w:rPr>
              <w:t>المَسألةُ الحاديةُ و العِشرونَ العَدَدُ المعتبَرُ في مُقيمي الجُمُعةِ و العيدَينِ‌</w:t>
            </w:r>
            <w:r>
              <w:rPr>
                <w:rStyle w:val="IndexLink"/>
                <w:rtl w:val="true"/>
              </w:rPr>
              <w:tab/>
            </w:r>
            <w:r>
              <w:rPr>
                <w:rStyle w:val="IndexLink"/>
              </w:rPr>
              <w:t>257</w:t>
            </w:r>
          </w:hyperlink>
        </w:p>
        <w:p>
          <w:pPr>
            <w:pStyle w:val="Contents5"/>
            <w:tabs>
              <w:tab w:val="clear" w:pos="7892"/>
              <w:tab w:val="right" w:pos="9026" w:leader="dot"/>
            </w:tabs>
            <w:rPr/>
          </w:pPr>
          <w:hyperlink w:anchor="__RefHeading___Toc8039733_1280447820">
            <w:r>
              <w:rPr>
                <w:webHidden/>
                <w:rStyle w:val="IndexLink"/>
                <w:rtl w:val="true"/>
              </w:rPr>
              <w:t>المَسألةُ الثانيةُ و العِشرونَ مَن لا يَصلُحُ لإمامةِ الجُمُعةِ و العيدَينِ‌</w:t>
            </w:r>
            <w:r>
              <w:rPr>
                <w:rStyle w:val="IndexLink"/>
                <w:rtl w:val="true"/>
              </w:rPr>
              <w:tab/>
            </w:r>
            <w:r>
              <w:rPr>
                <w:rStyle w:val="IndexLink"/>
              </w:rPr>
              <w:t>258</w:t>
            </w:r>
          </w:hyperlink>
        </w:p>
        <w:p>
          <w:pPr>
            <w:pStyle w:val="Contents5"/>
            <w:tabs>
              <w:tab w:val="clear" w:pos="7892"/>
              <w:tab w:val="right" w:pos="9026" w:leader="dot"/>
            </w:tabs>
            <w:rPr/>
          </w:pPr>
          <w:hyperlink w:anchor="__RefHeading___Toc8039735_1280447820">
            <w:r>
              <w:rPr>
                <w:webHidden/>
                <w:rStyle w:val="IndexLink"/>
                <w:rtl w:val="true"/>
              </w:rPr>
              <w:t>المَسألةُ الثالثةُ و العِشرونَ حُكمُ صَلاةِ الكُسوفِ‌</w:t>
            </w:r>
            <w:r>
              <w:rPr>
                <w:rStyle w:val="IndexLink"/>
                <w:rtl w:val="true"/>
              </w:rPr>
              <w:tab/>
            </w:r>
            <w:r>
              <w:rPr>
                <w:rStyle w:val="IndexLink"/>
              </w:rPr>
              <w:t>259</w:t>
            </w:r>
          </w:hyperlink>
        </w:p>
        <w:p>
          <w:pPr>
            <w:pStyle w:val="Contents5"/>
            <w:tabs>
              <w:tab w:val="clear" w:pos="7892"/>
              <w:tab w:val="right" w:pos="9026" w:leader="dot"/>
            </w:tabs>
            <w:rPr/>
          </w:pPr>
          <w:hyperlink w:anchor="__RefHeading___Toc8039737_1280447820">
            <w:r>
              <w:rPr>
                <w:webHidden/>
                <w:rStyle w:val="IndexLink"/>
                <w:rtl w:val="true"/>
              </w:rPr>
              <w:t>المَسألةُ الرابعةُ و العِشرونَ كَيفيّةُ الصلاةِ علَى المَوتىٰ‌</w:t>
            </w:r>
            <w:r>
              <w:rPr>
                <w:rStyle w:val="IndexLink"/>
                <w:rtl w:val="true"/>
              </w:rPr>
              <w:tab/>
            </w:r>
            <w:r>
              <w:rPr>
                <w:rStyle w:val="IndexLink"/>
              </w:rPr>
              <w:t>260</w:t>
            </w:r>
          </w:hyperlink>
        </w:p>
        <w:p>
          <w:pPr>
            <w:pStyle w:val="Contents5"/>
            <w:tabs>
              <w:tab w:val="clear" w:pos="7892"/>
              <w:tab w:val="right" w:pos="9026" w:leader="dot"/>
            </w:tabs>
            <w:rPr/>
          </w:pPr>
          <w:hyperlink w:anchor="__RefHeading___Toc8039739_1280447820">
            <w:r>
              <w:rPr>
                <w:webHidden/>
                <w:rStyle w:val="IndexLink"/>
                <w:rtl w:val="true"/>
              </w:rPr>
              <w:t>المسألةُ الخامسةُ و العِشرونَ استحبابُ تَوَقُّفِ الإمامِ حتّىٰ تُرفَعَ الجِنازةُ‌</w:t>
            </w:r>
            <w:r>
              <w:rPr>
                <w:rStyle w:val="IndexLink"/>
                <w:rtl w:val="true"/>
              </w:rPr>
              <w:tab/>
            </w:r>
            <w:r>
              <w:rPr>
                <w:rStyle w:val="IndexLink"/>
              </w:rPr>
              <w:t>260</w:t>
            </w:r>
          </w:hyperlink>
        </w:p>
        <w:p>
          <w:pPr>
            <w:pStyle w:val="Contents4"/>
            <w:tabs>
              <w:tab w:val="clear" w:pos="8176"/>
              <w:tab w:val="right" w:pos="9026" w:leader="dot"/>
            </w:tabs>
            <w:rPr/>
          </w:pPr>
          <w:hyperlink w:anchor="__RefHeading___Toc8039741_1280447820">
            <w:r>
              <w:rPr>
                <w:webHidden/>
                <w:rStyle w:val="IndexLink"/>
                <w:rtl w:val="true"/>
              </w:rPr>
              <w:t>أحكامُ الزكاةِ و الخُمسِ‌</w:t>
            </w:r>
            <w:r>
              <w:rPr>
                <w:rStyle w:val="IndexLink"/>
                <w:rtl w:val="true"/>
              </w:rPr>
              <w:tab/>
            </w:r>
            <w:r>
              <w:rPr>
                <w:rStyle w:val="IndexLink"/>
              </w:rPr>
              <w:t>261</w:t>
            </w:r>
          </w:hyperlink>
        </w:p>
        <w:p>
          <w:pPr>
            <w:pStyle w:val="Contents5"/>
            <w:tabs>
              <w:tab w:val="clear" w:pos="7892"/>
              <w:tab w:val="right" w:pos="9026" w:leader="dot"/>
            </w:tabs>
            <w:rPr/>
          </w:pPr>
          <w:hyperlink w:anchor="__RefHeading___Toc8039743_1280447820">
            <w:r>
              <w:rPr>
                <w:webHidden/>
                <w:rStyle w:val="IndexLink"/>
                <w:rtl w:val="true"/>
              </w:rPr>
              <w:t>المَسألةُ السادسةُ و العِشرونَ حُكمُ الذهَبِ و الفِضّةِ في بابِ الزكاةِ‌</w:t>
            </w:r>
            <w:r>
              <w:rPr>
                <w:rStyle w:val="IndexLink"/>
                <w:rtl w:val="true"/>
              </w:rPr>
              <w:tab/>
            </w:r>
            <w:r>
              <w:rPr>
                <w:rStyle w:val="IndexLink"/>
              </w:rPr>
              <w:t>261</w:t>
            </w:r>
          </w:hyperlink>
        </w:p>
        <w:p>
          <w:pPr>
            <w:pStyle w:val="Contents5"/>
            <w:tabs>
              <w:tab w:val="clear" w:pos="7892"/>
              <w:tab w:val="right" w:pos="9026" w:leader="dot"/>
            </w:tabs>
            <w:rPr/>
          </w:pPr>
          <w:hyperlink w:anchor="__RefHeading___Toc8039745_1280447820">
            <w:r>
              <w:rPr>
                <w:webHidden/>
                <w:rStyle w:val="IndexLink"/>
                <w:rtl w:val="true"/>
              </w:rPr>
              <w:t>المَسألةُ السابعةُ و العِشرونَ أقَلُّ ما يُجزئُ مِن الزكاةِ‌</w:t>
            </w:r>
            <w:r>
              <w:rPr>
                <w:rStyle w:val="IndexLink"/>
                <w:rtl w:val="true"/>
              </w:rPr>
              <w:tab/>
            </w:r>
            <w:r>
              <w:rPr>
                <w:rStyle w:val="IndexLink"/>
              </w:rPr>
              <w:t>261</w:t>
            </w:r>
          </w:hyperlink>
        </w:p>
        <w:p>
          <w:pPr>
            <w:pStyle w:val="Contents5"/>
            <w:tabs>
              <w:tab w:val="clear" w:pos="7892"/>
              <w:tab w:val="right" w:pos="9026" w:leader="dot"/>
            </w:tabs>
            <w:rPr/>
          </w:pPr>
          <w:hyperlink w:anchor="__RefHeading___Toc8039747_1280447820">
            <w:r>
              <w:rPr>
                <w:webHidden/>
                <w:rStyle w:val="IndexLink"/>
                <w:rtl w:val="true"/>
              </w:rPr>
              <w:t>المَسألةُ الثامنةُ و العِشرونَ اشتراطُ الوِلايةِ في مُستَحِقّي الزكاةِ‌</w:t>
            </w:r>
            <w:r>
              <w:rPr>
                <w:rStyle w:val="IndexLink"/>
                <w:rtl w:val="true"/>
              </w:rPr>
              <w:tab/>
            </w:r>
            <w:r>
              <w:rPr>
                <w:rStyle w:val="IndexLink"/>
              </w:rPr>
              <w:t>262</w:t>
            </w:r>
          </w:hyperlink>
        </w:p>
        <w:p>
          <w:pPr>
            <w:pStyle w:val="Contents5"/>
            <w:tabs>
              <w:tab w:val="clear" w:pos="7892"/>
              <w:tab w:val="right" w:pos="9026" w:leader="dot"/>
            </w:tabs>
            <w:rPr/>
          </w:pPr>
          <w:hyperlink w:anchor="__RefHeading___Toc8039749_1280447820">
            <w:r>
              <w:rPr>
                <w:webHidden/>
                <w:rStyle w:val="IndexLink"/>
                <w:rtl w:val="true"/>
              </w:rPr>
              <w:t>المَسألةُ التاسعةُ و العِشرونَ مقدارُ زَكاةِ الفِطرةِ‌</w:t>
            </w:r>
            <w:r>
              <w:rPr>
                <w:rStyle w:val="IndexLink"/>
                <w:rtl w:val="true"/>
              </w:rPr>
              <w:tab/>
            </w:r>
            <w:r>
              <w:rPr>
                <w:rStyle w:val="IndexLink"/>
              </w:rPr>
              <w:t>262</w:t>
            </w:r>
          </w:hyperlink>
        </w:p>
        <w:p>
          <w:pPr>
            <w:pStyle w:val="Contents5"/>
            <w:tabs>
              <w:tab w:val="clear" w:pos="7892"/>
              <w:tab w:val="right" w:pos="9026" w:leader="dot"/>
            </w:tabs>
            <w:rPr/>
          </w:pPr>
          <w:hyperlink w:anchor="__RefHeading___Toc8039751_1280447820">
            <w:r>
              <w:rPr>
                <w:webHidden/>
                <w:rStyle w:val="IndexLink"/>
                <w:rtl w:val="true"/>
              </w:rPr>
              <w:t>المَسألةُ الثلاثونَ أحكامُ الخُمُسِ‌</w:t>
            </w:r>
            <w:r>
              <w:rPr>
                <w:rStyle w:val="IndexLink"/>
                <w:rtl w:val="true"/>
              </w:rPr>
              <w:tab/>
            </w:r>
            <w:r>
              <w:rPr>
                <w:rStyle w:val="IndexLink"/>
              </w:rPr>
              <w:t>263</w:t>
            </w:r>
          </w:hyperlink>
        </w:p>
        <w:p>
          <w:pPr>
            <w:pStyle w:val="Contents5"/>
            <w:tabs>
              <w:tab w:val="clear" w:pos="7892"/>
              <w:tab w:val="right" w:pos="9026" w:leader="dot"/>
            </w:tabs>
            <w:rPr/>
          </w:pPr>
          <w:hyperlink w:anchor="__RefHeading___Toc8039753_1280447820">
            <w:r>
              <w:rPr>
                <w:webHidden/>
                <w:rStyle w:val="IndexLink"/>
                <w:rtl w:val="true"/>
              </w:rPr>
              <w:t>المسألةُ الحاديةُ و الثلاثونَ حُكمُ الأنفالِ‌</w:t>
            </w:r>
            <w:r>
              <w:rPr>
                <w:rStyle w:val="IndexLink"/>
                <w:rtl w:val="true"/>
              </w:rPr>
              <w:tab/>
            </w:r>
            <w:r>
              <w:rPr>
                <w:rStyle w:val="IndexLink"/>
              </w:rPr>
              <w:t>265</w:t>
            </w:r>
          </w:hyperlink>
        </w:p>
        <w:p>
          <w:pPr>
            <w:pStyle w:val="Contents5"/>
            <w:tabs>
              <w:tab w:val="clear" w:pos="7892"/>
              <w:tab w:val="right" w:pos="9026" w:leader="dot"/>
            </w:tabs>
            <w:rPr/>
          </w:pPr>
          <w:hyperlink w:anchor="__RefHeading___Toc8039755_1280447820">
            <w:r>
              <w:rPr>
                <w:webHidden/>
                <w:rStyle w:val="IndexLink"/>
                <w:rtl w:val="true"/>
              </w:rPr>
              <w:t>المَسألةُ الثانيةُ و الثلاثونَ صَفوَةُ الأموالِ مِن الأنفالِ‌</w:t>
            </w:r>
            <w:r>
              <w:rPr>
                <w:rStyle w:val="IndexLink"/>
                <w:rtl w:val="true"/>
              </w:rPr>
              <w:tab/>
            </w:r>
            <w:r>
              <w:rPr>
                <w:rStyle w:val="IndexLink"/>
              </w:rPr>
              <w:t>266</w:t>
            </w:r>
          </w:hyperlink>
        </w:p>
        <w:p>
          <w:pPr>
            <w:pStyle w:val="Contents4"/>
            <w:tabs>
              <w:tab w:val="clear" w:pos="8176"/>
              <w:tab w:val="right" w:pos="9026" w:leader="dot"/>
            </w:tabs>
            <w:rPr/>
          </w:pPr>
          <w:hyperlink w:anchor="__RefHeading___Toc8039757_1280447820">
            <w:r>
              <w:rPr>
                <w:webHidden/>
                <w:rStyle w:val="IndexLink"/>
                <w:rtl w:val="true"/>
              </w:rPr>
              <w:t>أحكامُ الحَجِّ و الشُّفعةِ و الرِّبا</w:t>
            </w:r>
            <w:r>
              <w:rPr>
                <w:rStyle w:val="IndexLink"/>
                <w:rtl w:val="true"/>
              </w:rPr>
              <w:tab/>
            </w:r>
            <w:r>
              <w:rPr>
                <w:rStyle w:val="IndexLink"/>
              </w:rPr>
              <w:t>267</w:t>
            </w:r>
          </w:hyperlink>
        </w:p>
        <w:p>
          <w:pPr>
            <w:pStyle w:val="Contents5"/>
            <w:tabs>
              <w:tab w:val="clear" w:pos="7892"/>
              <w:tab w:val="right" w:pos="9026" w:leader="dot"/>
            </w:tabs>
            <w:rPr/>
          </w:pPr>
          <w:hyperlink w:anchor="__RefHeading___Toc8039759_1280447820">
            <w:r>
              <w:rPr>
                <w:webHidden/>
                <w:rStyle w:val="IndexLink"/>
                <w:rtl w:val="true"/>
              </w:rPr>
              <w:t>المَسألةُ الثالثةُ و الثلاثونَ فَوتُ عَرَفاتٍ و إدراكُ المَشعَرِ</w:t>
            </w:r>
            <w:r>
              <w:rPr>
                <w:rStyle w:val="IndexLink"/>
                <w:rtl w:val="true"/>
              </w:rPr>
              <w:tab/>
            </w:r>
            <w:r>
              <w:rPr>
                <w:rStyle w:val="IndexLink"/>
              </w:rPr>
              <w:t>267</w:t>
            </w:r>
          </w:hyperlink>
        </w:p>
        <w:p>
          <w:pPr>
            <w:pStyle w:val="Contents5"/>
            <w:tabs>
              <w:tab w:val="clear" w:pos="7892"/>
              <w:tab w:val="right" w:pos="9026" w:leader="dot"/>
            </w:tabs>
            <w:rPr/>
          </w:pPr>
          <w:hyperlink w:anchor="__RefHeading___Toc8039761_1280447820">
            <w:r>
              <w:rPr>
                <w:webHidden/>
                <w:rStyle w:val="IndexLink"/>
                <w:rtl w:val="true"/>
              </w:rPr>
              <w:t>المسألةُ الرابعةُ و الثلاثونَ عَدَدُ الشُّفَعاءِ في العَقارِ</w:t>
            </w:r>
            <w:r>
              <w:rPr>
                <w:rStyle w:val="IndexLink"/>
                <w:rtl w:val="true"/>
              </w:rPr>
              <w:tab/>
            </w:r>
            <w:r>
              <w:rPr>
                <w:rStyle w:val="IndexLink"/>
              </w:rPr>
              <w:t>268</w:t>
            </w:r>
          </w:hyperlink>
        </w:p>
        <w:p>
          <w:pPr>
            <w:pStyle w:val="Contents5"/>
            <w:tabs>
              <w:tab w:val="clear" w:pos="7892"/>
              <w:tab w:val="right" w:pos="9026" w:leader="dot"/>
            </w:tabs>
            <w:rPr/>
          </w:pPr>
          <w:hyperlink w:anchor="__RefHeading___Toc8039763_1280447820">
            <w:r>
              <w:rPr>
                <w:webHidden/>
                <w:rStyle w:val="IndexLink"/>
                <w:rtl w:val="true"/>
              </w:rPr>
              <w:t>المَسألةُ الخامسةُ و الثلاثونَ مَن لا رِبا بَينَهما</w:t>
            </w:r>
            <w:r>
              <w:rPr>
                <w:rStyle w:val="IndexLink"/>
                <w:rtl w:val="true"/>
              </w:rPr>
              <w:tab/>
            </w:r>
            <w:r>
              <w:rPr>
                <w:rStyle w:val="IndexLink"/>
              </w:rPr>
              <w:t>268</w:t>
            </w:r>
          </w:hyperlink>
        </w:p>
        <w:p>
          <w:pPr>
            <w:pStyle w:val="Contents4"/>
            <w:tabs>
              <w:tab w:val="clear" w:pos="8176"/>
              <w:tab w:val="right" w:pos="9026" w:leader="dot"/>
            </w:tabs>
            <w:rPr/>
          </w:pPr>
          <w:hyperlink w:anchor="__RefHeading___Toc8039765_1280447820">
            <w:r>
              <w:rPr>
                <w:webHidden/>
                <w:rStyle w:val="IndexLink"/>
                <w:rtl w:val="true"/>
              </w:rPr>
              <w:t>أحكامُ النكاحِ‌</w:t>
            </w:r>
            <w:r>
              <w:rPr>
                <w:rStyle w:val="IndexLink"/>
                <w:rtl w:val="true"/>
              </w:rPr>
              <w:tab/>
            </w:r>
            <w:r>
              <w:rPr>
                <w:rStyle w:val="IndexLink"/>
              </w:rPr>
              <w:t>269</w:t>
            </w:r>
          </w:hyperlink>
        </w:p>
        <w:p>
          <w:pPr>
            <w:pStyle w:val="Contents5"/>
            <w:tabs>
              <w:tab w:val="clear" w:pos="7892"/>
              <w:tab w:val="right" w:pos="9026" w:leader="dot"/>
            </w:tabs>
            <w:rPr/>
          </w:pPr>
          <w:hyperlink w:anchor="__RefHeading___Toc8039767_1280447820">
            <w:r>
              <w:rPr>
                <w:webHidden/>
                <w:rStyle w:val="IndexLink"/>
                <w:rtl w:val="true"/>
              </w:rPr>
              <w:t>المَسألةُ السادسةُ و الثلاثونَ حُكمُ الزاني بذاتِ البَعلِ‌</w:t>
            </w:r>
            <w:r>
              <w:rPr>
                <w:rStyle w:val="IndexLink"/>
                <w:rtl w:val="true"/>
              </w:rPr>
              <w:tab/>
            </w:r>
            <w:r>
              <w:rPr>
                <w:rStyle w:val="IndexLink"/>
              </w:rPr>
              <w:t>269</w:t>
            </w:r>
          </w:hyperlink>
        </w:p>
        <w:p>
          <w:pPr>
            <w:pStyle w:val="Contents5"/>
            <w:tabs>
              <w:tab w:val="clear" w:pos="7892"/>
              <w:tab w:val="right" w:pos="9026" w:leader="dot"/>
            </w:tabs>
            <w:rPr/>
          </w:pPr>
          <w:hyperlink w:anchor="__RefHeading___Toc8039769_1280447820">
            <w:r>
              <w:rPr>
                <w:webHidden/>
                <w:rStyle w:val="IndexLink"/>
                <w:rtl w:val="true"/>
              </w:rPr>
              <w:t>المَسألةُ السابعةُ و الثلاثونَ عَقدُ النكاحِ علىٰ ما لا قيمةَ له</w:t>
            </w:r>
            <w:r>
              <w:rPr>
                <w:rStyle w:val="IndexLink"/>
                <w:rtl w:val="true"/>
              </w:rPr>
              <w:tab/>
            </w:r>
            <w:r>
              <w:rPr>
                <w:rStyle w:val="IndexLink"/>
              </w:rPr>
              <w:t>269</w:t>
            </w:r>
          </w:hyperlink>
        </w:p>
        <w:p>
          <w:pPr>
            <w:pStyle w:val="Contents5"/>
            <w:tabs>
              <w:tab w:val="clear" w:pos="7892"/>
              <w:tab w:val="right" w:pos="9026" w:leader="dot"/>
            </w:tabs>
            <w:rPr/>
          </w:pPr>
          <w:hyperlink w:anchor="__RefHeading___Toc8039771_1280447820">
            <w:r>
              <w:rPr>
                <w:webHidden/>
                <w:rStyle w:val="IndexLink"/>
                <w:rtl w:val="true"/>
              </w:rPr>
              <w:t>المَسألةُ الثامنةُ و الثلاثونَ التزويجُ في حالِ الإحرامِ‌</w:t>
            </w:r>
            <w:r>
              <w:rPr>
                <w:rStyle w:val="IndexLink"/>
                <w:rtl w:val="true"/>
              </w:rPr>
              <w:tab/>
            </w:r>
            <w:r>
              <w:rPr>
                <w:rStyle w:val="IndexLink"/>
              </w:rPr>
              <w:t>270</w:t>
            </w:r>
          </w:hyperlink>
        </w:p>
        <w:p>
          <w:pPr>
            <w:pStyle w:val="Contents5"/>
            <w:tabs>
              <w:tab w:val="clear" w:pos="7892"/>
              <w:tab w:val="right" w:pos="9026" w:leader="dot"/>
            </w:tabs>
            <w:rPr/>
          </w:pPr>
          <w:hyperlink w:anchor="__RefHeading___Toc8039773_1280447820">
            <w:r>
              <w:rPr>
                <w:webHidden/>
                <w:rStyle w:val="IndexLink"/>
                <w:rtl w:val="true"/>
              </w:rPr>
              <w:t>المَسألةُ التاسعةُ و الثلاثونَ التزويجُ في العِدّةِ‌</w:t>
            </w:r>
            <w:r>
              <w:rPr>
                <w:rStyle w:val="IndexLink"/>
                <w:rtl w:val="true"/>
              </w:rPr>
              <w:tab/>
            </w:r>
            <w:r>
              <w:rPr>
                <w:rStyle w:val="IndexLink"/>
              </w:rPr>
              <w:t>271</w:t>
            </w:r>
          </w:hyperlink>
        </w:p>
        <w:p>
          <w:pPr>
            <w:pStyle w:val="Contents5"/>
            <w:tabs>
              <w:tab w:val="clear" w:pos="7892"/>
              <w:tab w:val="right" w:pos="9026" w:leader="dot"/>
            </w:tabs>
            <w:rPr/>
          </w:pPr>
          <w:hyperlink w:anchor="__RefHeading___Toc8039775_1280447820">
            <w:r>
              <w:rPr>
                <w:webHidden/>
                <w:rStyle w:val="IndexLink"/>
                <w:rtl w:val="true"/>
              </w:rPr>
              <w:t>المَسألةُ الأربَعونَ عَقدُ النَكاحِ في العِدّةِ‌</w:t>
            </w:r>
            <w:r>
              <w:rPr>
                <w:rStyle w:val="IndexLink"/>
                <w:rtl w:val="true"/>
              </w:rPr>
              <w:tab/>
            </w:r>
            <w:r>
              <w:rPr>
                <w:rStyle w:val="IndexLink"/>
              </w:rPr>
              <w:t>271</w:t>
            </w:r>
          </w:hyperlink>
        </w:p>
        <w:p>
          <w:pPr>
            <w:pStyle w:val="Contents5"/>
            <w:tabs>
              <w:tab w:val="clear" w:pos="7892"/>
              <w:tab w:val="right" w:pos="9026" w:leader="dot"/>
            </w:tabs>
            <w:rPr/>
          </w:pPr>
          <w:hyperlink w:anchor="__RefHeading___Toc8039777_1280447820">
            <w:r>
              <w:rPr>
                <w:webHidden/>
                <w:rStyle w:val="IndexLink"/>
                <w:rtl w:val="true"/>
              </w:rPr>
              <w:t>المسألةُ الحاديةُ و الأربعونَ حُكمُ المُطلَّقةِ تِسعاً</w:t>
            </w:r>
            <w:r>
              <w:rPr>
                <w:rStyle w:val="IndexLink"/>
                <w:rtl w:val="true"/>
              </w:rPr>
              <w:tab/>
            </w:r>
            <w:r>
              <w:rPr>
                <w:rStyle w:val="IndexLink"/>
              </w:rPr>
              <w:t>271</w:t>
            </w:r>
          </w:hyperlink>
        </w:p>
        <w:p>
          <w:pPr>
            <w:pStyle w:val="Contents5"/>
            <w:tabs>
              <w:tab w:val="clear" w:pos="7892"/>
              <w:tab w:val="right" w:pos="9026" w:leader="dot"/>
            </w:tabs>
            <w:rPr/>
          </w:pPr>
          <w:hyperlink w:anchor="__RefHeading___Toc8039779_1280447820">
            <w:r>
              <w:rPr>
                <w:webHidden/>
                <w:rStyle w:val="IndexLink"/>
                <w:rtl w:val="true"/>
              </w:rPr>
              <w:t>المَسألةُ الثانيةُ و الأربَعونَ حُكمُ مَن فَجَرَ بعَمّتِه أو خالتِه</w:t>
            </w:r>
            <w:r>
              <w:rPr>
                <w:rStyle w:val="IndexLink"/>
                <w:rtl w:val="true"/>
              </w:rPr>
              <w:tab/>
            </w:r>
            <w:r>
              <w:rPr>
                <w:rStyle w:val="IndexLink"/>
              </w:rPr>
              <w:t>272</w:t>
            </w:r>
          </w:hyperlink>
        </w:p>
        <w:p>
          <w:pPr>
            <w:pStyle w:val="Contents5"/>
            <w:tabs>
              <w:tab w:val="clear" w:pos="7892"/>
              <w:tab w:val="right" w:pos="9026" w:leader="dot"/>
            </w:tabs>
            <w:rPr/>
          </w:pPr>
          <w:hyperlink w:anchor="__RefHeading___Toc8039781_1280447820">
            <w:r>
              <w:rPr>
                <w:webHidden/>
                <w:rStyle w:val="IndexLink"/>
                <w:rtl w:val="true"/>
              </w:rPr>
              <w:t>المسألةُ الثالثةُ و الأربَعونَ حُكمُ مَن تَلوَّطَ بغُلامٍ‌</w:t>
            </w:r>
            <w:r>
              <w:rPr>
                <w:rStyle w:val="IndexLink"/>
                <w:rtl w:val="true"/>
              </w:rPr>
              <w:tab/>
            </w:r>
            <w:r>
              <w:rPr>
                <w:rStyle w:val="IndexLink"/>
              </w:rPr>
              <w:t>272</w:t>
            </w:r>
          </w:hyperlink>
        </w:p>
        <w:p>
          <w:pPr>
            <w:pStyle w:val="Contents5"/>
            <w:tabs>
              <w:tab w:val="clear" w:pos="7892"/>
              <w:tab w:val="right" w:pos="9026" w:leader="dot"/>
            </w:tabs>
            <w:rPr/>
          </w:pPr>
          <w:hyperlink w:anchor="__RefHeading___Toc8039783_1280447820">
            <w:r>
              <w:rPr>
                <w:webHidden/>
                <w:rStyle w:val="IndexLink"/>
                <w:rtl w:val="true"/>
              </w:rPr>
              <w:t>المَسألةُ الرابعةُ و الأربَعونَ جوازُ نِكاحِ النساءِ في أدبارِهنّ‌</w:t>
            </w:r>
            <w:r>
              <w:rPr>
                <w:rStyle w:val="IndexLink"/>
                <w:rtl w:val="true"/>
              </w:rPr>
              <w:tab/>
            </w:r>
            <w:r>
              <w:rPr>
                <w:rStyle w:val="IndexLink"/>
              </w:rPr>
              <w:t>272</w:t>
            </w:r>
          </w:hyperlink>
        </w:p>
        <w:p>
          <w:pPr>
            <w:pStyle w:val="Contents5"/>
            <w:tabs>
              <w:tab w:val="clear" w:pos="7892"/>
              <w:tab w:val="right" w:pos="9026" w:leader="dot"/>
            </w:tabs>
            <w:rPr/>
          </w:pPr>
          <w:hyperlink w:anchor="__RefHeading___Toc8039785_1280447820">
            <w:r>
              <w:rPr>
                <w:webHidden/>
                <w:rStyle w:val="IndexLink"/>
                <w:rtl w:val="true"/>
              </w:rPr>
              <w:t>المَسألةُ الخامسةُ و الأربَعونَ عَقدُ المَرأةِ علىٰ نفسِها مِن دونِ إذنِ وليِّها</w:t>
            </w:r>
            <w:r>
              <w:rPr>
                <w:rStyle w:val="IndexLink"/>
                <w:rtl w:val="true"/>
              </w:rPr>
              <w:tab/>
            </w:r>
            <w:r>
              <w:rPr>
                <w:rStyle w:val="IndexLink"/>
              </w:rPr>
              <w:t>275</w:t>
            </w:r>
          </w:hyperlink>
        </w:p>
        <w:p>
          <w:pPr>
            <w:pStyle w:val="Contents5"/>
            <w:tabs>
              <w:tab w:val="clear" w:pos="7892"/>
              <w:tab w:val="right" w:pos="9026" w:leader="dot"/>
            </w:tabs>
            <w:rPr/>
          </w:pPr>
          <w:hyperlink w:anchor="__RefHeading___Toc8039787_1280447820">
            <w:r>
              <w:rPr>
                <w:webHidden/>
                <w:rStyle w:val="IndexLink"/>
                <w:rtl w:val="true"/>
              </w:rPr>
              <w:t>المَسألةُ السادسةُ و الأربَعونَ جوازُ النكاحِ بغَيرِ شُهودٍ</w:t>
            </w:r>
            <w:r>
              <w:rPr>
                <w:rStyle w:val="IndexLink"/>
                <w:rtl w:val="true"/>
              </w:rPr>
              <w:tab/>
            </w:r>
            <w:r>
              <w:rPr>
                <w:rStyle w:val="IndexLink"/>
              </w:rPr>
              <w:t>277</w:t>
            </w:r>
          </w:hyperlink>
        </w:p>
        <w:p>
          <w:pPr>
            <w:pStyle w:val="Contents5"/>
            <w:tabs>
              <w:tab w:val="clear" w:pos="7892"/>
              <w:tab w:val="right" w:pos="9026" w:leader="dot"/>
            </w:tabs>
            <w:rPr/>
          </w:pPr>
          <w:hyperlink w:anchor="__RefHeading___Toc8039789_1280447820">
            <w:r>
              <w:rPr>
                <w:webHidden/>
                <w:rStyle w:val="IndexLink"/>
                <w:rtl w:val="true"/>
              </w:rPr>
              <w:t>المَسألةُ السابعةُ و الأربعونَ حُكمُ نِكاحِ المُتعةِ‌</w:t>
            </w:r>
            <w:r>
              <w:rPr>
                <w:rStyle w:val="IndexLink"/>
                <w:rtl w:val="true"/>
              </w:rPr>
              <w:tab/>
            </w:r>
            <w:r>
              <w:rPr>
                <w:rStyle w:val="IndexLink"/>
              </w:rPr>
              <w:t>278</w:t>
            </w:r>
          </w:hyperlink>
        </w:p>
        <w:p>
          <w:pPr>
            <w:pStyle w:val="Contents5"/>
            <w:tabs>
              <w:tab w:val="clear" w:pos="7892"/>
              <w:tab w:val="right" w:pos="9026" w:leader="dot"/>
            </w:tabs>
            <w:rPr/>
          </w:pPr>
          <w:hyperlink w:anchor="__RefHeading___Toc8039791_1280447820">
            <w:r>
              <w:rPr>
                <w:webHidden/>
                <w:rStyle w:val="IndexLink"/>
                <w:rtl w:val="true"/>
              </w:rPr>
              <w:t>المَسألةُ الثامنةُ و الأربَعونَ جوازُ نِكاحِ المَرأةِ علىٰ عَمّتِها و خالتِها</w:t>
            </w:r>
            <w:r>
              <w:rPr>
                <w:rStyle w:val="IndexLink"/>
                <w:rtl w:val="true"/>
              </w:rPr>
              <w:tab/>
            </w:r>
            <w:r>
              <w:rPr>
                <w:rStyle w:val="IndexLink"/>
              </w:rPr>
              <w:t>280</w:t>
            </w:r>
          </w:hyperlink>
        </w:p>
        <w:p>
          <w:pPr>
            <w:pStyle w:val="Contents4"/>
            <w:tabs>
              <w:tab w:val="clear" w:pos="8176"/>
              <w:tab w:val="right" w:pos="9026" w:leader="dot"/>
            </w:tabs>
            <w:rPr/>
          </w:pPr>
          <w:hyperlink w:anchor="__RefHeading___Toc8039793_1280447820">
            <w:r>
              <w:rPr>
                <w:webHidden/>
                <w:rStyle w:val="IndexLink"/>
                <w:rtl w:val="true"/>
              </w:rPr>
              <w:t>أحكامُ الطلاقِ و الظِّهارِ</w:t>
            </w:r>
            <w:r>
              <w:rPr>
                <w:rStyle w:val="IndexLink"/>
                <w:rtl w:val="true"/>
              </w:rPr>
              <w:tab/>
            </w:r>
            <w:r>
              <w:rPr>
                <w:rStyle w:val="IndexLink"/>
              </w:rPr>
              <w:t>281</w:t>
            </w:r>
          </w:hyperlink>
        </w:p>
        <w:p>
          <w:pPr>
            <w:pStyle w:val="Contents5"/>
            <w:tabs>
              <w:tab w:val="clear" w:pos="7892"/>
              <w:tab w:val="right" w:pos="9026" w:leader="dot"/>
            </w:tabs>
            <w:rPr/>
          </w:pPr>
          <w:hyperlink w:anchor="__RefHeading___Toc8039795_1280447820">
            <w:r>
              <w:rPr>
                <w:webHidden/>
                <w:rStyle w:val="IndexLink"/>
                <w:rtl w:val="true"/>
              </w:rPr>
              <w:t>المَسألةُ التاسعةُ و الأربَعونَ وقوعُ الطلاقِ بشاهدَينِ عَدلَينِ مُسلِمَينِ‌</w:t>
            </w:r>
            <w:r>
              <w:rPr>
                <w:rStyle w:val="IndexLink"/>
                <w:rtl w:val="true"/>
              </w:rPr>
              <w:tab/>
            </w:r>
            <w:r>
              <w:rPr>
                <w:rStyle w:val="IndexLink"/>
              </w:rPr>
              <w:t>281</w:t>
            </w:r>
          </w:hyperlink>
        </w:p>
        <w:p>
          <w:pPr>
            <w:pStyle w:val="Contents5"/>
            <w:tabs>
              <w:tab w:val="clear" w:pos="7892"/>
              <w:tab w:val="right" w:pos="9026" w:leader="dot"/>
            </w:tabs>
            <w:rPr/>
          </w:pPr>
          <w:hyperlink w:anchor="__RefHeading___Toc8039797_1280447820">
            <w:r>
              <w:rPr>
                <w:webHidden/>
                <w:rStyle w:val="IndexLink"/>
                <w:rtl w:val="true"/>
              </w:rPr>
              <w:t>المَسألةُ الخَمسونَ توقيفيّةُ ألفاظِ الطلاقِ‌</w:t>
            </w:r>
            <w:r>
              <w:rPr>
                <w:rStyle w:val="IndexLink"/>
                <w:rtl w:val="true"/>
              </w:rPr>
              <w:tab/>
            </w:r>
            <w:r>
              <w:rPr>
                <w:rStyle w:val="IndexLink"/>
              </w:rPr>
              <w:t>282</w:t>
            </w:r>
          </w:hyperlink>
        </w:p>
        <w:p>
          <w:pPr>
            <w:pStyle w:val="Contents5"/>
            <w:tabs>
              <w:tab w:val="clear" w:pos="7892"/>
              <w:tab w:val="right" w:pos="9026" w:leader="dot"/>
            </w:tabs>
            <w:rPr/>
          </w:pPr>
          <w:hyperlink w:anchor="__RefHeading___Toc8039799_1280447820">
            <w:r>
              <w:rPr>
                <w:webHidden/>
                <w:rStyle w:val="IndexLink"/>
                <w:rtl w:val="true"/>
              </w:rPr>
              <w:t>المَسألةُ الحاديةُ و الخَمسونَ حُكمُ الطلاقِ بشَرطٍ</w:t>
            </w:r>
            <w:r>
              <w:rPr>
                <w:rStyle w:val="IndexLink"/>
                <w:rtl w:val="true"/>
              </w:rPr>
              <w:tab/>
            </w:r>
            <w:r>
              <w:rPr>
                <w:rStyle w:val="IndexLink"/>
              </w:rPr>
              <w:t>283</w:t>
            </w:r>
          </w:hyperlink>
        </w:p>
        <w:p>
          <w:pPr>
            <w:pStyle w:val="Contents5"/>
            <w:tabs>
              <w:tab w:val="clear" w:pos="7892"/>
              <w:tab w:val="right" w:pos="9026" w:leader="dot"/>
            </w:tabs>
            <w:rPr/>
          </w:pPr>
          <w:hyperlink w:anchor="__RefHeading___Toc8039801_1280447820">
            <w:r>
              <w:rPr>
                <w:webHidden/>
                <w:rStyle w:val="IndexLink"/>
                <w:rtl w:val="true"/>
              </w:rPr>
              <w:t>المسألةُ الثانيةُ و الخَمسونَ حُكمُ الطلاقِ باليَمينِ‌</w:t>
            </w:r>
            <w:r>
              <w:rPr>
                <w:rStyle w:val="IndexLink"/>
                <w:rtl w:val="true"/>
              </w:rPr>
              <w:tab/>
            </w:r>
            <w:r>
              <w:rPr>
                <w:rStyle w:val="IndexLink"/>
              </w:rPr>
              <w:t>283</w:t>
            </w:r>
          </w:hyperlink>
        </w:p>
        <w:p>
          <w:pPr>
            <w:pStyle w:val="Contents5"/>
            <w:tabs>
              <w:tab w:val="clear" w:pos="7892"/>
              <w:tab w:val="right" w:pos="9026" w:leader="dot"/>
            </w:tabs>
            <w:rPr/>
          </w:pPr>
          <w:hyperlink w:anchor="__RefHeading___Toc8039803_1280447820">
            <w:r>
              <w:rPr>
                <w:webHidden/>
                <w:rStyle w:val="IndexLink"/>
                <w:rtl w:val="true"/>
              </w:rPr>
              <w:t>المَسألةُ الثالثةُ و الخَمسونَ حُكمُ الطلاقِ الثلاثِ‌</w:t>
            </w:r>
            <w:r>
              <w:rPr>
                <w:rStyle w:val="IndexLink"/>
                <w:rtl w:val="true"/>
              </w:rPr>
              <w:tab/>
            </w:r>
            <w:r>
              <w:rPr>
                <w:rStyle w:val="IndexLink"/>
              </w:rPr>
              <w:t>283</w:t>
            </w:r>
          </w:hyperlink>
        </w:p>
        <w:p>
          <w:pPr>
            <w:pStyle w:val="Contents5"/>
            <w:tabs>
              <w:tab w:val="clear" w:pos="7892"/>
              <w:tab w:val="right" w:pos="9026" w:leader="dot"/>
            </w:tabs>
            <w:rPr/>
          </w:pPr>
          <w:hyperlink w:anchor="__RefHeading___Toc8039805_1280447820">
            <w:r>
              <w:rPr>
                <w:webHidden/>
                <w:rStyle w:val="IndexLink"/>
                <w:rtl w:val="true"/>
              </w:rPr>
              <w:t>المَسألةُ الرابعةُ و الخَمسونَ شَرائطُ الظِّهارِ</w:t>
            </w:r>
            <w:r>
              <w:rPr>
                <w:rStyle w:val="IndexLink"/>
                <w:rtl w:val="true"/>
              </w:rPr>
              <w:tab/>
            </w:r>
            <w:r>
              <w:rPr>
                <w:rStyle w:val="IndexLink"/>
              </w:rPr>
              <w:t>284</w:t>
            </w:r>
          </w:hyperlink>
        </w:p>
        <w:p>
          <w:pPr>
            <w:pStyle w:val="Contents5"/>
            <w:tabs>
              <w:tab w:val="clear" w:pos="7892"/>
              <w:tab w:val="right" w:pos="9026" w:leader="dot"/>
            </w:tabs>
            <w:rPr/>
          </w:pPr>
          <w:hyperlink w:anchor="__RefHeading___Toc8039807_1280447820">
            <w:r>
              <w:rPr>
                <w:webHidden/>
                <w:rStyle w:val="IndexLink"/>
                <w:rtl w:val="true"/>
              </w:rPr>
              <w:t>المَسألةُ الخامسةُ و الخَمسونَ حُكمُ التخييرِ في الطلاقِ‌</w:t>
            </w:r>
            <w:r>
              <w:rPr>
                <w:rStyle w:val="IndexLink"/>
                <w:rtl w:val="true"/>
              </w:rPr>
              <w:tab/>
            </w:r>
            <w:r>
              <w:rPr>
                <w:rStyle w:val="IndexLink"/>
              </w:rPr>
              <w:t>285</w:t>
            </w:r>
          </w:hyperlink>
        </w:p>
        <w:p>
          <w:pPr>
            <w:pStyle w:val="Contents5"/>
            <w:tabs>
              <w:tab w:val="clear" w:pos="7892"/>
              <w:tab w:val="right" w:pos="9026" w:leader="dot"/>
            </w:tabs>
            <w:rPr/>
          </w:pPr>
          <w:hyperlink w:anchor="__RefHeading___Toc8039809_1280447820">
            <w:r>
              <w:rPr>
                <w:webHidden/>
                <w:rStyle w:val="IndexLink"/>
                <w:rtl w:val="true"/>
              </w:rPr>
              <w:t>المَسألةُ السادسةُ و الخَمسونَ عِدّةُ الحاملِ‌</w:t>
            </w:r>
            <w:r>
              <w:rPr>
                <w:rStyle w:val="IndexLink"/>
                <w:rtl w:val="true"/>
              </w:rPr>
              <w:tab/>
            </w:r>
            <w:r>
              <w:rPr>
                <w:rStyle w:val="IndexLink"/>
              </w:rPr>
              <w:t>288</w:t>
            </w:r>
          </w:hyperlink>
        </w:p>
        <w:p>
          <w:pPr>
            <w:pStyle w:val="Contents5"/>
            <w:tabs>
              <w:tab w:val="clear" w:pos="7892"/>
              <w:tab w:val="right" w:pos="9026" w:leader="dot"/>
            </w:tabs>
            <w:rPr/>
          </w:pPr>
          <w:hyperlink w:anchor="__RefHeading___Toc8039811_1280447820">
            <w:r>
              <w:rPr>
                <w:webHidden/>
                <w:rStyle w:val="IndexLink"/>
                <w:rtl w:val="true"/>
              </w:rPr>
              <w:t>المَسألةُ السابعةُ و الخَمسونَ الرَّجعةُ في الطلاقِ الثلاثِ في مَجلِسٍ واحدٍ</w:t>
            </w:r>
            <w:r>
              <w:rPr>
                <w:rStyle w:val="IndexLink"/>
                <w:rtl w:val="true"/>
              </w:rPr>
              <w:tab/>
            </w:r>
            <w:r>
              <w:rPr>
                <w:rStyle w:val="IndexLink"/>
              </w:rPr>
              <w:t>289</w:t>
            </w:r>
          </w:hyperlink>
        </w:p>
        <w:p>
          <w:pPr>
            <w:pStyle w:val="Contents5"/>
            <w:tabs>
              <w:tab w:val="clear" w:pos="7892"/>
              <w:tab w:val="right" w:pos="9026" w:leader="dot"/>
            </w:tabs>
            <w:rPr/>
          </w:pPr>
          <w:hyperlink w:anchor="__RefHeading___Toc8039813_1280447820">
            <w:r>
              <w:rPr>
                <w:webHidden/>
                <w:rStyle w:val="IndexLink"/>
                <w:rtl w:val="true"/>
              </w:rPr>
              <w:t>المَسألةُ الثامنةُ و الخَمسونَ حُكمُ المُطلِّقِ ثَلاثاً في مَجلِسٍ واحدٍ</w:t>
            </w:r>
            <w:r>
              <w:rPr>
                <w:rStyle w:val="IndexLink"/>
                <w:rtl w:val="true"/>
              </w:rPr>
              <w:tab/>
            </w:r>
            <w:r>
              <w:rPr>
                <w:rStyle w:val="IndexLink"/>
              </w:rPr>
              <w:t>289</w:t>
            </w:r>
          </w:hyperlink>
        </w:p>
        <w:p>
          <w:pPr>
            <w:pStyle w:val="Contents5"/>
            <w:tabs>
              <w:tab w:val="clear" w:pos="7892"/>
              <w:tab w:val="right" w:pos="9026" w:leader="dot"/>
            </w:tabs>
            <w:rPr/>
          </w:pPr>
          <w:hyperlink w:anchor="__RefHeading___Toc8039815_1280447820">
            <w:r>
              <w:rPr>
                <w:webHidden/>
                <w:rStyle w:val="IndexLink"/>
                <w:rtl w:val="true"/>
              </w:rPr>
              <w:t>المَسألةُ التاسعةُ و الخَمسونَ أقَلُّ الحَملِ و أكثَرُه</w:t>
            </w:r>
            <w:r>
              <w:rPr>
                <w:rStyle w:val="IndexLink"/>
                <w:rtl w:val="true"/>
              </w:rPr>
              <w:tab/>
            </w:r>
            <w:r>
              <w:rPr>
                <w:rStyle w:val="IndexLink"/>
              </w:rPr>
              <w:t>290</w:t>
            </w:r>
          </w:hyperlink>
        </w:p>
        <w:p>
          <w:pPr>
            <w:pStyle w:val="Contents4"/>
            <w:tabs>
              <w:tab w:val="clear" w:pos="8176"/>
              <w:tab w:val="right" w:pos="9026" w:leader="dot"/>
            </w:tabs>
            <w:rPr/>
          </w:pPr>
          <w:hyperlink w:anchor="__RefHeading___Toc8039817_1280447820">
            <w:r>
              <w:rPr>
                <w:webHidden/>
                <w:rStyle w:val="IndexLink"/>
                <w:rtl w:val="true"/>
              </w:rPr>
              <w:t>أحكامُ العِتقِ‌</w:t>
            </w:r>
            <w:r>
              <w:rPr>
                <w:rStyle w:val="IndexLink"/>
                <w:rtl w:val="true"/>
              </w:rPr>
              <w:tab/>
            </w:r>
            <w:r>
              <w:rPr>
                <w:rStyle w:val="IndexLink"/>
              </w:rPr>
              <w:t>291</w:t>
            </w:r>
          </w:hyperlink>
        </w:p>
        <w:p>
          <w:pPr>
            <w:pStyle w:val="Contents5"/>
            <w:tabs>
              <w:tab w:val="clear" w:pos="7892"/>
              <w:tab w:val="right" w:pos="9026" w:leader="dot"/>
            </w:tabs>
            <w:rPr/>
          </w:pPr>
          <w:hyperlink w:anchor="__RefHeading___Toc8039819_1280447820">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8039821_1280447820">
            <w:r>
              <w:rPr>
                <w:webHidden/>
                <w:rStyle w:val="IndexLink"/>
                <w:rtl w:val="true"/>
              </w:rPr>
              <w:t>المَسألةُ السِّتّونَ كيفيّةُ العِتقِ‌</w:t>
            </w:r>
            <w:r>
              <w:rPr>
                <w:rStyle w:val="IndexLink"/>
                <w:rtl w:val="true"/>
              </w:rPr>
              <w:tab/>
            </w:r>
            <w:r>
              <w:rPr>
                <w:rStyle w:val="IndexLink"/>
              </w:rPr>
              <w:t>291</w:t>
            </w:r>
          </w:hyperlink>
        </w:p>
        <w:p>
          <w:pPr>
            <w:pStyle w:val="Contents4"/>
            <w:tabs>
              <w:tab w:val="clear" w:pos="8176"/>
              <w:tab w:val="right" w:pos="9026" w:leader="dot"/>
            </w:tabs>
            <w:rPr/>
          </w:pPr>
          <w:hyperlink w:anchor="__RefHeading___Toc8039823_1280447820">
            <w:r>
              <w:rPr>
                <w:webHidden/>
                <w:rStyle w:val="IndexLink"/>
                <w:rtl w:val="true"/>
              </w:rPr>
              <w:t>أحكامُ القضاءِ و الشهاداتِ‌</w:t>
            </w:r>
            <w:r>
              <w:rPr>
                <w:rStyle w:val="IndexLink"/>
                <w:rtl w:val="true"/>
              </w:rPr>
              <w:tab/>
            </w:r>
            <w:r>
              <w:rPr>
                <w:rStyle w:val="IndexLink"/>
              </w:rPr>
              <w:t>292</w:t>
            </w:r>
          </w:hyperlink>
        </w:p>
        <w:p>
          <w:pPr>
            <w:pStyle w:val="Contents5"/>
            <w:tabs>
              <w:tab w:val="clear" w:pos="7892"/>
              <w:tab w:val="right" w:pos="9026" w:leader="dot"/>
            </w:tabs>
            <w:rPr/>
          </w:pPr>
          <w:hyperlink w:anchor="__RefHeading___Toc8039825_1280447820">
            <w:r>
              <w:rPr>
                <w:webHidden/>
                <w:rStyle w:val="IndexLink"/>
                <w:rtl w:val="true"/>
              </w:rPr>
              <w:t>المَسألةُ الحاديةُ و السِّتّونَ‌ما لَو ابتَدأَ الخَصمانِ بمَحضَرِ الحاكمِ‌</w:t>
            </w:r>
            <w:r>
              <w:rPr>
                <w:rStyle w:val="IndexLink"/>
                <w:rtl w:val="true"/>
              </w:rPr>
              <w:tab/>
            </w:r>
            <w:r>
              <w:rPr>
                <w:rStyle w:val="IndexLink"/>
              </w:rPr>
              <w:t>292</w:t>
            </w:r>
          </w:hyperlink>
        </w:p>
        <w:p>
          <w:pPr>
            <w:pStyle w:val="Contents5"/>
            <w:tabs>
              <w:tab w:val="clear" w:pos="7892"/>
              <w:tab w:val="right" w:pos="9026" w:leader="dot"/>
            </w:tabs>
            <w:rPr/>
          </w:pPr>
          <w:hyperlink w:anchor="__RefHeading___Toc8039827_1280447820">
            <w:r>
              <w:rPr>
                <w:webHidden/>
                <w:rStyle w:val="IndexLink"/>
                <w:rtl w:val="true"/>
              </w:rPr>
              <w:t>المَسألةُ الثانيةُ و السِّتّونَ شَهادةُ الِابنِ لأبيهِ و عليه</w:t>
            </w:r>
            <w:r>
              <w:rPr>
                <w:rStyle w:val="IndexLink"/>
                <w:rtl w:val="true"/>
              </w:rPr>
              <w:tab/>
            </w:r>
            <w:r>
              <w:rPr>
                <w:rStyle w:val="IndexLink"/>
              </w:rPr>
              <w:t>293</w:t>
            </w:r>
          </w:hyperlink>
        </w:p>
        <w:p>
          <w:pPr>
            <w:pStyle w:val="Contents4"/>
            <w:tabs>
              <w:tab w:val="clear" w:pos="8176"/>
              <w:tab w:val="right" w:pos="9026" w:leader="dot"/>
            </w:tabs>
            <w:rPr/>
          </w:pPr>
          <w:hyperlink w:anchor="__RefHeading___Toc8039829_1280447820">
            <w:r>
              <w:rPr>
                <w:webHidden/>
                <w:rStyle w:val="IndexLink"/>
                <w:rtl w:val="true"/>
              </w:rPr>
              <w:t>أحكامُ النذرِ و اليمينِ‌</w:t>
            </w:r>
            <w:r>
              <w:rPr>
                <w:rStyle w:val="IndexLink"/>
                <w:rtl w:val="true"/>
              </w:rPr>
              <w:tab/>
            </w:r>
            <w:r>
              <w:rPr>
                <w:rStyle w:val="IndexLink"/>
              </w:rPr>
              <w:t>294</w:t>
            </w:r>
          </w:hyperlink>
        </w:p>
        <w:p>
          <w:pPr>
            <w:pStyle w:val="Contents5"/>
            <w:tabs>
              <w:tab w:val="clear" w:pos="7892"/>
              <w:tab w:val="right" w:pos="9026" w:leader="dot"/>
            </w:tabs>
            <w:rPr/>
          </w:pPr>
          <w:hyperlink w:anchor="__RefHeading___Toc8039831_1280447820">
            <w:r>
              <w:rPr>
                <w:webHidden/>
                <w:rStyle w:val="IndexLink"/>
                <w:rtl w:val="true"/>
              </w:rPr>
              <w:t>المَسألةُ الثالثةُ و السِّتّونَ حُكمُ حانِثِ النَّذرِ</w:t>
            </w:r>
            <w:r>
              <w:rPr>
                <w:rStyle w:val="IndexLink"/>
                <w:rtl w:val="true"/>
              </w:rPr>
              <w:tab/>
            </w:r>
            <w:r>
              <w:rPr>
                <w:rStyle w:val="IndexLink"/>
              </w:rPr>
              <w:t>294</w:t>
            </w:r>
          </w:hyperlink>
        </w:p>
        <w:p>
          <w:pPr>
            <w:pStyle w:val="Contents5"/>
            <w:tabs>
              <w:tab w:val="clear" w:pos="7892"/>
              <w:tab w:val="right" w:pos="9026" w:leader="dot"/>
            </w:tabs>
            <w:rPr/>
          </w:pPr>
          <w:hyperlink w:anchor="__RefHeading___Toc8039833_1280447820">
            <w:r>
              <w:rPr>
                <w:webHidden/>
                <w:rStyle w:val="IndexLink"/>
                <w:rtl w:val="true"/>
              </w:rPr>
              <w:t>المَسألةُ الرابعةُ و السِّتّونَ كَيفيّةُ اليَمينِ‌</w:t>
            </w:r>
            <w:r>
              <w:rPr>
                <w:rStyle w:val="IndexLink"/>
                <w:rtl w:val="true"/>
              </w:rPr>
              <w:tab/>
            </w:r>
            <w:r>
              <w:rPr>
                <w:rStyle w:val="IndexLink"/>
              </w:rPr>
              <w:t>294</w:t>
            </w:r>
          </w:hyperlink>
        </w:p>
        <w:p>
          <w:pPr>
            <w:pStyle w:val="Contents5"/>
            <w:tabs>
              <w:tab w:val="clear" w:pos="7892"/>
              <w:tab w:val="right" w:pos="9026" w:leader="dot"/>
            </w:tabs>
            <w:rPr/>
          </w:pPr>
          <w:hyperlink w:anchor="__RefHeading___Toc8039835_1280447820">
            <w:r>
              <w:rPr>
                <w:webHidden/>
                <w:rStyle w:val="IndexLink"/>
                <w:rtl w:val="true"/>
              </w:rPr>
              <w:t>المَسألةُ الخامسةُ و السِّتّونَ حُكمُ اليَمينِ‌</w:t>
            </w:r>
            <w:r>
              <w:rPr>
                <w:rStyle w:val="IndexLink"/>
                <w:rtl w:val="true"/>
              </w:rPr>
              <w:tab/>
            </w:r>
            <w:r>
              <w:rPr>
                <w:rStyle w:val="IndexLink"/>
              </w:rPr>
              <w:t>295</w:t>
            </w:r>
          </w:hyperlink>
        </w:p>
        <w:p>
          <w:pPr>
            <w:pStyle w:val="Contents4"/>
            <w:tabs>
              <w:tab w:val="clear" w:pos="8176"/>
              <w:tab w:val="right" w:pos="9026" w:leader="dot"/>
            </w:tabs>
            <w:rPr/>
          </w:pPr>
          <w:hyperlink w:anchor="__RefHeading___Toc8039837_1280447820">
            <w:r>
              <w:rPr>
                <w:webHidden/>
                <w:rStyle w:val="IndexLink"/>
                <w:rtl w:val="true"/>
              </w:rPr>
              <w:t>أحكامُ بعضِ الأطعمةِ و الأشربةِ‌</w:t>
            </w:r>
            <w:r>
              <w:rPr>
                <w:rStyle w:val="IndexLink"/>
                <w:rtl w:val="true"/>
              </w:rPr>
              <w:tab/>
            </w:r>
            <w:r>
              <w:rPr>
                <w:rStyle w:val="IndexLink"/>
              </w:rPr>
              <w:t>296</w:t>
            </w:r>
          </w:hyperlink>
        </w:p>
        <w:p>
          <w:pPr>
            <w:pStyle w:val="Contents5"/>
            <w:tabs>
              <w:tab w:val="clear" w:pos="7892"/>
              <w:tab w:val="right" w:pos="9026" w:leader="dot"/>
            </w:tabs>
            <w:rPr/>
          </w:pPr>
          <w:hyperlink w:anchor="__RefHeading___Toc8039839_1280447820">
            <w:r>
              <w:rPr>
                <w:webHidden/>
                <w:rStyle w:val="IndexLink"/>
                <w:rtl w:val="true"/>
              </w:rPr>
              <w:t>المَسألةُ السادسةُ و السِّتّونَ حُكمُ الطِّحالِ‌</w:t>
            </w:r>
            <w:r>
              <w:rPr>
                <w:rStyle w:val="IndexLink"/>
                <w:rtl w:val="true"/>
              </w:rPr>
              <w:tab/>
            </w:r>
            <w:r>
              <w:rPr>
                <w:rStyle w:val="IndexLink"/>
              </w:rPr>
              <w:t>296</w:t>
            </w:r>
          </w:hyperlink>
        </w:p>
        <w:p>
          <w:pPr>
            <w:pStyle w:val="Contents5"/>
            <w:tabs>
              <w:tab w:val="clear" w:pos="7892"/>
              <w:tab w:val="right" w:pos="9026" w:leader="dot"/>
            </w:tabs>
            <w:rPr/>
          </w:pPr>
          <w:hyperlink w:anchor="__RefHeading___Toc8039841_1280447820">
            <w:r>
              <w:rPr>
                <w:webHidden/>
                <w:rStyle w:val="IndexLink"/>
                <w:rtl w:val="true"/>
              </w:rPr>
              <w:t>المَسألةُ السابعةُ و السِّتّونَ السَّمَكُ المُحرَّمُ‌</w:t>
            </w:r>
            <w:r>
              <w:rPr>
                <w:rStyle w:val="IndexLink"/>
                <w:rtl w:val="true"/>
              </w:rPr>
              <w:tab/>
            </w:r>
            <w:r>
              <w:rPr>
                <w:rStyle w:val="IndexLink"/>
              </w:rPr>
              <w:t>296</w:t>
            </w:r>
          </w:hyperlink>
        </w:p>
        <w:p>
          <w:pPr>
            <w:pStyle w:val="Contents5"/>
            <w:tabs>
              <w:tab w:val="clear" w:pos="7892"/>
              <w:tab w:val="right" w:pos="9026" w:leader="dot"/>
            </w:tabs>
            <w:rPr/>
          </w:pPr>
          <w:hyperlink w:anchor="__RefHeading___Toc8039843_1280447820">
            <w:r>
              <w:rPr>
                <w:webHidden/>
                <w:rStyle w:val="IndexLink"/>
                <w:rtl w:val="true"/>
              </w:rPr>
              <w:t>المَسألةُ الثامنةُ و السِّتّونَ ما يَحرُمُ مِن الطيرِ</w:t>
            </w:r>
            <w:r>
              <w:rPr>
                <w:rStyle w:val="IndexLink"/>
                <w:rtl w:val="true"/>
              </w:rPr>
              <w:tab/>
            </w:r>
            <w:r>
              <w:rPr>
                <w:rStyle w:val="IndexLink"/>
              </w:rPr>
              <w:t>296</w:t>
            </w:r>
          </w:hyperlink>
        </w:p>
        <w:p>
          <w:pPr>
            <w:pStyle w:val="Contents5"/>
            <w:tabs>
              <w:tab w:val="clear" w:pos="7892"/>
              <w:tab w:val="right" w:pos="9026" w:leader="dot"/>
            </w:tabs>
            <w:rPr/>
          </w:pPr>
          <w:hyperlink w:anchor="__RefHeading___Toc8039845_1280447820">
            <w:r>
              <w:rPr>
                <w:webHidden/>
                <w:rStyle w:val="IndexLink"/>
                <w:rtl w:val="true"/>
              </w:rPr>
              <w:t>المَسألةُ التاسعةُ و السِّتّونَ ما يَحرُمُ مِن الطيرِ أيضاً</w:t>
            </w:r>
            <w:r>
              <w:rPr>
                <w:rStyle w:val="IndexLink"/>
                <w:rtl w:val="true"/>
              </w:rPr>
              <w:tab/>
            </w:r>
            <w:r>
              <w:rPr>
                <w:rStyle w:val="IndexLink"/>
              </w:rPr>
              <w:t>297</w:t>
            </w:r>
          </w:hyperlink>
        </w:p>
        <w:p>
          <w:pPr>
            <w:pStyle w:val="Contents5"/>
            <w:tabs>
              <w:tab w:val="clear" w:pos="7892"/>
              <w:tab w:val="right" w:pos="9026" w:leader="dot"/>
            </w:tabs>
            <w:rPr/>
          </w:pPr>
          <w:hyperlink w:anchor="__RefHeading___Toc8039847_1280447820">
            <w:r>
              <w:rPr>
                <w:webHidden/>
                <w:rStyle w:val="IndexLink"/>
                <w:rtl w:val="true"/>
              </w:rPr>
              <w:t>المَسألةُ السبعونَ حُكمُ الفُقّاعِ‌</w:t>
            </w:r>
            <w:r>
              <w:rPr>
                <w:rStyle w:val="IndexLink"/>
                <w:rtl w:val="true"/>
              </w:rPr>
              <w:tab/>
            </w:r>
            <w:r>
              <w:rPr>
                <w:rStyle w:val="IndexLink"/>
              </w:rPr>
              <w:t>297</w:t>
            </w:r>
          </w:hyperlink>
        </w:p>
        <w:p>
          <w:pPr>
            <w:pStyle w:val="Contents4"/>
            <w:tabs>
              <w:tab w:val="clear" w:pos="8176"/>
              <w:tab w:val="right" w:pos="9026" w:leader="dot"/>
            </w:tabs>
            <w:rPr/>
          </w:pPr>
          <w:hyperlink w:anchor="__RefHeading___Toc8039849_1280447820">
            <w:r>
              <w:rPr>
                <w:webHidden/>
                <w:rStyle w:val="IndexLink"/>
                <w:rtl w:val="true"/>
              </w:rPr>
              <w:t>أحكامُ الحدودِ و الدياتِ‌</w:t>
            </w:r>
            <w:r>
              <w:rPr>
                <w:rStyle w:val="IndexLink"/>
                <w:rtl w:val="true"/>
              </w:rPr>
              <w:tab/>
            </w:r>
            <w:r>
              <w:rPr>
                <w:rStyle w:val="IndexLink"/>
              </w:rPr>
              <w:t>298</w:t>
            </w:r>
          </w:hyperlink>
        </w:p>
        <w:p>
          <w:pPr>
            <w:pStyle w:val="Contents5"/>
            <w:tabs>
              <w:tab w:val="clear" w:pos="7892"/>
              <w:tab w:val="right" w:pos="9026" w:leader="dot"/>
            </w:tabs>
            <w:rPr/>
          </w:pPr>
          <w:hyperlink w:anchor="__RefHeading___Toc8039851_1280447820">
            <w:r>
              <w:rPr>
                <w:webHidden/>
                <w:rStyle w:val="IndexLink"/>
                <w:rtl w:val="true"/>
              </w:rPr>
              <w:t>المَسألةُ الحاديةُ و السبعونَ حَدُّ السارِقِ‌</w:t>
            </w:r>
            <w:r>
              <w:rPr>
                <w:rStyle w:val="IndexLink"/>
                <w:rtl w:val="true"/>
              </w:rPr>
              <w:tab/>
            </w:r>
            <w:r>
              <w:rPr>
                <w:rStyle w:val="IndexLink"/>
              </w:rPr>
              <w:t>298</w:t>
            </w:r>
          </w:hyperlink>
        </w:p>
        <w:p>
          <w:pPr>
            <w:pStyle w:val="Contents5"/>
            <w:tabs>
              <w:tab w:val="clear" w:pos="7892"/>
              <w:tab w:val="right" w:pos="9026" w:leader="dot"/>
            </w:tabs>
            <w:rPr/>
          </w:pPr>
          <w:hyperlink w:anchor="__RefHeading___Toc8039853_1280447820">
            <w:r>
              <w:rPr>
                <w:webHidden/>
                <w:rStyle w:val="IndexLink"/>
                <w:rtl w:val="true"/>
              </w:rPr>
              <w:t>المَسألةُ الثانيةُ و السبعونَ حَدُّ السارِقِ إذا عادَ إلَى السَّرِقةِ‌</w:t>
            </w:r>
            <w:r>
              <w:rPr>
                <w:rStyle w:val="IndexLink"/>
                <w:rtl w:val="true"/>
              </w:rPr>
              <w:tab/>
            </w:r>
            <w:r>
              <w:rPr>
                <w:rStyle w:val="IndexLink"/>
              </w:rPr>
              <w:t>299</w:t>
            </w:r>
          </w:hyperlink>
        </w:p>
        <w:p>
          <w:pPr>
            <w:pStyle w:val="Contents5"/>
            <w:tabs>
              <w:tab w:val="clear" w:pos="7892"/>
              <w:tab w:val="right" w:pos="9026" w:leader="dot"/>
            </w:tabs>
            <w:rPr/>
          </w:pPr>
          <w:hyperlink w:anchor="__RefHeading___Toc8039855_1280447820">
            <w:r>
              <w:rPr>
                <w:webHidden/>
                <w:rStyle w:val="IndexLink"/>
                <w:rtl w:val="true"/>
              </w:rPr>
              <w:t>المَسألةُ الثالثةُ و السبعونَ حَدُّ الحُرِّ الزاني</w:t>
            </w:r>
            <w:r>
              <w:rPr>
                <w:rStyle w:val="IndexLink"/>
                <w:rtl w:val="true"/>
              </w:rPr>
              <w:tab/>
            </w:r>
            <w:r>
              <w:rPr>
                <w:rStyle w:val="IndexLink"/>
              </w:rPr>
              <w:t>299</w:t>
            </w:r>
          </w:hyperlink>
        </w:p>
        <w:p>
          <w:pPr>
            <w:pStyle w:val="Contents5"/>
            <w:tabs>
              <w:tab w:val="clear" w:pos="7892"/>
              <w:tab w:val="right" w:pos="9026" w:leader="dot"/>
            </w:tabs>
            <w:rPr/>
          </w:pPr>
          <w:hyperlink w:anchor="__RefHeading___Toc8039857_1280447820">
            <w:r>
              <w:rPr>
                <w:webHidden/>
                <w:rStyle w:val="IndexLink"/>
                <w:rtl w:val="true"/>
              </w:rPr>
              <w:t>المَسألةُ الرابعةُ و السبعونَ حَدُّ العبدِ الزاني</w:t>
            </w:r>
            <w:r>
              <w:rPr>
                <w:rStyle w:val="IndexLink"/>
                <w:rtl w:val="true"/>
              </w:rPr>
              <w:tab/>
            </w:r>
            <w:r>
              <w:rPr>
                <w:rStyle w:val="IndexLink"/>
              </w:rPr>
              <w:t>299</w:t>
            </w:r>
          </w:hyperlink>
        </w:p>
        <w:p>
          <w:pPr>
            <w:pStyle w:val="Contents5"/>
            <w:tabs>
              <w:tab w:val="clear" w:pos="7892"/>
              <w:tab w:val="right" w:pos="9026" w:leader="dot"/>
            </w:tabs>
            <w:rPr/>
          </w:pPr>
          <w:hyperlink w:anchor="__RefHeading___Toc8039859_1280447820">
            <w:r>
              <w:rPr>
                <w:webHidden/>
                <w:rStyle w:val="IndexLink"/>
                <w:rtl w:val="true"/>
              </w:rPr>
              <w:t>المَسألةُ الخامسةُ و السبعونَ شاربُ الخَمرِ ثلاثاً</w:t>
            </w:r>
            <w:r>
              <w:rPr>
                <w:rStyle w:val="IndexLink"/>
                <w:rtl w:val="true"/>
              </w:rPr>
              <w:tab/>
            </w:r>
            <w:r>
              <w:rPr>
                <w:rStyle w:val="IndexLink"/>
              </w:rPr>
              <w:t>300</w:t>
            </w:r>
          </w:hyperlink>
        </w:p>
        <w:p>
          <w:pPr>
            <w:pStyle w:val="Contents5"/>
            <w:tabs>
              <w:tab w:val="clear" w:pos="7892"/>
              <w:tab w:val="right" w:pos="9026" w:leader="dot"/>
            </w:tabs>
            <w:rPr/>
          </w:pPr>
          <w:hyperlink w:anchor="__RefHeading___Toc8039861_1280447820">
            <w:r>
              <w:rPr>
                <w:webHidden/>
                <w:rStyle w:val="IndexLink"/>
                <w:rtl w:val="true"/>
              </w:rPr>
              <w:t>المَسألةُ السادسةُ و السبعونَ حُكمُ مَن ضَرَبَ امرأةً فطَرَحَت</w:t>
            </w:r>
            <w:r>
              <w:rPr>
                <w:rStyle w:val="IndexLink"/>
                <w:rtl w:val="true"/>
              </w:rPr>
              <w:tab/>
            </w:r>
            <w:r>
              <w:rPr>
                <w:rStyle w:val="IndexLink"/>
              </w:rPr>
              <w:t>300</w:t>
            </w:r>
          </w:hyperlink>
        </w:p>
        <w:p>
          <w:pPr>
            <w:pStyle w:val="Contents5"/>
            <w:tabs>
              <w:tab w:val="clear" w:pos="7892"/>
              <w:tab w:val="right" w:pos="9026" w:leader="dot"/>
            </w:tabs>
            <w:rPr/>
          </w:pPr>
          <w:hyperlink w:anchor="__RefHeading___Toc8039863_1280447820">
            <w:r>
              <w:rPr>
                <w:webHidden/>
                <w:rStyle w:val="IndexLink"/>
                <w:rtl w:val="true"/>
              </w:rPr>
              <w:t>المَسألةُ السابعةُ و السبعونَ إفزاعُ المُجامِعِ و عَزلُه</w:t>
            </w:r>
            <w:r>
              <w:rPr>
                <w:rStyle w:val="IndexLink"/>
                <w:rtl w:val="true"/>
              </w:rPr>
              <w:tab/>
            </w:r>
            <w:r>
              <w:rPr>
                <w:rStyle w:val="IndexLink"/>
              </w:rPr>
              <w:t>300</w:t>
            </w:r>
          </w:hyperlink>
        </w:p>
        <w:p>
          <w:pPr>
            <w:pStyle w:val="Contents5"/>
            <w:tabs>
              <w:tab w:val="clear" w:pos="7892"/>
              <w:tab w:val="right" w:pos="9026" w:leader="dot"/>
            </w:tabs>
            <w:rPr/>
          </w:pPr>
          <w:hyperlink w:anchor="__RefHeading___Toc8039865_1280447820">
            <w:r>
              <w:rPr>
                <w:webHidden/>
                <w:rStyle w:val="IndexLink"/>
                <w:rtl w:val="true"/>
              </w:rPr>
              <w:t>المَسألةُ الثامنةُ و السبعونَ إنْ قَتَلَ اثنانِ أو أكثرُ واحداً</w:t>
            </w:r>
            <w:r>
              <w:rPr>
                <w:rStyle w:val="IndexLink"/>
                <w:rtl w:val="true"/>
              </w:rPr>
              <w:tab/>
            </w:r>
            <w:r>
              <w:rPr>
                <w:rStyle w:val="IndexLink"/>
              </w:rPr>
              <w:t>301</w:t>
            </w:r>
          </w:hyperlink>
        </w:p>
        <w:p>
          <w:pPr>
            <w:pStyle w:val="Contents5"/>
            <w:tabs>
              <w:tab w:val="clear" w:pos="7892"/>
              <w:tab w:val="right" w:pos="9026" w:leader="dot"/>
            </w:tabs>
            <w:rPr/>
          </w:pPr>
          <w:hyperlink w:anchor="__RefHeading___Toc8039867_1280447820">
            <w:r>
              <w:rPr>
                <w:webHidden/>
                <w:rStyle w:val="IndexLink"/>
                <w:rtl w:val="true"/>
              </w:rPr>
              <w:t>المسألةُ التاسعةُ و السبعونَ إنْ قَتَلَ ثَلاثةٌ واحداً، و اختلفُوا فيما قامُوا به</w:t>
            </w:r>
            <w:r>
              <w:rPr>
                <w:rStyle w:val="IndexLink"/>
                <w:rtl w:val="true"/>
              </w:rPr>
              <w:tab/>
            </w:r>
            <w:r>
              <w:rPr>
                <w:rStyle w:val="IndexLink"/>
              </w:rPr>
              <w:t>301</w:t>
            </w:r>
          </w:hyperlink>
        </w:p>
        <w:p>
          <w:pPr>
            <w:pStyle w:val="Contents5"/>
            <w:tabs>
              <w:tab w:val="clear" w:pos="7892"/>
              <w:tab w:val="right" w:pos="9026" w:leader="dot"/>
            </w:tabs>
            <w:rPr/>
          </w:pPr>
          <w:hyperlink w:anchor="__RefHeading___Toc8039869_1280447820">
            <w:r>
              <w:rPr>
                <w:webHidden/>
                <w:rStyle w:val="IndexLink"/>
                <w:rtl w:val="true"/>
              </w:rPr>
              <w:t>المَسألةُ الثمانونَ حُكمُ مَنْ قَطَعَ رأسَ مَيِّتٍ‌</w:t>
            </w:r>
            <w:r>
              <w:rPr>
                <w:rStyle w:val="IndexLink"/>
                <w:rtl w:val="true"/>
              </w:rPr>
              <w:tab/>
            </w:r>
            <w:r>
              <w:rPr>
                <w:rStyle w:val="IndexLink"/>
              </w:rPr>
              <w:t>302</w:t>
            </w:r>
          </w:hyperlink>
        </w:p>
        <w:p>
          <w:pPr>
            <w:pStyle w:val="Contents5"/>
            <w:tabs>
              <w:tab w:val="clear" w:pos="7892"/>
              <w:tab w:val="right" w:pos="9026" w:leader="dot"/>
            </w:tabs>
            <w:rPr/>
          </w:pPr>
          <w:hyperlink w:anchor="__RefHeading___Toc8039871_1280447820">
            <w:r>
              <w:rPr>
                <w:webHidden/>
                <w:rStyle w:val="IndexLink"/>
                <w:rtl w:val="true"/>
              </w:rPr>
              <w:t>المَسألةُ الحاديةُ و الثمانونَ إذَا قَتَلَ الرجلُ امرأةً‌</w:t>
            </w:r>
            <w:r>
              <w:rPr>
                <w:rStyle w:val="IndexLink"/>
                <w:rtl w:val="true"/>
              </w:rPr>
              <w:tab/>
            </w:r>
            <w:r>
              <w:rPr>
                <w:rStyle w:val="IndexLink"/>
              </w:rPr>
              <w:t>302</w:t>
            </w:r>
          </w:hyperlink>
        </w:p>
        <w:p>
          <w:pPr>
            <w:pStyle w:val="Contents5"/>
            <w:tabs>
              <w:tab w:val="clear" w:pos="7892"/>
              <w:tab w:val="right" w:pos="9026" w:leader="dot"/>
            </w:tabs>
            <w:rPr/>
          </w:pPr>
          <w:hyperlink w:anchor="__RefHeading___Toc8039873_1280447820">
            <w:r>
              <w:rPr>
                <w:webHidden/>
                <w:rStyle w:val="IndexLink"/>
                <w:rtl w:val="true"/>
              </w:rPr>
              <w:t>المَسألةُ الثانيةُ و الثمانونَ‌ادّعاءُ رَجُلَينِ بالقَتلِ‌</w:t>
            </w:r>
            <w:r>
              <w:rPr>
                <w:rStyle w:val="IndexLink"/>
                <w:rtl w:val="true"/>
              </w:rPr>
              <w:tab/>
            </w:r>
            <w:r>
              <w:rPr>
                <w:rStyle w:val="IndexLink"/>
              </w:rPr>
              <w:t>303</w:t>
            </w:r>
          </w:hyperlink>
        </w:p>
        <w:p>
          <w:pPr>
            <w:pStyle w:val="Contents5"/>
            <w:tabs>
              <w:tab w:val="clear" w:pos="7892"/>
              <w:tab w:val="right" w:pos="9026" w:leader="dot"/>
            </w:tabs>
            <w:rPr/>
          </w:pPr>
          <w:hyperlink w:anchor="__RefHeading___Toc8039875_1280447820">
            <w:r>
              <w:rPr>
                <w:webHidden/>
                <w:rStyle w:val="IndexLink"/>
                <w:rtl w:val="true"/>
              </w:rPr>
              <w:t>المَسألةُ الثالثةُ و الثمانونَ اعترافُ رَجلينِ بقتلِ رجلٍ واحدٍ</w:t>
            </w:r>
            <w:r>
              <w:rPr>
                <w:rStyle w:val="IndexLink"/>
                <w:rtl w:val="true"/>
              </w:rPr>
              <w:tab/>
            </w:r>
            <w:r>
              <w:rPr>
                <w:rStyle w:val="IndexLink"/>
              </w:rPr>
              <w:t>304</w:t>
            </w:r>
          </w:hyperlink>
        </w:p>
        <w:p>
          <w:pPr>
            <w:pStyle w:val="Contents5"/>
            <w:tabs>
              <w:tab w:val="clear" w:pos="7892"/>
              <w:tab w:val="right" w:pos="9026" w:leader="dot"/>
            </w:tabs>
            <w:rPr/>
          </w:pPr>
          <w:hyperlink w:anchor="__RefHeading___Toc8039877_1280447820">
            <w:r>
              <w:rPr>
                <w:webHidden/>
                <w:rStyle w:val="IndexLink"/>
                <w:rtl w:val="true"/>
              </w:rPr>
              <w:t>المَسألةُ الرابعةُ و الثمانونَ ديَاتُ أهلِ الكتابِ و ولدِ الزنا</w:t>
            </w:r>
            <w:r>
              <w:rPr>
                <w:rStyle w:val="IndexLink"/>
                <w:rtl w:val="true"/>
              </w:rPr>
              <w:tab/>
            </w:r>
            <w:r>
              <w:rPr>
                <w:rStyle w:val="IndexLink"/>
              </w:rPr>
              <w:t>304</w:t>
            </w:r>
          </w:hyperlink>
        </w:p>
        <w:p>
          <w:pPr>
            <w:pStyle w:val="Contents4"/>
            <w:tabs>
              <w:tab w:val="clear" w:pos="8176"/>
              <w:tab w:val="right" w:pos="9026" w:leader="dot"/>
            </w:tabs>
            <w:rPr/>
          </w:pPr>
          <w:hyperlink w:anchor="__RefHeading___Toc8039879_1280447820">
            <w:r>
              <w:rPr>
                <w:webHidden/>
                <w:rStyle w:val="IndexLink"/>
                <w:rtl w:val="true"/>
              </w:rPr>
              <w:t>أحكامُ الإرثِ‌</w:t>
            </w:r>
            <w:r>
              <w:rPr>
                <w:rStyle w:val="IndexLink"/>
                <w:rtl w:val="true"/>
              </w:rPr>
              <w:tab/>
            </w:r>
            <w:r>
              <w:rPr>
                <w:rStyle w:val="IndexLink"/>
              </w:rPr>
              <w:t>306</w:t>
            </w:r>
          </w:hyperlink>
        </w:p>
        <w:p>
          <w:pPr>
            <w:pStyle w:val="Contents5"/>
            <w:tabs>
              <w:tab w:val="clear" w:pos="7892"/>
              <w:tab w:val="right" w:pos="9026" w:leader="dot"/>
            </w:tabs>
            <w:rPr/>
          </w:pPr>
          <w:hyperlink w:anchor="__RefHeading___Toc8039881_1280447820">
            <w:r>
              <w:rPr>
                <w:webHidden/>
                <w:rStyle w:val="IndexLink"/>
                <w:rtl w:val="true"/>
              </w:rPr>
              <w:t>المَسألةُ الخامسةُ و الثمانونَ مَن يَرِثُ مع الوالِدَينِ‌</w:t>
            </w:r>
            <w:r>
              <w:rPr>
                <w:rStyle w:val="IndexLink"/>
                <w:rtl w:val="true"/>
              </w:rPr>
              <w:tab/>
            </w:r>
            <w:r>
              <w:rPr>
                <w:rStyle w:val="IndexLink"/>
              </w:rPr>
              <w:t>306</w:t>
            </w:r>
          </w:hyperlink>
        </w:p>
        <w:p>
          <w:pPr>
            <w:pStyle w:val="Contents5"/>
            <w:tabs>
              <w:tab w:val="clear" w:pos="7892"/>
              <w:tab w:val="right" w:pos="9026" w:leader="dot"/>
            </w:tabs>
            <w:rPr/>
          </w:pPr>
          <w:hyperlink w:anchor="__RefHeading___Toc8039883_1280447820">
            <w:r>
              <w:rPr>
                <w:webHidden/>
                <w:rStyle w:val="IndexLink"/>
                <w:rtl w:val="true"/>
              </w:rPr>
              <w:t>المَسألةُ السادسةُ و الثمانونَ مَن خَلَّفَ والدينِ و بِنتاً</w:t>
            </w:r>
            <w:r>
              <w:rPr>
                <w:rStyle w:val="IndexLink"/>
                <w:rtl w:val="true"/>
              </w:rPr>
              <w:tab/>
            </w:r>
            <w:r>
              <w:rPr>
                <w:rStyle w:val="IndexLink"/>
              </w:rPr>
              <w:t>307</w:t>
            </w:r>
          </w:hyperlink>
        </w:p>
        <w:p>
          <w:pPr>
            <w:pStyle w:val="Contents5"/>
            <w:tabs>
              <w:tab w:val="clear" w:pos="7892"/>
              <w:tab w:val="right" w:pos="9026" w:leader="dot"/>
            </w:tabs>
            <w:rPr/>
          </w:pPr>
          <w:hyperlink w:anchor="__RefHeading___Toc8039885_1280447820">
            <w:r>
              <w:rPr>
                <w:webHidden/>
                <w:rStyle w:val="IndexLink"/>
                <w:rtl w:val="true"/>
              </w:rPr>
              <w:t>المَسألةُ السابعةُ و الثمانونَ مَن خَلَّفَ بِنتينِ و أحدَ أبويهِ و ابنَ ابنٍ‌</w:t>
            </w:r>
            <w:r>
              <w:rPr>
                <w:rStyle w:val="IndexLink"/>
                <w:rtl w:val="true"/>
              </w:rPr>
              <w:tab/>
            </w:r>
            <w:r>
              <w:rPr>
                <w:rStyle w:val="IndexLink"/>
              </w:rPr>
              <w:t>308</w:t>
            </w:r>
          </w:hyperlink>
        </w:p>
        <w:p>
          <w:pPr>
            <w:pStyle w:val="Contents5"/>
            <w:tabs>
              <w:tab w:val="clear" w:pos="7892"/>
              <w:tab w:val="right" w:pos="9026" w:leader="dot"/>
            </w:tabs>
            <w:rPr/>
          </w:pPr>
          <w:hyperlink w:anchor="__RefHeading___Toc8039887_1280447820">
            <w:r>
              <w:rPr>
                <w:webHidden/>
                <w:rStyle w:val="IndexLink"/>
                <w:rtl w:val="true"/>
              </w:rPr>
              <w:t>المسألةُ الثامنةُ و الثمانونَ لا يَحجُبُ الأُمَّ الإخوةُ مَن الأُمِّ خاصّةً‌</w:t>
            </w:r>
            <w:r>
              <w:rPr>
                <w:rStyle w:val="IndexLink"/>
                <w:rtl w:val="true"/>
              </w:rPr>
              <w:tab/>
            </w:r>
            <w:r>
              <w:rPr>
                <w:rStyle w:val="IndexLink"/>
              </w:rPr>
              <w:t>309</w:t>
            </w:r>
          </w:hyperlink>
        </w:p>
        <w:p>
          <w:pPr>
            <w:pStyle w:val="Contents5"/>
            <w:tabs>
              <w:tab w:val="clear" w:pos="7892"/>
              <w:tab w:val="right" w:pos="9026" w:leader="dot"/>
            </w:tabs>
            <w:rPr/>
          </w:pPr>
          <w:hyperlink w:anchor="__RefHeading___Toc8039889_1280447820">
            <w:r>
              <w:rPr>
                <w:webHidden/>
                <w:rStyle w:val="IndexLink"/>
                <w:rtl w:val="true"/>
              </w:rPr>
              <w:t>المَسألةُ التاسعةُ و الثمانونَ مَن يَرِثُ مَعَ الوَلَدِ</w:t>
            </w:r>
            <w:r>
              <w:rPr>
                <w:rStyle w:val="IndexLink"/>
                <w:rtl w:val="true"/>
              </w:rPr>
              <w:tab/>
            </w:r>
            <w:r>
              <w:rPr>
                <w:rStyle w:val="IndexLink"/>
              </w:rPr>
              <w:t>309</w:t>
            </w:r>
          </w:hyperlink>
        </w:p>
        <w:p>
          <w:pPr>
            <w:pStyle w:val="Contents5"/>
            <w:tabs>
              <w:tab w:val="clear" w:pos="7892"/>
              <w:tab w:val="right" w:pos="9026" w:leader="dot"/>
            </w:tabs>
            <w:rPr/>
          </w:pPr>
          <w:hyperlink w:anchor="__RefHeading___Toc8039891_1280447820">
            <w:r>
              <w:rPr>
                <w:webHidden/>
                <w:rStyle w:val="IndexLink"/>
                <w:rtl w:val="true"/>
              </w:rPr>
              <w:t>المَسألةُ التسعونَ حقيقةُ الحَبوةِ‌</w:t>
            </w:r>
            <w:r>
              <w:rPr>
                <w:rStyle w:val="IndexLink"/>
                <w:rtl w:val="true"/>
              </w:rPr>
              <w:tab/>
            </w:r>
            <w:r>
              <w:rPr>
                <w:rStyle w:val="IndexLink"/>
              </w:rPr>
              <w:t>310</w:t>
            </w:r>
          </w:hyperlink>
        </w:p>
        <w:p>
          <w:pPr>
            <w:pStyle w:val="Contents5"/>
            <w:tabs>
              <w:tab w:val="clear" w:pos="7892"/>
              <w:tab w:val="right" w:pos="9026" w:leader="dot"/>
            </w:tabs>
            <w:rPr/>
          </w:pPr>
          <w:hyperlink w:anchor="__RefHeading___Toc8039893_1280447820">
            <w:r>
              <w:rPr>
                <w:webHidden/>
                <w:rStyle w:val="IndexLink"/>
                <w:rtl w:val="true"/>
              </w:rPr>
              <w:t>المَسألةُ الحاديةُ و التسعونَ وَلَدُ الصُّلبِ يَحجُبُ مَن دونَه</w:t>
            </w:r>
            <w:r>
              <w:rPr>
                <w:rStyle w:val="IndexLink"/>
                <w:rtl w:val="true"/>
              </w:rPr>
              <w:tab/>
            </w:r>
            <w:r>
              <w:rPr>
                <w:rStyle w:val="IndexLink"/>
              </w:rPr>
              <w:t>311</w:t>
            </w:r>
          </w:hyperlink>
        </w:p>
        <w:p>
          <w:pPr>
            <w:pStyle w:val="Contents5"/>
            <w:tabs>
              <w:tab w:val="clear" w:pos="7892"/>
              <w:tab w:val="right" w:pos="9026" w:leader="dot"/>
            </w:tabs>
            <w:rPr/>
          </w:pPr>
          <w:hyperlink w:anchor="__RefHeading___Toc8039895_1280447820">
            <w:r>
              <w:rPr>
                <w:webHidden/>
                <w:rStyle w:val="IndexLink"/>
                <w:rtl w:val="true"/>
              </w:rPr>
              <w:t>المَسألةُ الثانيةُ و التسعونَ الزوجُ يَرِثُ مِن الزوجةِ‌</w:t>
            </w:r>
            <w:r>
              <w:rPr>
                <w:rStyle w:val="IndexLink"/>
                <w:rtl w:val="true"/>
              </w:rPr>
              <w:tab/>
            </w:r>
            <w:r>
              <w:rPr>
                <w:rStyle w:val="IndexLink"/>
              </w:rPr>
              <w:t>312</w:t>
            </w:r>
          </w:hyperlink>
        </w:p>
        <w:p>
          <w:pPr>
            <w:pStyle w:val="Contents5"/>
            <w:tabs>
              <w:tab w:val="clear" w:pos="7892"/>
              <w:tab w:val="right" w:pos="9026" w:leader="dot"/>
            </w:tabs>
            <w:rPr/>
          </w:pPr>
          <w:hyperlink w:anchor="__RefHeading___Toc8039897_1280447820">
            <w:r>
              <w:rPr>
                <w:webHidden/>
                <w:rStyle w:val="IndexLink"/>
                <w:rtl w:val="true"/>
              </w:rPr>
              <w:t>المَسألةُ الثالثةُ و التسعونَ المَرأةُ لا تَرِثُ مِن الرِّباعِ‌</w:t>
            </w:r>
            <w:r>
              <w:rPr>
                <w:rStyle w:val="IndexLink"/>
                <w:rtl w:val="true"/>
              </w:rPr>
              <w:tab/>
            </w:r>
            <w:r>
              <w:rPr>
                <w:rStyle w:val="IndexLink"/>
              </w:rPr>
              <w:t>312</w:t>
            </w:r>
          </w:hyperlink>
        </w:p>
        <w:p>
          <w:pPr>
            <w:pStyle w:val="Contents5"/>
            <w:tabs>
              <w:tab w:val="clear" w:pos="7892"/>
              <w:tab w:val="right" w:pos="9026" w:leader="dot"/>
            </w:tabs>
            <w:rPr/>
          </w:pPr>
          <w:hyperlink w:anchor="__RefHeading___Toc8039899_1280447820">
            <w:r>
              <w:rPr>
                <w:webHidden/>
                <w:rStyle w:val="IndexLink"/>
                <w:rtl w:val="true"/>
              </w:rPr>
              <w:t>المسألةُ الرابعةُ و التسعونَ إرثُ الإخوةِ و الأخَواتِ مِن الأبِ خاصّةً‌</w:t>
            </w:r>
            <w:r>
              <w:rPr>
                <w:rStyle w:val="IndexLink"/>
                <w:rtl w:val="true"/>
              </w:rPr>
              <w:tab/>
            </w:r>
            <w:r>
              <w:rPr>
                <w:rStyle w:val="IndexLink"/>
              </w:rPr>
              <w:t>313</w:t>
            </w:r>
          </w:hyperlink>
        </w:p>
        <w:p>
          <w:pPr>
            <w:pStyle w:val="Contents5"/>
            <w:tabs>
              <w:tab w:val="clear" w:pos="7892"/>
              <w:tab w:val="right" w:pos="9026" w:leader="dot"/>
            </w:tabs>
            <w:rPr/>
          </w:pPr>
          <w:hyperlink w:anchor="__RefHeading___Toc8039901_1280447820">
            <w:r>
              <w:rPr>
                <w:webHidden/>
                <w:rStyle w:val="IndexLink"/>
                <w:rtl w:val="true"/>
              </w:rPr>
              <w:t>المَسألةُ الخامسةُ و التسعونَ تَوريثُ الرجالِ و النساءِ بالنَّسَبِ‌</w:t>
            </w:r>
            <w:r>
              <w:rPr>
                <w:rStyle w:val="IndexLink"/>
                <w:rtl w:val="true"/>
              </w:rPr>
              <w:tab/>
            </w:r>
            <w:r>
              <w:rPr>
                <w:rStyle w:val="IndexLink"/>
              </w:rPr>
              <w:t>314</w:t>
            </w:r>
          </w:hyperlink>
        </w:p>
        <w:p>
          <w:pPr>
            <w:pStyle w:val="Contents5"/>
            <w:tabs>
              <w:tab w:val="clear" w:pos="7892"/>
              <w:tab w:val="right" w:pos="9026" w:leader="dot"/>
            </w:tabs>
            <w:rPr/>
          </w:pPr>
          <w:hyperlink w:anchor="__RefHeading___Toc8039903_1280447820">
            <w:r>
              <w:rPr>
                <w:webHidden/>
                <w:rStyle w:val="IndexLink"/>
                <w:rtl w:val="true"/>
              </w:rPr>
              <w:t>المَسألةُ السادسةُ و التسعونَ ميراثُ مَن خَلَّفَ ابنةَ ابنٍ و ابنَ عَمٍّ‌</w:t>
            </w:r>
            <w:r>
              <w:rPr>
                <w:rStyle w:val="IndexLink"/>
                <w:rtl w:val="true"/>
              </w:rPr>
              <w:tab/>
            </w:r>
            <w:r>
              <w:rPr>
                <w:rStyle w:val="IndexLink"/>
              </w:rPr>
              <w:t>316</w:t>
            </w:r>
          </w:hyperlink>
        </w:p>
        <w:p>
          <w:pPr>
            <w:pStyle w:val="Contents5"/>
            <w:tabs>
              <w:tab w:val="clear" w:pos="7892"/>
              <w:tab w:val="right" w:pos="9026" w:leader="dot"/>
            </w:tabs>
            <w:rPr/>
          </w:pPr>
          <w:hyperlink w:anchor="__RefHeading___Toc8039905_1280447820">
            <w:r>
              <w:rPr>
                <w:webHidden/>
                <w:rStyle w:val="IndexLink"/>
                <w:rtl w:val="true"/>
              </w:rPr>
              <w:t>المَسألةُ السابعةُ و التسعونَ إرثُ ابنِ الأخِ مع الجَدِّ</w:t>
            </w:r>
            <w:r>
              <w:rPr>
                <w:rStyle w:val="IndexLink"/>
                <w:rtl w:val="true"/>
              </w:rPr>
              <w:tab/>
            </w:r>
            <w:r>
              <w:rPr>
                <w:rStyle w:val="IndexLink"/>
              </w:rPr>
              <w:t>317</w:t>
            </w:r>
          </w:hyperlink>
        </w:p>
        <w:p>
          <w:pPr>
            <w:pStyle w:val="Contents5"/>
            <w:tabs>
              <w:tab w:val="clear" w:pos="7892"/>
              <w:tab w:val="right" w:pos="9026" w:leader="dot"/>
            </w:tabs>
            <w:rPr/>
          </w:pPr>
          <w:hyperlink w:anchor="__RefHeading___Toc8039907_1280447820">
            <w:r>
              <w:rPr>
                <w:webHidden/>
                <w:rStyle w:val="IndexLink"/>
                <w:rtl w:val="true"/>
              </w:rPr>
              <w:t>المَسألةُ الثامنةُ و التسعونَ إرثُ وَلَدِ المُلاعَنةِ‌</w:t>
            </w:r>
            <w:r>
              <w:rPr>
                <w:rStyle w:val="IndexLink"/>
                <w:rtl w:val="true"/>
              </w:rPr>
              <w:tab/>
            </w:r>
            <w:r>
              <w:rPr>
                <w:rStyle w:val="IndexLink"/>
              </w:rPr>
              <w:t>318</w:t>
            </w:r>
          </w:hyperlink>
        </w:p>
        <w:p>
          <w:pPr>
            <w:pStyle w:val="Contents5"/>
            <w:tabs>
              <w:tab w:val="clear" w:pos="7892"/>
              <w:tab w:val="right" w:pos="9026" w:leader="dot"/>
            </w:tabs>
            <w:rPr/>
          </w:pPr>
          <w:hyperlink w:anchor="__RefHeading___Toc8039909_1280447820">
            <w:r>
              <w:rPr>
                <w:webHidden/>
                <w:rStyle w:val="IndexLink"/>
                <w:rtl w:val="true"/>
              </w:rPr>
              <w:t>المَسألةُ التاسعةُ و التسعونَ إرثُ المُطلَّقةِ في مرضِ بَعلِها</w:t>
            </w:r>
            <w:r>
              <w:rPr>
                <w:rStyle w:val="IndexLink"/>
                <w:rtl w:val="true"/>
              </w:rPr>
              <w:tab/>
            </w:r>
            <w:r>
              <w:rPr>
                <w:rStyle w:val="IndexLink"/>
              </w:rPr>
              <w:t>318</w:t>
            </w:r>
          </w:hyperlink>
        </w:p>
        <w:p>
          <w:pPr>
            <w:pStyle w:val="Contents5"/>
            <w:tabs>
              <w:tab w:val="clear" w:pos="7892"/>
              <w:tab w:val="right" w:pos="9026" w:leader="dot"/>
            </w:tabs>
            <w:rPr/>
          </w:pPr>
          <w:hyperlink w:anchor="__RefHeading___Toc8039911_1280447820">
            <w:r>
              <w:rPr>
                <w:webHidden/>
                <w:rStyle w:val="IndexLink"/>
                <w:rtl w:val="true"/>
              </w:rPr>
              <w:t>المَسألةُ المائةُ‌كَيفيّةُ تَوريثِ الخُنثىٰ‌</w:t>
            </w:r>
            <w:r>
              <w:rPr>
                <w:rStyle w:val="IndexLink"/>
                <w:rtl w:val="true"/>
              </w:rPr>
              <w:tab/>
            </w:r>
            <w:r>
              <w:rPr>
                <w:rStyle w:val="IndexLink"/>
              </w:rPr>
              <w:t>319</w:t>
            </w:r>
          </w:hyperlink>
        </w:p>
        <w:p>
          <w:pPr>
            <w:pStyle w:val="Contents5"/>
            <w:tabs>
              <w:tab w:val="clear" w:pos="7892"/>
              <w:tab w:val="right" w:pos="9026" w:leader="dot"/>
            </w:tabs>
            <w:rPr/>
          </w:pPr>
          <w:hyperlink w:anchor="__RefHeading___Toc8039913_1280447820">
            <w:r>
              <w:rPr>
                <w:webHidden/>
                <w:rStyle w:val="IndexLink"/>
                <w:rtl w:val="true"/>
              </w:rPr>
              <w:t>المَسألةُ الحاديةُ و المائةُ كيفيّةُ توريثِ مَن ليس له ما للرجالِ و للنساءِ‌</w:t>
            </w:r>
            <w:r>
              <w:rPr>
                <w:rStyle w:val="IndexLink"/>
                <w:rtl w:val="true"/>
              </w:rPr>
              <w:tab/>
            </w:r>
            <w:r>
              <w:rPr>
                <w:rStyle w:val="IndexLink"/>
              </w:rPr>
              <w:t>319</w:t>
            </w:r>
          </w:hyperlink>
        </w:p>
        <w:p>
          <w:pPr>
            <w:pStyle w:val="Contents5"/>
            <w:tabs>
              <w:tab w:val="clear" w:pos="7892"/>
              <w:tab w:val="right" w:pos="9026" w:leader="dot"/>
            </w:tabs>
            <w:rPr/>
          </w:pPr>
          <w:hyperlink w:anchor="__RefHeading___Toc8039915_1280447820">
            <w:r>
              <w:rPr>
                <w:webHidden/>
                <w:rStyle w:val="IndexLink"/>
                <w:rtl w:val="true"/>
              </w:rPr>
              <w:t>المَسألةُ الثانيةُ و المائةُ تَوريثُ رأسَينِ علىٰ حَقوٍ واحدٍ</w:t>
            </w:r>
            <w:r>
              <w:rPr>
                <w:rStyle w:val="IndexLink"/>
                <w:rtl w:val="true"/>
              </w:rPr>
              <w:tab/>
            </w:r>
            <w:r>
              <w:rPr>
                <w:rStyle w:val="IndexLink"/>
              </w:rPr>
              <w:t>320</w:t>
            </w:r>
          </w:hyperlink>
        </w:p>
        <w:p>
          <w:pPr>
            <w:pStyle w:val="Contents5"/>
            <w:tabs>
              <w:tab w:val="clear" w:pos="7892"/>
              <w:tab w:val="right" w:pos="9026" w:leader="dot"/>
            </w:tabs>
            <w:rPr/>
          </w:pPr>
          <w:hyperlink w:anchor="__RefHeading___Toc8039917_1280447820">
            <w:r>
              <w:rPr>
                <w:webHidden/>
                <w:rStyle w:val="IndexLink"/>
                <w:rtl w:val="true"/>
              </w:rPr>
              <w:t>المَسألةُ الثالثةُ و المائةُ أحكامُ إرثِ المملوكِ‌</w:t>
            </w:r>
            <w:r>
              <w:rPr>
                <w:rStyle w:val="IndexLink"/>
                <w:rtl w:val="true"/>
              </w:rPr>
              <w:tab/>
            </w:r>
            <w:r>
              <w:rPr>
                <w:rStyle w:val="IndexLink"/>
              </w:rPr>
              <w:t>320</w:t>
            </w:r>
          </w:hyperlink>
        </w:p>
        <w:p>
          <w:pPr>
            <w:pStyle w:val="Contents5"/>
            <w:tabs>
              <w:tab w:val="clear" w:pos="7892"/>
              <w:tab w:val="right" w:pos="9026" w:leader="dot"/>
            </w:tabs>
            <w:rPr/>
          </w:pPr>
          <w:hyperlink w:anchor="__RefHeading___Toc8039919_1280447820">
            <w:r>
              <w:rPr>
                <w:webHidden/>
                <w:rStyle w:val="IndexLink"/>
                <w:rtl w:val="true"/>
              </w:rPr>
              <w:t>المَسألةُ الرابعةُ و المائةُ‌</w:t>
            </w:r>
            <w:r>
              <w:rPr>
                <w:rStyle w:val="IndexLink"/>
                <w:rtl w:val="true"/>
              </w:rPr>
              <w:tab/>
            </w:r>
            <w:r>
              <w:rPr>
                <w:rStyle w:val="IndexLink"/>
              </w:rPr>
              <w:t>320</w:t>
            </w:r>
          </w:hyperlink>
        </w:p>
        <w:p>
          <w:pPr>
            <w:pStyle w:val="Contents5"/>
            <w:tabs>
              <w:tab w:val="clear" w:pos="7892"/>
              <w:tab w:val="right" w:pos="9026" w:leader="dot"/>
            </w:tabs>
            <w:rPr/>
          </w:pPr>
          <w:hyperlink w:anchor="__RefHeading___Toc8039921_1280447820">
            <w:r>
              <w:rPr>
                <w:webHidden/>
                <w:rStyle w:val="IndexLink"/>
                <w:rtl w:val="true"/>
              </w:rPr>
              <w:t>المَسألةُ الخامسةُ و المائةُ ما يَرِثُه المُكاتَبُ‌</w:t>
            </w:r>
            <w:r>
              <w:rPr>
                <w:rStyle w:val="IndexLink"/>
                <w:rtl w:val="true"/>
              </w:rPr>
              <w:tab/>
            </w:r>
            <w:r>
              <w:rPr>
                <w:rStyle w:val="IndexLink"/>
              </w:rPr>
              <w:t>321</w:t>
            </w:r>
          </w:hyperlink>
        </w:p>
        <w:p>
          <w:pPr>
            <w:pStyle w:val="Contents5"/>
            <w:tabs>
              <w:tab w:val="clear" w:pos="7892"/>
              <w:tab w:val="right" w:pos="9026" w:leader="dot"/>
            </w:tabs>
            <w:rPr/>
          </w:pPr>
          <w:hyperlink w:anchor="__RefHeading___Toc8039923_1280447820">
            <w:r>
              <w:rPr>
                <w:webHidden/>
                <w:rStyle w:val="IndexLink"/>
                <w:rtl w:val="true"/>
              </w:rPr>
              <w:t>المَسألةُ السادسةُ و المائةُ ما يورَثُ مِن المُكاتَبِ‌</w:t>
            </w:r>
            <w:r>
              <w:rPr>
                <w:rStyle w:val="IndexLink"/>
                <w:rtl w:val="true"/>
              </w:rPr>
              <w:tab/>
            </w:r>
            <w:r>
              <w:rPr>
                <w:rStyle w:val="IndexLink"/>
              </w:rPr>
              <w:t>321</w:t>
            </w:r>
          </w:hyperlink>
        </w:p>
        <w:p>
          <w:pPr>
            <w:pStyle w:val="Contents5"/>
            <w:tabs>
              <w:tab w:val="clear" w:pos="7892"/>
              <w:tab w:val="right" w:pos="9026" w:leader="dot"/>
            </w:tabs>
            <w:rPr/>
          </w:pPr>
          <w:hyperlink w:anchor="__RefHeading___Toc8039925_1280447820">
            <w:r>
              <w:rPr>
                <w:webHidden/>
                <w:rStyle w:val="IndexLink"/>
                <w:rtl w:val="true"/>
              </w:rPr>
              <w:t>المَسألةُ السابعةُ و المائةُ‌إرثُ الكُفّارِ و المَجوسِ‌</w:t>
            </w:r>
            <w:r>
              <w:rPr>
                <w:rStyle w:val="IndexLink"/>
                <w:rtl w:val="true"/>
              </w:rPr>
              <w:tab/>
            </w:r>
            <w:r>
              <w:rPr>
                <w:rStyle w:val="IndexLink"/>
              </w:rPr>
              <w:t>322</w:t>
            </w:r>
          </w:hyperlink>
        </w:p>
        <w:p>
          <w:pPr>
            <w:pStyle w:val="Contents5"/>
            <w:tabs>
              <w:tab w:val="clear" w:pos="7892"/>
              <w:tab w:val="right" w:pos="9026" w:leader="dot"/>
            </w:tabs>
            <w:rPr/>
          </w:pPr>
          <w:hyperlink w:anchor="__RefHeading___Toc8039927_1280447820">
            <w:r>
              <w:rPr>
                <w:webHidden/>
                <w:rStyle w:val="IndexLink"/>
                <w:rtl w:val="true"/>
              </w:rPr>
              <w:t>المسألةُ الثامنةُ و المائةُ ميراثُ المَجوسِ‌</w:t>
            </w:r>
            <w:r>
              <w:rPr>
                <w:rStyle w:val="IndexLink"/>
                <w:rtl w:val="true"/>
              </w:rPr>
              <w:tab/>
            </w:r>
            <w:r>
              <w:rPr>
                <w:rStyle w:val="IndexLink"/>
              </w:rPr>
              <w:t>322</w:t>
            </w:r>
          </w:hyperlink>
        </w:p>
        <w:p>
          <w:pPr>
            <w:pStyle w:val="Contents5"/>
            <w:tabs>
              <w:tab w:val="clear" w:pos="7892"/>
              <w:tab w:val="right" w:pos="9026" w:leader="dot"/>
            </w:tabs>
            <w:rPr/>
          </w:pPr>
          <w:hyperlink w:anchor="__RefHeading___Toc8039929_1280447820">
            <w:r>
              <w:rPr>
                <w:webHidden/>
                <w:rStyle w:val="IndexLink"/>
                <w:rtl w:val="true"/>
              </w:rPr>
              <w:t>المَسألةُ التاسعةُ و المائةُ حُكمُ العَولِ في الفَرائِض</w:t>
            </w:r>
            <w:r>
              <w:rPr>
                <w:rStyle w:val="IndexLink"/>
                <w:rtl w:val="true"/>
              </w:rPr>
              <w:tab/>
            </w:r>
            <w:r>
              <w:rPr>
                <w:rStyle w:val="IndexLink"/>
              </w:rPr>
              <w:t>323</w:t>
            </w:r>
          </w:hyperlink>
        </w:p>
        <w:p>
          <w:pPr>
            <w:pStyle w:val="Contents3"/>
            <w:tabs>
              <w:tab w:val="clear" w:pos="8459"/>
              <w:tab w:val="right" w:pos="9026" w:leader="dot"/>
            </w:tabs>
            <w:rPr/>
          </w:pPr>
          <w:hyperlink w:anchor="__RefHeading___Toc8039931_1280447820">
            <w:r>
              <w:rPr>
                <w:webHidden/>
                <w:rStyle w:val="IndexLink"/>
                <w:rtl w:val="true"/>
              </w:rPr>
              <w:t>(</w:t>
            </w:r>
            <w:r>
              <w:rPr>
                <w:rStyle w:val="IndexLink"/>
              </w:rPr>
              <w:t>79</w:t>
            </w:r>
            <w:r>
              <w:rPr>
                <w:rStyle w:val="IndexLink"/>
                <w:rtl w:val="true"/>
              </w:rPr>
              <w:t xml:space="preserve">) </w:t>
            </w:r>
            <w:r>
              <w:rPr>
                <w:rStyle w:val="IndexLink"/>
                <w:rtl w:val="true"/>
              </w:rPr>
              <w:t>جواباتُ مَسائلِ أهلِ مَيّافارِقينَ‌</w:t>
            </w:r>
            <w:r>
              <w:rPr>
                <w:rStyle w:val="IndexLink"/>
                <w:rtl w:val="true"/>
              </w:rPr>
              <w:tab/>
            </w:r>
            <w:r>
              <w:rPr>
                <w:rStyle w:val="IndexLink"/>
              </w:rPr>
              <w:t>327</w:t>
            </w:r>
          </w:hyperlink>
        </w:p>
        <w:p>
          <w:pPr>
            <w:pStyle w:val="Contents4"/>
            <w:tabs>
              <w:tab w:val="clear" w:pos="8176"/>
              <w:tab w:val="right" w:pos="9026" w:leader="dot"/>
            </w:tabs>
            <w:rPr/>
          </w:pPr>
          <w:hyperlink w:anchor="__RefHeading___Toc8039933_1280447820">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8039935_1280447820">
            <w:r>
              <w:rPr>
                <w:webHidden/>
                <w:rStyle w:val="IndexLink"/>
                <w:rtl w:val="true"/>
              </w:rPr>
              <w:t>مقدّمة التحقيق</w:t>
            </w:r>
            <w:r>
              <w:rPr>
                <w:rStyle w:val="IndexLink"/>
                <w:rtl w:val="true"/>
              </w:rPr>
              <w:tab/>
            </w:r>
            <w:r>
              <w:rPr>
                <w:rStyle w:val="IndexLink"/>
              </w:rPr>
              <w:t>329</w:t>
            </w:r>
          </w:hyperlink>
        </w:p>
        <w:p>
          <w:pPr>
            <w:pStyle w:val="Contents5"/>
            <w:tabs>
              <w:tab w:val="clear" w:pos="7892"/>
              <w:tab w:val="right" w:pos="9026" w:leader="dot"/>
            </w:tabs>
            <w:rPr/>
          </w:pPr>
          <w:hyperlink w:anchor="__RefHeading___Toc8039937_1280447820">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8039939_1280447820">
            <w:r>
              <w:rPr>
                <w:webHidden/>
                <w:rStyle w:val="IndexLink"/>
                <w:rtl w:val="true"/>
              </w:rPr>
              <w:t>ميّافارِقِين</w:t>
            </w:r>
            <w:r>
              <w:rPr>
                <w:rStyle w:val="IndexLink"/>
                <w:rtl w:val="true"/>
              </w:rPr>
              <w:tab/>
            </w:r>
            <w:r>
              <w:rPr>
                <w:rStyle w:val="IndexLink"/>
              </w:rPr>
              <w:t>329</w:t>
            </w:r>
          </w:hyperlink>
        </w:p>
        <w:p>
          <w:pPr>
            <w:pStyle w:val="Contents5"/>
            <w:tabs>
              <w:tab w:val="clear" w:pos="7892"/>
              <w:tab w:val="right" w:pos="9026" w:leader="dot"/>
            </w:tabs>
            <w:rPr/>
          </w:pPr>
          <w:hyperlink w:anchor="__RefHeading___Toc8039941_1280447820">
            <w:r>
              <w:rPr>
                <w:webHidden/>
                <w:rStyle w:val="IndexLink"/>
                <w:rtl w:val="true"/>
              </w:rPr>
              <w:t>مخطوطات الرسالة</w:t>
            </w:r>
            <w:r>
              <w:rPr>
                <w:rStyle w:val="IndexLink"/>
                <w:rtl w:val="true"/>
              </w:rPr>
              <w:tab/>
            </w:r>
            <w:r>
              <w:rPr>
                <w:rStyle w:val="IndexLink"/>
              </w:rPr>
              <w:t>333</w:t>
            </w:r>
          </w:hyperlink>
        </w:p>
        <w:p>
          <w:pPr>
            <w:pStyle w:val="Contents6"/>
            <w:tabs>
              <w:tab w:val="clear" w:pos="7609"/>
              <w:tab w:val="right" w:pos="9026" w:leader="dot"/>
            </w:tabs>
            <w:rPr/>
          </w:pPr>
          <w:hyperlink w:anchor="__RefHeading___Toc8039943_1280447820">
            <w:r>
              <w:rPr>
                <w:webHidden/>
                <w:rStyle w:val="IndexLink"/>
                <w:rtl w:val="true"/>
              </w:rPr>
              <w:t>ألف</w:t>
            </w:r>
            <w:r>
              <w:rPr>
                <w:rStyle w:val="IndexLink"/>
                <w:rtl w:val="true"/>
              </w:rPr>
              <w:t xml:space="preserve">) </w:t>
            </w:r>
            <w:r>
              <w:rPr>
                <w:rStyle w:val="IndexLink"/>
                <w:rtl w:val="true"/>
              </w:rPr>
              <w:t>النسخ المعتمدة</w:t>
            </w:r>
            <w:r>
              <w:rPr>
                <w:rStyle w:val="IndexLink"/>
                <w:rtl w:val="true"/>
              </w:rPr>
              <w:t>:</w:t>
              <w:tab/>
            </w:r>
            <w:r>
              <w:rPr>
                <w:rStyle w:val="IndexLink"/>
              </w:rPr>
              <w:t>333</w:t>
            </w:r>
          </w:hyperlink>
        </w:p>
        <w:p>
          <w:pPr>
            <w:pStyle w:val="Contents6"/>
            <w:tabs>
              <w:tab w:val="clear" w:pos="7609"/>
              <w:tab w:val="right" w:pos="9026" w:leader="dot"/>
            </w:tabs>
            <w:rPr/>
          </w:pPr>
          <w:hyperlink w:anchor="__RefHeading___Toc8039945_1280447820">
            <w:r>
              <w:rPr>
                <w:webHidden/>
                <w:rStyle w:val="IndexLink"/>
                <w:rtl w:val="true"/>
              </w:rPr>
              <w:t>ب</w:t>
            </w:r>
            <w:r>
              <w:rPr>
                <w:rStyle w:val="IndexLink"/>
                <w:rtl w:val="true"/>
              </w:rPr>
              <w:t xml:space="preserve">) </w:t>
            </w:r>
            <w:r>
              <w:rPr>
                <w:rStyle w:val="IndexLink"/>
                <w:rtl w:val="true"/>
              </w:rPr>
              <w:t>سائر النسخ</w:t>
            </w:r>
            <w:r>
              <w:rPr>
                <w:rStyle w:val="IndexLink"/>
                <w:rtl w:val="true"/>
              </w:rPr>
              <w:t>:</w:t>
              <w:tab/>
            </w:r>
            <w:r>
              <w:rPr>
                <w:rStyle w:val="IndexLink"/>
              </w:rPr>
              <w:t>334</w:t>
            </w:r>
          </w:hyperlink>
        </w:p>
        <w:p>
          <w:pPr>
            <w:pStyle w:val="Contents4"/>
            <w:tabs>
              <w:tab w:val="clear" w:pos="8176"/>
              <w:tab w:val="right" w:pos="9026" w:leader="dot"/>
            </w:tabs>
            <w:rPr/>
          </w:pPr>
          <w:hyperlink w:anchor="__RefHeading___Toc8039947_1280447820">
            <w:r>
              <w:rPr>
                <w:webHidden/>
                <w:rStyle w:val="IndexLink"/>
                <w:rtl w:val="true"/>
              </w:rPr>
              <w:t>جواباتُ مَسائلِ أهلِ مَيّافارِقينَ‌</w:t>
            </w:r>
            <w:r>
              <w:rPr>
                <w:rStyle w:val="IndexLink"/>
                <w:rtl w:val="true"/>
              </w:rPr>
              <w:tab/>
            </w:r>
            <w:r>
              <w:rPr>
                <w:rStyle w:val="IndexLink"/>
              </w:rPr>
              <w:t>337</w:t>
            </w:r>
          </w:hyperlink>
        </w:p>
        <w:p>
          <w:pPr>
            <w:pStyle w:val="Contents5"/>
            <w:tabs>
              <w:tab w:val="clear" w:pos="7892"/>
              <w:tab w:val="right" w:pos="9026" w:leader="dot"/>
            </w:tabs>
            <w:rPr/>
          </w:pPr>
          <w:hyperlink w:anchor="__RefHeading___Toc8039949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8039951_1280447820">
            <w:r>
              <w:rPr>
                <w:webHidden/>
                <w:rStyle w:val="IndexLink"/>
                <w:rtl w:val="true"/>
              </w:rPr>
              <w:t>مَسألةٌ أوّلةٌ‌عَدالةُ إمامِ الجَماعةِ‌</w:t>
            </w:r>
            <w:r>
              <w:rPr>
                <w:rStyle w:val="IndexLink"/>
                <w:rtl w:val="true"/>
              </w:rPr>
              <w:tab/>
            </w:r>
            <w:r>
              <w:rPr>
                <w:rStyle w:val="IndexLink"/>
              </w:rPr>
              <w:t>338</w:t>
            </w:r>
          </w:hyperlink>
        </w:p>
        <w:p>
          <w:pPr>
            <w:pStyle w:val="Contents5"/>
            <w:tabs>
              <w:tab w:val="clear" w:pos="7892"/>
              <w:tab w:val="right" w:pos="9026" w:leader="dot"/>
            </w:tabs>
            <w:rPr/>
          </w:pPr>
          <w:hyperlink w:anchor="__RefHeading___Toc8039953_1280447820">
            <w:r>
              <w:rPr>
                <w:webHidden/>
                <w:rStyle w:val="IndexLink"/>
                <w:rtl w:val="true"/>
              </w:rPr>
              <w:t>مَسألةٌ ثانيةٌ‌أحكامُ صَلاةِ الجُمُعةِ‌</w:t>
            </w:r>
            <w:r>
              <w:rPr>
                <w:rStyle w:val="IndexLink"/>
                <w:rtl w:val="true"/>
              </w:rPr>
              <w:tab/>
            </w:r>
            <w:r>
              <w:rPr>
                <w:rStyle w:val="IndexLink"/>
              </w:rPr>
              <w:t>338</w:t>
            </w:r>
          </w:hyperlink>
        </w:p>
        <w:p>
          <w:pPr>
            <w:pStyle w:val="Contents5"/>
            <w:tabs>
              <w:tab w:val="clear" w:pos="7892"/>
              <w:tab w:val="right" w:pos="9026" w:leader="dot"/>
            </w:tabs>
            <w:rPr/>
          </w:pPr>
          <w:hyperlink w:anchor="__RefHeading___Toc8039955_1280447820">
            <w:r>
              <w:rPr>
                <w:webHidden/>
                <w:rStyle w:val="IndexLink"/>
                <w:rtl w:val="true"/>
              </w:rPr>
              <w:t>مَسألةٌ ثالثةٌ أحكامُ صَلاةِ العيدَينِ‌</w:t>
            </w:r>
            <w:r>
              <w:rPr>
                <w:rStyle w:val="IndexLink"/>
                <w:rtl w:val="true"/>
              </w:rPr>
              <w:tab/>
            </w:r>
            <w:r>
              <w:rPr>
                <w:rStyle w:val="IndexLink"/>
              </w:rPr>
              <w:t>339</w:t>
            </w:r>
          </w:hyperlink>
        </w:p>
        <w:p>
          <w:pPr>
            <w:pStyle w:val="Contents5"/>
            <w:tabs>
              <w:tab w:val="clear" w:pos="7892"/>
              <w:tab w:val="right" w:pos="9026" w:leader="dot"/>
            </w:tabs>
            <w:rPr/>
          </w:pPr>
          <w:hyperlink w:anchor="__RefHeading___Toc8039957_1280447820">
            <w:r>
              <w:rPr>
                <w:webHidden/>
                <w:rStyle w:val="IndexLink"/>
                <w:rtl w:val="true"/>
              </w:rPr>
              <w:t>مَسألةٌ رابعةٌ وقتُ صَلاةِ الظُّهرِ و العَصرِ</w:t>
            </w:r>
            <w:r>
              <w:rPr>
                <w:rStyle w:val="IndexLink"/>
                <w:rtl w:val="true"/>
              </w:rPr>
              <w:tab/>
            </w:r>
            <w:r>
              <w:rPr>
                <w:rStyle w:val="IndexLink"/>
              </w:rPr>
              <w:t>340</w:t>
            </w:r>
          </w:hyperlink>
        </w:p>
        <w:p>
          <w:pPr>
            <w:pStyle w:val="Contents5"/>
            <w:tabs>
              <w:tab w:val="clear" w:pos="7892"/>
              <w:tab w:val="right" w:pos="9026" w:leader="dot"/>
            </w:tabs>
            <w:rPr/>
          </w:pPr>
          <w:hyperlink w:anchor="__RefHeading___Toc8039959_1280447820">
            <w:r>
              <w:rPr>
                <w:webHidden/>
                <w:rStyle w:val="IndexLink"/>
                <w:rtl w:val="true"/>
              </w:rPr>
              <w:t>مسألةٌ خامسةٌ وقتُ صَلاةِ المَغرِبِ و العِشاءِ‌</w:t>
            </w:r>
            <w:r>
              <w:rPr>
                <w:rStyle w:val="IndexLink"/>
                <w:rtl w:val="true"/>
              </w:rPr>
              <w:tab/>
            </w:r>
            <w:r>
              <w:rPr>
                <w:rStyle w:val="IndexLink"/>
              </w:rPr>
              <w:t>341</w:t>
            </w:r>
          </w:hyperlink>
        </w:p>
        <w:p>
          <w:pPr>
            <w:pStyle w:val="Contents5"/>
            <w:tabs>
              <w:tab w:val="clear" w:pos="7892"/>
              <w:tab w:val="right" w:pos="9026" w:leader="dot"/>
            </w:tabs>
            <w:rPr/>
          </w:pPr>
          <w:hyperlink w:anchor="__RefHeading___Toc8039961_1280447820">
            <w:r>
              <w:rPr>
                <w:webHidden/>
                <w:rStyle w:val="IndexLink"/>
                <w:rtl w:val="true"/>
              </w:rPr>
              <w:t>مَسألةٌ سادسةٌ تعيينُ الصلاةِ الوُسطىٰ‌</w:t>
            </w:r>
            <w:r>
              <w:rPr>
                <w:rStyle w:val="IndexLink"/>
                <w:rtl w:val="true"/>
              </w:rPr>
              <w:tab/>
            </w:r>
            <w:r>
              <w:rPr>
                <w:rStyle w:val="IndexLink"/>
              </w:rPr>
              <w:t>342</w:t>
            </w:r>
          </w:hyperlink>
        </w:p>
        <w:p>
          <w:pPr>
            <w:pStyle w:val="Contents5"/>
            <w:tabs>
              <w:tab w:val="clear" w:pos="7892"/>
              <w:tab w:val="right" w:pos="9026" w:leader="dot"/>
            </w:tabs>
            <w:rPr/>
          </w:pPr>
          <w:hyperlink w:anchor="__RefHeading___Toc8039963_1280447820">
            <w:r>
              <w:rPr>
                <w:webHidden/>
                <w:rStyle w:val="IndexLink"/>
                <w:rtl w:val="true"/>
              </w:rPr>
              <w:t>مَسألةٌ سابعةٌ ما يَجوزُ عليه السُّجودُ</w:t>
            </w:r>
            <w:r>
              <w:rPr>
                <w:rStyle w:val="IndexLink"/>
                <w:rtl w:val="true"/>
              </w:rPr>
              <w:tab/>
            </w:r>
            <w:r>
              <w:rPr>
                <w:rStyle w:val="IndexLink"/>
              </w:rPr>
              <w:t>343</w:t>
            </w:r>
          </w:hyperlink>
        </w:p>
        <w:p>
          <w:pPr>
            <w:pStyle w:val="Contents5"/>
            <w:tabs>
              <w:tab w:val="clear" w:pos="7892"/>
              <w:tab w:val="right" w:pos="9026" w:leader="dot"/>
            </w:tabs>
            <w:rPr/>
          </w:pPr>
          <w:hyperlink w:anchor="__RefHeading___Toc8039965_1280447820">
            <w:r>
              <w:rPr>
                <w:webHidden/>
                <w:rStyle w:val="IndexLink"/>
                <w:rtl w:val="true"/>
              </w:rPr>
              <w:t>مَسألةٌ ثامنةٌ حُكمُ التسليمِ في الصلاةِ‌</w:t>
            </w:r>
            <w:r>
              <w:rPr>
                <w:rStyle w:val="IndexLink"/>
                <w:rtl w:val="true"/>
              </w:rPr>
              <w:tab/>
            </w:r>
            <w:r>
              <w:rPr>
                <w:rStyle w:val="IndexLink"/>
              </w:rPr>
              <w:t>343</w:t>
            </w:r>
          </w:hyperlink>
        </w:p>
        <w:p>
          <w:pPr>
            <w:pStyle w:val="Contents5"/>
            <w:tabs>
              <w:tab w:val="clear" w:pos="7892"/>
              <w:tab w:val="right" w:pos="9026" w:leader="dot"/>
            </w:tabs>
            <w:rPr/>
          </w:pPr>
          <w:hyperlink w:anchor="__RefHeading___Toc8039967_1280447820">
            <w:r>
              <w:rPr>
                <w:webHidden/>
                <w:rStyle w:val="IndexLink"/>
                <w:rtl w:val="true"/>
              </w:rPr>
              <w:t>مَسألةٌ تاسعةٌ استحبابُ القُنوتِ في الصلاةِ‌</w:t>
            </w:r>
            <w:r>
              <w:rPr>
                <w:rStyle w:val="IndexLink"/>
                <w:rtl w:val="true"/>
              </w:rPr>
              <w:tab/>
            </w:r>
            <w:r>
              <w:rPr>
                <w:rStyle w:val="IndexLink"/>
              </w:rPr>
              <w:t>344</w:t>
            </w:r>
          </w:hyperlink>
        </w:p>
        <w:p>
          <w:pPr>
            <w:pStyle w:val="Contents5"/>
            <w:tabs>
              <w:tab w:val="clear" w:pos="7892"/>
              <w:tab w:val="right" w:pos="9026" w:leader="dot"/>
            </w:tabs>
            <w:rPr/>
          </w:pPr>
          <w:hyperlink w:anchor="__RefHeading___Toc8039969_1280447820">
            <w:r>
              <w:rPr>
                <w:webHidden/>
                <w:rStyle w:val="IndexLink"/>
                <w:rtl w:val="true"/>
              </w:rPr>
              <w:t>مسألةٌ عاشِرةٌ التكبيراتُ السَّبعُ في مُفتَتَحِ الصلاةِ‌</w:t>
            </w:r>
            <w:r>
              <w:rPr>
                <w:rStyle w:val="IndexLink"/>
                <w:rtl w:val="true"/>
              </w:rPr>
              <w:tab/>
            </w:r>
            <w:r>
              <w:rPr>
                <w:rStyle w:val="IndexLink"/>
              </w:rPr>
              <w:t>344</w:t>
            </w:r>
          </w:hyperlink>
        </w:p>
        <w:p>
          <w:pPr>
            <w:pStyle w:val="Contents5"/>
            <w:tabs>
              <w:tab w:val="clear" w:pos="7892"/>
              <w:tab w:val="right" w:pos="9026" w:leader="dot"/>
            </w:tabs>
            <w:rPr/>
          </w:pPr>
          <w:hyperlink w:anchor="__RefHeading___Toc8039971_1280447820">
            <w:r>
              <w:rPr>
                <w:webHidden/>
                <w:rStyle w:val="IndexLink"/>
                <w:rtl w:val="true"/>
              </w:rPr>
              <w:t>مسألةٌ حاديةَ عَشَرَ الوُتَيرةُ‌</w:t>
            </w:r>
            <w:r>
              <w:rPr>
                <w:rStyle w:val="IndexLink"/>
                <w:rtl w:val="true"/>
              </w:rPr>
              <w:tab/>
            </w:r>
            <w:r>
              <w:rPr>
                <w:rStyle w:val="IndexLink"/>
              </w:rPr>
              <w:t>345</w:t>
            </w:r>
          </w:hyperlink>
        </w:p>
        <w:p>
          <w:pPr>
            <w:pStyle w:val="Contents5"/>
            <w:tabs>
              <w:tab w:val="clear" w:pos="7892"/>
              <w:tab w:val="right" w:pos="9026" w:leader="dot"/>
            </w:tabs>
            <w:rPr/>
          </w:pPr>
          <w:hyperlink w:anchor="__RefHeading___Toc8039973_1280447820">
            <w:r>
              <w:rPr>
                <w:webHidden/>
                <w:rStyle w:val="IndexLink"/>
                <w:rtl w:val="true"/>
              </w:rPr>
              <w:t>مَسألةٌ ثانيةَ عَشَرَ كَيفيّةُ غَسلِ الوجهِ في الوضوءِ‌</w:t>
            </w:r>
            <w:r>
              <w:rPr>
                <w:rStyle w:val="IndexLink"/>
                <w:rtl w:val="true"/>
              </w:rPr>
              <w:tab/>
            </w:r>
            <w:r>
              <w:rPr>
                <w:rStyle w:val="IndexLink"/>
              </w:rPr>
              <w:t>345</w:t>
            </w:r>
          </w:hyperlink>
        </w:p>
        <w:p>
          <w:pPr>
            <w:pStyle w:val="Contents5"/>
            <w:tabs>
              <w:tab w:val="clear" w:pos="7892"/>
              <w:tab w:val="right" w:pos="9026" w:leader="dot"/>
            </w:tabs>
            <w:rPr/>
          </w:pPr>
          <w:hyperlink w:anchor="__RefHeading___Toc8039975_1280447820">
            <w:r>
              <w:rPr>
                <w:webHidden/>
                <w:rStyle w:val="IndexLink"/>
                <w:rtl w:val="true"/>
              </w:rPr>
              <w:t>مَسألةٌ ثالثةَ عَشَرَ وجوبُ المَسحِ ببِلّةِ اليَدِ</w:t>
            </w:r>
            <w:r>
              <w:rPr>
                <w:rStyle w:val="IndexLink"/>
                <w:rtl w:val="true"/>
              </w:rPr>
              <w:tab/>
            </w:r>
            <w:r>
              <w:rPr>
                <w:rStyle w:val="IndexLink"/>
              </w:rPr>
              <w:t>346</w:t>
            </w:r>
          </w:hyperlink>
        </w:p>
        <w:p>
          <w:pPr>
            <w:pStyle w:val="Contents5"/>
            <w:tabs>
              <w:tab w:val="clear" w:pos="7892"/>
              <w:tab w:val="right" w:pos="9026" w:leader="dot"/>
            </w:tabs>
            <w:rPr/>
          </w:pPr>
          <w:hyperlink w:anchor="__RefHeading___Toc8039977_1280447820">
            <w:r>
              <w:rPr>
                <w:webHidden/>
                <w:rStyle w:val="IndexLink"/>
                <w:rtl w:val="true"/>
              </w:rPr>
              <w:t>مَسألةٌ رابعةَ عَشَرَ الرجوعُ إلَى الكُتُبِ الثلاثةِ‌</w:t>
            </w:r>
            <w:r>
              <w:rPr>
                <w:rStyle w:val="IndexLink"/>
                <w:rtl w:val="true"/>
              </w:rPr>
              <w:tab/>
            </w:r>
            <w:r>
              <w:rPr>
                <w:rStyle w:val="IndexLink"/>
              </w:rPr>
              <w:t>346</w:t>
            </w:r>
          </w:hyperlink>
        </w:p>
        <w:p>
          <w:pPr>
            <w:pStyle w:val="Contents5"/>
            <w:tabs>
              <w:tab w:val="clear" w:pos="7892"/>
              <w:tab w:val="right" w:pos="9026" w:leader="dot"/>
            </w:tabs>
            <w:rPr/>
          </w:pPr>
          <w:hyperlink w:anchor="__RefHeading___Toc8039979_1280447820">
            <w:r>
              <w:rPr>
                <w:webHidden/>
                <w:rStyle w:val="IndexLink"/>
                <w:rtl w:val="true"/>
              </w:rPr>
              <w:t xml:space="preserve">مَسألةٌ خامسةَ عَشَرَ عدمُ وجوبِ </w:t>
            </w:r>
            <w:r>
              <w:rPr>
                <w:rStyle w:val="IndexLink"/>
                <w:rtl w:val="true"/>
              </w:rPr>
              <w:t>«</w:t>
            </w:r>
            <w:r>
              <w:rPr>
                <w:rStyle w:val="IndexLink"/>
                <w:rtl w:val="true"/>
              </w:rPr>
              <w:t>مُحمّدٌ و عليٌّ خَيرُ البَشَرِ</w:t>
            </w:r>
            <w:r>
              <w:rPr>
                <w:rStyle w:val="IndexLink"/>
                <w:rtl w:val="true"/>
              </w:rPr>
              <w:t xml:space="preserve">» </w:t>
            </w:r>
            <w:r>
              <w:rPr>
                <w:rStyle w:val="IndexLink"/>
                <w:rtl w:val="true"/>
              </w:rPr>
              <w:t>في الأذانِ‌</w:t>
            </w:r>
            <w:r>
              <w:rPr>
                <w:rStyle w:val="IndexLink"/>
                <w:rtl w:val="true"/>
              </w:rPr>
              <w:tab/>
            </w:r>
            <w:r>
              <w:rPr>
                <w:rStyle w:val="IndexLink"/>
              </w:rPr>
              <w:t>348</w:t>
            </w:r>
          </w:hyperlink>
        </w:p>
        <w:p>
          <w:pPr>
            <w:pStyle w:val="Contents5"/>
            <w:tabs>
              <w:tab w:val="clear" w:pos="7892"/>
              <w:tab w:val="right" w:pos="9026" w:leader="dot"/>
            </w:tabs>
            <w:rPr/>
          </w:pPr>
          <w:hyperlink w:anchor="__RefHeading___Toc8039981_1280447820">
            <w:r>
              <w:rPr>
                <w:webHidden/>
                <w:rStyle w:val="IndexLink"/>
                <w:rtl w:val="true"/>
              </w:rPr>
              <w:t xml:space="preserve">مَسألةٌ سادسةَ عَشَرَ </w:t>
            </w:r>
            <w:r>
              <w:rPr>
                <w:rStyle w:val="IndexLink"/>
                <w:rtl w:val="true"/>
              </w:rPr>
              <w:t>«</w:t>
            </w:r>
            <w:r>
              <w:rPr>
                <w:rStyle w:val="IndexLink"/>
                <w:rtl w:val="true"/>
              </w:rPr>
              <w:t>الصلاةُ خَيرٌ مِن النومِ</w:t>
            </w:r>
            <w:r>
              <w:rPr>
                <w:rStyle w:val="IndexLink"/>
                <w:rtl w:val="true"/>
              </w:rPr>
              <w:t xml:space="preserve">» </w:t>
            </w:r>
            <w:r>
              <w:rPr>
                <w:rStyle w:val="IndexLink"/>
                <w:rtl w:val="true"/>
              </w:rPr>
              <w:t>في الأذانِ بِدعةٌ‌</w:t>
            </w:r>
            <w:r>
              <w:rPr>
                <w:rStyle w:val="IndexLink"/>
                <w:rtl w:val="true"/>
              </w:rPr>
              <w:tab/>
            </w:r>
            <w:r>
              <w:rPr>
                <w:rStyle w:val="IndexLink"/>
              </w:rPr>
              <w:t>348</w:t>
            </w:r>
          </w:hyperlink>
        </w:p>
        <w:p>
          <w:pPr>
            <w:pStyle w:val="Contents5"/>
            <w:tabs>
              <w:tab w:val="clear" w:pos="7892"/>
              <w:tab w:val="right" w:pos="9026" w:leader="dot"/>
            </w:tabs>
            <w:rPr/>
          </w:pPr>
          <w:hyperlink w:anchor="__RefHeading___Toc8039983_1280447820">
            <w:r>
              <w:rPr>
                <w:webHidden/>
                <w:rStyle w:val="IndexLink"/>
                <w:rtl w:val="true"/>
              </w:rPr>
              <w:t>مَسألةٌ سابعةَ عَشَرَ الأئمّةُ عليهم السلام أحياءٌ يُشاهِدونَنا</w:t>
            </w:r>
            <w:r>
              <w:rPr>
                <w:rStyle w:val="IndexLink"/>
                <w:rtl w:val="true"/>
              </w:rPr>
              <w:tab/>
            </w:r>
            <w:r>
              <w:rPr>
                <w:rStyle w:val="IndexLink"/>
              </w:rPr>
              <w:t>348</w:t>
            </w:r>
          </w:hyperlink>
        </w:p>
        <w:p>
          <w:pPr>
            <w:pStyle w:val="Contents5"/>
            <w:tabs>
              <w:tab w:val="clear" w:pos="7892"/>
              <w:tab w:val="right" w:pos="9026" w:leader="dot"/>
            </w:tabs>
            <w:rPr/>
          </w:pPr>
          <w:hyperlink w:anchor="__RefHeading___Toc8039985_1280447820">
            <w:r>
              <w:rPr>
                <w:webHidden/>
                <w:rStyle w:val="IndexLink"/>
                <w:rtl w:val="true"/>
              </w:rPr>
              <w:t>مَسألةٌ ثامنةَ عَشَرَ معنىٰ حضورِ الرسولِ و أميرِ المؤمنينَ عليهما السلام عندَ كُلِّ ميِّتٍ‌</w:t>
            </w:r>
            <w:r>
              <w:rPr>
                <w:rStyle w:val="IndexLink"/>
                <w:rtl w:val="true"/>
              </w:rPr>
              <w:tab/>
            </w:r>
            <w:r>
              <w:rPr>
                <w:rStyle w:val="IndexLink"/>
              </w:rPr>
              <w:t>349</w:t>
            </w:r>
          </w:hyperlink>
        </w:p>
        <w:p>
          <w:pPr>
            <w:pStyle w:val="Contents5"/>
            <w:tabs>
              <w:tab w:val="clear" w:pos="7892"/>
              <w:tab w:val="right" w:pos="9026" w:leader="dot"/>
            </w:tabs>
            <w:rPr/>
          </w:pPr>
          <w:hyperlink w:anchor="__RefHeading___Toc8039987_1280447820">
            <w:r>
              <w:rPr>
                <w:webHidden/>
                <w:rStyle w:val="IndexLink"/>
                <w:rtl w:val="true"/>
              </w:rPr>
              <w:t>مَسألةٌ تاسعةَ عَشَرَ هل الأئمّةُ عليهم السلام يَتفاضَلُ بعضُهم علىٰ بعضٍ؟</w:t>
            </w:r>
            <w:r>
              <w:rPr>
                <w:rStyle w:val="IndexLink"/>
                <w:rtl w:val="true"/>
              </w:rPr>
              <w:tab/>
            </w:r>
            <w:r>
              <w:rPr>
                <w:rStyle w:val="IndexLink"/>
              </w:rPr>
              <w:t>350</w:t>
            </w:r>
          </w:hyperlink>
        </w:p>
        <w:p>
          <w:pPr>
            <w:pStyle w:val="Contents5"/>
            <w:tabs>
              <w:tab w:val="clear" w:pos="7892"/>
              <w:tab w:val="right" w:pos="9026" w:leader="dot"/>
            </w:tabs>
            <w:rPr/>
          </w:pPr>
          <w:hyperlink w:anchor="__RefHeading___Toc8039989_1280447820">
            <w:r>
              <w:rPr>
                <w:webHidden/>
                <w:rStyle w:val="IndexLink"/>
                <w:rtl w:val="true"/>
              </w:rPr>
              <w:t>مَسألةٌ عِشرونَ تَساوي الحَسَنِ و الحُسَينِ عليهما السلام في الفَضلِ‌</w:t>
            </w:r>
            <w:r>
              <w:rPr>
                <w:rStyle w:val="IndexLink"/>
                <w:rtl w:val="true"/>
              </w:rPr>
              <w:tab/>
            </w:r>
            <w:r>
              <w:rPr>
                <w:rStyle w:val="IndexLink"/>
              </w:rPr>
              <w:t>351</w:t>
            </w:r>
          </w:hyperlink>
        </w:p>
        <w:p>
          <w:pPr>
            <w:pStyle w:val="Contents5"/>
            <w:tabs>
              <w:tab w:val="clear" w:pos="7892"/>
              <w:tab w:val="right" w:pos="9026" w:leader="dot"/>
            </w:tabs>
            <w:rPr/>
          </w:pPr>
          <w:hyperlink w:anchor="__RefHeading___Toc8039991_1280447820">
            <w:r>
              <w:rPr>
                <w:webHidden/>
                <w:rStyle w:val="IndexLink"/>
                <w:rtl w:val="true"/>
              </w:rPr>
              <w:t>مَسألةٌ حاديةٌ و عِشرونَ إنّ اللّٰهَ تعالىٰ أطْلَعَ الأئمّةَ عليهم السلام علَى الغائباتِ‌</w:t>
            </w:r>
            <w:r>
              <w:rPr>
                <w:rStyle w:val="IndexLink"/>
                <w:rtl w:val="true"/>
              </w:rPr>
              <w:tab/>
            </w:r>
            <w:r>
              <w:rPr>
                <w:rStyle w:val="IndexLink"/>
              </w:rPr>
              <w:t>351</w:t>
            </w:r>
          </w:hyperlink>
        </w:p>
        <w:p>
          <w:pPr>
            <w:pStyle w:val="Contents5"/>
            <w:tabs>
              <w:tab w:val="clear" w:pos="7892"/>
              <w:tab w:val="right" w:pos="9026" w:leader="dot"/>
            </w:tabs>
            <w:rPr/>
          </w:pPr>
          <w:hyperlink w:anchor="__RefHeading___Toc8039993_1280447820">
            <w:r>
              <w:rPr>
                <w:webHidden/>
                <w:rStyle w:val="IndexLink"/>
                <w:rtl w:val="true"/>
              </w:rPr>
              <w:t>مَسألةٌ ثانيةٌ و عِشرونَ متىٰ يَظهَرُ الحُجّةُ عليه السلام؟</w:t>
            </w:r>
            <w:r>
              <w:rPr>
                <w:rStyle w:val="IndexLink"/>
                <w:rtl w:val="true"/>
              </w:rPr>
              <w:tab/>
            </w:r>
            <w:r>
              <w:rPr>
                <w:rStyle w:val="IndexLink"/>
              </w:rPr>
              <w:t>352</w:t>
            </w:r>
          </w:hyperlink>
        </w:p>
        <w:p>
          <w:pPr>
            <w:pStyle w:val="Contents5"/>
            <w:tabs>
              <w:tab w:val="clear" w:pos="7892"/>
              <w:tab w:val="right" w:pos="9026" w:leader="dot"/>
            </w:tabs>
            <w:rPr/>
          </w:pPr>
          <w:hyperlink w:anchor="__RefHeading___Toc8039995_1280447820">
            <w:r>
              <w:rPr>
                <w:webHidden/>
                <w:rStyle w:val="IndexLink"/>
                <w:rtl w:val="true"/>
              </w:rPr>
              <w:t>مَسألةٌ ثالثةٌ و عِشرونَ المُحارِبُ لعَليٍّ عليه السلام كافرٌ</w:t>
            </w:r>
            <w:r>
              <w:rPr>
                <w:rStyle w:val="IndexLink"/>
                <w:rtl w:val="true"/>
              </w:rPr>
              <w:tab/>
            </w:r>
            <w:r>
              <w:rPr>
                <w:rStyle w:val="IndexLink"/>
              </w:rPr>
              <w:t>352</w:t>
            </w:r>
          </w:hyperlink>
        </w:p>
        <w:p>
          <w:pPr>
            <w:pStyle w:val="Contents5"/>
            <w:tabs>
              <w:tab w:val="clear" w:pos="7892"/>
              <w:tab w:val="right" w:pos="9026" w:leader="dot"/>
            </w:tabs>
            <w:rPr/>
          </w:pPr>
          <w:hyperlink w:anchor="__RefHeading___Toc8039997_1280447820">
            <w:r>
              <w:rPr>
                <w:webHidden/>
                <w:rStyle w:val="IndexLink"/>
                <w:rtl w:val="true"/>
              </w:rPr>
              <w:t>مَسألةٌ رابعةٌ و عِشرونَ تفضيلُ الأنبياءِ علَى المَلائكةِ‌</w:t>
            </w:r>
            <w:r>
              <w:rPr>
                <w:rStyle w:val="IndexLink"/>
                <w:rtl w:val="true"/>
              </w:rPr>
              <w:tab/>
            </w:r>
            <w:r>
              <w:rPr>
                <w:rStyle w:val="IndexLink"/>
              </w:rPr>
              <w:t>353</w:t>
            </w:r>
          </w:hyperlink>
        </w:p>
        <w:p>
          <w:pPr>
            <w:pStyle w:val="Contents5"/>
            <w:tabs>
              <w:tab w:val="clear" w:pos="7892"/>
              <w:tab w:val="right" w:pos="9026" w:leader="dot"/>
            </w:tabs>
            <w:rPr/>
          </w:pPr>
          <w:hyperlink w:anchor="__RefHeading___Toc8039999_1280447820">
            <w:r>
              <w:rPr>
                <w:webHidden/>
                <w:rStyle w:val="IndexLink"/>
                <w:rtl w:val="true"/>
              </w:rPr>
              <w:t>مَسألةٌ خامسةٌ و عِشرونَ معنىٰ أنّه لَولا النبيُّ و الأئمّةُ لَما خَلَقَ اللّٰهُ السماءَ و الأرضَ‌</w:t>
            </w:r>
            <w:r>
              <w:rPr>
                <w:rStyle w:val="IndexLink"/>
                <w:rtl w:val="true"/>
              </w:rPr>
              <w:tab/>
            </w:r>
            <w:r>
              <w:rPr>
                <w:rStyle w:val="IndexLink"/>
              </w:rPr>
              <w:t>353</w:t>
            </w:r>
          </w:hyperlink>
        </w:p>
        <w:p>
          <w:pPr>
            <w:pStyle w:val="Contents5"/>
            <w:tabs>
              <w:tab w:val="clear" w:pos="7892"/>
              <w:tab w:val="right" w:pos="9026" w:leader="dot"/>
            </w:tabs>
            <w:rPr/>
          </w:pPr>
          <w:hyperlink w:anchor="__RefHeading___Toc8040001_1280447820">
            <w:r>
              <w:rPr>
                <w:webHidden/>
                <w:rStyle w:val="IndexLink"/>
                <w:rtl w:val="true"/>
              </w:rPr>
              <w:t>مسألةٌ سادسةٌ و عِشرونَ حَقيقةُ الكُفرِ و الشركِ و الإيمانِ‌</w:t>
            </w:r>
            <w:r>
              <w:rPr>
                <w:rStyle w:val="IndexLink"/>
                <w:rtl w:val="true"/>
              </w:rPr>
              <w:tab/>
            </w:r>
            <w:r>
              <w:rPr>
                <w:rStyle w:val="IndexLink"/>
              </w:rPr>
              <w:t>354</w:t>
            </w:r>
          </w:hyperlink>
        </w:p>
        <w:p>
          <w:pPr>
            <w:pStyle w:val="Contents5"/>
            <w:tabs>
              <w:tab w:val="clear" w:pos="7892"/>
              <w:tab w:val="right" w:pos="9026" w:leader="dot"/>
            </w:tabs>
            <w:rPr/>
          </w:pPr>
          <w:hyperlink w:anchor="__RefHeading___Toc8040003_1280447820">
            <w:r>
              <w:rPr>
                <w:webHidden/>
                <w:rStyle w:val="IndexLink"/>
                <w:rtl w:val="true"/>
              </w:rPr>
              <w:t>مَسألةٌ سابعةٌ و عِشرونَ حَقيقةُ التوحيد</w:t>
            </w:r>
            <w:r>
              <w:rPr>
                <w:rStyle w:val="IndexLink"/>
                <w:rtl w:val="true"/>
              </w:rPr>
              <w:tab/>
            </w:r>
            <w:r>
              <w:rPr>
                <w:rStyle w:val="IndexLink"/>
              </w:rPr>
              <w:t>355</w:t>
            </w:r>
          </w:hyperlink>
        </w:p>
        <w:p>
          <w:pPr>
            <w:pStyle w:val="Contents5"/>
            <w:tabs>
              <w:tab w:val="clear" w:pos="7892"/>
              <w:tab w:val="right" w:pos="9026" w:leader="dot"/>
            </w:tabs>
            <w:rPr/>
          </w:pPr>
          <w:hyperlink w:anchor="__RefHeading___Toc8040005_1280447820">
            <w:r>
              <w:rPr>
                <w:webHidden/>
                <w:rStyle w:val="IndexLink"/>
                <w:rtl w:val="true"/>
              </w:rPr>
              <w:t>مَسألةٌ ثامنةٌ و عِشرونَ حُكمُ إرثِ الإخوانِ‌</w:t>
            </w:r>
            <w:r>
              <w:rPr>
                <w:rStyle w:val="IndexLink"/>
                <w:rtl w:val="true"/>
              </w:rPr>
              <w:tab/>
            </w:r>
            <w:r>
              <w:rPr>
                <w:rStyle w:val="IndexLink"/>
              </w:rPr>
              <w:t>355</w:t>
            </w:r>
          </w:hyperlink>
        </w:p>
        <w:p>
          <w:pPr>
            <w:pStyle w:val="Contents5"/>
            <w:tabs>
              <w:tab w:val="clear" w:pos="7892"/>
              <w:tab w:val="right" w:pos="9026" w:leader="dot"/>
            </w:tabs>
            <w:rPr/>
          </w:pPr>
          <w:hyperlink w:anchor="__RefHeading___Toc8040007_1280447820">
            <w:r>
              <w:rPr>
                <w:webHidden/>
                <w:rStyle w:val="IndexLink"/>
                <w:rtl w:val="true"/>
              </w:rPr>
              <w:t>مَسألةٌ تاسعةٌ و عِشرونَ الثوبُ المُصابُ بالمَنيِّ و لَم يُعرَفْ مكانُه</w:t>
            </w:r>
            <w:r>
              <w:rPr>
                <w:rStyle w:val="IndexLink"/>
                <w:rtl w:val="true"/>
              </w:rPr>
              <w:tab/>
            </w:r>
            <w:r>
              <w:rPr>
                <w:rStyle w:val="IndexLink"/>
              </w:rPr>
              <w:t>356</w:t>
            </w:r>
          </w:hyperlink>
        </w:p>
        <w:p>
          <w:pPr>
            <w:pStyle w:val="Contents5"/>
            <w:tabs>
              <w:tab w:val="clear" w:pos="7892"/>
              <w:tab w:val="right" w:pos="9026" w:leader="dot"/>
            </w:tabs>
            <w:rPr/>
          </w:pPr>
          <w:hyperlink w:anchor="__RefHeading___Toc8040009_1280447820">
            <w:r>
              <w:rPr>
                <w:webHidden/>
                <w:rStyle w:val="IndexLink"/>
                <w:rtl w:val="true"/>
              </w:rPr>
              <w:t>مَسألةٌ ثَلاثونَ إصابةُ الثوبِ بالكَلبِ الناشِفِ‌</w:t>
            </w:r>
            <w:r>
              <w:rPr>
                <w:rStyle w:val="IndexLink"/>
                <w:rtl w:val="true"/>
              </w:rPr>
              <w:tab/>
            </w:r>
            <w:r>
              <w:rPr>
                <w:rStyle w:val="IndexLink"/>
              </w:rPr>
              <w:t>356</w:t>
            </w:r>
          </w:hyperlink>
        </w:p>
        <w:p>
          <w:pPr>
            <w:pStyle w:val="Contents5"/>
            <w:tabs>
              <w:tab w:val="clear" w:pos="7892"/>
              <w:tab w:val="right" w:pos="9026" w:leader="dot"/>
            </w:tabs>
            <w:rPr/>
          </w:pPr>
          <w:hyperlink w:anchor="__RefHeading___Toc8040011_1280447820">
            <w:r>
              <w:rPr>
                <w:webHidden/>
                <w:rStyle w:val="IndexLink"/>
                <w:rtl w:val="true"/>
              </w:rPr>
              <w:t>مَسألةٌ حاديةٌ و ثَلاثونَ حُكمُ المُجامِعِ أهلَه في نَهارِ رَمَضانَ‌</w:t>
            </w:r>
            <w:r>
              <w:rPr>
                <w:rStyle w:val="IndexLink"/>
                <w:rtl w:val="true"/>
              </w:rPr>
              <w:tab/>
            </w:r>
            <w:r>
              <w:rPr>
                <w:rStyle w:val="IndexLink"/>
              </w:rPr>
              <w:t>357</w:t>
            </w:r>
          </w:hyperlink>
        </w:p>
        <w:p>
          <w:pPr>
            <w:pStyle w:val="Contents5"/>
            <w:tabs>
              <w:tab w:val="clear" w:pos="7892"/>
              <w:tab w:val="right" w:pos="9026" w:leader="dot"/>
            </w:tabs>
            <w:rPr/>
          </w:pPr>
          <w:hyperlink w:anchor="__RefHeading___Toc8040013_1280447820">
            <w:r>
              <w:rPr>
                <w:webHidden/>
                <w:rStyle w:val="IndexLink"/>
                <w:rtl w:val="true"/>
              </w:rPr>
              <w:t>مَسألةٌ ثانيةٌ و ثَلاثونَ لا تَجوزُ الصلاةُ في ثَوبٍ أصابَه خَمرٌ</w:t>
            </w:r>
            <w:r>
              <w:rPr>
                <w:rStyle w:val="IndexLink"/>
                <w:rtl w:val="true"/>
              </w:rPr>
              <w:tab/>
            </w:r>
            <w:r>
              <w:rPr>
                <w:rStyle w:val="IndexLink"/>
              </w:rPr>
              <w:t>357</w:t>
            </w:r>
          </w:hyperlink>
        </w:p>
        <w:p>
          <w:pPr>
            <w:pStyle w:val="Contents5"/>
            <w:tabs>
              <w:tab w:val="clear" w:pos="7892"/>
              <w:tab w:val="right" w:pos="9026" w:leader="dot"/>
            </w:tabs>
            <w:rPr/>
          </w:pPr>
          <w:hyperlink w:anchor="__RefHeading___Toc8040015_1280447820">
            <w:r>
              <w:rPr>
                <w:webHidden/>
                <w:rStyle w:val="IndexLink"/>
                <w:rtl w:val="true"/>
              </w:rPr>
              <w:t>مَسألةٌ ثالثةٌ و ثَلاثونَ‌حُكمُ مَن غابَ عن أهلِه سِنِينَ‌</w:t>
            </w:r>
            <w:r>
              <w:rPr>
                <w:rStyle w:val="IndexLink"/>
                <w:rtl w:val="true"/>
              </w:rPr>
              <w:tab/>
            </w:r>
            <w:r>
              <w:rPr>
                <w:rStyle w:val="IndexLink"/>
              </w:rPr>
              <w:t>358</w:t>
            </w:r>
          </w:hyperlink>
        </w:p>
        <w:p>
          <w:pPr>
            <w:pStyle w:val="Contents5"/>
            <w:tabs>
              <w:tab w:val="clear" w:pos="7892"/>
              <w:tab w:val="right" w:pos="9026" w:leader="dot"/>
            </w:tabs>
            <w:rPr/>
          </w:pPr>
          <w:hyperlink w:anchor="__RefHeading___Toc8040017_1280447820">
            <w:r>
              <w:rPr>
                <w:webHidden/>
                <w:rStyle w:val="IndexLink"/>
                <w:rtl w:val="true"/>
              </w:rPr>
              <w:t>مَسألةٌ رابعةٌ و ثَلاثونَ عدمُ جوازِ الترَحُّمِ للأقارِبِ الكُفّارِ</w:t>
            </w:r>
            <w:r>
              <w:rPr>
                <w:rStyle w:val="IndexLink"/>
                <w:rtl w:val="true"/>
              </w:rPr>
              <w:tab/>
            </w:r>
            <w:r>
              <w:rPr>
                <w:rStyle w:val="IndexLink"/>
              </w:rPr>
              <w:t>359</w:t>
            </w:r>
          </w:hyperlink>
        </w:p>
        <w:p>
          <w:pPr>
            <w:pStyle w:val="Contents5"/>
            <w:tabs>
              <w:tab w:val="clear" w:pos="7892"/>
              <w:tab w:val="right" w:pos="9026" w:leader="dot"/>
            </w:tabs>
            <w:rPr/>
          </w:pPr>
          <w:hyperlink w:anchor="__RefHeading___Toc8040019_1280447820">
            <w:r>
              <w:rPr>
                <w:webHidden/>
                <w:rStyle w:val="IndexLink"/>
                <w:rtl w:val="true"/>
              </w:rPr>
              <w:t>مسألةٌ خامسةٌ و ثَلاثونَ عدمُ جوازِ إعطاءِ الفِطرةِ و الزكاةِ للمُخالِفينَ‌</w:t>
            </w:r>
            <w:r>
              <w:rPr>
                <w:rStyle w:val="IndexLink"/>
                <w:rtl w:val="true"/>
              </w:rPr>
              <w:tab/>
            </w:r>
            <w:r>
              <w:rPr>
                <w:rStyle w:val="IndexLink"/>
              </w:rPr>
              <w:t>359</w:t>
            </w:r>
          </w:hyperlink>
        </w:p>
        <w:p>
          <w:pPr>
            <w:pStyle w:val="Contents5"/>
            <w:tabs>
              <w:tab w:val="clear" w:pos="7892"/>
              <w:tab w:val="right" w:pos="9026" w:leader="dot"/>
            </w:tabs>
            <w:rPr/>
          </w:pPr>
          <w:hyperlink w:anchor="__RefHeading___Toc8040021_1280447820">
            <w:r>
              <w:rPr>
                <w:webHidden/>
                <w:rStyle w:val="IndexLink"/>
                <w:rtl w:val="true"/>
              </w:rPr>
              <w:t>مَسألةٌ سادسةٌ و ثَلاثونَ عدمُ انعقادِ اليَمينِ علَى المَعصيةِ‌</w:t>
            </w:r>
            <w:r>
              <w:rPr>
                <w:rStyle w:val="IndexLink"/>
                <w:rtl w:val="true"/>
              </w:rPr>
              <w:tab/>
            </w:r>
            <w:r>
              <w:rPr>
                <w:rStyle w:val="IndexLink"/>
              </w:rPr>
              <w:t>360</w:t>
            </w:r>
          </w:hyperlink>
        </w:p>
        <w:p>
          <w:pPr>
            <w:pStyle w:val="Contents5"/>
            <w:tabs>
              <w:tab w:val="clear" w:pos="7892"/>
              <w:tab w:val="right" w:pos="9026" w:leader="dot"/>
            </w:tabs>
            <w:rPr/>
          </w:pPr>
          <w:hyperlink w:anchor="__RefHeading___Toc8040023_1280447820">
            <w:r>
              <w:rPr>
                <w:webHidden/>
                <w:rStyle w:val="IndexLink"/>
                <w:rtl w:val="true"/>
              </w:rPr>
              <w:t>مَسألةٌ سابعةٌ و ثَلاثونَ هَل زَوَّجَ أميرُ المؤمنينَ عليه السلام فلاناً ابنَتَه؟</w:t>
            </w:r>
            <w:r>
              <w:rPr>
                <w:rStyle w:val="IndexLink"/>
                <w:rtl w:val="true"/>
              </w:rPr>
              <w:tab/>
            </w:r>
            <w:r>
              <w:rPr>
                <w:rStyle w:val="IndexLink"/>
              </w:rPr>
              <w:t>360</w:t>
            </w:r>
          </w:hyperlink>
        </w:p>
        <w:p>
          <w:pPr>
            <w:pStyle w:val="Contents5"/>
            <w:tabs>
              <w:tab w:val="clear" w:pos="7892"/>
              <w:tab w:val="right" w:pos="9026" w:leader="dot"/>
            </w:tabs>
            <w:rPr/>
          </w:pPr>
          <w:hyperlink w:anchor="__RefHeading___Toc8040025_1280447820">
            <w:r>
              <w:rPr>
                <w:webHidden/>
                <w:rStyle w:val="IndexLink"/>
                <w:rtl w:val="true"/>
              </w:rPr>
              <w:t>مَسألةٌ ثامنةٌ و ثَلاثونَ ثوابُ زيارةِ قُبورِ الأئمّةِ عليهم السلام</w:t>
            </w:r>
            <w:r>
              <w:rPr>
                <w:rStyle w:val="IndexLink"/>
                <w:rtl w:val="true"/>
              </w:rPr>
              <w:tab/>
            </w:r>
            <w:r>
              <w:rPr>
                <w:rStyle w:val="IndexLink"/>
              </w:rPr>
              <w:t>361</w:t>
            </w:r>
          </w:hyperlink>
        </w:p>
        <w:p>
          <w:pPr>
            <w:pStyle w:val="Contents5"/>
            <w:tabs>
              <w:tab w:val="clear" w:pos="7892"/>
              <w:tab w:val="right" w:pos="9026" w:leader="dot"/>
            </w:tabs>
            <w:rPr/>
          </w:pPr>
          <w:hyperlink w:anchor="__RefHeading___Toc8040027_1280447820">
            <w:r>
              <w:rPr>
                <w:webHidden/>
                <w:rStyle w:val="IndexLink"/>
                <w:rtl w:val="true"/>
              </w:rPr>
              <w:t>مَسألةٌ تاسعةٌ و ثَلاثونَ حقيقةُ المسافرِ الذي يَجِبُ عليه التقصيرُ</w:t>
            </w:r>
            <w:r>
              <w:rPr>
                <w:rStyle w:val="IndexLink"/>
                <w:rtl w:val="true"/>
              </w:rPr>
              <w:tab/>
            </w:r>
            <w:r>
              <w:rPr>
                <w:rStyle w:val="IndexLink"/>
              </w:rPr>
              <w:t>362</w:t>
            </w:r>
          </w:hyperlink>
        </w:p>
        <w:p>
          <w:pPr>
            <w:pStyle w:val="Contents5"/>
            <w:tabs>
              <w:tab w:val="clear" w:pos="7892"/>
              <w:tab w:val="right" w:pos="9026" w:leader="dot"/>
            </w:tabs>
            <w:rPr/>
          </w:pPr>
          <w:hyperlink w:anchor="__RefHeading___Toc8040029_1280447820">
            <w:r>
              <w:rPr>
                <w:webHidden/>
                <w:rStyle w:val="IndexLink"/>
                <w:rtl w:val="true"/>
              </w:rPr>
              <w:t>مَسألةٌ أربَعونَ استحبابُ التختُّمِ باليَدِ اليُمنىٰ‌</w:t>
            </w:r>
            <w:r>
              <w:rPr>
                <w:rStyle w:val="IndexLink"/>
                <w:rtl w:val="true"/>
              </w:rPr>
              <w:tab/>
            </w:r>
            <w:r>
              <w:rPr>
                <w:rStyle w:val="IndexLink"/>
              </w:rPr>
              <w:t>362</w:t>
            </w:r>
          </w:hyperlink>
        </w:p>
        <w:p>
          <w:pPr>
            <w:pStyle w:val="Contents5"/>
            <w:tabs>
              <w:tab w:val="clear" w:pos="7892"/>
              <w:tab w:val="right" w:pos="9026" w:leader="dot"/>
            </w:tabs>
            <w:rPr/>
          </w:pPr>
          <w:hyperlink w:anchor="__RefHeading___Toc8040031_1280447820">
            <w:r>
              <w:rPr>
                <w:webHidden/>
                <w:rStyle w:val="IndexLink"/>
                <w:rtl w:val="true"/>
              </w:rPr>
              <w:t>مَسألةٌ حاديةٌ و أربَعونَ المُعوَّلُ في معرفةِ أوائلِ الشُّهورِ</w:t>
            </w:r>
            <w:r>
              <w:rPr>
                <w:rStyle w:val="IndexLink"/>
                <w:rtl w:val="true"/>
              </w:rPr>
              <w:tab/>
            </w:r>
            <w:r>
              <w:rPr>
                <w:rStyle w:val="IndexLink"/>
              </w:rPr>
              <w:t>363</w:t>
            </w:r>
          </w:hyperlink>
        </w:p>
        <w:p>
          <w:pPr>
            <w:pStyle w:val="Contents5"/>
            <w:tabs>
              <w:tab w:val="clear" w:pos="7892"/>
              <w:tab w:val="right" w:pos="9026" w:leader="dot"/>
            </w:tabs>
            <w:rPr/>
          </w:pPr>
          <w:hyperlink w:anchor="__RefHeading___Toc8040033_1280447820">
            <w:r>
              <w:rPr>
                <w:webHidden/>
                <w:rStyle w:val="IndexLink"/>
                <w:rtl w:val="true"/>
              </w:rPr>
              <w:t>مَسألةٌ ثانيةٌ و أربَعونَ حُكمُ لَحمِ الأرنَبِ‌</w:t>
            </w:r>
            <w:r>
              <w:rPr>
                <w:rStyle w:val="IndexLink"/>
                <w:rtl w:val="true"/>
              </w:rPr>
              <w:tab/>
            </w:r>
            <w:r>
              <w:rPr>
                <w:rStyle w:val="IndexLink"/>
              </w:rPr>
              <w:t>364</w:t>
            </w:r>
          </w:hyperlink>
        </w:p>
        <w:p>
          <w:pPr>
            <w:pStyle w:val="Contents5"/>
            <w:tabs>
              <w:tab w:val="clear" w:pos="7892"/>
              <w:tab w:val="right" w:pos="9026" w:leader="dot"/>
            </w:tabs>
            <w:rPr/>
          </w:pPr>
          <w:hyperlink w:anchor="__RefHeading___Toc8040035_1280447820">
            <w:r>
              <w:rPr>
                <w:webHidden/>
                <w:rStyle w:val="IndexLink"/>
                <w:rtl w:val="true"/>
              </w:rPr>
              <w:t>مَسألةٌ ثالثةٌ و أربَعونَ حُكمُ شُربِ الفُقّاعِ‌</w:t>
            </w:r>
            <w:r>
              <w:rPr>
                <w:rStyle w:val="IndexLink"/>
                <w:rtl w:val="true"/>
              </w:rPr>
              <w:tab/>
            </w:r>
            <w:r>
              <w:rPr>
                <w:rStyle w:val="IndexLink"/>
              </w:rPr>
              <w:t>364</w:t>
            </w:r>
          </w:hyperlink>
        </w:p>
        <w:p>
          <w:pPr>
            <w:pStyle w:val="Contents5"/>
            <w:tabs>
              <w:tab w:val="clear" w:pos="7892"/>
              <w:tab w:val="right" w:pos="9026" w:leader="dot"/>
            </w:tabs>
            <w:rPr/>
          </w:pPr>
          <w:hyperlink w:anchor="__RefHeading___Toc8040037_1280447820">
            <w:r>
              <w:rPr>
                <w:webHidden/>
                <w:rStyle w:val="IndexLink"/>
                <w:rtl w:val="true"/>
              </w:rPr>
              <w:t>مَسألةٌ رابعةٌ و أربَعونَ حِلّيّةُ المُتعةِ‌</w:t>
            </w:r>
            <w:r>
              <w:rPr>
                <w:rStyle w:val="IndexLink"/>
                <w:rtl w:val="true"/>
              </w:rPr>
              <w:tab/>
            </w:r>
            <w:r>
              <w:rPr>
                <w:rStyle w:val="IndexLink"/>
              </w:rPr>
              <w:t>365</w:t>
            </w:r>
          </w:hyperlink>
        </w:p>
        <w:p>
          <w:pPr>
            <w:pStyle w:val="Contents5"/>
            <w:tabs>
              <w:tab w:val="clear" w:pos="7892"/>
              <w:tab w:val="right" w:pos="9026" w:leader="dot"/>
            </w:tabs>
            <w:rPr/>
          </w:pPr>
          <w:hyperlink w:anchor="__RefHeading___Toc8040039_1280447820">
            <w:r>
              <w:rPr>
                <w:webHidden/>
                <w:rStyle w:val="IndexLink"/>
                <w:rtl w:val="true"/>
              </w:rPr>
              <w:t>مَسألةٌ خامسةٌ و أربَعونَ حُرمةُ اللَّعِبِ بالشِّطْرَنجِ و النَّرْدِ</w:t>
            </w:r>
            <w:r>
              <w:rPr>
                <w:rStyle w:val="IndexLink"/>
                <w:rtl w:val="true"/>
              </w:rPr>
              <w:tab/>
            </w:r>
            <w:r>
              <w:rPr>
                <w:rStyle w:val="IndexLink"/>
              </w:rPr>
              <w:t>366</w:t>
            </w:r>
          </w:hyperlink>
        </w:p>
        <w:p>
          <w:pPr>
            <w:pStyle w:val="Contents5"/>
            <w:tabs>
              <w:tab w:val="clear" w:pos="7892"/>
              <w:tab w:val="right" w:pos="9026" w:leader="dot"/>
            </w:tabs>
            <w:rPr/>
          </w:pPr>
          <w:hyperlink w:anchor="__RefHeading___Toc8040041_1280447820">
            <w:r>
              <w:rPr>
                <w:webHidden/>
                <w:rStyle w:val="IndexLink"/>
                <w:rtl w:val="true"/>
              </w:rPr>
              <w:t>مَسألةٌ سادسةٌ و أربَعونَ حُكمُ لُبسِ جُلودِ الثعالبِ و الأرانبِ، و الصلاةِ فيها</w:t>
            </w:r>
            <w:r>
              <w:rPr>
                <w:rStyle w:val="IndexLink"/>
                <w:rtl w:val="true"/>
              </w:rPr>
              <w:tab/>
            </w:r>
            <w:r>
              <w:rPr>
                <w:rStyle w:val="IndexLink"/>
              </w:rPr>
              <w:t>366</w:t>
            </w:r>
          </w:hyperlink>
        </w:p>
        <w:p>
          <w:pPr>
            <w:pStyle w:val="Contents5"/>
            <w:tabs>
              <w:tab w:val="clear" w:pos="7892"/>
              <w:tab w:val="right" w:pos="9026" w:leader="dot"/>
            </w:tabs>
            <w:rPr/>
          </w:pPr>
          <w:hyperlink w:anchor="__RefHeading___Toc8040043_1280447820">
            <w:r>
              <w:rPr>
                <w:webHidden/>
                <w:rStyle w:val="IndexLink"/>
                <w:rtl w:val="true"/>
              </w:rPr>
              <w:t>مَسألةٌ سابعةٌ و أربَعونَ لُبسُ ما يُتَّخَذُ مِن جُلودِ الغَنَمِ‌</w:t>
            </w:r>
            <w:r>
              <w:rPr>
                <w:rStyle w:val="IndexLink"/>
                <w:rtl w:val="true"/>
              </w:rPr>
              <w:tab/>
            </w:r>
            <w:r>
              <w:rPr>
                <w:rStyle w:val="IndexLink"/>
              </w:rPr>
              <w:t>367</w:t>
            </w:r>
          </w:hyperlink>
        </w:p>
        <w:p>
          <w:pPr>
            <w:pStyle w:val="Contents5"/>
            <w:tabs>
              <w:tab w:val="clear" w:pos="7892"/>
              <w:tab w:val="right" w:pos="9026" w:leader="dot"/>
            </w:tabs>
            <w:rPr/>
          </w:pPr>
          <w:hyperlink w:anchor="__RefHeading___Toc8040045_1280447820">
            <w:r>
              <w:rPr>
                <w:webHidden/>
                <w:rStyle w:val="IndexLink"/>
                <w:rtl w:val="true"/>
              </w:rPr>
              <w:t>مَسألةٌ ثامنةٌ و أربَعونَ حُكمُ لُبسِ القَزِّ و الخَزِّ</w:t>
            </w:r>
            <w:r>
              <w:rPr>
                <w:rStyle w:val="IndexLink"/>
                <w:rtl w:val="true"/>
              </w:rPr>
              <w:tab/>
            </w:r>
            <w:r>
              <w:rPr>
                <w:rStyle w:val="IndexLink"/>
              </w:rPr>
              <w:t>367</w:t>
            </w:r>
          </w:hyperlink>
        </w:p>
        <w:p>
          <w:pPr>
            <w:pStyle w:val="Contents5"/>
            <w:tabs>
              <w:tab w:val="clear" w:pos="7892"/>
              <w:tab w:val="right" w:pos="9026" w:leader="dot"/>
            </w:tabs>
            <w:rPr/>
          </w:pPr>
          <w:hyperlink w:anchor="__RefHeading___Toc8040047_1280447820">
            <w:r>
              <w:rPr>
                <w:webHidden/>
                <w:rStyle w:val="IndexLink"/>
                <w:rtl w:val="true"/>
              </w:rPr>
              <w:t>مسألةٌ تاسعةٌ و أربَعونَ معنىٰ تحليلِ المَولىٰ أمَتَه للغَيرِ</w:t>
            </w:r>
            <w:r>
              <w:rPr>
                <w:rStyle w:val="IndexLink"/>
                <w:rtl w:val="true"/>
              </w:rPr>
              <w:tab/>
            </w:r>
            <w:r>
              <w:rPr>
                <w:rStyle w:val="IndexLink"/>
              </w:rPr>
              <w:t>368</w:t>
            </w:r>
          </w:hyperlink>
        </w:p>
        <w:p>
          <w:pPr>
            <w:pStyle w:val="Contents5"/>
            <w:tabs>
              <w:tab w:val="clear" w:pos="7892"/>
              <w:tab w:val="right" w:pos="9026" w:leader="dot"/>
            </w:tabs>
            <w:rPr/>
          </w:pPr>
          <w:hyperlink w:anchor="__RefHeading___Toc8040049_1280447820">
            <w:r>
              <w:rPr>
                <w:webHidden/>
                <w:rStyle w:val="IndexLink"/>
                <w:rtl w:val="true"/>
              </w:rPr>
              <w:t>مسألةٌ خَمسونَ جَعلُ أُمِّ الوَلَدِ في ضِمنِ الميراثِ‌</w:t>
            </w:r>
            <w:r>
              <w:rPr>
                <w:rStyle w:val="IndexLink"/>
                <w:rtl w:val="true"/>
              </w:rPr>
              <w:tab/>
            </w:r>
            <w:r>
              <w:rPr>
                <w:rStyle w:val="IndexLink"/>
              </w:rPr>
              <w:t>368</w:t>
            </w:r>
          </w:hyperlink>
        </w:p>
        <w:p>
          <w:pPr>
            <w:pStyle w:val="Contents5"/>
            <w:tabs>
              <w:tab w:val="clear" w:pos="7892"/>
              <w:tab w:val="right" w:pos="9026" w:leader="dot"/>
            </w:tabs>
            <w:rPr/>
          </w:pPr>
          <w:hyperlink w:anchor="__RefHeading___Toc8040051_1280447820">
            <w:r>
              <w:rPr>
                <w:webHidden/>
                <w:rStyle w:val="IndexLink"/>
                <w:rtl w:val="true"/>
              </w:rPr>
              <w:t>مَسألةٌ حاديةٌ و خَمسونَ جوازُ تَملُّكِ السبايا و نِكاحِهنَّ‌</w:t>
            </w:r>
            <w:r>
              <w:rPr>
                <w:rStyle w:val="IndexLink"/>
                <w:rtl w:val="true"/>
              </w:rPr>
              <w:tab/>
            </w:r>
            <w:r>
              <w:rPr>
                <w:rStyle w:val="IndexLink"/>
              </w:rPr>
              <w:t>369</w:t>
            </w:r>
          </w:hyperlink>
        </w:p>
        <w:p>
          <w:pPr>
            <w:pStyle w:val="Contents5"/>
            <w:tabs>
              <w:tab w:val="clear" w:pos="7892"/>
              <w:tab w:val="right" w:pos="9026" w:leader="dot"/>
            </w:tabs>
            <w:rPr/>
          </w:pPr>
          <w:hyperlink w:anchor="__RefHeading___Toc8040053_1280447820">
            <w:r>
              <w:rPr>
                <w:webHidden/>
                <w:rStyle w:val="IndexLink"/>
                <w:rtl w:val="true"/>
              </w:rPr>
              <w:t>مَسألةٌ ثانيةٌ و خَمسونَ حُكمُ زَكاةِ الغَلّاتِ‌</w:t>
            </w:r>
            <w:r>
              <w:rPr>
                <w:rStyle w:val="IndexLink"/>
                <w:rtl w:val="true"/>
              </w:rPr>
              <w:tab/>
            </w:r>
            <w:r>
              <w:rPr>
                <w:rStyle w:val="IndexLink"/>
              </w:rPr>
              <w:t>369</w:t>
            </w:r>
          </w:hyperlink>
        </w:p>
        <w:p>
          <w:pPr>
            <w:pStyle w:val="Contents5"/>
            <w:tabs>
              <w:tab w:val="clear" w:pos="7892"/>
              <w:tab w:val="right" w:pos="9026" w:leader="dot"/>
            </w:tabs>
            <w:rPr/>
          </w:pPr>
          <w:hyperlink w:anchor="__RefHeading___Toc8040055_1280447820">
            <w:r>
              <w:rPr>
                <w:webHidden/>
                <w:rStyle w:val="IndexLink"/>
                <w:rtl w:val="true"/>
              </w:rPr>
              <w:t>مَسألةٌ ثالثةٌ و خَمسونَ كَفّارةُ حِنثِ اليَمينِ‌</w:t>
            </w:r>
            <w:r>
              <w:rPr>
                <w:rStyle w:val="IndexLink"/>
                <w:rtl w:val="true"/>
              </w:rPr>
              <w:tab/>
            </w:r>
            <w:r>
              <w:rPr>
                <w:rStyle w:val="IndexLink"/>
              </w:rPr>
              <w:t>370</w:t>
            </w:r>
          </w:hyperlink>
        </w:p>
        <w:p>
          <w:pPr>
            <w:pStyle w:val="Contents5"/>
            <w:tabs>
              <w:tab w:val="clear" w:pos="7892"/>
              <w:tab w:val="right" w:pos="9026" w:leader="dot"/>
            </w:tabs>
            <w:rPr/>
          </w:pPr>
          <w:hyperlink w:anchor="__RefHeading___Toc8040057_1280447820">
            <w:r>
              <w:rPr>
                <w:webHidden/>
                <w:rStyle w:val="IndexLink"/>
                <w:rtl w:val="true"/>
              </w:rPr>
              <w:t>مَسألةٌ رابعةٌ و خَمسونَ إسلامُ الذمّيِّ و له مَرأةٌ ذِمّيّةٌ‌</w:t>
            </w:r>
            <w:r>
              <w:rPr>
                <w:rStyle w:val="IndexLink"/>
                <w:rtl w:val="true"/>
              </w:rPr>
              <w:tab/>
            </w:r>
            <w:r>
              <w:rPr>
                <w:rStyle w:val="IndexLink"/>
              </w:rPr>
              <w:t>370</w:t>
            </w:r>
          </w:hyperlink>
        </w:p>
        <w:p>
          <w:pPr>
            <w:pStyle w:val="Contents5"/>
            <w:tabs>
              <w:tab w:val="clear" w:pos="7892"/>
              <w:tab w:val="right" w:pos="9026" w:leader="dot"/>
            </w:tabs>
            <w:rPr/>
          </w:pPr>
          <w:hyperlink w:anchor="__RefHeading___Toc8040059_1280447820">
            <w:r>
              <w:rPr>
                <w:webHidden/>
                <w:rStyle w:val="IndexLink"/>
                <w:rtl w:val="true"/>
              </w:rPr>
              <w:t>مَسألةٌ خامسةٌ و خَمسونَ حُكمُ تزويجِ الهاشِميّةِ‌</w:t>
            </w:r>
            <w:r>
              <w:rPr>
                <w:rStyle w:val="IndexLink"/>
                <w:rtl w:val="true"/>
              </w:rPr>
              <w:tab/>
            </w:r>
            <w:r>
              <w:rPr>
                <w:rStyle w:val="IndexLink"/>
              </w:rPr>
              <w:t>371</w:t>
            </w:r>
          </w:hyperlink>
        </w:p>
        <w:p>
          <w:pPr>
            <w:pStyle w:val="Contents5"/>
            <w:tabs>
              <w:tab w:val="clear" w:pos="7892"/>
              <w:tab w:val="right" w:pos="9026" w:leader="dot"/>
            </w:tabs>
            <w:rPr/>
          </w:pPr>
          <w:hyperlink w:anchor="__RefHeading___Toc8040061_1280447820">
            <w:r>
              <w:rPr>
                <w:webHidden/>
                <w:rStyle w:val="IndexLink"/>
                <w:rtl w:val="true"/>
              </w:rPr>
              <w:t>مَسألةٌ سادسةٌ و خَمسونَ حِلّيّةُ الوَطءِ دُبُراً و قُبُلاً</w:t>
            </w:r>
            <w:r>
              <w:rPr>
                <w:rStyle w:val="IndexLink"/>
                <w:rtl w:val="true"/>
              </w:rPr>
              <w:tab/>
            </w:r>
            <w:r>
              <w:rPr>
                <w:rStyle w:val="IndexLink"/>
              </w:rPr>
              <w:t>371</w:t>
            </w:r>
          </w:hyperlink>
        </w:p>
        <w:p>
          <w:pPr>
            <w:pStyle w:val="Contents5"/>
            <w:tabs>
              <w:tab w:val="clear" w:pos="7892"/>
              <w:tab w:val="right" w:pos="9026" w:leader="dot"/>
            </w:tabs>
            <w:rPr/>
          </w:pPr>
          <w:hyperlink w:anchor="__RefHeading___Toc8040063_1280447820">
            <w:r>
              <w:rPr>
                <w:webHidden/>
                <w:rStyle w:val="IndexLink"/>
                <w:rtl w:val="true"/>
              </w:rPr>
              <w:t>مَسألةٌ سابعةٌ و خَمسونَ القُرآنُ مُنزَلٌ غيرُ مخلوقٍ‌</w:t>
            </w:r>
            <w:r>
              <w:rPr>
                <w:rStyle w:val="IndexLink"/>
                <w:rtl w:val="true"/>
              </w:rPr>
              <w:tab/>
            </w:r>
            <w:r>
              <w:rPr>
                <w:rStyle w:val="IndexLink"/>
              </w:rPr>
              <w:t>372</w:t>
            </w:r>
          </w:hyperlink>
        </w:p>
        <w:p>
          <w:pPr>
            <w:pStyle w:val="Contents5"/>
            <w:tabs>
              <w:tab w:val="clear" w:pos="7892"/>
              <w:tab w:val="right" w:pos="9026" w:leader="dot"/>
            </w:tabs>
            <w:rPr/>
          </w:pPr>
          <w:hyperlink w:anchor="__RefHeading___Toc8040065_1280447820">
            <w:r>
              <w:rPr>
                <w:webHidden/>
                <w:rStyle w:val="IndexLink"/>
                <w:rtl w:val="true"/>
              </w:rPr>
              <w:t>مَسألةٌ ثامنةٌ و خَمسونَ‌أفضلُ الأعمالِ‌</w:t>
            </w:r>
            <w:r>
              <w:rPr>
                <w:rStyle w:val="IndexLink"/>
                <w:rtl w:val="true"/>
              </w:rPr>
              <w:tab/>
            </w:r>
            <w:r>
              <w:rPr>
                <w:rStyle w:val="IndexLink"/>
              </w:rPr>
              <w:t>373</w:t>
            </w:r>
          </w:hyperlink>
        </w:p>
        <w:p>
          <w:pPr>
            <w:pStyle w:val="Contents5"/>
            <w:tabs>
              <w:tab w:val="clear" w:pos="7892"/>
              <w:tab w:val="right" w:pos="9026" w:leader="dot"/>
            </w:tabs>
            <w:rPr/>
          </w:pPr>
          <w:hyperlink w:anchor="__RefHeading___Toc8040067_1280447820">
            <w:r>
              <w:rPr>
                <w:webHidden/>
                <w:rStyle w:val="IndexLink"/>
                <w:rtl w:val="true"/>
              </w:rPr>
              <w:t>مَسألةٌ تاسعةٌ و خَمسونَ لُزومُ العملِ مع الِاعتقادِ</w:t>
            </w:r>
            <w:r>
              <w:rPr>
                <w:rStyle w:val="IndexLink"/>
                <w:rtl w:val="true"/>
              </w:rPr>
              <w:tab/>
            </w:r>
            <w:r>
              <w:rPr>
                <w:rStyle w:val="IndexLink"/>
              </w:rPr>
              <w:t>373</w:t>
            </w:r>
          </w:hyperlink>
        </w:p>
        <w:p>
          <w:pPr>
            <w:pStyle w:val="Contents5"/>
            <w:tabs>
              <w:tab w:val="clear" w:pos="7892"/>
              <w:tab w:val="right" w:pos="9026" w:leader="dot"/>
            </w:tabs>
            <w:rPr/>
          </w:pPr>
          <w:hyperlink w:anchor="__RefHeading___Toc8040069_1280447820">
            <w:r>
              <w:rPr>
                <w:webHidden/>
                <w:rStyle w:val="IndexLink"/>
                <w:rtl w:val="true"/>
              </w:rPr>
              <w:t>مسألةٌ سِتّونَ مَسألةُ الرَّجعةِ‌</w:t>
            </w:r>
            <w:r>
              <w:rPr>
                <w:rStyle w:val="IndexLink"/>
                <w:rtl w:val="true"/>
              </w:rPr>
              <w:tab/>
            </w:r>
            <w:r>
              <w:rPr>
                <w:rStyle w:val="IndexLink"/>
              </w:rPr>
              <w:t>374</w:t>
            </w:r>
          </w:hyperlink>
        </w:p>
        <w:p>
          <w:pPr>
            <w:pStyle w:val="Contents5"/>
            <w:tabs>
              <w:tab w:val="clear" w:pos="7892"/>
              <w:tab w:val="right" w:pos="9026" w:leader="dot"/>
            </w:tabs>
            <w:rPr/>
          </w:pPr>
          <w:hyperlink w:anchor="__RefHeading___Toc8040071_1280447820">
            <w:r>
              <w:rPr>
                <w:webHidden/>
                <w:rStyle w:val="IndexLink"/>
                <w:rtl w:val="true"/>
              </w:rPr>
              <w:t>مَسألةٌ حاديةٌ و سِتّونَ المُسلِمُ يَرِثُ الكافِرَ</w:t>
            </w:r>
            <w:r>
              <w:rPr>
                <w:rStyle w:val="IndexLink"/>
                <w:rtl w:val="true"/>
              </w:rPr>
              <w:tab/>
            </w:r>
            <w:r>
              <w:rPr>
                <w:rStyle w:val="IndexLink"/>
              </w:rPr>
              <w:t>374</w:t>
            </w:r>
          </w:hyperlink>
        </w:p>
        <w:p>
          <w:pPr>
            <w:pStyle w:val="Contents5"/>
            <w:tabs>
              <w:tab w:val="clear" w:pos="7892"/>
              <w:tab w:val="right" w:pos="9026" w:leader="dot"/>
            </w:tabs>
            <w:rPr/>
          </w:pPr>
          <w:hyperlink w:anchor="__RefHeading___Toc8040073_1280447820">
            <w:r>
              <w:rPr>
                <w:webHidden/>
                <w:rStyle w:val="IndexLink"/>
                <w:rtl w:val="true"/>
              </w:rPr>
              <w:t>مَسألةٌ ثانيةٌ و سِتّونَ العَمّةُ تَرِثُ مع العَمِّ‌</w:t>
            </w:r>
            <w:r>
              <w:rPr>
                <w:rStyle w:val="IndexLink"/>
                <w:rtl w:val="true"/>
              </w:rPr>
              <w:tab/>
            </w:r>
            <w:r>
              <w:rPr>
                <w:rStyle w:val="IndexLink"/>
              </w:rPr>
              <w:t>375</w:t>
            </w:r>
          </w:hyperlink>
        </w:p>
        <w:p>
          <w:pPr>
            <w:pStyle w:val="Contents5"/>
            <w:tabs>
              <w:tab w:val="clear" w:pos="7892"/>
              <w:tab w:val="right" w:pos="9026" w:leader="dot"/>
            </w:tabs>
            <w:rPr/>
          </w:pPr>
          <w:hyperlink w:anchor="__RefHeading___Toc8040075_1280447820">
            <w:r>
              <w:rPr>
                <w:webHidden/>
                <w:rStyle w:val="IndexLink"/>
                <w:rtl w:val="true"/>
              </w:rPr>
              <w:t>مَسألةٌ ثالثةٌ و سِتّونَ إرثُ الخالِ و الخالةِ مع الأعمامِ‌</w:t>
            </w:r>
            <w:r>
              <w:rPr>
                <w:rStyle w:val="IndexLink"/>
                <w:rtl w:val="true"/>
              </w:rPr>
              <w:tab/>
            </w:r>
            <w:r>
              <w:rPr>
                <w:rStyle w:val="IndexLink"/>
              </w:rPr>
              <w:t>375</w:t>
            </w:r>
          </w:hyperlink>
        </w:p>
        <w:p>
          <w:pPr>
            <w:pStyle w:val="Contents5"/>
            <w:tabs>
              <w:tab w:val="clear" w:pos="7892"/>
              <w:tab w:val="right" w:pos="9026" w:leader="dot"/>
            </w:tabs>
            <w:rPr/>
          </w:pPr>
          <w:hyperlink w:anchor="__RefHeading___Toc8040077_1280447820">
            <w:r>
              <w:rPr>
                <w:webHidden/>
                <w:rStyle w:val="IndexLink"/>
                <w:rtl w:val="true"/>
              </w:rPr>
              <w:t>مَسألةٌ رابعةٌ و سِتّونَ إرثُ أولادِ الأُختِ‌</w:t>
            </w:r>
            <w:r>
              <w:rPr>
                <w:rStyle w:val="IndexLink"/>
                <w:rtl w:val="true"/>
              </w:rPr>
              <w:tab/>
            </w:r>
            <w:r>
              <w:rPr>
                <w:rStyle w:val="IndexLink"/>
              </w:rPr>
              <w:t>376</w:t>
            </w:r>
          </w:hyperlink>
        </w:p>
        <w:p>
          <w:pPr>
            <w:pStyle w:val="Contents5"/>
            <w:tabs>
              <w:tab w:val="clear" w:pos="7892"/>
              <w:tab w:val="right" w:pos="9026" w:leader="dot"/>
            </w:tabs>
            <w:rPr/>
          </w:pPr>
          <w:hyperlink w:anchor="__RefHeading___Toc8040079_1280447820">
            <w:r>
              <w:rPr>
                <w:webHidden/>
                <w:rStyle w:val="IndexLink"/>
                <w:rtl w:val="true"/>
              </w:rPr>
              <w:t>مَسألةٌ خامسةٌ و سِتّونَ جوازُ الوطءِ قَبلَ غُسلِ الحَيضِ‌</w:t>
            </w:r>
            <w:r>
              <w:rPr>
                <w:rStyle w:val="IndexLink"/>
                <w:rtl w:val="true"/>
              </w:rPr>
              <w:tab/>
            </w:r>
            <w:r>
              <w:rPr>
                <w:rStyle w:val="IndexLink"/>
              </w:rPr>
              <w:t>376</w:t>
            </w:r>
          </w:hyperlink>
        </w:p>
        <w:p>
          <w:pPr>
            <w:pStyle w:val="Contents5"/>
            <w:tabs>
              <w:tab w:val="clear" w:pos="7892"/>
              <w:tab w:val="right" w:pos="9026" w:leader="dot"/>
            </w:tabs>
            <w:rPr/>
          </w:pPr>
          <w:hyperlink w:anchor="__RefHeading___Toc8040081_1280447820">
            <w:r>
              <w:rPr>
                <w:webHidden/>
                <w:rStyle w:val="IndexLink"/>
                <w:rtl w:val="true"/>
              </w:rPr>
              <w:t>مَسألةٌ سادسةٌ و سِتّونَ حُكمُ الخُمُسِ‌</w:t>
            </w:r>
            <w:r>
              <w:rPr>
                <w:rStyle w:val="IndexLink"/>
                <w:rtl w:val="true"/>
              </w:rPr>
              <w:tab/>
            </w:r>
            <w:r>
              <w:rPr>
                <w:rStyle w:val="IndexLink"/>
              </w:rPr>
              <w:t>377</w:t>
            </w:r>
          </w:hyperlink>
        </w:p>
        <w:p>
          <w:pPr>
            <w:pStyle w:val="Contents3"/>
            <w:tabs>
              <w:tab w:val="clear" w:pos="8459"/>
              <w:tab w:val="right" w:pos="9026" w:leader="dot"/>
            </w:tabs>
            <w:rPr/>
          </w:pPr>
          <w:hyperlink w:anchor="__RefHeading___Toc8040083_1280447820">
            <w:r>
              <w:rPr>
                <w:webHidden/>
                <w:rStyle w:val="IndexLink"/>
                <w:rtl w:val="true"/>
              </w:rPr>
              <w:t>(</w:t>
            </w:r>
            <w:r>
              <w:rPr>
                <w:rStyle w:val="IndexLink"/>
              </w:rPr>
              <w:t>80</w:t>
            </w:r>
            <w:r>
              <w:rPr>
                <w:rStyle w:val="IndexLink"/>
                <w:rtl w:val="true"/>
              </w:rPr>
              <w:t xml:space="preserve">) </w:t>
            </w:r>
            <w:r>
              <w:rPr>
                <w:rStyle w:val="IndexLink"/>
                <w:rtl w:val="true"/>
              </w:rPr>
              <w:t>جَواباتُ المَسائلِ الواسِطيّاتِ‌</w:t>
            </w:r>
            <w:r>
              <w:rPr>
                <w:rStyle w:val="IndexLink"/>
                <w:rtl w:val="true"/>
              </w:rPr>
              <w:tab/>
            </w:r>
            <w:r>
              <w:rPr>
                <w:rStyle w:val="IndexLink"/>
              </w:rPr>
              <w:t>379</w:t>
            </w:r>
          </w:hyperlink>
        </w:p>
        <w:p>
          <w:pPr>
            <w:pStyle w:val="Contents4"/>
            <w:tabs>
              <w:tab w:val="clear" w:pos="8176"/>
              <w:tab w:val="right" w:pos="9026" w:leader="dot"/>
            </w:tabs>
            <w:rPr/>
          </w:pPr>
          <w:hyperlink w:anchor="__RefHeading___Toc8040085_1280447820">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8040087_1280447820">
            <w:r>
              <w:rPr>
                <w:webHidden/>
                <w:rStyle w:val="IndexLink"/>
                <w:rtl w:val="true"/>
              </w:rPr>
              <w:t>مقدّمة التحقيق</w:t>
            </w:r>
            <w:r>
              <w:rPr>
                <w:rStyle w:val="IndexLink"/>
                <w:rtl w:val="true"/>
              </w:rPr>
              <w:tab/>
            </w:r>
            <w:r>
              <w:rPr>
                <w:rStyle w:val="IndexLink"/>
              </w:rPr>
              <w:t>381</w:t>
            </w:r>
          </w:hyperlink>
        </w:p>
        <w:p>
          <w:pPr>
            <w:pStyle w:val="Contents5"/>
            <w:tabs>
              <w:tab w:val="clear" w:pos="7892"/>
              <w:tab w:val="right" w:pos="9026" w:leader="dot"/>
            </w:tabs>
            <w:rPr/>
          </w:pPr>
          <w:hyperlink w:anchor="__RefHeading___Toc8040089_1280447820">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8040091_1280447820">
            <w:r>
              <w:rPr>
                <w:webHidden/>
                <w:rStyle w:val="IndexLink"/>
                <w:rtl w:val="true"/>
              </w:rPr>
              <w:t>مخطوطات الرسالة</w:t>
            </w:r>
            <w:r>
              <w:rPr>
                <w:rStyle w:val="IndexLink"/>
                <w:rtl w:val="true"/>
              </w:rPr>
              <w:tab/>
            </w:r>
            <w:r>
              <w:rPr>
                <w:rStyle w:val="IndexLink"/>
              </w:rPr>
              <w:t>382</w:t>
            </w:r>
          </w:hyperlink>
        </w:p>
        <w:p>
          <w:pPr>
            <w:pStyle w:val="Contents6"/>
            <w:tabs>
              <w:tab w:val="clear" w:pos="7609"/>
              <w:tab w:val="right" w:pos="9026" w:leader="dot"/>
            </w:tabs>
            <w:rPr/>
          </w:pPr>
          <w:hyperlink w:anchor="__RefHeading___Toc8040093_1280447820">
            <w:r>
              <w:rPr>
                <w:webHidden/>
                <w:rStyle w:val="IndexLink"/>
                <w:rtl w:val="true"/>
              </w:rPr>
              <w:t>ألف</w:t>
            </w:r>
            <w:r>
              <w:rPr>
                <w:rStyle w:val="IndexLink"/>
                <w:rtl w:val="true"/>
              </w:rPr>
              <w:t xml:space="preserve">) </w:t>
            </w:r>
            <w:r>
              <w:rPr>
                <w:rStyle w:val="IndexLink"/>
                <w:rtl w:val="true"/>
              </w:rPr>
              <w:t>النسخ المعتمدة</w:t>
            </w:r>
            <w:r>
              <w:rPr>
                <w:rStyle w:val="IndexLink"/>
                <w:rtl w:val="true"/>
              </w:rPr>
              <w:t>:</w:t>
              <w:tab/>
            </w:r>
            <w:r>
              <w:rPr>
                <w:rStyle w:val="IndexLink"/>
              </w:rPr>
              <w:t>382</w:t>
            </w:r>
          </w:hyperlink>
        </w:p>
        <w:p>
          <w:pPr>
            <w:pStyle w:val="Contents6"/>
            <w:tabs>
              <w:tab w:val="clear" w:pos="7609"/>
              <w:tab w:val="right" w:pos="9026" w:leader="dot"/>
            </w:tabs>
            <w:rPr/>
          </w:pPr>
          <w:hyperlink w:anchor="__RefHeading___Toc8040095_1280447820">
            <w:r>
              <w:rPr>
                <w:webHidden/>
                <w:rStyle w:val="IndexLink"/>
                <w:rtl w:val="true"/>
              </w:rPr>
              <w:t>ب</w:t>
            </w:r>
            <w:r>
              <w:rPr>
                <w:rStyle w:val="IndexLink"/>
                <w:rtl w:val="true"/>
              </w:rPr>
              <w:t xml:space="preserve">) </w:t>
            </w:r>
            <w:r>
              <w:rPr>
                <w:rStyle w:val="IndexLink"/>
                <w:rtl w:val="true"/>
              </w:rPr>
              <w:t>سائر النسخ</w:t>
            </w:r>
            <w:r>
              <w:rPr>
                <w:rStyle w:val="IndexLink"/>
                <w:rtl w:val="true"/>
              </w:rPr>
              <w:t>:</w:t>
              <w:tab/>
            </w:r>
            <w:r>
              <w:rPr>
                <w:rStyle w:val="IndexLink"/>
              </w:rPr>
              <w:t>382</w:t>
            </w:r>
          </w:hyperlink>
        </w:p>
        <w:p>
          <w:pPr>
            <w:pStyle w:val="Contents4"/>
            <w:tabs>
              <w:tab w:val="clear" w:pos="8176"/>
              <w:tab w:val="right" w:pos="9026" w:leader="dot"/>
            </w:tabs>
            <w:rPr/>
          </w:pPr>
          <w:hyperlink w:anchor="__RefHeading___Toc8040097_1280447820">
            <w:r>
              <w:rPr>
                <w:webHidden/>
                <w:rStyle w:val="IndexLink"/>
                <w:rtl w:val="true"/>
              </w:rPr>
              <w:t>جَواباتُ المَسائلِ الواسِطيّاتِ‌</w:t>
            </w:r>
            <w:r>
              <w:rPr>
                <w:rStyle w:val="IndexLink"/>
                <w:rtl w:val="true"/>
              </w:rPr>
              <w:tab/>
            </w:r>
            <w:r>
              <w:rPr>
                <w:rStyle w:val="IndexLink"/>
              </w:rPr>
              <w:t>385</w:t>
            </w:r>
          </w:hyperlink>
        </w:p>
        <w:p>
          <w:pPr>
            <w:pStyle w:val="Contents5"/>
            <w:tabs>
              <w:tab w:val="clear" w:pos="7892"/>
              <w:tab w:val="right" w:pos="9026" w:leader="dot"/>
            </w:tabs>
            <w:rPr/>
          </w:pPr>
          <w:hyperlink w:anchor="__RefHeading___Toc8040099_1280447820">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8040101_1280447820">
            <w:r>
              <w:rPr>
                <w:webHidden/>
                <w:rStyle w:val="IndexLink"/>
                <w:rtl w:val="true"/>
              </w:rPr>
              <w:t>المَسألةُ الخامسةُ مِن المَسائلِ الواسِطيّاتِ إنكاحُ النَّواصِبِ و الغُلاةِ‌</w:t>
            </w:r>
            <w:r>
              <w:rPr>
                <w:rStyle w:val="IndexLink"/>
                <w:rtl w:val="true"/>
              </w:rPr>
              <w:tab/>
            </w:r>
            <w:r>
              <w:rPr>
                <w:rStyle w:val="IndexLink"/>
              </w:rPr>
              <w:t>385</w:t>
            </w:r>
          </w:hyperlink>
        </w:p>
        <w:p>
          <w:pPr>
            <w:pStyle w:val="Contents5"/>
            <w:tabs>
              <w:tab w:val="clear" w:pos="7892"/>
              <w:tab w:val="right" w:pos="9026" w:leader="dot"/>
            </w:tabs>
            <w:rPr/>
          </w:pPr>
          <w:hyperlink w:anchor="__RefHeading___Toc8040103_1280447820">
            <w:r>
              <w:rPr>
                <w:webHidden/>
                <w:rStyle w:val="IndexLink"/>
                <w:rtl w:val="true"/>
              </w:rPr>
              <w:t>المَسألةُ السادسةُ مِن الواسِطيّاتِ المسلمُ يَرِثُ الكافرَ</w:t>
            </w:r>
            <w:r>
              <w:rPr>
                <w:rStyle w:val="IndexLink"/>
                <w:rtl w:val="true"/>
              </w:rPr>
              <w:tab/>
            </w:r>
            <w:r>
              <w:rPr>
                <w:rStyle w:val="IndexLink"/>
              </w:rPr>
              <w:t>386</w:t>
            </w:r>
          </w:hyperlink>
        </w:p>
        <w:p>
          <w:pPr>
            <w:pStyle w:val="Contents5"/>
            <w:tabs>
              <w:tab w:val="clear" w:pos="7892"/>
              <w:tab w:val="right" w:pos="9026" w:leader="dot"/>
            </w:tabs>
            <w:rPr/>
          </w:pPr>
          <w:hyperlink w:anchor="__RefHeading___Toc8040105_1280447820">
            <w:r>
              <w:rPr>
                <w:webHidden/>
                <w:rStyle w:val="IndexLink"/>
                <w:rtl w:val="true"/>
              </w:rPr>
              <w:t>المَسألةُ السابعةُ مِن الواسِطيّاتِ الصلاةُ في ثَوبَينِ أحدُهما إبريسَمٌ و الآخَرُ كِتّانٌ‌</w:t>
            </w:r>
            <w:r>
              <w:rPr>
                <w:rStyle w:val="IndexLink"/>
                <w:rtl w:val="true"/>
              </w:rPr>
              <w:tab/>
            </w:r>
            <w:r>
              <w:rPr>
                <w:rStyle w:val="IndexLink"/>
              </w:rPr>
              <w:t>387</w:t>
            </w:r>
          </w:hyperlink>
        </w:p>
        <w:p>
          <w:pPr>
            <w:pStyle w:val="Contents5"/>
            <w:tabs>
              <w:tab w:val="clear" w:pos="7892"/>
              <w:tab w:val="right" w:pos="9026" w:leader="dot"/>
            </w:tabs>
            <w:rPr/>
          </w:pPr>
          <w:hyperlink w:anchor="__RefHeading___Toc8040107_1280447820">
            <w:r>
              <w:rPr>
                <w:webHidden/>
                <w:rStyle w:val="IndexLink"/>
                <w:rtl w:val="true"/>
              </w:rPr>
              <w:t>المَسألةُ الثامنةُ مِن الواسِطيّاتِ‌عِدّةُ وفاةِ الذِّمّيِّ‌</w:t>
            </w:r>
            <w:r>
              <w:rPr>
                <w:rStyle w:val="IndexLink"/>
                <w:rtl w:val="true"/>
              </w:rPr>
              <w:tab/>
            </w:r>
            <w:r>
              <w:rPr>
                <w:rStyle w:val="IndexLink"/>
              </w:rPr>
              <w:t>388</w:t>
            </w:r>
          </w:hyperlink>
        </w:p>
        <w:p>
          <w:pPr>
            <w:pStyle w:val="Contents5"/>
            <w:tabs>
              <w:tab w:val="clear" w:pos="7892"/>
              <w:tab w:val="right" w:pos="9026" w:leader="dot"/>
            </w:tabs>
            <w:rPr/>
          </w:pPr>
          <w:hyperlink w:anchor="__RefHeading___Toc8040109_1280447820">
            <w:r>
              <w:rPr>
                <w:webHidden/>
                <w:rStyle w:val="IndexLink"/>
                <w:rtl w:val="true"/>
              </w:rPr>
              <w:t>المَسألةُ التاسعةُ مِن الواسِطيّاتِ‌المَرأةُ المُتَسامِحةُ في نَفسِها عن مُراعاةِ عدّةِ الطلاقِ‌</w:t>
            </w:r>
            <w:r>
              <w:rPr>
                <w:rStyle w:val="IndexLink"/>
                <w:rtl w:val="true"/>
              </w:rPr>
              <w:tab/>
            </w:r>
            <w:r>
              <w:rPr>
                <w:rStyle w:val="IndexLink"/>
              </w:rPr>
              <w:t>389</w:t>
            </w:r>
          </w:hyperlink>
        </w:p>
        <w:p>
          <w:pPr>
            <w:pStyle w:val="Contents5"/>
            <w:tabs>
              <w:tab w:val="clear" w:pos="7892"/>
              <w:tab w:val="right" w:pos="9026" w:leader="dot"/>
            </w:tabs>
            <w:rPr/>
          </w:pPr>
          <w:hyperlink w:anchor="__RefHeading___Toc8040111_1280447820">
            <w:r>
              <w:rPr>
                <w:webHidden/>
                <w:rStyle w:val="IndexLink"/>
                <w:rtl w:val="true"/>
              </w:rPr>
              <w:t>المَسألةُ العاشِرةُ مِن الواسطيّاتِ‌لا حَدَّ للمُستَمتَعاتِ بِهِنَّ في العَدَدِ</w:t>
            </w:r>
            <w:r>
              <w:rPr>
                <w:rStyle w:val="IndexLink"/>
                <w:rtl w:val="true"/>
              </w:rPr>
              <w:tab/>
            </w:r>
            <w:r>
              <w:rPr>
                <w:rStyle w:val="IndexLink"/>
              </w:rPr>
              <w:t>390</w:t>
            </w:r>
          </w:hyperlink>
        </w:p>
        <w:p>
          <w:pPr>
            <w:pStyle w:val="Contents5"/>
            <w:tabs>
              <w:tab w:val="clear" w:pos="7892"/>
              <w:tab w:val="right" w:pos="9026" w:leader="dot"/>
            </w:tabs>
            <w:rPr/>
          </w:pPr>
          <w:hyperlink w:anchor="__RefHeading___Toc8040113_1280447820">
            <w:r>
              <w:rPr>
                <w:webHidden/>
                <w:rStyle w:val="IndexLink"/>
                <w:rtl w:val="true"/>
              </w:rPr>
              <w:t>المَسألةُ الحاديةَ عَشَرَ مِن الواسطيّاتِ‌طَلاقُ المُضطَرِّ ثَلاثاً، كَم يُعَدُّ؟</w:t>
            </w:r>
            <w:r>
              <w:rPr>
                <w:rStyle w:val="IndexLink"/>
                <w:rtl w:val="true"/>
              </w:rPr>
              <w:tab/>
            </w:r>
            <w:r>
              <w:rPr>
                <w:rStyle w:val="IndexLink"/>
              </w:rPr>
              <w:t>391</w:t>
            </w:r>
          </w:hyperlink>
        </w:p>
        <w:p>
          <w:pPr>
            <w:pStyle w:val="Contents5"/>
            <w:tabs>
              <w:tab w:val="clear" w:pos="7892"/>
              <w:tab w:val="right" w:pos="9026" w:leader="dot"/>
            </w:tabs>
            <w:rPr/>
          </w:pPr>
          <w:hyperlink w:anchor="__RefHeading___Toc8040115_1280447820">
            <w:r>
              <w:rPr>
                <w:webHidden/>
                <w:rStyle w:val="IndexLink"/>
                <w:rtl w:val="true"/>
              </w:rPr>
              <w:t>المَسألةُ الثانيةَ عَشَرَ مِن الواسطيّاتِ‌جوازُ التمتُّعِ بالمُستَمتَعِ بها قَبلَ انقضاءِ العِدّةِ‌</w:t>
            </w:r>
            <w:r>
              <w:rPr>
                <w:rStyle w:val="IndexLink"/>
                <w:rtl w:val="true"/>
              </w:rPr>
              <w:tab/>
            </w:r>
            <w:r>
              <w:rPr>
                <w:rStyle w:val="IndexLink"/>
              </w:rPr>
              <w:t>392</w:t>
            </w:r>
          </w:hyperlink>
        </w:p>
        <w:p>
          <w:pPr>
            <w:pStyle w:val="Contents3"/>
            <w:tabs>
              <w:tab w:val="clear" w:pos="8459"/>
              <w:tab w:val="right" w:pos="9026" w:leader="dot"/>
            </w:tabs>
            <w:rPr/>
          </w:pPr>
          <w:hyperlink w:anchor="__RefHeading___Toc8040117_1280447820">
            <w:r>
              <w:rPr>
                <w:webHidden/>
                <w:rStyle w:val="IndexLink"/>
                <w:rtl w:val="true"/>
              </w:rPr>
              <w:t>(</w:t>
            </w:r>
            <w:r>
              <w:rPr>
                <w:rStyle w:val="IndexLink"/>
              </w:rPr>
              <w:t>81</w:t>
            </w:r>
            <w:r>
              <w:rPr>
                <w:rStyle w:val="IndexLink"/>
                <w:rtl w:val="true"/>
              </w:rPr>
              <w:t xml:space="preserve">) </w:t>
            </w:r>
            <w:r>
              <w:rPr>
                <w:rStyle w:val="IndexLink"/>
                <w:rtl w:val="true"/>
              </w:rPr>
              <w:t>جَواباتُ المَسائلِ الرَّمليَّةِ‌</w:t>
            </w:r>
            <w:r>
              <w:rPr>
                <w:rStyle w:val="IndexLink"/>
                <w:rtl w:val="true"/>
              </w:rPr>
              <w:tab/>
            </w:r>
            <w:r>
              <w:rPr>
                <w:rStyle w:val="IndexLink"/>
              </w:rPr>
              <w:t>393</w:t>
            </w:r>
          </w:hyperlink>
        </w:p>
        <w:p>
          <w:pPr>
            <w:pStyle w:val="Contents4"/>
            <w:tabs>
              <w:tab w:val="clear" w:pos="8176"/>
              <w:tab w:val="right" w:pos="9026" w:leader="dot"/>
            </w:tabs>
            <w:rPr/>
          </w:pPr>
          <w:hyperlink w:anchor="__RefHeading___Toc8040119_1280447820">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8040121_1280447820">
            <w:r>
              <w:rPr>
                <w:webHidden/>
                <w:rStyle w:val="IndexLink"/>
                <w:rtl w:val="true"/>
              </w:rPr>
              <w:t>مقدّمة التحقيق</w:t>
            </w:r>
            <w:r>
              <w:rPr>
                <w:rStyle w:val="IndexLink"/>
                <w:rtl w:val="true"/>
              </w:rPr>
              <w:tab/>
            </w:r>
            <w:r>
              <w:rPr>
                <w:rStyle w:val="IndexLink"/>
              </w:rPr>
              <w:t>395</w:t>
            </w:r>
          </w:hyperlink>
        </w:p>
        <w:p>
          <w:pPr>
            <w:pStyle w:val="Contents5"/>
            <w:tabs>
              <w:tab w:val="clear" w:pos="7892"/>
              <w:tab w:val="right" w:pos="9026" w:leader="dot"/>
            </w:tabs>
            <w:rPr/>
          </w:pPr>
          <w:hyperlink w:anchor="__RefHeading___Toc8040123_1280447820">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8040125_1280447820">
            <w:r>
              <w:rPr>
                <w:webHidden/>
                <w:rStyle w:val="IndexLink"/>
                <w:rtl w:val="true"/>
              </w:rPr>
              <w:t>نسبة الرسالة</w:t>
            </w:r>
            <w:r>
              <w:rPr>
                <w:rStyle w:val="IndexLink"/>
                <w:rtl w:val="true"/>
              </w:rPr>
              <w:tab/>
            </w:r>
            <w:r>
              <w:rPr>
                <w:rStyle w:val="IndexLink"/>
              </w:rPr>
              <w:t>397</w:t>
            </w:r>
          </w:hyperlink>
        </w:p>
        <w:p>
          <w:pPr>
            <w:pStyle w:val="Contents5"/>
            <w:tabs>
              <w:tab w:val="clear" w:pos="7892"/>
              <w:tab w:val="right" w:pos="9026" w:leader="dot"/>
            </w:tabs>
            <w:rPr/>
          </w:pPr>
          <w:hyperlink w:anchor="__RefHeading___Toc8040127_1280447820">
            <w:r>
              <w:rPr>
                <w:webHidden/>
                <w:rStyle w:val="IndexLink"/>
                <w:rtl w:val="true"/>
              </w:rPr>
              <w:t>محتوى الرسالة</w:t>
            </w:r>
            <w:r>
              <w:rPr>
                <w:rStyle w:val="IndexLink"/>
                <w:rtl w:val="true"/>
              </w:rPr>
              <w:tab/>
            </w:r>
            <w:r>
              <w:rPr>
                <w:rStyle w:val="IndexLink"/>
              </w:rPr>
              <w:t>398</w:t>
            </w:r>
          </w:hyperlink>
        </w:p>
        <w:p>
          <w:pPr>
            <w:pStyle w:val="Contents5"/>
            <w:tabs>
              <w:tab w:val="clear" w:pos="7892"/>
              <w:tab w:val="right" w:pos="9026" w:leader="dot"/>
            </w:tabs>
            <w:rPr/>
          </w:pPr>
          <w:hyperlink w:anchor="__RefHeading___Toc8040129_1280447820">
            <w:r>
              <w:rPr>
                <w:webHidden/>
                <w:rStyle w:val="IndexLink"/>
                <w:rtl w:val="true"/>
              </w:rPr>
              <w:t>مخطوطات الرسالة</w:t>
            </w:r>
            <w:r>
              <w:rPr>
                <w:rStyle w:val="IndexLink"/>
                <w:rtl w:val="true"/>
              </w:rPr>
              <w:tab/>
            </w:r>
            <w:r>
              <w:rPr>
                <w:rStyle w:val="IndexLink"/>
              </w:rPr>
              <w:t>403</w:t>
            </w:r>
          </w:hyperlink>
        </w:p>
        <w:p>
          <w:pPr>
            <w:pStyle w:val="Contents6"/>
            <w:tabs>
              <w:tab w:val="clear" w:pos="7609"/>
              <w:tab w:val="right" w:pos="9026" w:leader="dot"/>
            </w:tabs>
            <w:rPr/>
          </w:pPr>
          <w:hyperlink w:anchor="__RefHeading___Toc8040131_1280447820">
            <w:r>
              <w:rPr>
                <w:webHidden/>
                <w:rStyle w:val="IndexLink"/>
                <w:rtl w:val="true"/>
              </w:rPr>
              <w:t>ألف</w:t>
            </w:r>
            <w:r>
              <w:rPr>
                <w:rStyle w:val="IndexLink"/>
                <w:rtl w:val="true"/>
              </w:rPr>
              <w:t xml:space="preserve">) </w:t>
            </w:r>
            <w:r>
              <w:rPr>
                <w:rStyle w:val="IndexLink"/>
                <w:rtl w:val="true"/>
              </w:rPr>
              <w:t>النسخ المعتمدة</w:t>
            </w:r>
            <w:r>
              <w:rPr>
                <w:rStyle w:val="IndexLink"/>
                <w:rtl w:val="true"/>
              </w:rPr>
              <w:t>:</w:t>
              <w:tab/>
            </w:r>
            <w:r>
              <w:rPr>
                <w:rStyle w:val="IndexLink"/>
              </w:rPr>
              <w:t>403</w:t>
            </w:r>
          </w:hyperlink>
        </w:p>
        <w:p>
          <w:pPr>
            <w:pStyle w:val="Contents6"/>
            <w:tabs>
              <w:tab w:val="clear" w:pos="7609"/>
              <w:tab w:val="right" w:pos="9026" w:leader="dot"/>
            </w:tabs>
            <w:rPr/>
          </w:pPr>
          <w:hyperlink w:anchor="__RefHeading___Toc8040133_1280447820">
            <w:r>
              <w:rPr>
                <w:webHidden/>
                <w:rStyle w:val="IndexLink"/>
                <w:rtl w:val="true"/>
              </w:rPr>
              <w:t>ب</w:t>
            </w:r>
            <w:r>
              <w:rPr>
                <w:rStyle w:val="IndexLink"/>
                <w:rtl w:val="true"/>
              </w:rPr>
              <w:t xml:space="preserve">) </w:t>
            </w:r>
            <w:r>
              <w:rPr>
                <w:rStyle w:val="IndexLink"/>
                <w:rtl w:val="true"/>
              </w:rPr>
              <w:t>سائر النسخ</w:t>
            </w:r>
            <w:r>
              <w:rPr>
                <w:rStyle w:val="IndexLink"/>
                <w:rtl w:val="true"/>
              </w:rPr>
              <w:t>:</w:t>
              <w:tab/>
            </w:r>
            <w:r>
              <w:rPr>
                <w:rStyle w:val="IndexLink"/>
              </w:rPr>
              <w:t>404</w:t>
            </w:r>
          </w:hyperlink>
        </w:p>
        <w:p>
          <w:pPr>
            <w:pStyle w:val="Contents4"/>
            <w:tabs>
              <w:tab w:val="clear" w:pos="8176"/>
              <w:tab w:val="right" w:pos="9026" w:leader="dot"/>
            </w:tabs>
            <w:rPr/>
          </w:pPr>
          <w:hyperlink w:anchor="__RefHeading___Toc8040135_1280447820">
            <w:r>
              <w:rPr>
                <w:webHidden/>
                <w:rStyle w:val="IndexLink"/>
                <w:rtl w:val="true"/>
              </w:rPr>
              <w:t>جَواباتُ المَسائلِ الرَّمليَّةِ‌</w:t>
            </w:r>
            <w:r>
              <w:rPr>
                <w:rStyle w:val="IndexLink"/>
                <w:rtl w:val="true"/>
              </w:rPr>
              <w:tab/>
            </w:r>
            <w:r>
              <w:rPr>
                <w:rStyle w:val="IndexLink"/>
              </w:rPr>
              <w:t>405</w:t>
            </w:r>
          </w:hyperlink>
        </w:p>
        <w:p>
          <w:pPr>
            <w:pStyle w:val="Contents5"/>
            <w:tabs>
              <w:tab w:val="clear" w:pos="7892"/>
              <w:tab w:val="right" w:pos="9026" w:leader="dot"/>
            </w:tabs>
            <w:rPr/>
          </w:pPr>
          <w:hyperlink w:anchor="__RefHeading___Toc8040137_1280447820">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8040139_1280447820">
            <w:r>
              <w:rPr>
                <w:webHidden/>
                <w:rStyle w:val="IndexLink"/>
                <w:rtl w:val="true"/>
              </w:rPr>
              <w:t>المسألةُ السادسةُ حُكمُ الخِلافِ في رؤيةِ الهِلالِ‌</w:t>
            </w:r>
            <w:r>
              <w:rPr>
                <w:rStyle w:val="IndexLink"/>
                <w:rtl w:val="true"/>
              </w:rPr>
              <w:tab/>
            </w:r>
            <w:r>
              <w:rPr>
                <w:rStyle w:val="IndexLink"/>
              </w:rPr>
              <w:t>405</w:t>
            </w:r>
          </w:hyperlink>
        </w:p>
        <w:p>
          <w:pPr>
            <w:pStyle w:val="Contents6"/>
            <w:tabs>
              <w:tab w:val="clear" w:pos="7609"/>
              <w:tab w:val="right" w:pos="9026" w:leader="dot"/>
            </w:tabs>
            <w:rPr/>
          </w:pPr>
          <w:hyperlink w:anchor="__RefHeading___Toc8040141_1280447820">
            <w:r>
              <w:rPr>
                <w:webHidden/>
                <w:rStyle w:val="IndexLink"/>
                <w:rtl w:val="true"/>
              </w:rPr>
              <w:t>مَسألةٌ مِن المَسائلِ الرَّمليَّةِ</w:t>
            </w:r>
            <w:r>
              <w:rPr>
                <w:rStyle w:val="IndexLink"/>
                <w:rtl w:val="true"/>
              </w:rPr>
              <w:t>:</w:t>
              <w:tab/>
            </w:r>
            <w:r>
              <w:rPr>
                <w:rStyle w:val="IndexLink"/>
              </w:rPr>
              <w:t>405</w:t>
            </w:r>
          </w:hyperlink>
        </w:p>
        <w:p>
          <w:pPr>
            <w:pStyle w:val="Contents5"/>
            <w:tabs>
              <w:tab w:val="clear" w:pos="7892"/>
              <w:tab w:val="right" w:pos="9026" w:leader="dot"/>
            </w:tabs>
            <w:rPr/>
          </w:pPr>
          <w:hyperlink w:anchor="__RefHeading___Toc8040143_1280447820">
            <w:r>
              <w:rPr>
                <w:webHidden/>
                <w:rStyle w:val="IndexLink"/>
                <w:rtl w:val="true"/>
              </w:rPr>
              <w:t>المسألةُ السابعةُ حُكمُ الطلاقِ بَعدَ ارتفاعِ الدمِ و إيلاءِ المَرأةِ‌</w:t>
            </w:r>
            <w:r>
              <w:rPr>
                <w:rStyle w:val="IndexLink"/>
                <w:rtl w:val="true"/>
              </w:rPr>
              <w:tab/>
            </w:r>
            <w:r>
              <w:rPr>
                <w:rStyle w:val="IndexLink"/>
              </w:rPr>
              <w:t>408</w:t>
            </w:r>
          </w:hyperlink>
        </w:p>
        <w:p>
          <w:pPr>
            <w:pStyle w:val="Contents3"/>
            <w:tabs>
              <w:tab w:val="clear" w:pos="8459"/>
              <w:tab w:val="right" w:pos="9026" w:leader="dot"/>
            </w:tabs>
            <w:rPr/>
          </w:pPr>
          <w:hyperlink w:anchor="__RefHeading___Toc8040145_1280447820">
            <w:r>
              <w:rPr>
                <w:webHidden/>
                <w:rStyle w:val="IndexLink"/>
                <w:rtl w:val="true"/>
              </w:rPr>
              <w:t>(</w:t>
            </w:r>
            <w:r>
              <w:rPr>
                <w:rStyle w:val="IndexLink"/>
              </w:rPr>
              <w:t>82</w:t>
            </w:r>
            <w:r>
              <w:rPr>
                <w:rStyle w:val="IndexLink"/>
                <w:rtl w:val="true"/>
              </w:rPr>
              <w:t xml:space="preserve">) </w:t>
            </w:r>
            <w:r>
              <w:rPr>
                <w:rStyle w:val="IndexLink"/>
                <w:rtl w:val="true"/>
              </w:rPr>
              <w:t>مسألةٌ في الفَرقِ بَينَ نَجِسِ العَينِ و نَجِسِ الحُكمِ‌</w:t>
            </w:r>
            <w:r>
              <w:rPr>
                <w:rStyle w:val="IndexLink"/>
                <w:rtl w:val="true"/>
              </w:rPr>
              <w:tab/>
            </w:r>
            <w:r>
              <w:rPr>
                <w:rStyle w:val="IndexLink"/>
              </w:rPr>
              <w:t>411</w:t>
            </w:r>
          </w:hyperlink>
        </w:p>
        <w:p>
          <w:pPr>
            <w:pStyle w:val="Contents4"/>
            <w:tabs>
              <w:tab w:val="clear" w:pos="8176"/>
              <w:tab w:val="right" w:pos="9026" w:leader="dot"/>
            </w:tabs>
            <w:rPr/>
          </w:pPr>
          <w:hyperlink w:anchor="__RefHeading___Toc8040147_1280447820">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8040149_1280447820">
            <w:r>
              <w:rPr>
                <w:webHidden/>
                <w:rStyle w:val="IndexLink"/>
                <w:rtl w:val="true"/>
              </w:rPr>
              <w:t>مقدّمة التحقيق</w:t>
            </w:r>
            <w:r>
              <w:rPr>
                <w:rStyle w:val="IndexLink"/>
                <w:rtl w:val="true"/>
              </w:rPr>
              <w:tab/>
            </w:r>
            <w:r>
              <w:rPr>
                <w:rStyle w:val="IndexLink"/>
              </w:rPr>
              <w:t>413</w:t>
            </w:r>
          </w:hyperlink>
        </w:p>
        <w:p>
          <w:pPr>
            <w:pStyle w:val="Contents5"/>
            <w:tabs>
              <w:tab w:val="clear" w:pos="7892"/>
              <w:tab w:val="right" w:pos="9026" w:leader="dot"/>
            </w:tabs>
            <w:rPr/>
          </w:pPr>
          <w:hyperlink w:anchor="__RefHeading___Toc8040151_1280447820">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8040153_1280447820">
            <w:r>
              <w:rPr>
                <w:webHidden/>
                <w:rStyle w:val="IndexLink"/>
                <w:rtl w:val="true"/>
              </w:rPr>
              <w:t>ملاحظة</w:t>
            </w:r>
            <w:r>
              <w:rPr>
                <w:rStyle w:val="IndexLink"/>
                <w:rtl w:val="true"/>
              </w:rPr>
              <w:tab/>
            </w:r>
            <w:r>
              <w:rPr>
                <w:rStyle w:val="IndexLink"/>
              </w:rPr>
              <w:t>414</w:t>
            </w:r>
          </w:hyperlink>
        </w:p>
        <w:p>
          <w:pPr>
            <w:pStyle w:val="Contents5"/>
            <w:tabs>
              <w:tab w:val="clear" w:pos="7892"/>
              <w:tab w:val="right" w:pos="9026" w:leader="dot"/>
            </w:tabs>
            <w:rPr/>
          </w:pPr>
          <w:hyperlink w:anchor="__RefHeading___Toc8040155_1280447820">
            <w:r>
              <w:rPr>
                <w:webHidden/>
                <w:rStyle w:val="IndexLink"/>
                <w:rtl w:val="true"/>
              </w:rPr>
              <w:t>مخطوطات الرسالة</w:t>
            </w:r>
            <w:r>
              <w:rPr>
                <w:rStyle w:val="IndexLink"/>
                <w:rtl w:val="true"/>
              </w:rPr>
              <w:tab/>
            </w:r>
            <w:r>
              <w:rPr>
                <w:rStyle w:val="IndexLink"/>
              </w:rPr>
              <w:t>415</w:t>
            </w:r>
          </w:hyperlink>
        </w:p>
        <w:p>
          <w:pPr>
            <w:pStyle w:val="Contents4"/>
            <w:tabs>
              <w:tab w:val="clear" w:pos="8176"/>
              <w:tab w:val="right" w:pos="9026" w:leader="dot"/>
            </w:tabs>
            <w:rPr/>
          </w:pPr>
          <w:hyperlink w:anchor="__RefHeading___Toc8040157_1280447820">
            <w:r>
              <w:rPr>
                <w:webHidden/>
                <w:rStyle w:val="IndexLink"/>
                <w:rtl w:val="true"/>
              </w:rPr>
              <w:t>مسألةٌ في الفَرقِ بَينَ نَجِسِ العَينِ و نَجِسِ الحُكمِ‌</w:t>
            </w:r>
            <w:r>
              <w:rPr>
                <w:rStyle w:val="IndexLink"/>
                <w:rtl w:val="true"/>
              </w:rPr>
              <w:tab/>
            </w:r>
            <w:r>
              <w:rPr>
                <w:rStyle w:val="IndexLink"/>
              </w:rPr>
              <w:t>417</w:t>
            </w:r>
          </w:hyperlink>
        </w:p>
        <w:p>
          <w:pPr>
            <w:pStyle w:val="Contents5"/>
            <w:tabs>
              <w:tab w:val="clear" w:pos="7892"/>
              <w:tab w:val="right" w:pos="9026" w:leader="dot"/>
            </w:tabs>
            <w:rPr/>
          </w:pPr>
          <w:hyperlink w:anchor="__RefHeading___Toc8040159_1280447820">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8040161_1280447820">
            <w:r>
              <w:rPr>
                <w:webHidden/>
                <w:rStyle w:val="IndexLink"/>
                <w:rtl w:val="true"/>
              </w:rPr>
              <w:t>مسألةٌ</w:t>
            </w:r>
            <w:r>
              <w:rPr>
                <w:rStyle w:val="IndexLink"/>
                <w:rtl w:val="true"/>
              </w:rPr>
              <w:t>:</w:t>
              <w:tab/>
            </w:r>
            <w:r>
              <w:rPr>
                <w:rStyle w:val="IndexLink"/>
              </w:rPr>
              <w:t>417</w:t>
            </w:r>
          </w:hyperlink>
        </w:p>
        <w:p>
          <w:pPr>
            <w:pStyle w:val="Contents3"/>
            <w:tabs>
              <w:tab w:val="clear" w:pos="8459"/>
              <w:tab w:val="right" w:pos="9026" w:leader="dot"/>
            </w:tabs>
            <w:rPr/>
          </w:pPr>
          <w:hyperlink w:anchor="__RefHeading___Toc8040163_1280447820">
            <w:r>
              <w:rPr>
                <w:webHidden/>
                <w:rStyle w:val="IndexLink"/>
                <w:rtl w:val="true"/>
              </w:rPr>
              <w:t>(</w:t>
            </w:r>
            <w:r>
              <w:rPr>
                <w:rStyle w:val="IndexLink"/>
              </w:rPr>
              <w:t>83</w:t>
            </w:r>
            <w:r>
              <w:rPr>
                <w:rStyle w:val="IndexLink"/>
                <w:rtl w:val="true"/>
              </w:rPr>
              <w:t xml:space="preserve">) </w:t>
            </w:r>
            <w:r>
              <w:rPr>
                <w:rStyle w:val="IndexLink"/>
                <w:rtl w:val="true"/>
              </w:rPr>
              <w:t>مسألةٌ في حُكمِ ماءِ البئرِ النابعِ بَعدَ غَورِ مَائها النَّجِسِ‌</w:t>
            </w:r>
            <w:r>
              <w:rPr>
                <w:rStyle w:val="IndexLink"/>
                <w:rtl w:val="true"/>
              </w:rPr>
              <w:tab/>
            </w:r>
            <w:r>
              <w:rPr>
                <w:rStyle w:val="IndexLink"/>
              </w:rPr>
              <w:t>419</w:t>
            </w:r>
          </w:hyperlink>
        </w:p>
        <w:p>
          <w:pPr>
            <w:pStyle w:val="Contents4"/>
            <w:tabs>
              <w:tab w:val="clear" w:pos="8176"/>
              <w:tab w:val="right" w:pos="9026" w:leader="dot"/>
            </w:tabs>
            <w:rPr/>
          </w:pPr>
          <w:hyperlink w:anchor="__RefHeading___Toc8040165_1280447820">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8040167_1280447820">
            <w:r>
              <w:rPr>
                <w:webHidden/>
                <w:rStyle w:val="IndexLink"/>
                <w:rtl w:val="true"/>
              </w:rPr>
              <w:t>مقدّمة التحقيق</w:t>
            </w:r>
            <w:r>
              <w:rPr>
                <w:rStyle w:val="IndexLink"/>
                <w:rtl w:val="true"/>
              </w:rPr>
              <w:tab/>
            </w:r>
            <w:r>
              <w:rPr>
                <w:rStyle w:val="IndexLink"/>
              </w:rPr>
              <w:t>421</w:t>
            </w:r>
          </w:hyperlink>
        </w:p>
        <w:p>
          <w:pPr>
            <w:pStyle w:val="Contents5"/>
            <w:tabs>
              <w:tab w:val="clear" w:pos="7892"/>
              <w:tab w:val="right" w:pos="9026" w:leader="dot"/>
            </w:tabs>
            <w:rPr/>
          </w:pPr>
          <w:hyperlink w:anchor="__RefHeading___Toc8040169_1280447820">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8040171_1280447820">
            <w:r>
              <w:rPr>
                <w:webHidden/>
                <w:rStyle w:val="IndexLink"/>
                <w:rtl w:val="true"/>
              </w:rPr>
              <w:t>عنوان الرسالة و طبعاتها</w:t>
            </w:r>
            <w:r>
              <w:rPr>
                <w:rStyle w:val="IndexLink"/>
                <w:rtl w:val="true"/>
              </w:rPr>
              <w:tab/>
            </w:r>
            <w:r>
              <w:rPr>
                <w:rStyle w:val="IndexLink"/>
              </w:rPr>
              <w:t>422</w:t>
            </w:r>
          </w:hyperlink>
        </w:p>
        <w:p>
          <w:pPr>
            <w:pStyle w:val="Contents5"/>
            <w:tabs>
              <w:tab w:val="clear" w:pos="7892"/>
              <w:tab w:val="right" w:pos="9026" w:leader="dot"/>
            </w:tabs>
            <w:rPr/>
          </w:pPr>
          <w:hyperlink w:anchor="__RefHeading___Toc8040173_1280447820">
            <w:r>
              <w:rPr>
                <w:webHidden/>
                <w:rStyle w:val="IndexLink"/>
                <w:rtl w:val="true"/>
              </w:rPr>
              <w:t>مخطوطات الرسالة</w:t>
            </w:r>
            <w:r>
              <w:rPr>
                <w:rStyle w:val="IndexLink"/>
                <w:rtl w:val="true"/>
              </w:rPr>
              <w:tab/>
            </w:r>
            <w:r>
              <w:rPr>
                <w:rStyle w:val="IndexLink"/>
              </w:rPr>
              <w:t>422</w:t>
            </w:r>
          </w:hyperlink>
        </w:p>
        <w:p>
          <w:pPr>
            <w:pStyle w:val="Contents4"/>
            <w:tabs>
              <w:tab w:val="clear" w:pos="8176"/>
              <w:tab w:val="right" w:pos="9026" w:leader="dot"/>
            </w:tabs>
            <w:rPr/>
          </w:pPr>
          <w:hyperlink w:anchor="__RefHeading___Toc8040175_1280447820">
            <w:r>
              <w:rPr>
                <w:webHidden/>
                <w:rStyle w:val="IndexLink"/>
                <w:rtl w:val="true"/>
              </w:rPr>
              <w:t>مسألةٌ في حُكمِ ماءِ البئرِ النابعِ بَعدَ غَورِ مَائها النَّجِسِ‌</w:t>
            </w:r>
            <w:r>
              <w:rPr>
                <w:rStyle w:val="IndexLink"/>
                <w:rtl w:val="true"/>
              </w:rPr>
              <w:tab/>
            </w:r>
            <w:r>
              <w:rPr>
                <w:rStyle w:val="IndexLink"/>
              </w:rPr>
              <w:t>426</w:t>
            </w:r>
          </w:hyperlink>
        </w:p>
        <w:p>
          <w:pPr>
            <w:pStyle w:val="Contents5"/>
            <w:tabs>
              <w:tab w:val="clear" w:pos="7892"/>
              <w:tab w:val="right" w:pos="9026" w:leader="dot"/>
            </w:tabs>
            <w:rPr/>
          </w:pPr>
          <w:hyperlink w:anchor="__RefHeading___Toc8040177_1280447820">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8040179_1280447820">
            <w:r>
              <w:rPr>
                <w:webHidden/>
                <w:rStyle w:val="IndexLink"/>
                <w:rtl w:val="true"/>
              </w:rPr>
              <w:t>مسألةٌ</w:t>
            </w:r>
            <w:r>
              <w:rPr>
                <w:rStyle w:val="IndexLink"/>
                <w:rtl w:val="true"/>
              </w:rPr>
              <w:t>:</w:t>
              <w:tab/>
            </w:r>
            <w:r>
              <w:rPr>
                <w:rStyle w:val="IndexLink"/>
              </w:rPr>
              <w:t>426</w:t>
            </w:r>
          </w:hyperlink>
        </w:p>
        <w:p>
          <w:pPr>
            <w:pStyle w:val="Contents3"/>
            <w:tabs>
              <w:tab w:val="clear" w:pos="8459"/>
              <w:tab w:val="right" w:pos="9026" w:leader="dot"/>
            </w:tabs>
            <w:rPr/>
          </w:pPr>
          <w:hyperlink w:anchor="__RefHeading___Toc8040181_1280447820">
            <w:r>
              <w:rPr>
                <w:webHidden/>
                <w:rStyle w:val="IndexLink"/>
                <w:rtl w:val="true"/>
              </w:rPr>
              <w:t>(</w:t>
            </w:r>
            <w:r>
              <w:rPr>
                <w:rStyle w:val="IndexLink"/>
              </w:rPr>
              <w:t>84</w:t>
            </w:r>
            <w:r>
              <w:rPr>
                <w:rStyle w:val="IndexLink"/>
                <w:rtl w:val="true"/>
              </w:rPr>
              <w:t xml:space="preserve">) </w:t>
            </w:r>
            <w:r>
              <w:rPr>
                <w:rStyle w:val="IndexLink"/>
                <w:rtl w:val="true"/>
              </w:rPr>
              <w:t>مسألةٌ في عدمِ وجوبِ غَسلِ الرِّجلَينِ في الطهارةِ‌</w:t>
            </w:r>
            <w:r>
              <w:rPr>
                <w:rStyle w:val="IndexLink"/>
                <w:rtl w:val="true"/>
              </w:rPr>
              <w:tab/>
            </w:r>
            <w:r>
              <w:rPr>
                <w:rStyle w:val="IndexLink"/>
              </w:rPr>
              <w:t>430</w:t>
            </w:r>
          </w:hyperlink>
        </w:p>
        <w:p>
          <w:pPr>
            <w:pStyle w:val="Contents4"/>
            <w:tabs>
              <w:tab w:val="clear" w:pos="8176"/>
              <w:tab w:val="right" w:pos="9026" w:leader="dot"/>
            </w:tabs>
            <w:rPr/>
          </w:pPr>
          <w:hyperlink w:anchor="__RefHeading___Toc8040183_1280447820">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8040185_1280447820">
            <w:r>
              <w:rPr>
                <w:webHidden/>
                <w:rStyle w:val="IndexLink"/>
                <w:rtl w:val="true"/>
              </w:rPr>
              <w:t>مقدّمة التحقيق</w:t>
            </w:r>
            <w:r>
              <w:rPr>
                <w:rStyle w:val="IndexLink"/>
                <w:rtl w:val="true"/>
              </w:rPr>
              <w:tab/>
            </w:r>
            <w:r>
              <w:rPr>
                <w:rStyle w:val="IndexLink"/>
              </w:rPr>
              <w:t>432</w:t>
            </w:r>
          </w:hyperlink>
        </w:p>
        <w:p>
          <w:pPr>
            <w:pStyle w:val="Contents5"/>
            <w:tabs>
              <w:tab w:val="clear" w:pos="7892"/>
              <w:tab w:val="right" w:pos="9026" w:leader="dot"/>
            </w:tabs>
            <w:rPr/>
          </w:pPr>
          <w:hyperlink w:anchor="__RefHeading___Toc8040187_1280447820">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8040189_1280447820">
            <w:r>
              <w:rPr>
                <w:webHidden/>
                <w:rStyle w:val="IndexLink"/>
                <w:rtl w:val="true"/>
              </w:rPr>
              <w:t>نسبة الرسالة إلى المؤلّف، و عرضٌ لمحتواها</w:t>
            </w:r>
            <w:r>
              <w:rPr>
                <w:rStyle w:val="IndexLink"/>
                <w:rtl w:val="true"/>
              </w:rPr>
              <w:tab/>
            </w:r>
            <w:r>
              <w:rPr>
                <w:rStyle w:val="IndexLink"/>
              </w:rPr>
              <w:t>434</w:t>
            </w:r>
          </w:hyperlink>
        </w:p>
        <w:p>
          <w:pPr>
            <w:pStyle w:val="Contents5"/>
            <w:tabs>
              <w:tab w:val="clear" w:pos="7892"/>
              <w:tab w:val="right" w:pos="9026" w:leader="dot"/>
            </w:tabs>
            <w:rPr/>
          </w:pPr>
          <w:hyperlink w:anchor="__RefHeading___Toc8040191_1280447820">
            <w:r>
              <w:rPr>
                <w:webHidden/>
                <w:rStyle w:val="IndexLink"/>
                <w:rtl w:val="true"/>
              </w:rPr>
              <w:t>فوائد</w:t>
            </w:r>
            <w:r>
              <w:rPr>
                <w:rStyle w:val="IndexLink"/>
                <w:rtl w:val="true"/>
              </w:rPr>
              <w:tab/>
            </w:r>
            <w:r>
              <w:rPr>
                <w:rStyle w:val="IndexLink"/>
              </w:rPr>
              <w:t>437</w:t>
            </w:r>
          </w:hyperlink>
        </w:p>
        <w:p>
          <w:pPr>
            <w:pStyle w:val="Contents5"/>
            <w:tabs>
              <w:tab w:val="clear" w:pos="7892"/>
              <w:tab w:val="right" w:pos="9026" w:leader="dot"/>
            </w:tabs>
            <w:rPr/>
          </w:pPr>
          <w:hyperlink w:anchor="__RefHeading___Toc8040193_1280447820">
            <w:r>
              <w:rPr>
                <w:webHidden/>
                <w:rStyle w:val="IndexLink"/>
                <w:rtl w:val="true"/>
              </w:rPr>
              <w:t>مخطوطات الرسالة</w:t>
            </w:r>
            <w:r>
              <w:rPr>
                <w:rStyle w:val="IndexLink"/>
                <w:rtl w:val="true"/>
              </w:rPr>
              <w:tab/>
            </w:r>
            <w:r>
              <w:rPr>
                <w:rStyle w:val="IndexLink"/>
              </w:rPr>
              <w:t>438</w:t>
            </w:r>
          </w:hyperlink>
        </w:p>
        <w:p>
          <w:pPr>
            <w:pStyle w:val="Contents4"/>
            <w:tabs>
              <w:tab w:val="clear" w:pos="8176"/>
              <w:tab w:val="right" w:pos="9026" w:leader="dot"/>
            </w:tabs>
            <w:rPr/>
          </w:pPr>
          <w:hyperlink w:anchor="__RefHeading___Toc8040195_1280447820">
            <w:r>
              <w:rPr>
                <w:webHidden/>
                <w:rStyle w:val="IndexLink"/>
                <w:rtl w:val="true"/>
              </w:rPr>
              <w:t>مسألةٌ‌في عدمِ وجوبِ غَسلِ الرِّجلَينِ في الطهارةِ‌</w:t>
            </w:r>
            <w:r>
              <w:rPr>
                <w:rStyle w:val="IndexLink"/>
                <w:rtl w:val="true"/>
              </w:rPr>
              <w:tab/>
            </w:r>
            <w:r>
              <w:rPr>
                <w:rStyle w:val="IndexLink"/>
              </w:rPr>
              <w:t>440</w:t>
            </w:r>
          </w:hyperlink>
        </w:p>
        <w:p>
          <w:pPr>
            <w:pStyle w:val="Contents5"/>
            <w:tabs>
              <w:tab w:val="clear" w:pos="7892"/>
              <w:tab w:val="right" w:pos="9026" w:leader="dot"/>
            </w:tabs>
            <w:rPr/>
          </w:pPr>
          <w:hyperlink w:anchor="__RefHeading___Toc8040197_1280447820">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8040199_1280447820">
            <w:r>
              <w:rPr>
                <w:webHidden/>
                <w:rStyle w:val="IndexLink"/>
                <w:rtl w:val="true"/>
              </w:rPr>
              <w:t>مقدّمة</w:t>
            </w:r>
            <w:r>
              <w:rPr>
                <w:rStyle w:val="IndexLink"/>
                <w:rtl w:val="true"/>
              </w:rPr>
              <w:tab/>
            </w:r>
            <w:r>
              <w:rPr>
                <w:rStyle w:val="IndexLink"/>
              </w:rPr>
              <w:t>440</w:t>
            </w:r>
          </w:hyperlink>
        </w:p>
        <w:p>
          <w:pPr>
            <w:pStyle w:val="Contents5"/>
            <w:tabs>
              <w:tab w:val="clear" w:pos="7892"/>
              <w:tab w:val="right" w:pos="9026" w:leader="dot"/>
            </w:tabs>
            <w:rPr/>
          </w:pPr>
          <w:hyperlink w:anchor="__RefHeading___Toc8040201_1280447820">
            <w:r>
              <w:rPr>
                <w:webHidden/>
                <w:rStyle w:val="IndexLink"/>
                <w:rtl w:val="true"/>
              </w:rPr>
              <w:t xml:space="preserve">أرجحيّة قراءة </w:t>
            </w:r>
            <w:r>
              <w:rPr>
                <w:rStyle w:val="IndexLink"/>
                <w:rtl w:val="true"/>
              </w:rPr>
              <w:t>«</w:t>
            </w:r>
            <w:r>
              <w:rPr>
                <w:rStyle w:val="IndexLink"/>
                <w:rtl w:val="true"/>
              </w:rPr>
              <w:t>و أرجلكم</w:t>
            </w:r>
            <w:r>
              <w:rPr>
                <w:rStyle w:val="IndexLink"/>
                <w:rtl w:val="true"/>
              </w:rPr>
              <w:t xml:space="preserve">» </w:t>
            </w:r>
            <w:r>
              <w:rPr>
                <w:rStyle w:val="IndexLink"/>
                <w:rtl w:val="true"/>
              </w:rPr>
              <w:t>بالجرِّ</w:t>
            </w:r>
            <w:r>
              <w:rPr>
                <w:rStyle w:val="IndexLink"/>
                <w:rtl w:val="true"/>
              </w:rPr>
              <w:tab/>
            </w:r>
            <w:r>
              <w:rPr>
                <w:rStyle w:val="IndexLink"/>
              </w:rPr>
              <w:t>444</w:t>
            </w:r>
          </w:hyperlink>
        </w:p>
        <w:p>
          <w:pPr>
            <w:pStyle w:val="Contents5"/>
            <w:tabs>
              <w:tab w:val="clear" w:pos="7892"/>
              <w:tab w:val="right" w:pos="9026" w:leader="dot"/>
            </w:tabs>
            <w:rPr/>
          </w:pPr>
          <w:hyperlink w:anchor="__RefHeading___Toc8040203_1280447820">
            <w:r>
              <w:rPr>
                <w:webHidden/>
                <w:rStyle w:val="IndexLink"/>
                <w:rtl w:val="true"/>
              </w:rPr>
              <w:t>أدلّةُ بطلانِ أن يكونَ المسحُ غَسلاً</w:t>
            </w:r>
            <w:r>
              <w:rPr>
                <w:rStyle w:val="IndexLink"/>
                <w:rtl w:val="true"/>
              </w:rPr>
              <w:tab/>
            </w:r>
            <w:r>
              <w:rPr>
                <w:rStyle w:val="IndexLink"/>
              </w:rPr>
              <w:t>456</w:t>
            </w:r>
          </w:hyperlink>
        </w:p>
        <w:p>
          <w:pPr>
            <w:pStyle w:val="Contents6"/>
            <w:tabs>
              <w:tab w:val="clear" w:pos="7609"/>
              <w:tab w:val="right" w:pos="9026" w:leader="dot"/>
            </w:tabs>
            <w:rPr/>
          </w:pPr>
          <w:hyperlink w:anchor="__RefHeading___Toc8040205_1280447820">
            <w:r>
              <w:rPr>
                <w:webHidden/>
                <w:rStyle w:val="IndexLink"/>
                <w:rtl w:val="true"/>
              </w:rPr>
              <w:t>اشارة</w:t>
            </w:r>
            <w:r>
              <w:rPr>
                <w:rStyle w:val="IndexLink"/>
                <w:rtl w:val="true"/>
              </w:rPr>
              <w:tab/>
            </w:r>
            <w:r>
              <w:rPr>
                <w:rStyle w:val="IndexLink"/>
              </w:rPr>
              <w:t>456</w:t>
            </w:r>
          </w:hyperlink>
        </w:p>
        <w:p>
          <w:pPr>
            <w:pStyle w:val="Contents6"/>
            <w:tabs>
              <w:tab w:val="clear" w:pos="7609"/>
              <w:tab w:val="right" w:pos="9026" w:leader="dot"/>
            </w:tabs>
            <w:rPr/>
          </w:pPr>
          <w:hyperlink w:anchor="__RefHeading___Toc8040207_1280447820">
            <w:r>
              <w:rPr>
                <w:webHidden/>
                <w:rStyle w:val="IndexLink"/>
                <w:rtl w:val="true"/>
              </w:rPr>
              <w:t>الدليل الأوّل</w:t>
            </w:r>
            <w:r>
              <w:rPr>
                <w:rStyle w:val="IndexLink"/>
                <w:rtl w:val="true"/>
              </w:rPr>
              <w:tab/>
            </w:r>
            <w:r>
              <w:rPr>
                <w:rStyle w:val="IndexLink"/>
              </w:rPr>
              <w:t>456</w:t>
            </w:r>
          </w:hyperlink>
        </w:p>
        <w:p>
          <w:pPr>
            <w:pStyle w:val="Contents6"/>
            <w:tabs>
              <w:tab w:val="clear" w:pos="7609"/>
              <w:tab w:val="right" w:pos="9026" w:leader="dot"/>
            </w:tabs>
            <w:rPr/>
          </w:pPr>
          <w:hyperlink w:anchor="__RefHeading___Toc8040209_1280447820">
            <w:r>
              <w:rPr>
                <w:webHidden/>
                <w:rStyle w:val="IndexLink"/>
                <w:rtl w:val="true"/>
              </w:rPr>
              <w:t>الدليل الثاني</w:t>
            </w:r>
            <w:r>
              <w:rPr>
                <w:rStyle w:val="IndexLink"/>
                <w:rtl w:val="true"/>
              </w:rPr>
              <w:tab/>
            </w:r>
            <w:r>
              <w:rPr>
                <w:rStyle w:val="IndexLink"/>
              </w:rPr>
              <w:t>458</w:t>
            </w:r>
          </w:hyperlink>
        </w:p>
        <w:p>
          <w:pPr>
            <w:pStyle w:val="Contents6"/>
            <w:tabs>
              <w:tab w:val="clear" w:pos="7609"/>
              <w:tab w:val="right" w:pos="9026" w:leader="dot"/>
            </w:tabs>
            <w:rPr/>
          </w:pPr>
          <w:hyperlink w:anchor="__RefHeading___Toc8040211_1280447820">
            <w:r>
              <w:rPr>
                <w:webHidden/>
                <w:rStyle w:val="IndexLink"/>
                <w:rtl w:val="true"/>
              </w:rPr>
              <w:t>الدليل الثالث</w:t>
            </w:r>
            <w:r>
              <w:rPr>
                <w:rStyle w:val="IndexLink"/>
                <w:rtl w:val="true"/>
              </w:rPr>
              <w:tab/>
            </w:r>
            <w:r>
              <w:rPr>
                <w:rStyle w:val="IndexLink"/>
              </w:rPr>
              <w:t>458</w:t>
            </w:r>
          </w:hyperlink>
        </w:p>
        <w:p>
          <w:pPr>
            <w:pStyle w:val="Contents6"/>
            <w:tabs>
              <w:tab w:val="clear" w:pos="7609"/>
              <w:tab w:val="right" w:pos="9026" w:leader="dot"/>
            </w:tabs>
            <w:rPr/>
          </w:pPr>
          <w:hyperlink w:anchor="__RefHeading___Toc8040213_1280447820">
            <w:r>
              <w:rPr>
                <w:webHidden/>
                <w:rStyle w:val="IndexLink"/>
                <w:rtl w:val="true"/>
              </w:rPr>
              <w:t>الدليل الرابع</w:t>
            </w:r>
            <w:r>
              <w:rPr>
                <w:rStyle w:val="IndexLink"/>
                <w:rtl w:val="true"/>
              </w:rPr>
              <w:tab/>
            </w:r>
            <w:r>
              <w:rPr>
                <w:rStyle w:val="IndexLink"/>
              </w:rPr>
              <w:t>459</w:t>
            </w:r>
          </w:hyperlink>
        </w:p>
        <w:p>
          <w:pPr>
            <w:pStyle w:val="Contents3"/>
            <w:tabs>
              <w:tab w:val="clear" w:pos="8459"/>
              <w:tab w:val="right" w:pos="9026" w:leader="dot"/>
            </w:tabs>
            <w:rPr/>
          </w:pPr>
          <w:hyperlink w:anchor="__RefHeading___Toc8040215_1280447820">
            <w:r>
              <w:rPr>
                <w:webHidden/>
                <w:rStyle w:val="IndexLink"/>
                <w:rtl w:val="true"/>
              </w:rPr>
              <w:t>(</w:t>
            </w:r>
            <w:r>
              <w:rPr>
                <w:rStyle w:val="IndexLink"/>
              </w:rPr>
              <w:t>85</w:t>
            </w:r>
            <w:r>
              <w:rPr>
                <w:rStyle w:val="IndexLink"/>
                <w:rtl w:val="true"/>
              </w:rPr>
              <w:t xml:space="preserve">) </w:t>
            </w:r>
            <w:r>
              <w:rPr>
                <w:rStyle w:val="IndexLink"/>
                <w:rtl w:val="true"/>
              </w:rPr>
              <w:t>مَسألةٌ في المَسحِ علَى الخُفَّينِ‌</w:t>
            </w:r>
            <w:r>
              <w:rPr>
                <w:rStyle w:val="IndexLink"/>
                <w:rtl w:val="true"/>
              </w:rPr>
              <w:tab/>
            </w:r>
            <w:r>
              <w:rPr>
                <w:rStyle w:val="IndexLink"/>
              </w:rPr>
              <w:t>464</w:t>
            </w:r>
          </w:hyperlink>
        </w:p>
        <w:p>
          <w:pPr>
            <w:pStyle w:val="Contents4"/>
            <w:tabs>
              <w:tab w:val="clear" w:pos="8176"/>
              <w:tab w:val="right" w:pos="9026" w:leader="dot"/>
            </w:tabs>
            <w:rPr/>
          </w:pPr>
          <w:hyperlink w:anchor="__RefHeading___Toc8040217_1280447820">
            <w:r>
              <w:rPr>
                <w:webHidden/>
                <w:rStyle w:val="IndexLink"/>
                <w:rtl w:val="true"/>
              </w:rPr>
              <w:t>اشارة</w:t>
            </w:r>
            <w:r>
              <w:rPr>
                <w:rStyle w:val="IndexLink"/>
                <w:rtl w:val="true"/>
              </w:rPr>
              <w:tab/>
            </w:r>
            <w:r>
              <w:rPr>
                <w:rStyle w:val="IndexLink"/>
              </w:rPr>
              <w:t>464</w:t>
            </w:r>
          </w:hyperlink>
        </w:p>
        <w:p>
          <w:pPr>
            <w:pStyle w:val="Contents4"/>
            <w:tabs>
              <w:tab w:val="clear" w:pos="8176"/>
              <w:tab w:val="right" w:pos="9026" w:leader="dot"/>
            </w:tabs>
            <w:rPr/>
          </w:pPr>
          <w:hyperlink w:anchor="__RefHeading___Toc8040219_1280447820">
            <w:r>
              <w:rPr>
                <w:webHidden/>
                <w:rStyle w:val="IndexLink"/>
                <w:rtl w:val="true"/>
              </w:rPr>
              <w:t>مقدّمة التحقيق</w:t>
            </w:r>
            <w:r>
              <w:rPr>
                <w:rStyle w:val="IndexLink"/>
                <w:rtl w:val="true"/>
              </w:rPr>
              <w:tab/>
            </w:r>
            <w:r>
              <w:rPr>
                <w:rStyle w:val="IndexLink"/>
              </w:rPr>
              <w:t>466</w:t>
            </w:r>
          </w:hyperlink>
        </w:p>
        <w:p>
          <w:pPr>
            <w:pStyle w:val="Contents5"/>
            <w:tabs>
              <w:tab w:val="clear" w:pos="7892"/>
              <w:tab w:val="right" w:pos="9026" w:leader="dot"/>
            </w:tabs>
            <w:rPr/>
          </w:pPr>
          <w:hyperlink w:anchor="__RefHeading___Toc8040221_1280447820">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8040223_1280447820">
            <w:r>
              <w:rPr>
                <w:webHidden/>
                <w:rStyle w:val="IndexLink"/>
                <w:rtl w:val="true"/>
              </w:rPr>
              <w:t>نسبة الرسالة إلى المؤلّف</w:t>
            </w:r>
            <w:r>
              <w:rPr>
                <w:rStyle w:val="IndexLink"/>
                <w:rtl w:val="true"/>
              </w:rPr>
              <w:tab/>
            </w:r>
            <w:r>
              <w:rPr>
                <w:rStyle w:val="IndexLink"/>
              </w:rPr>
              <w:t>467</w:t>
            </w:r>
          </w:hyperlink>
        </w:p>
        <w:p>
          <w:pPr>
            <w:pStyle w:val="Contents5"/>
            <w:tabs>
              <w:tab w:val="clear" w:pos="7892"/>
              <w:tab w:val="right" w:pos="9026" w:leader="dot"/>
            </w:tabs>
            <w:rPr/>
          </w:pPr>
          <w:hyperlink w:anchor="__RefHeading___Toc8040225_1280447820">
            <w:r>
              <w:rPr>
                <w:webHidden/>
                <w:rStyle w:val="IndexLink"/>
                <w:rtl w:val="true"/>
              </w:rPr>
              <w:t>محتوى الرسالة</w:t>
            </w:r>
            <w:r>
              <w:rPr>
                <w:rStyle w:val="IndexLink"/>
                <w:rtl w:val="true"/>
              </w:rPr>
              <w:tab/>
            </w:r>
            <w:r>
              <w:rPr>
                <w:rStyle w:val="IndexLink"/>
              </w:rPr>
              <w:t>467</w:t>
            </w:r>
          </w:hyperlink>
        </w:p>
        <w:p>
          <w:pPr>
            <w:pStyle w:val="Contents5"/>
            <w:tabs>
              <w:tab w:val="clear" w:pos="7892"/>
              <w:tab w:val="right" w:pos="9026" w:leader="dot"/>
            </w:tabs>
            <w:rPr/>
          </w:pPr>
          <w:hyperlink w:anchor="__RefHeading___Toc8040227_1280447820">
            <w:r>
              <w:rPr>
                <w:webHidden/>
                <w:rStyle w:val="IndexLink"/>
                <w:rtl w:val="true"/>
              </w:rPr>
              <w:t>مخطوطات الرسالة</w:t>
            </w:r>
            <w:r>
              <w:rPr>
                <w:rStyle w:val="IndexLink"/>
                <w:rtl w:val="true"/>
              </w:rPr>
              <w:tab/>
            </w:r>
            <w:r>
              <w:rPr>
                <w:rStyle w:val="IndexLink"/>
              </w:rPr>
              <w:t>468</w:t>
            </w:r>
          </w:hyperlink>
        </w:p>
        <w:p>
          <w:pPr>
            <w:pStyle w:val="Contents6"/>
            <w:tabs>
              <w:tab w:val="clear" w:pos="7609"/>
              <w:tab w:val="right" w:pos="9026" w:leader="dot"/>
            </w:tabs>
            <w:rPr/>
          </w:pPr>
          <w:hyperlink w:anchor="__RefHeading___Toc8040229_1280447820">
            <w:r>
              <w:rPr>
                <w:webHidden/>
                <w:rStyle w:val="IndexLink"/>
                <w:rtl w:val="true"/>
              </w:rPr>
              <w:t>ألف</w:t>
            </w:r>
            <w:r>
              <w:rPr>
                <w:rStyle w:val="IndexLink"/>
                <w:rtl w:val="true"/>
              </w:rPr>
              <w:t xml:space="preserve">) </w:t>
            </w:r>
            <w:r>
              <w:rPr>
                <w:rStyle w:val="IndexLink"/>
                <w:rtl w:val="true"/>
              </w:rPr>
              <w:t>النسخ المعتمدة</w:t>
            </w:r>
            <w:r>
              <w:rPr>
                <w:rStyle w:val="IndexLink"/>
                <w:rtl w:val="true"/>
              </w:rPr>
              <w:t>:</w:t>
              <w:tab/>
            </w:r>
            <w:r>
              <w:rPr>
                <w:rStyle w:val="IndexLink"/>
              </w:rPr>
              <w:t>468</w:t>
            </w:r>
          </w:hyperlink>
        </w:p>
        <w:p>
          <w:pPr>
            <w:pStyle w:val="Contents6"/>
            <w:tabs>
              <w:tab w:val="clear" w:pos="7609"/>
              <w:tab w:val="right" w:pos="9026" w:leader="dot"/>
            </w:tabs>
            <w:rPr/>
          </w:pPr>
          <w:hyperlink w:anchor="__RefHeading___Toc8040231_1280447820">
            <w:r>
              <w:rPr>
                <w:webHidden/>
                <w:rStyle w:val="IndexLink"/>
                <w:rtl w:val="true"/>
              </w:rPr>
              <w:t>ب</w:t>
            </w:r>
            <w:r>
              <w:rPr>
                <w:rStyle w:val="IndexLink"/>
                <w:rtl w:val="true"/>
              </w:rPr>
              <w:t xml:space="preserve">) </w:t>
            </w:r>
            <w:r>
              <w:rPr>
                <w:rStyle w:val="IndexLink"/>
                <w:rtl w:val="true"/>
              </w:rPr>
              <w:t>سائر النسخ</w:t>
            </w:r>
            <w:r>
              <w:rPr>
                <w:rStyle w:val="IndexLink"/>
                <w:rtl w:val="true"/>
              </w:rPr>
              <w:t>:</w:t>
              <w:tab/>
            </w:r>
            <w:r>
              <w:rPr>
                <w:rStyle w:val="IndexLink"/>
              </w:rPr>
              <w:t>469</w:t>
            </w:r>
          </w:hyperlink>
        </w:p>
        <w:p>
          <w:pPr>
            <w:pStyle w:val="Contents4"/>
            <w:tabs>
              <w:tab w:val="clear" w:pos="8176"/>
              <w:tab w:val="right" w:pos="9026" w:leader="dot"/>
            </w:tabs>
            <w:rPr/>
          </w:pPr>
          <w:hyperlink w:anchor="__RefHeading___Toc8040233_1280447820">
            <w:r>
              <w:rPr>
                <w:webHidden/>
                <w:rStyle w:val="IndexLink"/>
                <w:rtl w:val="true"/>
              </w:rPr>
              <w:t>مَسألةٌ في المَسحِ علَى الخُفَّينِ‌</w:t>
            </w:r>
            <w:r>
              <w:rPr>
                <w:rStyle w:val="IndexLink"/>
                <w:rtl w:val="true"/>
              </w:rPr>
              <w:tab/>
            </w:r>
            <w:r>
              <w:rPr>
                <w:rStyle w:val="IndexLink"/>
              </w:rPr>
              <w:t>472</w:t>
            </w:r>
          </w:hyperlink>
        </w:p>
        <w:p>
          <w:pPr>
            <w:pStyle w:val="Contents3"/>
            <w:tabs>
              <w:tab w:val="clear" w:pos="8459"/>
              <w:tab w:val="right" w:pos="9026" w:leader="dot"/>
            </w:tabs>
            <w:rPr/>
          </w:pPr>
          <w:hyperlink w:anchor="__RefHeading___Toc8040235_1280447820">
            <w:r>
              <w:rPr>
                <w:webHidden/>
                <w:rStyle w:val="IndexLink"/>
                <w:rtl w:val="true"/>
              </w:rPr>
              <w:t>(</w:t>
            </w:r>
            <w:r>
              <w:rPr>
                <w:rStyle w:val="IndexLink"/>
              </w:rPr>
              <w:t>86</w:t>
            </w:r>
            <w:r>
              <w:rPr>
                <w:rStyle w:val="IndexLink"/>
                <w:rtl w:val="true"/>
              </w:rPr>
              <w:t xml:space="preserve">) </w:t>
            </w:r>
            <w:r>
              <w:rPr>
                <w:rStyle w:val="IndexLink"/>
                <w:rtl w:val="true"/>
              </w:rPr>
              <w:t>رسالةٌ في الردِّ علىٰ أصحابِ العَدَدِ</w:t>
            </w:r>
            <w:r>
              <w:rPr>
                <w:rStyle w:val="IndexLink"/>
                <w:rtl w:val="true"/>
              </w:rPr>
              <w:tab/>
            </w:r>
            <w:r>
              <w:rPr>
                <w:rStyle w:val="IndexLink"/>
              </w:rPr>
              <w:t>478</w:t>
            </w:r>
          </w:hyperlink>
        </w:p>
        <w:p>
          <w:pPr>
            <w:pStyle w:val="Contents4"/>
            <w:tabs>
              <w:tab w:val="clear" w:pos="8176"/>
              <w:tab w:val="right" w:pos="9026" w:leader="dot"/>
            </w:tabs>
            <w:rPr/>
          </w:pPr>
          <w:hyperlink w:anchor="__RefHeading___Toc8040237_1280447820">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8040239_1280447820">
            <w:r>
              <w:rPr>
                <w:webHidden/>
                <w:rStyle w:val="IndexLink"/>
                <w:rtl w:val="true"/>
              </w:rPr>
              <w:t>مقدّمة التحقيق</w:t>
            </w:r>
            <w:r>
              <w:rPr>
                <w:rStyle w:val="IndexLink"/>
                <w:rtl w:val="true"/>
              </w:rPr>
              <w:tab/>
            </w:r>
            <w:r>
              <w:rPr>
                <w:rStyle w:val="IndexLink"/>
              </w:rPr>
              <w:t>480</w:t>
            </w:r>
          </w:hyperlink>
        </w:p>
        <w:p>
          <w:pPr>
            <w:pStyle w:val="Contents5"/>
            <w:tabs>
              <w:tab w:val="clear" w:pos="7892"/>
              <w:tab w:val="right" w:pos="9026" w:leader="dot"/>
            </w:tabs>
            <w:rPr/>
          </w:pPr>
          <w:hyperlink w:anchor="__RefHeading___Toc8040241_1280447820">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8040243_1280447820">
            <w:r>
              <w:rPr>
                <w:webHidden/>
                <w:rStyle w:val="IndexLink"/>
                <w:rtl w:val="true"/>
              </w:rPr>
              <w:t>نسبة الرسالة و عنوانها</w:t>
            </w:r>
            <w:r>
              <w:rPr>
                <w:rStyle w:val="IndexLink"/>
                <w:rtl w:val="true"/>
              </w:rPr>
              <w:tab/>
            </w:r>
            <w:r>
              <w:rPr>
                <w:rStyle w:val="IndexLink"/>
              </w:rPr>
              <w:t>483</w:t>
            </w:r>
          </w:hyperlink>
        </w:p>
        <w:p>
          <w:pPr>
            <w:pStyle w:val="Contents5"/>
            <w:tabs>
              <w:tab w:val="clear" w:pos="7892"/>
              <w:tab w:val="right" w:pos="9026" w:leader="dot"/>
            </w:tabs>
            <w:rPr/>
          </w:pPr>
          <w:hyperlink w:anchor="__RefHeading___Toc8040245_1280447820">
            <w:r>
              <w:rPr>
                <w:webHidden/>
                <w:rStyle w:val="IndexLink"/>
                <w:rtl w:val="true"/>
              </w:rPr>
              <w:t>تاريخ تأليف الرسالة</w:t>
            </w:r>
            <w:r>
              <w:rPr>
                <w:rStyle w:val="IndexLink"/>
                <w:rtl w:val="true"/>
              </w:rPr>
              <w:tab/>
            </w:r>
            <w:r>
              <w:rPr>
                <w:rStyle w:val="IndexLink"/>
              </w:rPr>
              <w:t>484</w:t>
            </w:r>
          </w:hyperlink>
        </w:p>
        <w:p>
          <w:pPr>
            <w:pStyle w:val="Contents5"/>
            <w:tabs>
              <w:tab w:val="clear" w:pos="7892"/>
              <w:tab w:val="right" w:pos="9026" w:leader="dot"/>
            </w:tabs>
            <w:rPr/>
          </w:pPr>
          <w:hyperlink w:anchor="__RefHeading___Toc8040247_1280447820">
            <w:r>
              <w:rPr>
                <w:webHidden/>
                <w:rStyle w:val="IndexLink"/>
                <w:rtl w:val="true"/>
              </w:rPr>
              <w:t>أهمّيّة الرسالة</w:t>
            </w:r>
            <w:r>
              <w:rPr>
                <w:rStyle w:val="IndexLink"/>
                <w:rtl w:val="true"/>
              </w:rPr>
              <w:tab/>
            </w:r>
            <w:r>
              <w:rPr>
                <w:rStyle w:val="IndexLink"/>
              </w:rPr>
              <w:t>485</w:t>
            </w:r>
          </w:hyperlink>
        </w:p>
        <w:p>
          <w:pPr>
            <w:pStyle w:val="Contents5"/>
            <w:tabs>
              <w:tab w:val="clear" w:pos="7892"/>
              <w:tab w:val="right" w:pos="9026" w:leader="dot"/>
            </w:tabs>
            <w:rPr/>
          </w:pPr>
          <w:hyperlink w:anchor="__RefHeading___Toc8040249_1280447820">
            <w:r>
              <w:rPr>
                <w:webHidden/>
                <w:rStyle w:val="IndexLink"/>
                <w:rtl w:val="true"/>
              </w:rPr>
              <w:t>فوائد مهمّة من الرسالة</w:t>
            </w:r>
            <w:r>
              <w:rPr>
                <w:rStyle w:val="IndexLink"/>
                <w:rtl w:val="true"/>
              </w:rPr>
              <w:tab/>
            </w:r>
            <w:r>
              <w:rPr>
                <w:rStyle w:val="IndexLink"/>
              </w:rPr>
              <w:t>485</w:t>
            </w:r>
          </w:hyperlink>
        </w:p>
        <w:p>
          <w:pPr>
            <w:pStyle w:val="Contents5"/>
            <w:tabs>
              <w:tab w:val="clear" w:pos="7892"/>
              <w:tab w:val="right" w:pos="9026" w:leader="dot"/>
            </w:tabs>
            <w:rPr/>
          </w:pPr>
          <w:hyperlink w:anchor="__RefHeading___Toc8040251_1280447820">
            <w:r>
              <w:rPr>
                <w:webHidden/>
                <w:rStyle w:val="IndexLink"/>
                <w:rtl w:val="true"/>
              </w:rPr>
              <w:t>مخطوطات الرسالة</w:t>
            </w:r>
            <w:r>
              <w:rPr>
                <w:rStyle w:val="IndexLink"/>
                <w:rtl w:val="true"/>
              </w:rPr>
              <w:tab/>
            </w:r>
            <w:r>
              <w:rPr>
                <w:rStyle w:val="IndexLink"/>
              </w:rPr>
              <w:t>487</w:t>
            </w:r>
          </w:hyperlink>
        </w:p>
        <w:p>
          <w:pPr>
            <w:pStyle w:val="Contents4"/>
            <w:tabs>
              <w:tab w:val="clear" w:pos="8176"/>
              <w:tab w:val="right" w:pos="9026" w:leader="dot"/>
            </w:tabs>
            <w:rPr/>
          </w:pPr>
          <w:hyperlink w:anchor="__RefHeading___Toc8040253_1280447820">
            <w:r>
              <w:rPr>
                <w:webHidden/>
                <w:rStyle w:val="IndexLink"/>
                <w:rtl w:val="true"/>
              </w:rPr>
              <w:t>رسالةٌ في الردِّ علىٰ أصحابِ العَدَدِ</w:t>
            </w:r>
            <w:r>
              <w:rPr>
                <w:rStyle w:val="IndexLink"/>
                <w:rtl w:val="true"/>
              </w:rPr>
              <w:tab/>
            </w:r>
            <w:r>
              <w:rPr>
                <w:rStyle w:val="IndexLink"/>
              </w:rPr>
              <w:t>490</w:t>
            </w:r>
          </w:hyperlink>
        </w:p>
        <w:p>
          <w:pPr>
            <w:pStyle w:val="Contents5"/>
            <w:tabs>
              <w:tab w:val="clear" w:pos="7892"/>
              <w:tab w:val="right" w:pos="9026" w:leader="dot"/>
            </w:tabs>
            <w:rPr/>
          </w:pPr>
          <w:hyperlink w:anchor="__RefHeading___Toc8040255_1280447820">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8040257_1280447820">
            <w:r>
              <w:rPr>
                <w:webHidden/>
                <w:rStyle w:val="IndexLink"/>
                <w:rtl w:val="true"/>
              </w:rPr>
              <w:t>مقدِّمةٌ‌</w:t>
            </w:r>
            <w:r>
              <w:rPr>
                <w:rStyle w:val="IndexLink"/>
                <w:rtl w:val="true"/>
              </w:rPr>
              <w:tab/>
            </w:r>
            <w:r>
              <w:rPr>
                <w:rStyle w:val="IndexLink"/>
              </w:rPr>
              <w:t>490</w:t>
            </w:r>
          </w:hyperlink>
        </w:p>
        <w:p>
          <w:pPr>
            <w:pStyle w:val="Contents5"/>
            <w:tabs>
              <w:tab w:val="clear" w:pos="7892"/>
              <w:tab w:val="right" w:pos="9026" w:leader="dot"/>
            </w:tabs>
            <w:rPr/>
          </w:pPr>
          <w:hyperlink w:anchor="__RefHeading___Toc8040259_1280447820">
            <w:r>
              <w:rPr>
                <w:webHidden/>
                <w:rStyle w:val="IndexLink"/>
                <w:rtl w:val="true"/>
              </w:rPr>
              <w:t>الفصلُ الأوّلُ في بيانِ الأدلّةِ على القولِ بالرؤيةِ‌</w:t>
            </w:r>
            <w:r>
              <w:rPr>
                <w:rStyle w:val="IndexLink"/>
                <w:rtl w:val="true"/>
              </w:rPr>
              <w:tab/>
            </w:r>
            <w:r>
              <w:rPr>
                <w:rStyle w:val="IndexLink"/>
              </w:rPr>
              <w:t>491</w:t>
            </w:r>
          </w:hyperlink>
        </w:p>
        <w:p>
          <w:pPr>
            <w:pStyle w:val="Contents6"/>
            <w:tabs>
              <w:tab w:val="clear" w:pos="7609"/>
              <w:tab w:val="right" w:pos="9026" w:leader="dot"/>
            </w:tabs>
            <w:rPr/>
          </w:pPr>
          <w:hyperlink w:anchor="__RefHeading___Toc8040261_1280447820">
            <w:r>
              <w:rPr>
                <w:webHidden/>
                <w:rStyle w:val="IndexLink"/>
                <w:rtl w:val="true"/>
              </w:rPr>
              <w:t>الدليل الأوّل</w:t>
            </w:r>
            <w:r>
              <w:rPr>
                <w:rStyle w:val="IndexLink"/>
                <w:rtl w:val="true"/>
              </w:rPr>
              <w:t xml:space="preserve">: </w:t>
            </w:r>
            <w:r>
              <w:rPr>
                <w:rStyle w:val="IndexLink"/>
                <w:rtl w:val="true"/>
              </w:rPr>
              <w:t>إجماع المسلمين</w:t>
            </w:r>
            <w:r>
              <w:rPr>
                <w:rStyle w:val="IndexLink"/>
                <w:rtl w:val="true"/>
              </w:rPr>
              <w:tab/>
            </w:r>
            <w:r>
              <w:rPr>
                <w:rStyle w:val="IndexLink"/>
              </w:rPr>
              <w:t>491</w:t>
            </w:r>
          </w:hyperlink>
        </w:p>
        <w:p>
          <w:pPr>
            <w:pStyle w:val="Contents6"/>
            <w:tabs>
              <w:tab w:val="clear" w:pos="7609"/>
              <w:tab w:val="right" w:pos="9026" w:leader="dot"/>
            </w:tabs>
            <w:rPr/>
          </w:pPr>
          <w:hyperlink w:anchor="__RefHeading___Toc8040263_1280447820">
            <w:r>
              <w:rPr>
                <w:webHidden/>
                <w:rStyle w:val="IndexLink"/>
                <w:rtl w:val="true"/>
              </w:rPr>
              <w:t>الدليل الثاني</w:t>
            </w:r>
            <w:r>
              <w:rPr>
                <w:rStyle w:val="IndexLink"/>
                <w:rtl w:val="true"/>
              </w:rPr>
              <w:t xml:space="preserve">: </w:t>
            </w:r>
            <w:r>
              <w:rPr>
                <w:rStyle w:val="IndexLink"/>
                <w:rtl w:val="true"/>
              </w:rPr>
              <w:t>سيرة المسلمين</w:t>
            </w:r>
            <w:r>
              <w:rPr>
                <w:rStyle w:val="IndexLink"/>
                <w:rtl w:val="true"/>
              </w:rPr>
              <w:tab/>
            </w:r>
            <w:r>
              <w:rPr>
                <w:rStyle w:val="IndexLink"/>
              </w:rPr>
              <w:t>492</w:t>
            </w:r>
          </w:hyperlink>
        </w:p>
        <w:p>
          <w:pPr>
            <w:pStyle w:val="Contents6"/>
            <w:tabs>
              <w:tab w:val="clear" w:pos="7609"/>
              <w:tab w:val="right" w:pos="9026" w:leader="dot"/>
            </w:tabs>
            <w:rPr/>
          </w:pPr>
          <w:hyperlink w:anchor="__RefHeading___Toc8040265_1280447820">
            <w:r>
              <w:rPr>
                <w:webHidden/>
                <w:rStyle w:val="IndexLink"/>
                <w:rtl w:val="true"/>
              </w:rPr>
              <w:t>الدليل الثالث</w:t>
            </w:r>
            <w:r>
              <w:rPr>
                <w:rStyle w:val="IndexLink"/>
                <w:rtl w:val="true"/>
              </w:rPr>
              <w:t xml:space="preserve">: </w:t>
            </w:r>
            <w:r>
              <w:rPr>
                <w:rStyle w:val="IndexLink"/>
                <w:rtl w:val="true"/>
              </w:rPr>
              <w:t>الكتاب</w:t>
            </w:r>
            <w:r>
              <w:rPr>
                <w:rStyle w:val="IndexLink"/>
                <w:rtl w:val="true"/>
              </w:rPr>
              <w:tab/>
            </w:r>
            <w:r>
              <w:rPr>
                <w:rStyle w:val="IndexLink"/>
              </w:rPr>
              <w:t>493</w:t>
            </w:r>
          </w:hyperlink>
        </w:p>
        <w:p>
          <w:pPr>
            <w:pStyle w:val="Contents6"/>
            <w:tabs>
              <w:tab w:val="clear" w:pos="7609"/>
              <w:tab w:val="right" w:pos="9026" w:leader="dot"/>
            </w:tabs>
            <w:rPr/>
          </w:pPr>
          <w:hyperlink w:anchor="__RefHeading___Toc8040267_1280447820">
            <w:r>
              <w:rPr>
                <w:webHidden/>
                <w:rStyle w:val="IndexLink"/>
                <w:rtl w:val="true"/>
              </w:rPr>
              <w:t>الدليل الرابع</w:t>
            </w:r>
            <w:r>
              <w:rPr>
                <w:rStyle w:val="IndexLink"/>
                <w:rtl w:val="true"/>
              </w:rPr>
              <w:t xml:space="preserve">: </w:t>
            </w:r>
            <w:r>
              <w:rPr>
                <w:rStyle w:val="IndexLink"/>
                <w:rtl w:val="true"/>
              </w:rPr>
              <w:t>آية قرآنيّة أُخرىٰ‌</w:t>
            </w:r>
            <w:r>
              <w:rPr>
                <w:rStyle w:val="IndexLink"/>
                <w:rtl w:val="true"/>
              </w:rPr>
              <w:tab/>
            </w:r>
            <w:r>
              <w:rPr>
                <w:rStyle w:val="IndexLink"/>
              </w:rPr>
              <w:t>493</w:t>
            </w:r>
          </w:hyperlink>
        </w:p>
        <w:p>
          <w:pPr>
            <w:pStyle w:val="Contents6"/>
            <w:tabs>
              <w:tab w:val="clear" w:pos="7609"/>
              <w:tab w:val="right" w:pos="9026" w:leader="dot"/>
            </w:tabs>
            <w:rPr/>
          </w:pPr>
          <w:hyperlink w:anchor="__RefHeading___Toc8040269_1280447820">
            <w:r>
              <w:rPr>
                <w:webHidden/>
                <w:rStyle w:val="IndexLink"/>
                <w:rtl w:val="true"/>
              </w:rPr>
              <w:t>الدليل الخامس</w:t>
            </w:r>
            <w:r>
              <w:rPr>
                <w:rStyle w:val="IndexLink"/>
                <w:rtl w:val="true"/>
              </w:rPr>
              <w:t xml:space="preserve">: </w:t>
            </w:r>
            <w:r>
              <w:rPr>
                <w:rStyle w:val="IndexLink"/>
                <w:rtl w:val="true"/>
              </w:rPr>
              <w:t>السنّة</w:t>
            </w:r>
            <w:r>
              <w:rPr>
                <w:rStyle w:val="IndexLink"/>
                <w:rtl w:val="true"/>
              </w:rPr>
              <w:tab/>
            </w:r>
            <w:r>
              <w:rPr>
                <w:rStyle w:val="IndexLink"/>
              </w:rPr>
              <w:t>494</w:t>
            </w:r>
          </w:hyperlink>
        </w:p>
        <w:p>
          <w:pPr>
            <w:pStyle w:val="Contents5"/>
            <w:tabs>
              <w:tab w:val="clear" w:pos="7892"/>
              <w:tab w:val="right" w:pos="9026" w:leader="dot"/>
            </w:tabs>
            <w:rPr/>
          </w:pPr>
          <w:hyperlink w:anchor="__RefHeading___Toc8040271_1280447820">
            <w:r>
              <w:rPr>
                <w:webHidden/>
                <w:rStyle w:val="IndexLink"/>
                <w:rtl w:val="true"/>
              </w:rPr>
              <w:t>الفصلُ الثاني مُناقشةُ أدلّةِ صاحبِ الكتابِ علىٰ القولِ بالعددِ</w:t>
            </w:r>
            <w:r>
              <w:rPr>
                <w:rStyle w:val="IndexLink"/>
                <w:rtl w:val="true"/>
              </w:rPr>
              <w:tab/>
            </w:r>
            <w:r>
              <w:rPr>
                <w:rStyle w:val="IndexLink"/>
              </w:rPr>
              <w:t>496</w:t>
            </w:r>
          </w:hyperlink>
        </w:p>
        <w:p>
          <w:pPr>
            <w:pStyle w:val="Contents6"/>
            <w:tabs>
              <w:tab w:val="clear" w:pos="7609"/>
              <w:tab w:val="right" w:pos="9026" w:leader="dot"/>
            </w:tabs>
            <w:rPr/>
          </w:pPr>
          <w:hyperlink w:anchor="__RefHeading___Toc8040273_1280447820">
            <w:r>
              <w:rPr>
                <w:webHidden/>
                <w:rStyle w:val="IndexLink"/>
                <w:rtl w:val="true"/>
              </w:rPr>
              <w:t>الدليل الأوّل</w:t>
            </w:r>
            <w:r>
              <w:rPr>
                <w:rStyle w:val="IndexLink"/>
                <w:rtl w:val="true"/>
              </w:rPr>
              <w:t xml:space="preserve">: </w:t>
            </w:r>
            <w:r>
              <w:rPr>
                <w:rStyle w:val="IndexLink"/>
                <w:rtl w:val="true"/>
              </w:rPr>
              <w:t>دليل من القرآن</w:t>
            </w:r>
            <w:r>
              <w:rPr>
                <w:rStyle w:val="IndexLink"/>
                <w:rtl w:val="true"/>
              </w:rPr>
              <w:tab/>
            </w:r>
            <w:r>
              <w:rPr>
                <w:rStyle w:val="IndexLink"/>
              </w:rPr>
              <w:t>496</w:t>
            </w:r>
          </w:hyperlink>
        </w:p>
        <w:p>
          <w:pPr>
            <w:pStyle w:val="Contents6"/>
            <w:tabs>
              <w:tab w:val="clear" w:pos="7609"/>
              <w:tab w:val="right" w:pos="9026" w:leader="dot"/>
            </w:tabs>
            <w:rPr/>
          </w:pPr>
          <w:hyperlink w:anchor="__RefHeading___Toc8040275_1280447820">
            <w:r>
              <w:rPr>
                <w:webHidden/>
                <w:rStyle w:val="IndexLink"/>
                <w:rtl w:val="true"/>
              </w:rPr>
              <w:t>الدليل الثاني</w:t>
            </w:r>
            <w:r>
              <w:rPr>
                <w:rStyle w:val="IndexLink"/>
                <w:rtl w:val="true"/>
              </w:rPr>
              <w:t xml:space="preserve">: </w:t>
            </w:r>
            <w:r>
              <w:rPr>
                <w:rStyle w:val="IndexLink"/>
                <w:rtl w:val="true"/>
              </w:rPr>
              <w:t>دليل آخر من القرآن</w:t>
            </w:r>
            <w:r>
              <w:rPr>
                <w:rStyle w:val="IndexLink"/>
                <w:rtl w:val="true"/>
              </w:rPr>
              <w:tab/>
            </w:r>
            <w:r>
              <w:rPr>
                <w:rStyle w:val="IndexLink"/>
              </w:rPr>
              <w:t>500</w:t>
            </w:r>
          </w:hyperlink>
        </w:p>
        <w:p>
          <w:pPr>
            <w:pStyle w:val="Contents6"/>
            <w:tabs>
              <w:tab w:val="clear" w:pos="7609"/>
              <w:tab w:val="right" w:pos="9026" w:leader="dot"/>
            </w:tabs>
            <w:rPr/>
          </w:pPr>
          <w:hyperlink w:anchor="__RefHeading___Toc8040277_1280447820">
            <w:r>
              <w:rPr>
                <w:webHidden/>
                <w:rStyle w:val="IndexLink"/>
                <w:rtl w:val="true"/>
              </w:rPr>
              <w:t>اشارة</w:t>
            </w:r>
            <w:r>
              <w:rPr>
                <w:rStyle w:val="IndexLink"/>
                <w:rtl w:val="true"/>
              </w:rPr>
              <w:tab/>
            </w:r>
            <w:r>
              <w:rPr>
                <w:rStyle w:val="IndexLink"/>
              </w:rPr>
              <w:t>500</w:t>
            </w:r>
          </w:hyperlink>
        </w:p>
        <w:p>
          <w:pPr>
            <w:pStyle w:val="Contents6"/>
            <w:tabs>
              <w:tab w:val="clear" w:pos="7609"/>
              <w:tab w:val="right" w:pos="9026" w:leader="dot"/>
            </w:tabs>
            <w:rPr/>
          </w:pPr>
          <w:hyperlink w:anchor="__RefHeading___Toc8040279_1280447820">
            <w:r>
              <w:rPr>
                <w:webHidden/>
                <w:rStyle w:val="IndexLink"/>
                <w:rtl w:val="true"/>
              </w:rPr>
              <w:t>معنىٰ نقصان الشهر و كماله</w:t>
            </w:r>
            <w:r>
              <w:rPr>
                <w:rStyle w:val="IndexLink"/>
                <w:rtl w:val="true"/>
              </w:rPr>
              <w:tab/>
            </w:r>
            <w:r>
              <w:rPr>
                <w:rStyle w:val="IndexLink"/>
              </w:rPr>
              <w:t>501</w:t>
            </w:r>
          </w:hyperlink>
        </w:p>
        <w:p>
          <w:pPr>
            <w:pStyle w:val="Contents6"/>
            <w:tabs>
              <w:tab w:val="clear" w:pos="7609"/>
              <w:tab w:val="right" w:pos="9026" w:leader="dot"/>
            </w:tabs>
            <w:rPr/>
          </w:pPr>
          <w:hyperlink w:anchor="__RefHeading___Toc8040281_1280447820">
            <w:r>
              <w:rPr>
                <w:webHidden/>
                <w:rStyle w:val="IndexLink"/>
                <w:rtl w:val="true"/>
              </w:rPr>
              <w:t>معنىٰ إكمال العِدّة</w:t>
            </w:r>
            <w:r>
              <w:rPr>
                <w:rStyle w:val="IndexLink"/>
                <w:rtl w:val="true"/>
              </w:rPr>
              <w:tab/>
            </w:r>
            <w:r>
              <w:rPr>
                <w:rStyle w:val="IndexLink"/>
              </w:rPr>
              <w:t>503</w:t>
            </w:r>
          </w:hyperlink>
        </w:p>
        <w:p>
          <w:pPr>
            <w:pStyle w:val="Contents6"/>
            <w:tabs>
              <w:tab w:val="clear" w:pos="7609"/>
              <w:tab w:val="right" w:pos="9026" w:leader="dot"/>
            </w:tabs>
            <w:rPr/>
          </w:pPr>
          <w:hyperlink w:anchor="__RefHeading___Toc8040283_1280447820">
            <w:r>
              <w:rPr>
                <w:webHidden/>
                <w:rStyle w:val="IndexLink"/>
                <w:rtl w:val="true"/>
              </w:rPr>
              <w:t>الدليل الثالث</w:t>
            </w:r>
            <w:r>
              <w:rPr>
                <w:rStyle w:val="IndexLink"/>
                <w:rtl w:val="true"/>
              </w:rPr>
              <w:t xml:space="preserve">: </w:t>
            </w:r>
            <w:r>
              <w:rPr>
                <w:rStyle w:val="IndexLink"/>
                <w:rtl w:val="true"/>
              </w:rPr>
              <w:t>دليل من جهة الأثر</w:t>
            </w:r>
            <w:r>
              <w:rPr>
                <w:rStyle w:val="IndexLink"/>
                <w:rtl w:val="true"/>
              </w:rPr>
              <w:tab/>
            </w:r>
            <w:r>
              <w:rPr>
                <w:rStyle w:val="IndexLink"/>
              </w:rPr>
              <w:t>505</w:t>
            </w:r>
          </w:hyperlink>
        </w:p>
        <w:p>
          <w:pPr>
            <w:pStyle w:val="Contents6"/>
            <w:tabs>
              <w:tab w:val="clear" w:pos="7609"/>
              <w:tab w:val="right" w:pos="9026" w:leader="dot"/>
            </w:tabs>
            <w:rPr/>
          </w:pPr>
          <w:hyperlink w:anchor="__RefHeading___Toc8040285_1280447820">
            <w:r>
              <w:rPr>
                <w:webHidden/>
                <w:rStyle w:val="IndexLink"/>
                <w:rtl w:val="true"/>
              </w:rPr>
              <w:t>اشارة</w:t>
            </w:r>
            <w:r>
              <w:rPr>
                <w:rStyle w:val="IndexLink"/>
                <w:rtl w:val="true"/>
              </w:rPr>
              <w:tab/>
            </w:r>
            <w:r>
              <w:rPr>
                <w:rStyle w:val="IndexLink"/>
              </w:rPr>
              <w:t>505</w:t>
            </w:r>
          </w:hyperlink>
        </w:p>
        <w:p>
          <w:pPr>
            <w:pStyle w:val="Contents6"/>
            <w:tabs>
              <w:tab w:val="clear" w:pos="7609"/>
              <w:tab w:val="right" w:pos="9026" w:leader="dot"/>
            </w:tabs>
            <w:rPr/>
          </w:pPr>
          <w:hyperlink w:anchor="__RefHeading___Toc8040287_1280447820">
            <w:r>
              <w:rPr>
                <w:webHidden/>
                <w:rStyle w:val="IndexLink"/>
                <w:rtl w:val="true"/>
              </w:rPr>
              <w:t>ردُّ حجّية خبر الواحد</w:t>
            </w:r>
            <w:r>
              <w:rPr>
                <w:rStyle w:val="IndexLink"/>
                <w:rtl w:val="true"/>
              </w:rPr>
              <w:tab/>
            </w:r>
            <w:r>
              <w:rPr>
                <w:rStyle w:val="IndexLink"/>
              </w:rPr>
              <w:t>507</w:t>
            </w:r>
          </w:hyperlink>
        </w:p>
        <w:p>
          <w:pPr>
            <w:pStyle w:val="Contents6"/>
            <w:tabs>
              <w:tab w:val="clear" w:pos="7609"/>
              <w:tab w:val="right" w:pos="9026" w:leader="dot"/>
            </w:tabs>
            <w:rPr/>
          </w:pPr>
          <w:hyperlink w:anchor="__RefHeading___Toc8040289_1280447820">
            <w:r>
              <w:rPr>
                <w:webHidden/>
                <w:rStyle w:val="IndexLink"/>
                <w:rtl w:val="true"/>
              </w:rPr>
              <w:t>الدليل الرابع</w:t>
            </w:r>
            <w:r>
              <w:rPr>
                <w:rStyle w:val="IndexLink"/>
                <w:rtl w:val="true"/>
              </w:rPr>
              <w:t xml:space="preserve">: </w:t>
            </w:r>
            <w:r>
              <w:rPr>
                <w:rStyle w:val="IndexLink"/>
                <w:rtl w:val="true"/>
              </w:rPr>
              <w:t>حَملُ أخبارِ الرؤيةِ علَى التقيّةِ‌</w:t>
            </w:r>
            <w:r>
              <w:rPr>
                <w:rStyle w:val="IndexLink"/>
                <w:rtl w:val="true"/>
              </w:rPr>
              <w:tab/>
            </w:r>
            <w:r>
              <w:rPr>
                <w:rStyle w:val="IndexLink"/>
              </w:rPr>
              <w:t>508</w:t>
            </w:r>
          </w:hyperlink>
        </w:p>
        <w:p>
          <w:pPr>
            <w:pStyle w:val="Contents6"/>
            <w:tabs>
              <w:tab w:val="clear" w:pos="7609"/>
              <w:tab w:val="right" w:pos="9026" w:leader="dot"/>
            </w:tabs>
            <w:rPr/>
          </w:pPr>
          <w:hyperlink w:anchor="__RefHeading___Toc8040291_1280447820">
            <w:r>
              <w:rPr>
                <w:webHidden/>
                <w:rStyle w:val="IndexLink"/>
                <w:rtl w:val="true"/>
              </w:rPr>
              <w:t>الدليل الخامس</w:t>
            </w:r>
            <w:r>
              <w:rPr>
                <w:rStyle w:val="IndexLink"/>
                <w:rtl w:val="true"/>
              </w:rPr>
              <w:t xml:space="preserve">: </w:t>
            </w:r>
            <w:r>
              <w:rPr>
                <w:rStyle w:val="IndexLink"/>
                <w:rtl w:val="true"/>
              </w:rPr>
              <w:t>الاستدلال من طريق القياس</w:t>
            </w:r>
            <w:r>
              <w:rPr>
                <w:rStyle w:val="IndexLink"/>
                <w:rtl w:val="true"/>
              </w:rPr>
              <w:tab/>
            </w:r>
            <w:r>
              <w:rPr>
                <w:rStyle w:val="IndexLink"/>
              </w:rPr>
              <w:t>509</w:t>
            </w:r>
          </w:hyperlink>
        </w:p>
        <w:p>
          <w:pPr>
            <w:pStyle w:val="Contents6"/>
            <w:tabs>
              <w:tab w:val="clear" w:pos="7609"/>
              <w:tab w:val="right" w:pos="9026" w:leader="dot"/>
            </w:tabs>
            <w:rPr/>
          </w:pPr>
          <w:hyperlink w:anchor="__RefHeading___Toc8040293_1280447820">
            <w:r>
              <w:rPr>
                <w:webHidden/>
                <w:rStyle w:val="IndexLink"/>
                <w:rtl w:val="true"/>
              </w:rPr>
              <w:t>الدليل السادس</w:t>
            </w:r>
            <w:r>
              <w:rPr>
                <w:rStyle w:val="IndexLink"/>
                <w:rtl w:val="true"/>
              </w:rPr>
              <w:t xml:space="preserve">: </w:t>
            </w:r>
            <w:r>
              <w:rPr>
                <w:rStyle w:val="IndexLink"/>
                <w:rtl w:val="true"/>
              </w:rPr>
              <w:t>معرفة أوقات الفرائض قبل حلولها بناء على القول بالعدد</w:t>
            </w:r>
            <w:r>
              <w:rPr>
                <w:rStyle w:val="IndexLink"/>
                <w:rtl w:val="true"/>
              </w:rPr>
              <w:tab/>
            </w:r>
            <w:r>
              <w:rPr>
                <w:rStyle w:val="IndexLink"/>
              </w:rPr>
              <w:t>511</w:t>
            </w:r>
          </w:hyperlink>
        </w:p>
        <w:p>
          <w:pPr>
            <w:pStyle w:val="Contents6"/>
            <w:tabs>
              <w:tab w:val="clear" w:pos="7609"/>
              <w:tab w:val="right" w:pos="9026" w:leader="dot"/>
            </w:tabs>
            <w:rPr/>
          </w:pPr>
          <w:hyperlink w:anchor="__RefHeading___Toc8040295_1280447820">
            <w:r>
              <w:rPr>
                <w:webHidden/>
                <w:rStyle w:val="IndexLink"/>
                <w:rtl w:val="true"/>
              </w:rPr>
              <w:t>الدليل السابع</w:t>
            </w:r>
            <w:r>
              <w:rPr>
                <w:rStyle w:val="IndexLink"/>
                <w:rtl w:val="true"/>
              </w:rPr>
              <w:t xml:space="preserve">: </w:t>
            </w:r>
            <w:r>
              <w:rPr>
                <w:rStyle w:val="IndexLink"/>
                <w:rtl w:val="true"/>
              </w:rPr>
              <w:t>لوازم باطلة تلزم القول بالرؤية</w:t>
            </w:r>
            <w:r>
              <w:rPr>
                <w:rStyle w:val="IndexLink"/>
                <w:rtl w:val="true"/>
              </w:rPr>
              <w:tab/>
            </w:r>
            <w:r>
              <w:rPr>
                <w:rStyle w:val="IndexLink"/>
              </w:rPr>
              <w:t>513</w:t>
            </w:r>
          </w:hyperlink>
        </w:p>
        <w:p>
          <w:pPr>
            <w:pStyle w:val="Contents6"/>
            <w:tabs>
              <w:tab w:val="clear" w:pos="7609"/>
              <w:tab w:val="right" w:pos="9026" w:leader="dot"/>
            </w:tabs>
            <w:rPr/>
          </w:pPr>
          <w:hyperlink w:anchor="__RefHeading___Toc8040297_1280447820">
            <w:r>
              <w:rPr>
                <w:webHidden/>
                <w:rStyle w:val="IndexLink"/>
                <w:rtl w:val="true"/>
              </w:rPr>
              <w:t>اشارة</w:t>
            </w:r>
            <w:r>
              <w:rPr>
                <w:rStyle w:val="IndexLink"/>
                <w:rtl w:val="true"/>
              </w:rPr>
              <w:tab/>
            </w:r>
            <w:r>
              <w:rPr>
                <w:rStyle w:val="IndexLink"/>
              </w:rPr>
              <w:t>513</w:t>
            </w:r>
          </w:hyperlink>
        </w:p>
        <w:p>
          <w:pPr>
            <w:pStyle w:val="Contents6"/>
            <w:tabs>
              <w:tab w:val="clear" w:pos="7609"/>
              <w:tab w:val="right" w:pos="9026" w:leader="dot"/>
            </w:tabs>
            <w:rPr/>
          </w:pPr>
          <w:hyperlink w:anchor="__RefHeading___Toc8040299_1280447820">
            <w:r>
              <w:rPr>
                <w:webHidden/>
                <w:rStyle w:val="IndexLink"/>
                <w:rtl w:val="true"/>
              </w:rPr>
              <w:t>في أنّ معلوم اللّٰه تعالىٰ مطابق لتكاليف المكلّفين، و إن اختلفت</w:t>
            </w:r>
            <w:r>
              <w:rPr>
                <w:rStyle w:val="IndexLink"/>
                <w:rtl w:val="true"/>
              </w:rPr>
              <w:tab/>
            </w:r>
            <w:r>
              <w:rPr>
                <w:rStyle w:val="IndexLink"/>
              </w:rPr>
              <w:t>518</w:t>
            </w:r>
          </w:hyperlink>
        </w:p>
        <w:p>
          <w:pPr>
            <w:pStyle w:val="Contents6"/>
            <w:tabs>
              <w:tab w:val="clear" w:pos="7609"/>
              <w:tab w:val="right" w:pos="9026" w:leader="dot"/>
            </w:tabs>
            <w:rPr/>
          </w:pPr>
          <w:hyperlink w:anchor="__RefHeading___Toc8040301_1280447820">
            <w:r>
              <w:rPr>
                <w:webHidden/>
                <w:rStyle w:val="IndexLink"/>
                <w:rtl w:val="true"/>
              </w:rPr>
              <w:t>الكلامُ في صَومِ يَومِ الشكِّ، و فرقُه مع صومِ المسجونِ‌</w:t>
            </w:r>
            <w:r>
              <w:rPr>
                <w:rStyle w:val="IndexLink"/>
                <w:rtl w:val="true"/>
              </w:rPr>
              <w:tab/>
            </w:r>
            <w:r>
              <w:rPr>
                <w:rStyle w:val="IndexLink"/>
              </w:rPr>
              <w:t>523</w:t>
            </w:r>
          </w:hyperlink>
        </w:p>
        <w:p>
          <w:pPr>
            <w:pStyle w:val="Contents6"/>
            <w:tabs>
              <w:tab w:val="clear" w:pos="7609"/>
              <w:tab w:val="right" w:pos="9026" w:leader="dot"/>
            </w:tabs>
            <w:rPr/>
          </w:pPr>
          <w:hyperlink w:anchor="__RefHeading___Toc8040303_1280447820">
            <w:r>
              <w:rPr>
                <w:webHidden/>
                <w:rStyle w:val="IndexLink"/>
                <w:rtl w:val="true"/>
              </w:rPr>
              <w:t>الدليل الثامن</w:t>
            </w:r>
            <w:r>
              <w:rPr>
                <w:rStyle w:val="IndexLink"/>
                <w:rtl w:val="true"/>
              </w:rPr>
              <w:t xml:space="preserve">: </w:t>
            </w:r>
            <w:r>
              <w:rPr>
                <w:rStyle w:val="IndexLink"/>
                <w:rtl w:val="true"/>
              </w:rPr>
              <w:t xml:space="preserve">خبر </w:t>
            </w:r>
            <w:r>
              <w:rPr>
                <w:rStyle w:val="IndexLink"/>
                <w:rtl w:val="true"/>
              </w:rPr>
              <w:t>«</w:t>
            </w:r>
            <w:r>
              <w:rPr>
                <w:rStyle w:val="IndexLink"/>
                <w:rtl w:val="true"/>
              </w:rPr>
              <w:t>يَومُ صَومِكم يَومُ نَحرِكم</w:t>
            </w:r>
            <w:r>
              <w:rPr>
                <w:rStyle w:val="IndexLink"/>
                <w:rtl w:val="true"/>
              </w:rPr>
              <w:t>»</w:t>
              <w:tab/>
            </w:r>
            <w:r>
              <w:rPr>
                <w:rStyle w:val="IndexLink"/>
              </w:rPr>
              <w:t>526</w:t>
            </w:r>
          </w:hyperlink>
        </w:p>
        <w:p>
          <w:pPr>
            <w:pStyle w:val="Contents5"/>
            <w:tabs>
              <w:tab w:val="clear" w:pos="7892"/>
              <w:tab w:val="right" w:pos="9026" w:leader="dot"/>
            </w:tabs>
            <w:rPr/>
          </w:pPr>
          <w:hyperlink w:anchor="__RefHeading___Toc8040305_1280447820">
            <w:r>
              <w:rPr>
                <w:webHidden/>
                <w:rStyle w:val="IndexLink"/>
                <w:rtl w:val="true"/>
              </w:rPr>
              <w:t>الفصلُ الثالثُ مُناقَشةُ ما رَدَّ به صاحبُ الكتابِ أدلّةَ القائلينَ بالرؤيةِ‌</w:t>
            </w:r>
            <w:r>
              <w:rPr>
                <w:rStyle w:val="IndexLink"/>
                <w:rtl w:val="true"/>
              </w:rPr>
              <w:tab/>
            </w:r>
            <w:r>
              <w:rPr>
                <w:rStyle w:val="IndexLink"/>
              </w:rPr>
              <w:t>528</w:t>
            </w:r>
          </w:hyperlink>
        </w:p>
        <w:p>
          <w:pPr>
            <w:pStyle w:val="Contents6"/>
            <w:tabs>
              <w:tab w:val="clear" w:pos="7609"/>
              <w:tab w:val="right" w:pos="9026" w:leader="dot"/>
            </w:tabs>
            <w:rPr/>
          </w:pPr>
          <w:hyperlink w:anchor="__RefHeading___Toc8040307_1280447820">
            <w:r>
              <w:rPr>
                <w:webHidden/>
                <w:rStyle w:val="IndexLink"/>
                <w:rtl w:val="true"/>
              </w:rPr>
              <w:t>الدليل الأوّل</w:t>
            </w:r>
            <w:r>
              <w:rPr>
                <w:rStyle w:val="IndexLink"/>
                <w:rtl w:val="true"/>
              </w:rPr>
              <w:t xml:space="preserve">: </w:t>
            </w:r>
            <w:r>
              <w:rPr>
                <w:rStyle w:val="IndexLink"/>
                <w:rtl w:val="true"/>
              </w:rPr>
              <w:t>آية الأهلّة</w:t>
            </w:r>
            <w:r>
              <w:rPr>
                <w:rStyle w:val="IndexLink"/>
                <w:rtl w:val="true"/>
              </w:rPr>
              <w:tab/>
            </w:r>
            <w:r>
              <w:rPr>
                <w:rStyle w:val="IndexLink"/>
              </w:rPr>
              <w:t>528</w:t>
            </w:r>
          </w:hyperlink>
        </w:p>
        <w:p>
          <w:pPr>
            <w:pStyle w:val="Contents6"/>
            <w:tabs>
              <w:tab w:val="clear" w:pos="7609"/>
              <w:tab w:val="right" w:pos="9026" w:leader="dot"/>
            </w:tabs>
            <w:rPr/>
          </w:pPr>
          <w:hyperlink w:anchor="__RefHeading___Toc8040309_1280447820">
            <w:r>
              <w:rPr>
                <w:webHidden/>
                <w:rStyle w:val="IndexLink"/>
                <w:rtl w:val="true"/>
              </w:rPr>
              <w:t>الدليل الثاني</w:t>
            </w:r>
            <w:r>
              <w:rPr>
                <w:rStyle w:val="IndexLink"/>
                <w:rtl w:val="true"/>
              </w:rPr>
              <w:t xml:space="preserve">: </w:t>
            </w:r>
            <w:r>
              <w:rPr>
                <w:rStyle w:val="IndexLink"/>
                <w:rtl w:val="true"/>
              </w:rPr>
              <w:t xml:space="preserve">خبرُ </w:t>
            </w:r>
            <w:r>
              <w:rPr>
                <w:rStyle w:val="IndexLink"/>
                <w:rtl w:val="true"/>
              </w:rPr>
              <w:t>«</w:t>
            </w:r>
            <w:r>
              <w:rPr>
                <w:rStyle w:val="IndexLink"/>
                <w:rtl w:val="true"/>
              </w:rPr>
              <w:t>صوموا لرؤيتِه</w:t>
            </w:r>
            <w:r>
              <w:rPr>
                <w:rStyle w:val="IndexLink"/>
                <w:rtl w:val="true"/>
              </w:rPr>
              <w:t>»</w:t>
              <w:tab/>
            </w:r>
            <w:r>
              <w:rPr>
                <w:rStyle w:val="IndexLink"/>
              </w:rPr>
              <w:t>530</w:t>
            </w:r>
          </w:hyperlink>
        </w:p>
        <w:p>
          <w:pPr>
            <w:pStyle w:val="Contents6"/>
            <w:tabs>
              <w:tab w:val="clear" w:pos="7609"/>
              <w:tab w:val="right" w:pos="9026" w:leader="dot"/>
            </w:tabs>
            <w:rPr/>
          </w:pPr>
          <w:hyperlink w:anchor="__RefHeading___Toc8040311_1280447820">
            <w:r>
              <w:rPr>
                <w:webHidden/>
                <w:rStyle w:val="IndexLink"/>
                <w:rtl w:val="true"/>
              </w:rPr>
              <w:t>اشارة</w:t>
            </w:r>
            <w:r>
              <w:rPr>
                <w:rStyle w:val="IndexLink"/>
                <w:rtl w:val="true"/>
              </w:rPr>
              <w:tab/>
            </w:r>
            <w:r>
              <w:rPr>
                <w:rStyle w:val="IndexLink"/>
              </w:rPr>
              <w:t>530</w:t>
            </w:r>
          </w:hyperlink>
        </w:p>
        <w:p>
          <w:pPr>
            <w:pStyle w:val="Contents6"/>
            <w:tabs>
              <w:tab w:val="clear" w:pos="7609"/>
              <w:tab w:val="right" w:pos="9026" w:leader="dot"/>
            </w:tabs>
            <w:rPr/>
          </w:pPr>
          <w:hyperlink w:anchor="__RefHeading___Toc8040313_1280447820">
            <w:r>
              <w:rPr>
                <w:webHidden/>
                <w:rStyle w:val="IndexLink"/>
                <w:rtl w:val="true"/>
              </w:rPr>
              <w:t xml:space="preserve">بطلان الاستدلال بخبر </w:t>
            </w:r>
            <w:r>
              <w:rPr>
                <w:rStyle w:val="IndexLink"/>
                <w:rtl w:val="true"/>
              </w:rPr>
              <w:t>«</w:t>
            </w:r>
            <w:r>
              <w:rPr>
                <w:rStyle w:val="IndexLink"/>
                <w:rtl w:val="true"/>
              </w:rPr>
              <w:t>صوموا لرؤيته</w:t>
            </w:r>
            <w:r>
              <w:rPr>
                <w:rStyle w:val="IndexLink"/>
                <w:rtl w:val="true"/>
              </w:rPr>
              <w:t xml:space="preserve">» </w:t>
            </w:r>
            <w:r>
              <w:rPr>
                <w:rStyle w:val="IndexLink"/>
                <w:rtl w:val="true"/>
              </w:rPr>
              <w:t>علىٰ صحّة القول بالعدد</w:t>
            </w:r>
            <w:r>
              <w:rPr>
                <w:rStyle w:val="IndexLink"/>
                <w:rtl w:val="true"/>
              </w:rPr>
              <w:tab/>
            </w:r>
            <w:r>
              <w:rPr>
                <w:rStyle w:val="IndexLink"/>
              </w:rPr>
              <w:t>532</w:t>
            </w:r>
          </w:hyperlink>
        </w:p>
        <w:p>
          <w:pPr>
            <w:pStyle w:val="Contents6"/>
            <w:tabs>
              <w:tab w:val="clear" w:pos="7609"/>
              <w:tab w:val="right" w:pos="9026" w:leader="dot"/>
            </w:tabs>
            <w:rPr/>
          </w:pPr>
          <w:hyperlink w:anchor="__RefHeading___Toc8040315_1280447820">
            <w:r>
              <w:rPr>
                <w:webHidden/>
                <w:rStyle w:val="IndexLink"/>
                <w:rtl w:val="true"/>
              </w:rPr>
              <w:t>مقارنة بين الرؤية و العدد، و بين الوضوء و التيمّم</w:t>
            </w:r>
            <w:r>
              <w:rPr>
                <w:rStyle w:val="IndexLink"/>
                <w:rtl w:val="true"/>
              </w:rPr>
              <w:tab/>
            </w:r>
            <w:r>
              <w:rPr>
                <w:rStyle w:val="IndexLink"/>
              </w:rPr>
              <w:t>533</w:t>
            </w:r>
          </w:hyperlink>
        </w:p>
        <w:p>
          <w:pPr>
            <w:pStyle w:val="Contents6"/>
            <w:tabs>
              <w:tab w:val="clear" w:pos="7609"/>
              <w:tab w:val="right" w:pos="9026" w:leader="dot"/>
            </w:tabs>
            <w:rPr/>
          </w:pPr>
          <w:hyperlink w:anchor="__RefHeading___Toc8040317_1280447820">
            <w:r>
              <w:rPr>
                <w:webHidden/>
                <w:rStyle w:val="IndexLink"/>
                <w:rtl w:val="true"/>
              </w:rPr>
              <w:t>بطلانُ المقارنةِ بين الرجوع إلى القرآنِ و الأخبارِ و بين العددِ و الرؤيةِ‌</w:t>
            </w:r>
            <w:r>
              <w:rPr>
                <w:rStyle w:val="IndexLink"/>
                <w:rtl w:val="true"/>
              </w:rPr>
              <w:tab/>
            </w:r>
            <w:r>
              <w:rPr>
                <w:rStyle w:val="IndexLink"/>
              </w:rPr>
              <w:t>537</w:t>
            </w:r>
          </w:hyperlink>
        </w:p>
        <w:p>
          <w:pPr>
            <w:pStyle w:val="Contents6"/>
            <w:tabs>
              <w:tab w:val="clear" w:pos="7609"/>
              <w:tab w:val="right" w:pos="9026" w:leader="dot"/>
            </w:tabs>
            <w:rPr/>
          </w:pPr>
          <w:hyperlink w:anchor="__RefHeading___Toc8040319_1280447820">
            <w:r>
              <w:rPr>
                <w:webHidden/>
                <w:rStyle w:val="IndexLink"/>
                <w:rtl w:val="true"/>
              </w:rPr>
              <w:t xml:space="preserve">بطلانُ تخصيصِ خبرِ </w:t>
            </w:r>
            <w:r>
              <w:rPr>
                <w:rStyle w:val="IndexLink"/>
                <w:rtl w:val="true"/>
              </w:rPr>
              <w:t>«</w:t>
            </w:r>
            <w:r>
              <w:rPr>
                <w:rStyle w:val="IndexLink"/>
                <w:rtl w:val="true"/>
              </w:rPr>
              <w:t>صوموا لرؤيتهِ</w:t>
            </w:r>
            <w:r>
              <w:rPr>
                <w:rStyle w:val="IndexLink"/>
                <w:rtl w:val="true"/>
              </w:rPr>
              <w:t xml:space="preserve">» </w:t>
            </w:r>
            <w:r>
              <w:rPr>
                <w:rStyle w:val="IndexLink"/>
                <w:rtl w:val="true"/>
              </w:rPr>
              <w:t>في سنةٍ واحدةٍ‌</w:t>
            </w:r>
            <w:r>
              <w:rPr>
                <w:rStyle w:val="IndexLink"/>
                <w:rtl w:val="true"/>
              </w:rPr>
              <w:tab/>
            </w:r>
            <w:r>
              <w:rPr>
                <w:rStyle w:val="IndexLink"/>
              </w:rPr>
              <w:t>539</w:t>
            </w:r>
          </w:hyperlink>
        </w:p>
        <w:p>
          <w:pPr>
            <w:pStyle w:val="Contents6"/>
            <w:tabs>
              <w:tab w:val="clear" w:pos="7609"/>
              <w:tab w:val="right" w:pos="9026" w:leader="dot"/>
            </w:tabs>
            <w:rPr/>
          </w:pPr>
          <w:hyperlink w:anchor="__RefHeading___Toc8040321_1280447820">
            <w:r>
              <w:rPr>
                <w:webHidden/>
                <w:rStyle w:val="IndexLink"/>
                <w:rtl w:val="true"/>
              </w:rPr>
              <w:t>نكتة لغويّة</w:t>
            </w:r>
            <w:r>
              <w:rPr>
                <w:rStyle w:val="IndexLink"/>
                <w:rtl w:val="true"/>
              </w:rPr>
              <w:tab/>
            </w:r>
            <w:r>
              <w:rPr>
                <w:rStyle w:val="IndexLink"/>
              </w:rPr>
              <w:t>540</w:t>
            </w:r>
          </w:hyperlink>
        </w:p>
        <w:p>
          <w:pPr>
            <w:pStyle w:val="Contents6"/>
            <w:tabs>
              <w:tab w:val="clear" w:pos="7609"/>
              <w:tab w:val="right" w:pos="9026" w:leader="dot"/>
            </w:tabs>
            <w:rPr/>
          </w:pPr>
          <w:hyperlink w:anchor="__RefHeading___Toc8040323_1280447820">
            <w:r>
              <w:rPr>
                <w:webHidden/>
                <w:rStyle w:val="IndexLink"/>
                <w:rtl w:val="true"/>
              </w:rPr>
              <w:t>مُناقَشةُ اعتمادِ بعضِ القائلينَ بالرؤيةِ علَى العددِ</w:t>
            </w:r>
            <w:r>
              <w:rPr>
                <w:rStyle w:val="IndexLink"/>
                <w:rtl w:val="true"/>
              </w:rPr>
              <w:tab/>
            </w:r>
            <w:r>
              <w:rPr>
                <w:rStyle w:val="IndexLink"/>
              </w:rPr>
              <w:t>540</w:t>
            </w:r>
          </w:hyperlink>
        </w:p>
        <w:p>
          <w:pPr>
            <w:pStyle w:val="Contents6"/>
            <w:tabs>
              <w:tab w:val="clear" w:pos="7609"/>
              <w:tab w:val="right" w:pos="9026" w:leader="dot"/>
            </w:tabs>
            <w:rPr/>
          </w:pPr>
          <w:hyperlink w:anchor="__RefHeading___Toc8040325_1280447820">
            <w:r>
              <w:rPr>
                <w:webHidden/>
                <w:rStyle w:val="IndexLink"/>
                <w:rtl w:val="true"/>
              </w:rPr>
              <w:t>الدليلُ الثالث</w:t>
            </w:r>
            <w:r>
              <w:rPr>
                <w:rStyle w:val="IndexLink"/>
                <w:rtl w:val="true"/>
              </w:rPr>
              <w:t xml:space="preserve">: </w:t>
            </w:r>
            <w:r>
              <w:rPr>
                <w:rStyle w:val="IndexLink"/>
                <w:rtl w:val="true"/>
              </w:rPr>
              <w:t xml:space="preserve">خبرُ </w:t>
            </w:r>
            <w:r>
              <w:rPr>
                <w:rStyle w:val="IndexLink"/>
                <w:rtl w:val="true"/>
              </w:rPr>
              <w:t>«</w:t>
            </w:r>
            <w:r>
              <w:rPr>
                <w:rStyle w:val="IndexLink"/>
                <w:rtl w:val="true"/>
              </w:rPr>
              <w:t>شَهرُ رمضانَ يُصيبُه ما يُصيبُ سائرَ الشهورِ</w:t>
            </w:r>
            <w:r>
              <w:rPr>
                <w:rStyle w:val="IndexLink"/>
                <w:rtl w:val="true"/>
              </w:rPr>
              <w:t>»</w:t>
              <w:tab/>
            </w:r>
            <w:r>
              <w:rPr>
                <w:rStyle w:val="IndexLink"/>
              </w:rPr>
              <w:t>543</w:t>
            </w:r>
          </w:hyperlink>
        </w:p>
        <w:p>
          <w:pPr>
            <w:pStyle w:val="Contents6"/>
            <w:tabs>
              <w:tab w:val="clear" w:pos="7609"/>
              <w:tab w:val="right" w:pos="9026" w:leader="dot"/>
            </w:tabs>
            <w:rPr/>
          </w:pPr>
          <w:hyperlink w:anchor="__RefHeading___Toc8040327_1280447820">
            <w:r>
              <w:rPr>
                <w:webHidden/>
                <w:rStyle w:val="IndexLink"/>
                <w:rtl w:val="true"/>
              </w:rPr>
              <w:t>اشارة</w:t>
            </w:r>
            <w:r>
              <w:rPr>
                <w:rStyle w:val="IndexLink"/>
                <w:rtl w:val="true"/>
              </w:rPr>
              <w:tab/>
            </w:r>
            <w:r>
              <w:rPr>
                <w:rStyle w:val="IndexLink"/>
              </w:rPr>
              <w:t>543</w:t>
            </w:r>
          </w:hyperlink>
        </w:p>
        <w:p>
          <w:pPr>
            <w:pStyle w:val="Contents6"/>
            <w:tabs>
              <w:tab w:val="clear" w:pos="7609"/>
              <w:tab w:val="right" w:pos="9026" w:leader="dot"/>
            </w:tabs>
            <w:rPr/>
          </w:pPr>
          <w:hyperlink w:anchor="__RefHeading___Toc8040329_1280447820">
            <w:r>
              <w:rPr>
                <w:webHidden/>
                <w:rStyle w:val="IndexLink"/>
                <w:rtl w:val="true"/>
              </w:rPr>
              <w:t>كَيفيّةُ الحَجِّ علَى القَولِ بالعَدَدِ</w:t>
            </w:r>
            <w:r>
              <w:rPr>
                <w:rStyle w:val="IndexLink"/>
                <w:rtl w:val="true"/>
              </w:rPr>
              <w:tab/>
            </w:r>
            <w:r>
              <w:rPr>
                <w:rStyle w:val="IndexLink"/>
              </w:rPr>
              <w:t>544</w:t>
            </w:r>
          </w:hyperlink>
        </w:p>
        <w:p>
          <w:pPr>
            <w:pStyle w:val="Contents3"/>
            <w:tabs>
              <w:tab w:val="clear" w:pos="8459"/>
              <w:tab w:val="right" w:pos="9026" w:leader="dot"/>
            </w:tabs>
            <w:rPr/>
          </w:pPr>
          <w:hyperlink w:anchor="__RefHeading___Toc8040331_1280447820">
            <w:r>
              <w:rPr>
                <w:webHidden/>
                <w:rStyle w:val="IndexLink"/>
                <w:rtl w:val="true"/>
              </w:rPr>
              <w:t>(</w:t>
            </w:r>
            <w:r>
              <w:rPr>
                <w:rStyle w:val="IndexLink"/>
              </w:rPr>
              <w:t>87</w:t>
            </w:r>
            <w:r>
              <w:rPr>
                <w:rStyle w:val="IndexLink"/>
                <w:rtl w:val="true"/>
              </w:rPr>
              <w:t xml:space="preserve">) </w:t>
            </w:r>
            <w:r>
              <w:rPr>
                <w:rStyle w:val="IndexLink"/>
                <w:rtl w:val="true"/>
              </w:rPr>
              <w:t>مسألةٌ في استمرارِ الصومِ مع قَصدِ المُنافي له</w:t>
            </w:r>
            <w:r>
              <w:rPr>
                <w:rStyle w:val="IndexLink"/>
                <w:rtl w:val="true"/>
              </w:rPr>
              <w:tab/>
            </w:r>
            <w:r>
              <w:rPr>
                <w:rStyle w:val="IndexLink"/>
              </w:rPr>
              <w:t>548</w:t>
            </w:r>
          </w:hyperlink>
        </w:p>
        <w:p>
          <w:pPr>
            <w:pStyle w:val="Contents4"/>
            <w:tabs>
              <w:tab w:val="clear" w:pos="8176"/>
              <w:tab w:val="right" w:pos="9026" w:leader="dot"/>
            </w:tabs>
            <w:rPr/>
          </w:pPr>
          <w:hyperlink w:anchor="__RefHeading___Toc8040333_1280447820">
            <w:r>
              <w:rPr>
                <w:webHidden/>
                <w:rStyle w:val="IndexLink"/>
                <w:rtl w:val="true"/>
              </w:rPr>
              <w:t>اشارة</w:t>
            </w:r>
            <w:r>
              <w:rPr>
                <w:rStyle w:val="IndexLink"/>
                <w:rtl w:val="true"/>
              </w:rPr>
              <w:tab/>
            </w:r>
            <w:r>
              <w:rPr>
                <w:rStyle w:val="IndexLink"/>
              </w:rPr>
              <w:t>548</w:t>
            </w:r>
          </w:hyperlink>
        </w:p>
        <w:p>
          <w:pPr>
            <w:pStyle w:val="Contents4"/>
            <w:tabs>
              <w:tab w:val="clear" w:pos="8176"/>
              <w:tab w:val="right" w:pos="9026" w:leader="dot"/>
            </w:tabs>
            <w:rPr/>
          </w:pPr>
          <w:hyperlink w:anchor="__RefHeading___Toc8040335_1280447820">
            <w:r>
              <w:rPr>
                <w:webHidden/>
                <w:rStyle w:val="IndexLink"/>
                <w:rtl w:val="true"/>
              </w:rPr>
              <w:t>مقدّمة التحقيق</w:t>
            </w:r>
            <w:r>
              <w:rPr>
                <w:rStyle w:val="IndexLink"/>
                <w:rtl w:val="true"/>
              </w:rPr>
              <w:tab/>
            </w:r>
            <w:r>
              <w:rPr>
                <w:rStyle w:val="IndexLink"/>
              </w:rPr>
              <w:t>550</w:t>
            </w:r>
          </w:hyperlink>
        </w:p>
        <w:p>
          <w:pPr>
            <w:pStyle w:val="Contents5"/>
            <w:tabs>
              <w:tab w:val="clear" w:pos="7892"/>
              <w:tab w:val="right" w:pos="9026" w:leader="dot"/>
            </w:tabs>
            <w:rPr/>
          </w:pPr>
          <w:hyperlink w:anchor="__RefHeading___Toc8040337_1280447820">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8040339_1280447820">
            <w:r>
              <w:rPr>
                <w:webHidden/>
                <w:rStyle w:val="IndexLink"/>
                <w:rtl w:val="true"/>
              </w:rPr>
              <w:t>عنوان الرسالة و نسبتها إلى المؤلّف</w:t>
            </w:r>
            <w:r>
              <w:rPr>
                <w:rStyle w:val="IndexLink"/>
                <w:rtl w:val="true"/>
              </w:rPr>
              <w:tab/>
            </w:r>
            <w:r>
              <w:rPr>
                <w:rStyle w:val="IndexLink"/>
              </w:rPr>
              <w:t>552</w:t>
            </w:r>
          </w:hyperlink>
        </w:p>
        <w:p>
          <w:pPr>
            <w:pStyle w:val="Contents5"/>
            <w:tabs>
              <w:tab w:val="clear" w:pos="7892"/>
              <w:tab w:val="right" w:pos="9026" w:leader="dot"/>
            </w:tabs>
            <w:rPr/>
          </w:pPr>
          <w:hyperlink w:anchor="__RefHeading___Toc8040341_1280447820">
            <w:r>
              <w:rPr>
                <w:webHidden/>
                <w:rStyle w:val="IndexLink"/>
                <w:rtl w:val="true"/>
              </w:rPr>
              <w:t>مخطوطات الرسالة</w:t>
            </w:r>
            <w:r>
              <w:rPr>
                <w:rStyle w:val="IndexLink"/>
                <w:rtl w:val="true"/>
              </w:rPr>
              <w:tab/>
            </w:r>
            <w:r>
              <w:rPr>
                <w:rStyle w:val="IndexLink"/>
              </w:rPr>
              <w:t>552</w:t>
            </w:r>
          </w:hyperlink>
        </w:p>
        <w:p>
          <w:pPr>
            <w:pStyle w:val="Contents4"/>
            <w:tabs>
              <w:tab w:val="clear" w:pos="8176"/>
              <w:tab w:val="right" w:pos="9026" w:leader="dot"/>
            </w:tabs>
            <w:rPr/>
          </w:pPr>
          <w:hyperlink w:anchor="__RefHeading___Toc8040343_1280447820">
            <w:r>
              <w:rPr>
                <w:webHidden/>
                <w:rStyle w:val="IndexLink"/>
                <w:rtl w:val="true"/>
              </w:rPr>
              <w:t>مسألةٌ في استمرارِ الصومِ مع قَصدِ المُنافي له</w:t>
            </w:r>
            <w:r>
              <w:rPr>
                <w:rStyle w:val="IndexLink"/>
                <w:rtl w:val="true"/>
              </w:rPr>
              <w:tab/>
            </w:r>
            <w:r>
              <w:rPr>
                <w:rStyle w:val="IndexLink"/>
              </w:rPr>
              <w:t>557</w:t>
            </w:r>
          </w:hyperlink>
        </w:p>
        <w:p>
          <w:pPr>
            <w:pStyle w:val="Contents5"/>
            <w:tabs>
              <w:tab w:val="clear" w:pos="7892"/>
              <w:tab w:val="right" w:pos="9026" w:leader="dot"/>
            </w:tabs>
            <w:rPr/>
          </w:pPr>
          <w:hyperlink w:anchor="__RefHeading___Toc8040345_1280447820">
            <w:r>
              <w:rPr>
                <w:webHidden/>
                <w:rStyle w:val="IndexLink"/>
                <w:rtl w:val="true"/>
              </w:rPr>
              <w:t>اشارة</w:t>
            </w:r>
            <w:r>
              <w:rPr>
                <w:rStyle w:val="IndexLink"/>
                <w:rtl w:val="true"/>
              </w:rPr>
              <w:tab/>
            </w:r>
            <w:r>
              <w:rPr>
                <w:rStyle w:val="IndexLink"/>
              </w:rPr>
              <w:t>557</w:t>
            </w:r>
          </w:hyperlink>
        </w:p>
        <w:p>
          <w:pPr>
            <w:pStyle w:val="Contents5"/>
            <w:tabs>
              <w:tab w:val="clear" w:pos="7892"/>
              <w:tab w:val="right" w:pos="9026" w:leader="dot"/>
            </w:tabs>
            <w:rPr/>
          </w:pPr>
          <w:hyperlink w:anchor="__RefHeading___Toc8040347_1280447820">
            <w:r>
              <w:rPr>
                <w:webHidden/>
                <w:rStyle w:val="IndexLink"/>
                <w:rtl w:val="true"/>
              </w:rPr>
              <w:t>مسألةٌ</w:t>
            </w:r>
            <w:r>
              <w:rPr>
                <w:rStyle w:val="IndexLink"/>
                <w:rtl w:val="true"/>
              </w:rPr>
              <w:t>:</w:t>
              <w:tab/>
            </w:r>
            <w:r>
              <w:rPr>
                <w:rStyle w:val="IndexLink"/>
              </w:rPr>
              <w:t>557</w:t>
            </w:r>
          </w:hyperlink>
        </w:p>
        <w:p>
          <w:pPr>
            <w:pStyle w:val="Contents3"/>
            <w:tabs>
              <w:tab w:val="clear" w:pos="8459"/>
              <w:tab w:val="right" w:pos="9026" w:leader="dot"/>
            </w:tabs>
            <w:rPr/>
          </w:pPr>
          <w:hyperlink w:anchor="__RefHeading___Toc8040349_1280447820">
            <w:r>
              <w:rPr>
                <w:webHidden/>
                <w:rStyle w:val="IndexLink"/>
                <w:rtl w:val="true"/>
              </w:rPr>
              <w:t>(</w:t>
            </w:r>
            <w:r>
              <w:rPr>
                <w:rStyle w:val="IndexLink"/>
              </w:rPr>
              <w:t>88</w:t>
            </w:r>
            <w:r>
              <w:rPr>
                <w:rStyle w:val="IndexLink"/>
                <w:rtl w:val="true"/>
              </w:rPr>
              <w:t xml:space="preserve">) </w:t>
            </w:r>
            <w:r>
              <w:rPr>
                <w:rStyle w:val="IndexLink"/>
                <w:rtl w:val="true"/>
              </w:rPr>
              <w:t>مَسألةٌ في استلامِ الحَجَرِ و التلبيةِ‌</w:t>
            </w:r>
            <w:r>
              <w:rPr>
                <w:rStyle w:val="IndexLink"/>
                <w:rtl w:val="true"/>
              </w:rPr>
              <w:tab/>
            </w:r>
            <w:r>
              <w:rPr>
                <w:rStyle w:val="IndexLink"/>
              </w:rPr>
              <w:t>567</w:t>
            </w:r>
          </w:hyperlink>
        </w:p>
        <w:p>
          <w:pPr>
            <w:pStyle w:val="Contents4"/>
            <w:tabs>
              <w:tab w:val="clear" w:pos="8176"/>
              <w:tab w:val="right" w:pos="9026" w:leader="dot"/>
            </w:tabs>
            <w:rPr/>
          </w:pPr>
          <w:hyperlink w:anchor="__RefHeading___Toc8040351_1280447820">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8040353_1280447820">
            <w:r>
              <w:rPr>
                <w:webHidden/>
                <w:rStyle w:val="IndexLink"/>
                <w:rtl w:val="true"/>
              </w:rPr>
              <w:t>مقدّمة التحقيق</w:t>
            </w:r>
            <w:r>
              <w:rPr>
                <w:rStyle w:val="IndexLink"/>
                <w:rtl w:val="true"/>
              </w:rPr>
              <w:tab/>
            </w:r>
            <w:r>
              <w:rPr>
                <w:rStyle w:val="IndexLink"/>
              </w:rPr>
              <w:t>569</w:t>
            </w:r>
          </w:hyperlink>
        </w:p>
        <w:p>
          <w:pPr>
            <w:pStyle w:val="Contents5"/>
            <w:tabs>
              <w:tab w:val="clear" w:pos="7892"/>
              <w:tab w:val="right" w:pos="9026" w:leader="dot"/>
            </w:tabs>
            <w:rPr/>
          </w:pPr>
          <w:hyperlink w:anchor="__RefHeading___Toc8040355_1280447820">
            <w:r>
              <w:rPr>
                <w:webHidden/>
                <w:rStyle w:val="IndexLink"/>
                <w:rtl w:val="true"/>
              </w:rPr>
              <w:t>اشارة</w:t>
            </w:r>
            <w:r>
              <w:rPr>
                <w:rStyle w:val="IndexLink"/>
                <w:rtl w:val="true"/>
              </w:rPr>
              <w:tab/>
            </w:r>
            <w:r>
              <w:rPr>
                <w:rStyle w:val="IndexLink"/>
              </w:rPr>
              <w:t>569</w:t>
            </w:r>
          </w:hyperlink>
        </w:p>
        <w:p>
          <w:pPr>
            <w:pStyle w:val="Contents5"/>
            <w:tabs>
              <w:tab w:val="clear" w:pos="7892"/>
              <w:tab w:val="right" w:pos="9026" w:leader="dot"/>
            </w:tabs>
            <w:rPr/>
          </w:pPr>
          <w:hyperlink w:anchor="__RefHeading___Toc8040357_1280447820">
            <w:r>
              <w:rPr>
                <w:webHidden/>
                <w:rStyle w:val="IndexLink"/>
                <w:rtl w:val="true"/>
              </w:rPr>
              <w:t xml:space="preserve">علاقة هذه الرسالة ب </w:t>
            </w:r>
            <w:r>
              <w:rPr>
                <w:rStyle w:val="IndexLink"/>
                <w:rtl w:val="true"/>
              </w:rPr>
              <w:t>«</w:t>
            </w:r>
            <w:r>
              <w:rPr>
                <w:rStyle w:val="IndexLink"/>
                <w:rtl w:val="true"/>
              </w:rPr>
              <w:t>المسائل المحمّديّات</w:t>
            </w:r>
            <w:r>
              <w:rPr>
                <w:rStyle w:val="IndexLink"/>
                <w:rtl w:val="true"/>
              </w:rPr>
              <w:t>».</w:t>
              <w:tab/>
            </w:r>
            <w:r>
              <w:rPr>
                <w:rStyle w:val="IndexLink"/>
              </w:rPr>
              <w:t>570</w:t>
            </w:r>
          </w:hyperlink>
        </w:p>
        <w:p>
          <w:pPr>
            <w:pStyle w:val="Contents5"/>
            <w:tabs>
              <w:tab w:val="clear" w:pos="7892"/>
              <w:tab w:val="right" w:pos="9026" w:leader="dot"/>
            </w:tabs>
            <w:rPr/>
          </w:pPr>
          <w:hyperlink w:anchor="__RefHeading___Toc8040359_1280447820">
            <w:r>
              <w:rPr>
                <w:webHidden/>
                <w:rStyle w:val="IndexLink"/>
                <w:rtl w:val="true"/>
              </w:rPr>
              <w:t>مخطوطات الرسالة</w:t>
            </w:r>
            <w:r>
              <w:rPr>
                <w:rStyle w:val="IndexLink"/>
                <w:rtl w:val="true"/>
              </w:rPr>
              <w:tab/>
            </w:r>
            <w:r>
              <w:rPr>
                <w:rStyle w:val="IndexLink"/>
              </w:rPr>
              <w:t>572</w:t>
            </w:r>
          </w:hyperlink>
        </w:p>
        <w:p>
          <w:pPr>
            <w:pStyle w:val="Contents4"/>
            <w:tabs>
              <w:tab w:val="clear" w:pos="8176"/>
              <w:tab w:val="right" w:pos="9026" w:leader="dot"/>
            </w:tabs>
            <w:rPr/>
          </w:pPr>
          <w:hyperlink w:anchor="__RefHeading___Toc8040361_1280447820">
            <w:r>
              <w:rPr>
                <w:webHidden/>
                <w:rStyle w:val="IndexLink"/>
                <w:rtl w:val="true"/>
              </w:rPr>
              <w:t>مَسألةٌ في استلامِ الحَجَرِ و التلبيةِ‌</w:t>
            </w:r>
            <w:r>
              <w:rPr>
                <w:rStyle w:val="IndexLink"/>
                <w:rtl w:val="true"/>
              </w:rPr>
              <w:tab/>
            </w:r>
            <w:r>
              <w:rPr>
                <w:rStyle w:val="IndexLink"/>
              </w:rPr>
              <w:t>573</w:t>
            </w:r>
          </w:hyperlink>
        </w:p>
        <w:p>
          <w:pPr>
            <w:pStyle w:val="Contents3"/>
            <w:tabs>
              <w:tab w:val="clear" w:pos="8459"/>
              <w:tab w:val="right" w:pos="9026" w:leader="dot"/>
            </w:tabs>
            <w:rPr/>
          </w:pPr>
          <w:hyperlink w:anchor="__RefHeading___Toc8040363_1280447820">
            <w:r>
              <w:rPr>
                <w:webHidden/>
                <w:rStyle w:val="IndexLink"/>
                <w:rtl w:val="true"/>
              </w:rPr>
              <w:t>(</w:t>
            </w:r>
            <w:r>
              <w:rPr>
                <w:rStyle w:val="IndexLink"/>
              </w:rPr>
              <w:t>89</w:t>
            </w:r>
            <w:r>
              <w:rPr>
                <w:rStyle w:val="IndexLink"/>
                <w:rtl w:val="true"/>
              </w:rPr>
              <w:t xml:space="preserve">) </w:t>
            </w:r>
            <w:r>
              <w:rPr>
                <w:rStyle w:val="IndexLink"/>
                <w:rtl w:val="true"/>
              </w:rPr>
              <w:t>مسألةٌ في جوازِ تَزكيةِ مالٍ مِن مالٍ آخَرَ</w:t>
            </w:r>
            <w:r>
              <w:rPr>
                <w:rStyle w:val="IndexLink"/>
                <w:rtl w:val="true"/>
              </w:rPr>
              <w:tab/>
            </w:r>
            <w:r>
              <w:rPr>
                <w:rStyle w:val="IndexLink"/>
              </w:rPr>
              <w:t>579</w:t>
            </w:r>
          </w:hyperlink>
        </w:p>
        <w:p>
          <w:pPr>
            <w:pStyle w:val="Contents4"/>
            <w:tabs>
              <w:tab w:val="clear" w:pos="8176"/>
              <w:tab w:val="right" w:pos="9026" w:leader="dot"/>
            </w:tabs>
            <w:rPr/>
          </w:pPr>
          <w:hyperlink w:anchor="__RefHeading___Toc8040365_1280447820">
            <w:r>
              <w:rPr>
                <w:webHidden/>
                <w:rStyle w:val="IndexLink"/>
                <w:rtl w:val="true"/>
              </w:rPr>
              <w:t>اشارة</w:t>
            </w:r>
            <w:r>
              <w:rPr>
                <w:rStyle w:val="IndexLink"/>
                <w:rtl w:val="true"/>
              </w:rPr>
              <w:tab/>
            </w:r>
            <w:r>
              <w:rPr>
                <w:rStyle w:val="IndexLink"/>
              </w:rPr>
              <w:t>579</w:t>
            </w:r>
          </w:hyperlink>
        </w:p>
        <w:p>
          <w:pPr>
            <w:pStyle w:val="Contents4"/>
            <w:tabs>
              <w:tab w:val="clear" w:pos="8176"/>
              <w:tab w:val="right" w:pos="9026" w:leader="dot"/>
            </w:tabs>
            <w:rPr/>
          </w:pPr>
          <w:hyperlink w:anchor="__RefHeading___Toc8040367_1280447820">
            <w:r>
              <w:rPr>
                <w:webHidden/>
                <w:rStyle w:val="IndexLink"/>
                <w:rtl w:val="true"/>
              </w:rPr>
              <w:t>مقدّمة التحقيق</w:t>
            </w:r>
            <w:r>
              <w:rPr>
                <w:rStyle w:val="IndexLink"/>
                <w:rtl w:val="true"/>
              </w:rPr>
              <w:tab/>
            </w:r>
            <w:r>
              <w:rPr>
                <w:rStyle w:val="IndexLink"/>
              </w:rPr>
              <w:t>581</w:t>
            </w:r>
          </w:hyperlink>
        </w:p>
        <w:p>
          <w:pPr>
            <w:pStyle w:val="Contents5"/>
            <w:tabs>
              <w:tab w:val="clear" w:pos="7892"/>
              <w:tab w:val="right" w:pos="9026" w:leader="dot"/>
            </w:tabs>
            <w:rPr/>
          </w:pPr>
          <w:hyperlink w:anchor="__RefHeading___Toc8040369_1280447820">
            <w:r>
              <w:rPr>
                <w:webHidden/>
                <w:rStyle w:val="IndexLink"/>
                <w:rtl w:val="true"/>
              </w:rPr>
              <w:t>اشارة</w:t>
            </w:r>
            <w:r>
              <w:rPr>
                <w:rStyle w:val="IndexLink"/>
                <w:rtl w:val="true"/>
              </w:rPr>
              <w:tab/>
            </w:r>
            <w:r>
              <w:rPr>
                <w:rStyle w:val="IndexLink"/>
              </w:rPr>
              <w:t>581</w:t>
            </w:r>
          </w:hyperlink>
        </w:p>
        <w:p>
          <w:pPr>
            <w:pStyle w:val="Contents5"/>
            <w:tabs>
              <w:tab w:val="clear" w:pos="7892"/>
              <w:tab w:val="right" w:pos="9026" w:leader="dot"/>
            </w:tabs>
            <w:rPr/>
          </w:pPr>
          <w:hyperlink w:anchor="__RefHeading___Toc8040371_1280447820">
            <w:r>
              <w:rPr>
                <w:webHidden/>
                <w:rStyle w:val="IndexLink"/>
                <w:rtl w:val="true"/>
              </w:rPr>
              <w:t>مخطوطات الرسالة</w:t>
            </w:r>
            <w:r>
              <w:rPr>
                <w:rStyle w:val="IndexLink"/>
                <w:rtl w:val="true"/>
              </w:rPr>
              <w:tab/>
            </w:r>
            <w:r>
              <w:rPr>
                <w:rStyle w:val="IndexLink"/>
              </w:rPr>
              <w:t>581</w:t>
            </w:r>
          </w:hyperlink>
        </w:p>
        <w:p>
          <w:pPr>
            <w:pStyle w:val="Contents4"/>
            <w:tabs>
              <w:tab w:val="clear" w:pos="8176"/>
              <w:tab w:val="right" w:pos="9026" w:leader="dot"/>
            </w:tabs>
            <w:rPr/>
          </w:pPr>
          <w:hyperlink w:anchor="__RefHeading___Toc8040373_1280447820">
            <w:r>
              <w:rPr>
                <w:webHidden/>
                <w:rStyle w:val="IndexLink"/>
                <w:rtl w:val="true"/>
              </w:rPr>
              <w:t>مسألةٌ في جوازِ تَزكيةِ مالٍ مِن مالٍ آخَرَ</w:t>
            </w:r>
            <w:r>
              <w:rPr>
                <w:rStyle w:val="IndexLink"/>
                <w:rtl w:val="true"/>
              </w:rPr>
              <w:tab/>
            </w:r>
            <w:r>
              <w:rPr>
                <w:rStyle w:val="IndexLink"/>
              </w:rPr>
              <w:t>583</w:t>
            </w:r>
          </w:hyperlink>
        </w:p>
        <w:p>
          <w:pPr>
            <w:pStyle w:val="Contents3"/>
            <w:tabs>
              <w:tab w:val="clear" w:pos="8459"/>
              <w:tab w:val="right" w:pos="9026" w:leader="dot"/>
            </w:tabs>
            <w:rPr/>
          </w:pPr>
          <w:hyperlink w:anchor="__RefHeading___Toc8040375_1280447820">
            <w:r>
              <w:rPr>
                <w:webHidden/>
                <w:rStyle w:val="IndexLink"/>
                <w:rtl w:val="true"/>
              </w:rPr>
              <w:t>(</w:t>
            </w:r>
            <w:r>
              <w:rPr>
                <w:rStyle w:val="IndexLink"/>
              </w:rPr>
              <w:t>90</w:t>
            </w:r>
            <w:r>
              <w:rPr>
                <w:rStyle w:val="IndexLink"/>
                <w:rtl w:val="true"/>
              </w:rPr>
              <w:t xml:space="preserve">) </w:t>
            </w:r>
            <w:r>
              <w:rPr>
                <w:rStyle w:val="IndexLink"/>
                <w:rtl w:val="true"/>
              </w:rPr>
              <w:t>مسألةٌ في نفيِ دلالةِ صيغةِ الأمرِ على القبولِ‌</w:t>
            </w:r>
            <w:r>
              <w:rPr>
                <w:rStyle w:val="IndexLink"/>
                <w:rtl w:val="true"/>
              </w:rPr>
              <w:tab/>
            </w:r>
            <w:r>
              <w:rPr>
                <w:rStyle w:val="IndexLink"/>
              </w:rPr>
              <w:t>585</w:t>
            </w:r>
          </w:hyperlink>
        </w:p>
        <w:p>
          <w:pPr>
            <w:pStyle w:val="Contents4"/>
            <w:tabs>
              <w:tab w:val="clear" w:pos="8176"/>
              <w:tab w:val="right" w:pos="9026" w:leader="dot"/>
            </w:tabs>
            <w:rPr/>
          </w:pPr>
          <w:hyperlink w:anchor="__RefHeading___Toc8040377_1280447820">
            <w:r>
              <w:rPr>
                <w:webHidden/>
                <w:rStyle w:val="IndexLink"/>
                <w:rtl w:val="true"/>
              </w:rPr>
              <w:t>اشارة</w:t>
            </w:r>
            <w:r>
              <w:rPr>
                <w:rStyle w:val="IndexLink"/>
                <w:rtl w:val="true"/>
              </w:rPr>
              <w:tab/>
            </w:r>
            <w:r>
              <w:rPr>
                <w:rStyle w:val="IndexLink"/>
              </w:rPr>
              <w:t>585</w:t>
            </w:r>
          </w:hyperlink>
        </w:p>
        <w:p>
          <w:pPr>
            <w:pStyle w:val="Contents4"/>
            <w:tabs>
              <w:tab w:val="clear" w:pos="8176"/>
              <w:tab w:val="right" w:pos="9026" w:leader="dot"/>
            </w:tabs>
            <w:rPr/>
          </w:pPr>
          <w:hyperlink w:anchor="__RefHeading___Toc8040379_1280447820">
            <w:r>
              <w:rPr>
                <w:webHidden/>
                <w:rStyle w:val="IndexLink"/>
                <w:rtl w:val="true"/>
              </w:rPr>
              <w:t>مقدّمة التحقيق</w:t>
            </w:r>
            <w:r>
              <w:rPr>
                <w:rStyle w:val="IndexLink"/>
                <w:rtl w:val="true"/>
              </w:rPr>
              <w:tab/>
            </w:r>
            <w:r>
              <w:rPr>
                <w:rStyle w:val="IndexLink"/>
              </w:rPr>
              <w:t>587</w:t>
            </w:r>
          </w:hyperlink>
        </w:p>
        <w:p>
          <w:pPr>
            <w:pStyle w:val="Contents5"/>
            <w:tabs>
              <w:tab w:val="clear" w:pos="7892"/>
              <w:tab w:val="right" w:pos="9026" w:leader="dot"/>
            </w:tabs>
            <w:rPr/>
          </w:pPr>
          <w:hyperlink w:anchor="__RefHeading___Toc8040381_1280447820">
            <w:r>
              <w:rPr>
                <w:webHidden/>
                <w:rStyle w:val="IndexLink"/>
                <w:rtl w:val="true"/>
              </w:rPr>
              <w:t>اشارة</w:t>
            </w:r>
            <w:r>
              <w:rPr>
                <w:rStyle w:val="IndexLink"/>
                <w:rtl w:val="true"/>
              </w:rPr>
              <w:tab/>
            </w:r>
            <w:r>
              <w:rPr>
                <w:rStyle w:val="IndexLink"/>
              </w:rPr>
              <w:t>587</w:t>
            </w:r>
          </w:hyperlink>
        </w:p>
        <w:p>
          <w:pPr>
            <w:pStyle w:val="Contents5"/>
            <w:tabs>
              <w:tab w:val="clear" w:pos="7892"/>
              <w:tab w:val="right" w:pos="9026" w:leader="dot"/>
            </w:tabs>
            <w:rPr/>
          </w:pPr>
          <w:hyperlink w:anchor="__RefHeading___Toc8040383_1280447820">
            <w:r>
              <w:rPr>
                <w:webHidden/>
                <w:rStyle w:val="IndexLink"/>
                <w:rtl w:val="true"/>
              </w:rPr>
              <w:t>عنوان الرسالة</w:t>
            </w:r>
            <w:r>
              <w:rPr>
                <w:rStyle w:val="IndexLink"/>
                <w:rtl w:val="true"/>
              </w:rPr>
              <w:tab/>
            </w:r>
            <w:r>
              <w:rPr>
                <w:rStyle w:val="IndexLink"/>
              </w:rPr>
              <w:t>588</w:t>
            </w:r>
          </w:hyperlink>
        </w:p>
        <w:p>
          <w:pPr>
            <w:pStyle w:val="Contents5"/>
            <w:tabs>
              <w:tab w:val="clear" w:pos="7892"/>
              <w:tab w:val="right" w:pos="9026" w:leader="dot"/>
            </w:tabs>
            <w:rPr/>
          </w:pPr>
          <w:hyperlink w:anchor="__RefHeading___Toc8040385_1280447820">
            <w:r>
              <w:rPr>
                <w:webHidden/>
                <w:rStyle w:val="IndexLink"/>
                <w:rtl w:val="true"/>
              </w:rPr>
              <w:t>تاريخ تأليف الرسالة</w:t>
            </w:r>
            <w:r>
              <w:rPr>
                <w:rStyle w:val="IndexLink"/>
                <w:rtl w:val="true"/>
              </w:rPr>
              <w:tab/>
            </w:r>
            <w:r>
              <w:rPr>
                <w:rStyle w:val="IndexLink"/>
              </w:rPr>
              <w:t>589</w:t>
            </w:r>
          </w:hyperlink>
        </w:p>
        <w:p>
          <w:pPr>
            <w:pStyle w:val="Contents5"/>
            <w:tabs>
              <w:tab w:val="clear" w:pos="7892"/>
              <w:tab w:val="right" w:pos="9026" w:leader="dot"/>
            </w:tabs>
            <w:rPr/>
          </w:pPr>
          <w:hyperlink w:anchor="__RefHeading___Toc8040387_1280447820">
            <w:r>
              <w:rPr>
                <w:webHidden/>
                <w:rStyle w:val="IndexLink"/>
                <w:rtl w:val="true"/>
              </w:rPr>
              <w:t>مخطوطات الرسالة</w:t>
            </w:r>
            <w:r>
              <w:rPr>
                <w:rStyle w:val="IndexLink"/>
                <w:rtl w:val="true"/>
              </w:rPr>
              <w:tab/>
            </w:r>
            <w:r>
              <w:rPr>
                <w:rStyle w:val="IndexLink"/>
              </w:rPr>
              <w:t>589</w:t>
            </w:r>
          </w:hyperlink>
        </w:p>
        <w:p>
          <w:pPr>
            <w:pStyle w:val="Contents4"/>
            <w:tabs>
              <w:tab w:val="clear" w:pos="8176"/>
              <w:tab w:val="right" w:pos="9026" w:leader="dot"/>
            </w:tabs>
            <w:rPr/>
          </w:pPr>
          <w:hyperlink w:anchor="__RefHeading___Toc8040389_1280447820">
            <w:r>
              <w:rPr>
                <w:webHidden/>
                <w:rStyle w:val="IndexLink"/>
                <w:rtl w:val="true"/>
              </w:rPr>
              <w:t>مسألةٌ في نفيِ دلالةِ صيغةِ الأمرِ على القبولِ‌</w:t>
            </w:r>
            <w:r>
              <w:rPr>
                <w:rStyle w:val="IndexLink"/>
                <w:rtl w:val="true"/>
              </w:rPr>
              <w:tab/>
            </w:r>
            <w:r>
              <w:rPr>
                <w:rStyle w:val="IndexLink"/>
              </w:rPr>
              <w:t>594</w:t>
            </w:r>
          </w:hyperlink>
        </w:p>
        <w:p>
          <w:pPr>
            <w:pStyle w:val="Contents3"/>
            <w:tabs>
              <w:tab w:val="clear" w:pos="8459"/>
              <w:tab w:val="right" w:pos="9026" w:leader="dot"/>
            </w:tabs>
            <w:rPr/>
          </w:pPr>
          <w:hyperlink w:anchor="__RefHeading___Toc8040391_1280447820">
            <w:r>
              <w:rPr>
                <w:webHidden/>
                <w:rStyle w:val="IndexLink"/>
                <w:rtl w:val="true"/>
              </w:rPr>
              <w:t>(</w:t>
            </w:r>
            <w:r>
              <w:rPr>
                <w:rStyle w:val="IndexLink"/>
              </w:rPr>
              <w:t>91</w:t>
            </w:r>
            <w:r>
              <w:rPr>
                <w:rStyle w:val="IndexLink"/>
                <w:rtl w:val="true"/>
              </w:rPr>
              <w:t xml:space="preserve">) </w:t>
            </w:r>
            <w:r>
              <w:rPr>
                <w:rStyle w:val="IndexLink"/>
                <w:rtl w:val="true"/>
              </w:rPr>
              <w:t>مَسألةٌ في نِكاحِ المُتعةِ‌</w:t>
            </w:r>
            <w:r>
              <w:rPr>
                <w:rStyle w:val="IndexLink"/>
                <w:rtl w:val="true"/>
              </w:rPr>
              <w:tab/>
            </w:r>
            <w:r>
              <w:rPr>
                <w:rStyle w:val="IndexLink"/>
              </w:rPr>
              <w:t>598</w:t>
            </w:r>
          </w:hyperlink>
        </w:p>
        <w:p>
          <w:pPr>
            <w:pStyle w:val="Contents4"/>
            <w:tabs>
              <w:tab w:val="clear" w:pos="8176"/>
              <w:tab w:val="right" w:pos="9026" w:leader="dot"/>
            </w:tabs>
            <w:rPr/>
          </w:pPr>
          <w:hyperlink w:anchor="__RefHeading___Toc8040393_1280447820">
            <w:r>
              <w:rPr>
                <w:webHidden/>
                <w:rStyle w:val="IndexLink"/>
                <w:rtl w:val="true"/>
              </w:rPr>
              <w:t>اشارة</w:t>
            </w:r>
            <w:r>
              <w:rPr>
                <w:rStyle w:val="IndexLink"/>
                <w:rtl w:val="true"/>
              </w:rPr>
              <w:tab/>
            </w:r>
            <w:r>
              <w:rPr>
                <w:rStyle w:val="IndexLink"/>
              </w:rPr>
              <w:t>598</w:t>
            </w:r>
          </w:hyperlink>
        </w:p>
        <w:p>
          <w:pPr>
            <w:pStyle w:val="Contents4"/>
            <w:tabs>
              <w:tab w:val="clear" w:pos="8176"/>
              <w:tab w:val="right" w:pos="9026" w:leader="dot"/>
            </w:tabs>
            <w:rPr/>
          </w:pPr>
          <w:hyperlink w:anchor="__RefHeading___Toc8040395_1280447820">
            <w:r>
              <w:rPr>
                <w:webHidden/>
                <w:rStyle w:val="IndexLink"/>
                <w:rtl w:val="true"/>
              </w:rPr>
              <w:t>مقدّمة التحقيق</w:t>
            </w:r>
            <w:r>
              <w:rPr>
                <w:rStyle w:val="IndexLink"/>
                <w:rtl w:val="true"/>
              </w:rPr>
              <w:tab/>
            </w:r>
            <w:r>
              <w:rPr>
                <w:rStyle w:val="IndexLink"/>
              </w:rPr>
              <w:t>600</w:t>
            </w:r>
          </w:hyperlink>
        </w:p>
        <w:p>
          <w:pPr>
            <w:pStyle w:val="Contents5"/>
            <w:tabs>
              <w:tab w:val="clear" w:pos="7892"/>
              <w:tab w:val="right" w:pos="9026" w:leader="dot"/>
            </w:tabs>
            <w:rPr/>
          </w:pPr>
          <w:hyperlink w:anchor="__RefHeading___Toc8040397_1280447820">
            <w:r>
              <w:rPr>
                <w:webHidden/>
                <w:rStyle w:val="IndexLink"/>
                <w:rtl w:val="true"/>
              </w:rPr>
              <w:t>اشارة</w:t>
            </w:r>
            <w:r>
              <w:rPr>
                <w:rStyle w:val="IndexLink"/>
                <w:rtl w:val="true"/>
              </w:rPr>
              <w:tab/>
            </w:r>
            <w:r>
              <w:rPr>
                <w:rStyle w:val="IndexLink"/>
              </w:rPr>
              <w:t>600</w:t>
            </w:r>
          </w:hyperlink>
        </w:p>
        <w:p>
          <w:pPr>
            <w:pStyle w:val="Contents5"/>
            <w:tabs>
              <w:tab w:val="clear" w:pos="7892"/>
              <w:tab w:val="right" w:pos="9026" w:leader="dot"/>
            </w:tabs>
            <w:rPr/>
          </w:pPr>
          <w:hyperlink w:anchor="__RefHeading___Toc8040399_1280447820">
            <w:r>
              <w:rPr>
                <w:webHidden/>
                <w:rStyle w:val="IndexLink"/>
                <w:rtl w:val="true"/>
              </w:rPr>
              <w:t>محتوى الرسالة</w:t>
            </w:r>
            <w:r>
              <w:rPr>
                <w:rStyle w:val="IndexLink"/>
                <w:rtl w:val="true"/>
              </w:rPr>
              <w:tab/>
            </w:r>
            <w:r>
              <w:rPr>
                <w:rStyle w:val="IndexLink"/>
              </w:rPr>
              <w:t>600</w:t>
            </w:r>
          </w:hyperlink>
        </w:p>
        <w:p>
          <w:pPr>
            <w:pStyle w:val="Contents5"/>
            <w:tabs>
              <w:tab w:val="clear" w:pos="7892"/>
              <w:tab w:val="right" w:pos="9026" w:leader="dot"/>
            </w:tabs>
            <w:rPr/>
          </w:pPr>
          <w:hyperlink w:anchor="__RefHeading___Toc8040401_1280447820">
            <w:r>
              <w:rPr>
                <w:webHidden/>
                <w:rStyle w:val="IndexLink"/>
                <w:rtl w:val="true"/>
              </w:rPr>
              <w:t>مخطوطات الرسالة</w:t>
            </w:r>
            <w:r>
              <w:rPr>
                <w:rStyle w:val="IndexLink"/>
                <w:rtl w:val="true"/>
              </w:rPr>
              <w:tab/>
            </w:r>
            <w:r>
              <w:rPr>
                <w:rStyle w:val="IndexLink"/>
              </w:rPr>
              <w:t>603</w:t>
            </w:r>
          </w:hyperlink>
        </w:p>
        <w:p>
          <w:pPr>
            <w:pStyle w:val="Contents6"/>
            <w:tabs>
              <w:tab w:val="clear" w:pos="7609"/>
              <w:tab w:val="right" w:pos="9026" w:leader="dot"/>
            </w:tabs>
            <w:rPr/>
          </w:pPr>
          <w:hyperlink w:anchor="__RefHeading___Toc8040403_1280447820">
            <w:r>
              <w:rPr>
                <w:webHidden/>
                <w:rStyle w:val="IndexLink"/>
                <w:rtl w:val="true"/>
              </w:rPr>
              <w:t>ألف</w:t>
            </w:r>
            <w:r>
              <w:rPr>
                <w:rStyle w:val="IndexLink"/>
                <w:rtl w:val="true"/>
              </w:rPr>
              <w:t xml:space="preserve">) </w:t>
            </w:r>
            <w:r>
              <w:rPr>
                <w:rStyle w:val="IndexLink"/>
                <w:rtl w:val="true"/>
              </w:rPr>
              <w:t>النسخ المعتمدة</w:t>
            </w:r>
            <w:r>
              <w:rPr>
                <w:rStyle w:val="IndexLink"/>
                <w:rtl w:val="true"/>
              </w:rPr>
              <w:t>:</w:t>
              <w:tab/>
            </w:r>
            <w:r>
              <w:rPr>
                <w:rStyle w:val="IndexLink"/>
              </w:rPr>
              <w:t>603</w:t>
            </w:r>
          </w:hyperlink>
        </w:p>
        <w:p>
          <w:pPr>
            <w:pStyle w:val="Contents6"/>
            <w:tabs>
              <w:tab w:val="clear" w:pos="7609"/>
              <w:tab w:val="right" w:pos="9026" w:leader="dot"/>
            </w:tabs>
            <w:rPr/>
          </w:pPr>
          <w:hyperlink w:anchor="__RefHeading___Toc8040405_1280447820">
            <w:r>
              <w:rPr>
                <w:webHidden/>
                <w:rStyle w:val="IndexLink"/>
                <w:rtl w:val="true"/>
              </w:rPr>
              <w:t>ب</w:t>
            </w:r>
            <w:r>
              <w:rPr>
                <w:rStyle w:val="IndexLink"/>
                <w:rtl w:val="true"/>
              </w:rPr>
              <w:t xml:space="preserve">) </w:t>
            </w:r>
            <w:r>
              <w:rPr>
                <w:rStyle w:val="IndexLink"/>
                <w:rtl w:val="true"/>
              </w:rPr>
              <w:t>سائر النسخ</w:t>
            </w:r>
            <w:r>
              <w:rPr>
                <w:rStyle w:val="IndexLink"/>
                <w:rtl w:val="true"/>
              </w:rPr>
              <w:t>:</w:t>
              <w:tab/>
            </w:r>
            <w:r>
              <w:rPr>
                <w:rStyle w:val="IndexLink"/>
              </w:rPr>
              <w:t>604</w:t>
            </w:r>
          </w:hyperlink>
        </w:p>
        <w:p>
          <w:pPr>
            <w:pStyle w:val="Contents4"/>
            <w:tabs>
              <w:tab w:val="clear" w:pos="8176"/>
              <w:tab w:val="right" w:pos="9026" w:leader="dot"/>
            </w:tabs>
            <w:rPr/>
          </w:pPr>
          <w:hyperlink w:anchor="__RefHeading___Toc8040407_1280447820">
            <w:r>
              <w:rPr>
                <w:webHidden/>
                <w:rStyle w:val="IndexLink"/>
                <w:rtl w:val="true"/>
              </w:rPr>
              <w:t>مَسألةٌ في نِكاحِ المُتعةِ‌</w:t>
            </w:r>
            <w:r>
              <w:rPr>
                <w:rStyle w:val="IndexLink"/>
                <w:rtl w:val="true"/>
              </w:rPr>
              <w:tab/>
            </w:r>
            <w:r>
              <w:rPr>
                <w:rStyle w:val="IndexLink"/>
              </w:rPr>
              <w:t>606</w:t>
            </w:r>
          </w:hyperlink>
        </w:p>
        <w:p>
          <w:pPr>
            <w:pStyle w:val="Contents5"/>
            <w:tabs>
              <w:tab w:val="clear" w:pos="7892"/>
              <w:tab w:val="right" w:pos="9026" w:leader="dot"/>
            </w:tabs>
            <w:rPr/>
          </w:pPr>
          <w:hyperlink w:anchor="__RefHeading___Toc8040409_1280447820">
            <w:r>
              <w:rPr>
                <w:webHidden/>
                <w:rStyle w:val="IndexLink"/>
                <w:rtl w:val="true"/>
              </w:rPr>
              <w:t>اشارة</w:t>
            </w:r>
            <w:r>
              <w:rPr>
                <w:rStyle w:val="IndexLink"/>
                <w:rtl w:val="true"/>
              </w:rPr>
              <w:tab/>
            </w:r>
            <w:r>
              <w:rPr>
                <w:rStyle w:val="IndexLink"/>
              </w:rPr>
              <w:t>606</w:t>
            </w:r>
          </w:hyperlink>
        </w:p>
        <w:p>
          <w:pPr>
            <w:pStyle w:val="Contents5"/>
            <w:tabs>
              <w:tab w:val="clear" w:pos="7892"/>
              <w:tab w:val="right" w:pos="9026" w:leader="dot"/>
            </w:tabs>
            <w:rPr/>
          </w:pPr>
          <w:hyperlink w:anchor="__RefHeading___Toc8040411_1280447820">
            <w:r>
              <w:rPr>
                <w:webHidden/>
                <w:rStyle w:val="IndexLink"/>
                <w:rtl w:val="true"/>
              </w:rPr>
              <w:t>بطلانُ الاستدلالِ علىٰ فسادِ نكاحِ المتعةِ بعدمِ دخولِ الطلاقِ فيه</w:t>
            </w:r>
            <w:r>
              <w:rPr>
                <w:rStyle w:val="IndexLink"/>
                <w:rtl w:val="true"/>
              </w:rPr>
              <w:tab/>
            </w:r>
            <w:r>
              <w:rPr>
                <w:rStyle w:val="IndexLink"/>
              </w:rPr>
              <w:t>606</w:t>
            </w:r>
          </w:hyperlink>
        </w:p>
        <w:p>
          <w:pPr>
            <w:pStyle w:val="Contents3"/>
            <w:tabs>
              <w:tab w:val="clear" w:pos="8459"/>
              <w:tab w:val="right" w:pos="9026" w:leader="dot"/>
            </w:tabs>
            <w:rPr/>
          </w:pPr>
          <w:hyperlink w:anchor="__RefHeading___Toc8040413_1280447820">
            <w:r>
              <w:rPr>
                <w:webHidden/>
                <w:rStyle w:val="IndexLink"/>
                <w:rtl w:val="true"/>
              </w:rPr>
              <w:t>(</w:t>
            </w:r>
            <w:r>
              <w:rPr>
                <w:rStyle w:val="IndexLink"/>
              </w:rPr>
              <w:t>92</w:t>
            </w:r>
            <w:r>
              <w:rPr>
                <w:rStyle w:val="IndexLink"/>
                <w:rtl w:val="true"/>
              </w:rPr>
              <w:t xml:space="preserve">) </w:t>
            </w:r>
            <w:r>
              <w:rPr>
                <w:rStyle w:val="IndexLink"/>
                <w:rtl w:val="true"/>
              </w:rPr>
              <w:t>مسألةٌ في حُكمِ الطلاقِ ثلاثاً بلفظٍ واحدٍ</w:t>
            </w:r>
            <w:r>
              <w:rPr>
                <w:rStyle w:val="IndexLink"/>
                <w:rtl w:val="true"/>
              </w:rPr>
              <w:tab/>
            </w:r>
            <w:r>
              <w:rPr>
                <w:rStyle w:val="IndexLink"/>
              </w:rPr>
              <w:t>610</w:t>
            </w:r>
          </w:hyperlink>
        </w:p>
        <w:p>
          <w:pPr>
            <w:pStyle w:val="Contents4"/>
            <w:tabs>
              <w:tab w:val="clear" w:pos="8176"/>
              <w:tab w:val="right" w:pos="9026" w:leader="dot"/>
            </w:tabs>
            <w:rPr/>
          </w:pPr>
          <w:hyperlink w:anchor="__RefHeading___Toc8040415_1280447820">
            <w:r>
              <w:rPr>
                <w:webHidden/>
                <w:rStyle w:val="IndexLink"/>
                <w:rtl w:val="true"/>
              </w:rPr>
              <w:t>اشارة</w:t>
            </w:r>
            <w:r>
              <w:rPr>
                <w:rStyle w:val="IndexLink"/>
                <w:rtl w:val="true"/>
              </w:rPr>
              <w:tab/>
            </w:r>
            <w:r>
              <w:rPr>
                <w:rStyle w:val="IndexLink"/>
              </w:rPr>
              <w:t>610</w:t>
            </w:r>
          </w:hyperlink>
        </w:p>
        <w:p>
          <w:pPr>
            <w:pStyle w:val="Contents4"/>
            <w:tabs>
              <w:tab w:val="clear" w:pos="8176"/>
              <w:tab w:val="right" w:pos="9026" w:leader="dot"/>
            </w:tabs>
            <w:rPr/>
          </w:pPr>
          <w:hyperlink w:anchor="__RefHeading___Toc8040417_1280447820">
            <w:r>
              <w:rPr>
                <w:webHidden/>
                <w:rStyle w:val="IndexLink"/>
                <w:rtl w:val="true"/>
              </w:rPr>
              <w:t>مقدّمة التحقيق</w:t>
            </w:r>
            <w:r>
              <w:rPr>
                <w:rStyle w:val="IndexLink"/>
                <w:rtl w:val="true"/>
              </w:rPr>
              <w:tab/>
            </w:r>
            <w:r>
              <w:rPr>
                <w:rStyle w:val="IndexLink"/>
              </w:rPr>
              <w:t>612</w:t>
            </w:r>
          </w:hyperlink>
        </w:p>
        <w:p>
          <w:pPr>
            <w:pStyle w:val="Contents5"/>
            <w:tabs>
              <w:tab w:val="clear" w:pos="7892"/>
              <w:tab w:val="right" w:pos="9026" w:leader="dot"/>
            </w:tabs>
            <w:rPr/>
          </w:pPr>
          <w:hyperlink w:anchor="__RefHeading___Toc8040419_1280447820">
            <w:r>
              <w:rPr>
                <w:webHidden/>
                <w:rStyle w:val="IndexLink"/>
                <w:rtl w:val="true"/>
              </w:rPr>
              <w:t>اشارة</w:t>
            </w:r>
            <w:r>
              <w:rPr>
                <w:rStyle w:val="IndexLink"/>
                <w:rtl w:val="true"/>
              </w:rPr>
              <w:tab/>
            </w:r>
            <w:r>
              <w:rPr>
                <w:rStyle w:val="IndexLink"/>
              </w:rPr>
              <w:t>612</w:t>
            </w:r>
          </w:hyperlink>
        </w:p>
        <w:p>
          <w:pPr>
            <w:pStyle w:val="Contents5"/>
            <w:tabs>
              <w:tab w:val="clear" w:pos="7892"/>
              <w:tab w:val="right" w:pos="9026" w:leader="dot"/>
            </w:tabs>
            <w:rPr/>
          </w:pPr>
          <w:hyperlink w:anchor="__RefHeading___Toc8040421_1280447820">
            <w:r>
              <w:rPr>
                <w:webHidden/>
                <w:rStyle w:val="IndexLink"/>
                <w:rtl w:val="true"/>
              </w:rPr>
              <w:t>عنوان الرسالة</w:t>
            </w:r>
            <w:r>
              <w:rPr>
                <w:rStyle w:val="IndexLink"/>
                <w:rtl w:val="true"/>
              </w:rPr>
              <w:tab/>
            </w:r>
            <w:r>
              <w:rPr>
                <w:rStyle w:val="IndexLink"/>
              </w:rPr>
              <w:t>613</w:t>
            </w:r>
          </w:hyperlink>
        </w:p>
        <w:p>
          <w:pPr>
            <w:pStyle w:val="Contents5"/>
            <w:tabs>
              <w:tab w:val="clear" w:pos="7892"/>
              <w:tab w:val="right" w:pos="9026" w:leader="dot"/>
            </w:tabs>
            <w:rPr/>
          </w:pPr>
          <w:hyperlink w:anchor="__RefHeading___Toc8040423_1280447820">
            <w:r>
              <w:rPr>
                <w:webHidden/>
                <w:rStyle w:val="IndexLink"/>
                <w:rtl w:val="true"/>
              </w:rPr>
              <w:t>مخطوطات الرسالة</w:t>
            </w:r>
            <w:r>
              <w:rPr>
                <w:rStyle w:val="IndexLink"/>
                <w:rtl w:val="true"/>
              </w:rPr>
              <w:tab/>
            </w:r>
            <w:r>
              <w:rPr>
                <w:rStyle w:val="IndexLink"/>
              </w:rPr>
              <w:t>613</w:t>
            </w:r>
          </w:hyperlink>
        </w:p>
        <w:p>
          <w:pPr>
            <w:pStyle w:val="Contents4"/>
            <w:tabs>
              <w:tab w:val="clear" w:pos="8176"/>
              <w:tab w:val="right" w:pos="9026" w:leader="dot"/>
            </w:tabs>
            <w:rPr/>
          </w:pPr>
          <w:hyperlink w:anchor="__RefHeading___Toc8040425_1280447820">
            <w:r>
              <w:rPr>
                <w:webHidden/>
                <w:rStyle w:val="IndexLink"/>
                <w:rtl w:val="true"/>
              </w:rPr>
              <w:t>مسألةٌ في حُكمِ الطلاقِ ثلاثاً بلفظٍ واحدٍ</w:t>
            </w:r>
            <w:r>
              <w:rPr>
                <w:rStyle w:val="IndexLink"/>
                <w:rtl w:val="true"/>
              </w:rPr>
              <w:tab/>
            </w:r>
            <w:r>
              <w:rPr>
                <w:rStyle w:val="IndexLink"/>
              </w:rPr>
              <w:t>617</w:t>
            </w:r>
          </w:hyperlink>
        </w:p>
        <w:p>
          <w:pPr>
            <w:pStyle w:val="Contents3"/>
            <w:tabs>
              <w:tab w:val="clear" w:pos="8459"/>
              <w:tab w:val="right" w:pos="9026" w:leader="dot"/>
            </w:tabs>
            <w:rPr/>
          </w:pPr>
          <w:hyperlink w:anchor="__RefHeading___Toc8040427_1280447820">
            <w:r>
              <w:rPr>
                <w:webHidden/>
                <w:rStyle w:val="IndexLink"/>
                <w:rtl w:val="true"/>
              </w:rPr>
              <w:t>(</w:t>
            </w:r>
            <w:r>
              <w:rPr>
                <w:rStyle w:val="IndexLink"/>
              </w:rPr>
              <w:t>93</w:t>
            </w:r>
            <w:r>
              <w:rPr>
                <w:rStyle w:val="IndexLink"/>
                <w:rtl w:val="true"/>
              </w:rPr>
              <w:t xml:space="preserve">) </w:t>
            </w:r>
            <w:r>
              <w:rPr>
                <w:rStyle w:val="IndexLink"/>
                <w:rtl w:val="true"/>
              </w:rPr>
              <w:t>مَسألةٌ في إرثِ الأَولادِ</w:t>
            </w:r>
            <w:r>
              <w:rPr>
                <w:rStyle w:val="IndexLink"/>
                <w:rtl w:val="true"/>
              </w:rPr>
              <w:tab/>
            </w:r>
            <w:r>
              <w:rPr>
                <w:rStyle w:val="IndexLink"/>
              </w:rPr>
              <w:t>619</w:t>
            </w:r>
          </w:hyperlink>
        </w:p>
        <w:p>
          <w:pPr>
            <w:pStyle w:val="Contents4"/>
            <w:tabs>
              <w:tab w:val="clear" w:pos="8176"/>
              <w:tab w:val="right" w:pos="9026" w:leader="dot"/>
            </w:tabs>
            <w:rPr/>
          </w:pPr>
          <w:hyperlink w:anchor="__RefHeading___Toc8040429_1280447820">
            <w:r>
              <w:rPr>
                <w:webHidden/>
                <w:rStyle w:val="IndexLink"/>
                <w:rtl w:val="true"/>
              </w:rPr>
              <w:t>اشارة</w:t>
            </w:r>
            <w:r>
              <w:rPr>
                <w:rStyle w:val="IndexLink"/>
                <w:rtl w:val="true"/>
              </w:rPr>
              <w:tab/>
            </w:r>
            <w:r>
              <w:rPr>
                <w:rStyle w:val="IndexLink"/>
              </w:rPr>
              <w:t>619</w:t>
            </w:r>
          </w:hyperlink>
        </w:p>
        <w:p>
          <w:pPr>
            <w:pStyle w:val="Contents4"/>
            <w:tabs>
              <w:tab w:val="clear" w:pos="8176"/>
              <w:tab w:val="right" w:pos="9026" w:leader="dot"/>
            </w:tabs>
            <w:rPr/>
          </w:pPr>
          <w:hyperlink w:anchor="__RefHeading___Toc8040431_1280447820">
            <w:r>
              <w:rPr>
                <w:webHidden/>
                <w:rStyle w:val="IndexLink"/>
                <w:rtl w:val="true"/>
              </w:rPr>
              <w:t>مقدّمة التحقيق</w:t>
            </w:r>
            <w:r>
              <w:rPr>
                <w:rStyle w:val="IndexLink"/>
                <w:rtl w:val="true"/>
              </w:rPr>
              <w:tab/>
            </w:r>
            <w:r>
              <w:rPr>
                <w:rStyle w:val="IndexLink"/>
              </w:rPr>
              <w:t>621</w:t>
            </w:r>
          </w:hyperlink>
        </w:p>
        <w:p>
          <w:pPr>
            <w:pStyle w:val="Contents5"/>
            <w:tabs>
              <w:tab w:val="clear" w:pos="7892"/>
              <w:tab w:val="right" w:pos="9026" w:leader="dot"/>
            </w:tabs>
            <w:rPr/>
          </w:pPr>
          <w:hyperlink w:anchor="__RefHeading___Toc8040433_1280447820">
            <w:r>
              <w:rPr>
                <w:webHidden/>
                <w:rStyle w:val="IndexLink"/>
                <w:rtl w:val="true"/>
              </w:rPr>
              <w:t>اشارة</w:t>
            </w:r>
            <w:r>
              <w:rPr>
                <w:rStyle w:val="IndexLink"/>
                <w:rtl w:val="true"/>
              </w:rPr>
              <w:tab/>
            </w:r>
            <w:r>
              <w:rPr>
                <w:rStyle w:val="IndexLink"/>
              </w:rPr>
              <w:t>621</w:t>
            </w:r>
          </w:hyperlink>
        </w:p>
        <w:p>
          <w:pPr>
            <w:pStyle w:val="Contents5"/>
            <w:tabs>
              <w:tab w:val="clear" w:pos="7892"/>
              <w:tab w:val="right" w:pos="9026" w:leader="dot"/>
            </w:tabs>
            <w:rPr/>
          </w:pPr>
          <w:hyperlink w:anchor="__RefHeading___Toc8040435_1280447820">
            <w:r>
              <w:rPr>
                <w:webHidden/>
                <w:rStyle w:val="IndexLink"/>
                <w:rtl w:val="true"/>
              </w:rPr>
              <w:t>نسبتها إلى المؤلف</w:t>
            </w:r>
            <w:r>
              <w:rPr>
                <w:rStyle w:val="IndexLink"/>
                <w:rtl w:val="true"/>
              </w:rPr>
              <w:tab/>
            </w:r>
            <w:r>
              <w:rPr>
                <w:rStyle w:val="IndexLink"/>
              </w:rPr>
              <w:t>623</w:t>
            </w:r>
          </w:hyperlink>
        </w:p>
        <w:p>
          <w:pPr>
            <w:pStyle w:val="Contents5"/>
            <w:tabs>
              <w:tab w:val="clear" w:pos="7892"/>
              <w:tab w:val="right" w:pos="9026" w:leader="dot"/>
            </w:tabs>
            <w:rPr/>
          </w:pPr>
          <w:hyperlink w:anchor="__RefHeading___Toc8040437_1280447820">
            <w:r>
              <w:rPr>
                <w:webHidden/>
                <w:rStyle w:val="IndexLink"/>
                <w:rtl w:val="true"/>
              </w:rPr>
              <w:t>محتوى الرسالة</w:t>
            </w:r>
            <w:r>
              <w:rPr>
                <w:rStyle w:val="IndexLink"/>
                <w:rtl w:val="true"/>
              </w:rPr>
              <w:tab/>
            </w:r>
            <w:r>
              <w:rPr>
                <w:rStyle w:val="IndexLink"/>
              </w:rPr>
              <w:t>624</w:t>
            </w:r>
          </w:hyperlink>
        </w:p>
        <w:p>
          <w:pPr>
            <w:pStyle w:val="Contents5"/>
            <w:tabs>
              <w:tab w:val="clear" w:pos="7892"/>
              <w:tab w:val="right" w:pos="9026" w:leader="dot"/>
            </w:tabs>
            <w:rPr/>
          </w:pPr>
          <w:hyperlink w:anchor="__RefHeading___Toc8040439_1280447820">
            <w:r>
              <w:rPr>
                <w:webHidden/>
                <w:rStyle w:val="IndexLink"/>
                <w:rtl w:val="true"/>
              </w:rPr>
              <w:t>مخطوطات الرسالة</w:t>
            </w:r>
            <w:r>
              <w:rPr>
                <w:rStyle w:val="IndexLink"/>
                <w:rtl w:val="true"/>
              </w:rPr>
              <w:tab/>
            </w:r>
            <w:r>
              <w:rPr>
                <w:rStyle w:val="IndexLink"/>
              </w:rPr>
              <w:t>628</w:t>
            </w:r>
          </w:hyperlink>
        </w:p>
        <w:p>
          <w:pPr>
            <w:pStyle w:val="Contents4"/>
            <w:tabs>
              <w:tab w:val="clear" w:pos="8176"/>
              <w:tab w:val="right" w:pos="9026" w:leader="dot"/>
            </w:tabs>
            <w:rPr/>
          </w:pPr>
          <w:hyperlink w:anchor="__RefHeading___Toc8040441_1280447820">
            <w:r>
              <w:rPr>
                <w:webHidden/>
                <w:rStyle w:val="IndexLink"/>
                <w:rtl w:val="true"/>
              </w:rPr>
              <w:t>مَسألةٌ في إرثِ الأَولادِ</w:t>
            </w:r>
            <w:r>
              <w:rPr>
                <w:rStyle w:val="IndexLink"/>
                <w:rtl w:val="true"/>
              </w:rPr>
              <w:tab/>
            </w:r>
            <w:r>
              <w:rPr>
                <w:rStyle w:val="IndexLink"/>
              </w:rPr>
              <w:t>629</w:t>
            </w:r>
          </w:hyperlink>
        </w:p>
        <w:p>
          <w:pPr>
            <w:pStyle w:val="Contents5"/>
            <w:tabs>
              <w:tab w:val="clear" w:pos="7892"/>
              <w:tab w:val="right" w:pos="9026" w:leader="dot"/>
            </w:tabs>
            <w:rPr/>
          </w:pPr>
          <w:hyperlink w:anchor="__RefHeading___Toc8040443_1280447820">
            <w:r>
              <w:rPr>
                <w:webHidden/>
                <w:rStyle w:val="IndexLink"/>
                <w:rtl w:val="true"/>
              </w:rPr>
              <w:t>اشارة</w:t>
            </w:r>
            <w:r>
              <w:rPr>
                <w:rStyle w:val="IndexLink"/>
                <w:rtl w:val="true"/>
              </w:rPr>
              <w:tab/>
            </w:r>
            <w:r>
              <w:rPr>
                <w:rStyle w:val="IndexLink"/>
              </w:rPr>
              <w:t>629</w:t>
            </w:r>
          </w:hyperlink>
        </w:p>
        <w:p>
          <w:pPr>
            <w:pStyle w:val="Contents5"/>
            <w:tabs>
              <w:tab w:val="clear" w:pos="7892"/>
              <w:tab w:val="right" w:pos="9026" w:leader="dot"/>
            </w:tabs>
            <w:rPr/>
          </w:pPr>
          <w:hyperlink w:anchor="__RefHeading___Toc8040445_1280447820">
            <w:r>
              <w:rPr>
                <w:webHidden/>
                <w:rStyle w:val="IndexLink"/>
                <w:rtl w:val="true"/>
              </w:rPr>
              <w:t>في أنّ ولدَ البنت ولدٌ على الحقيقة</w:t>
            </w:r>
            <w:r>
              <w:rPr>
                <w:rStyle w:val="IndexLink"/>
                <w:rtl w:val="true"/>
              </w:rPr>
              <w:tab/>
            </w:r>
            <w:r>
              <w:rPr>
                <w:rStyle w:val="IndexLink"/>
              </w:rPr>
              <w:t>639</w:t>
            </w:r>
          </w:hyperlink>
        </w:p>
        <w:p>
          <w:pPr>
            <w:pStyle w:val="Contents3"/>
            <w:tabs>
              <w:tab w:val="clear" w:pos="8459"/>
              <w:tab w:val="right" w:pos="9026" w:leader="dot"/>
            </w:tabs>
            <w:rPr/>
          </w:pPr>
          <w:hyperlink w:anchor="__RefHeading___Toc8040447_1280447820">
            <w:r>
              <w:rPr>
                <w:webHidden/>
                <w:rStyle w:val="IndexLink"/>
                <w:rtl w:val="true"/>
              </w:rPr>
              <w:t>(</w:t>
            </w:r>
            <w:r>
              <w:rPr>
                <w:rStyle w:val="IndexLink"/>
              </w:rPr>
              <w:t>94</w:t>
            </w:r>
            <w:r>
              <w:rPr>
                <w:rStyle w:val="IndexLink"/>
                <w:rtl w:val="true"/>
              </w:rPr>
              <w:t xml:space="preserve">) </w:t>
            </w:r>
            <w:r>
              <w:rPr>
                <w:rStyle w:val="IndexLink"/>
                <w:rtl w:val="true"/>
              </w:rPr>
              <w:t>مسألةٌ في إضافةِ أولادِ البنتِ إلى جَدِّهم إضافةً حَقيقيّةً‌</w:t>
            </w:r>
            <w:r>
              <w:rPr>
                <w:rStyle w:val="IndexLink"/>
                <w:rtl w:val="true"/>
              </w:rPr>
              <w:tab/>
            </w:r>
            <w:r>
              <w:rPr>
                <w:rStyle w:val="IndexLink"/>
              </w:rPr>
              <w:t>647</w:t>
            </w:r>
          </w:hyperlink>
        </w:p>
        <w:p>
          <w:pPr>
            <w:pStyle w:val="Contents4"/>
            <w:tabs>
              <w:tab w:val="clear" w:pos="8176"/>
              <w:tab w:val="right" w:pos="9026" w:leader="dot"/>
            </w:tabs>
            <w:rPr/>
          </w:pPr>
          <w:hyperlink w:anchor="__RefHeading___Toc8040449_1280447820">
            <w:r>
              <w:rPr>
                <w:webHidden/>
                <w:rStyle w:val="IndexLink"/>
                <w:rtl w:val="true"/>
              </w:rPr>
              <w:t>اشارة</w:t>
            </w:r>
            <w:r>
              <w:rPr>
                <w:rStyle w:val="IndexLink"/>
                <w:rtl w:val="true"/>
              </w:rPr>
              <w:tab/>
            </w:r>
            <w:r>
              <w:rPr>
                <w:rStyle w:val="IndexLink"/>
              </w:rPr>
              <w:t>647</w:t>
            </w:r>
          </w:hyperlink>
        </w:p>
        <w:p>
          <w:pPr>
            <w:pStyle w:val="Contents4"/>
            <w:tabs>
              <w:tab w:val="clear" w:pos="8176"/>
              <w:tab w:val="right" w:pos="9026" w:leader="dot"/>
            </w:tabs>
            <w:rPr/>
          </w:pPr>
          <w:hyperlink w:anchor="__RefHeading___Toc8040451_1280447820">
            <w:r>
              <w:rPr>
                <w:webHidden/>
                <w:rStyle w:val="IndexLink"/>
                <w:rtl w:val="true"/>
              </w:rPr>
              <w:t>مقدّمة التحقيق</w:t>
            </w:r>
            <w:r>
              <w:rPr>
                <w:rStyle w:val="IndexLink"/>
                <w:rtl w:val="true"/>
              </w:rPr>
              <w:tab/>
            </w:r>
            <w:r>
              <w:rPr>
                <w:rStyle w:val="IndexLink"/>
              </w:rPr>
              <w:t>649</w:t>
            </w:r>
          </w:hyperlink>
        </w:p>
        <w:p>
          <w:pPr>
            <w:pStyle w:val="Contents5"/>
            <w:tabs>
              <w:tab w:val="clear" w:pos="7892"/>
              <w:tab w:val="right" w:pos="9026" w:leader="dot"/>
            </w:tabs>
            <w:rPr/>
          </w:pPr>
          <w:hyperlink w:anchor="__RefHeading___Toc8040453_1280447820">
            <w:r>
              <w:rPr>
                <w:webHidden/>
                <w:rStyle w:val="IndexLink"/>
                <w:rtl w:val="true"/>
              </w:rPr>
              <w:t>اشارة</w:t>
            </w:r>
            <w:r>
              <w:rPr>
                <w:rStyle w:val="IndexLink"/>
                <w:rtl w:val="true"/>
              </w:rPr>
              <w:tab/>
            </w:r>
            <w:r>
              <w:rPr>
                <w:rStyle w:val="IndexLink"/>
              </w:rPr>
              <w:t>649</w:t>
            </w:r>
          </w:hyperlink>
        </w:p>
        <w:p>
          <w:pPr>
            <w:pStyle w:val="Contents5"/>
            <w:tabs>
              <w:tab w:val="clear" w:pos="7892"/>
              <w:tab w:val="right" w:pos="9026" w:leader="dot"/>
            </w:tabs>
            <w:rPr/>
          </w:pPr>
          <w:hyperlink w:anchor="__RefHeading___Toc8040455_1280447820">
            <w:r>
              <w:rPr>
                <w:webHidden/>
                <w:rStyle w:val="IndexLink"/>
                <w:rtl w:val="true"/>
              </w:rPr>
              <w:t>عنوان الرسالة</w:t>
            </w:r>
            <w:r>
              <w:rPr>
                <w:rStyle w:val="IndexLink"/>
                <w:rtl w:val="true"/>
              </w:rPr>
              <w:tab/>
            </w:r>
            <w:r>
              <w:rPr>
                <w:rStyle w:val="IndexLink"/>
              </w:rPr>
              <w:t>650</w:t>
            </w:r>
          </w:hyperlink>
        </w:p>
        <w:p>
          <w:pPr>
            <w:pStyle w:val="Contents5"/>
            <w:tabs>
              <w:tab w:val="clear" w:pos="7892"/>
              <w:tab w:val="right" w:pos="9026" w:leader="dot"/>
            </w:tabs>
            <w:rPr/>
          </w:pPr>
          <w:hyperlink w:anchor="__RefHeading___Toc8040457_1280447820">
            <w:r>
              <w:rPr>
                <w:webHidden/>
                <w:rStyle w:val="IndexLink"/>
                <w:rtl w:val="true"/>
              </w:rPr>
              <w:t>مخطوطات الرسالة</w:t>
            </w:r>
            <w:r>
              <w:rPr>
                <w:rStyle w:val="IndexLink"/>
                <w:rtl w:val="true"/>
              </w:rPr>
              <w:tab/>
            </w:r>
            <w:r>
              <w:rPr>
                <w:rStyle w:val="IndexLink"/>
              </w:rPr>
              <w:t>651</w:t>
            </w:r>
          </w:hyperlink>
        </w:p>
        <w:p>
          <w:pPr>
            <w:pStyle w:val="Contents4"/>
            <w:tabs>
              <w:tab w:val="clear" w:pos="8176"/>
              <w:tab w:val="right" w:pos="9026" w:leader="dot"/>
            </w:tabs>
            <w:rPr/>
          </w:pPr>
          <w:hyperlink w:anchor="__RefHeading___Toc8040459_1280447820">
            <w:r>
              <w:rPr>
                <w:webHidden/>
                <w:rStyle w:val="IndexLink"/>
                <w:rtl w:val="true"/>
              </w:rPr>
              <w:t>مسألةٌ في إضافةِ أولادِ البنتِ إلى جَدِّهم إضافةً حَقيقيّةً‌</w:t>
            </w:r>
            <w:r>
              <w:rPr>
                <w:rStyle w:val="IndexLink"/>
                <w:rtl w:val="true"/>
              </w:rPr>
              <w:tab/>
            </w:r>
            <w:r>
              <w:rPr>
                <w:rStyle w:val="IndexLink"/>
              </w:rPr>
              <w:t>653</w:t>
            </w:r>
          </w:hyperlink>
        </w:p>
        <w:p>
          <w:pPr>
            <w:pStyle w:val="Contents5"/>
            <w:tabs>
              <w:tab w:val="clear" w:pos="7892"/>
              <w:tab w:val="right" w:pos="9026" w:leader="dot"/>
            </w:tabs>
            <w:rPr/>
          </w:pPr>
          <w:hyperlink w:anchor="__RefHeading___Toc8040461_1280447820">
            <w:r>
              <w:rPr>
                <w:webHidden/>
                <w:rStyle w:val="IndexLink"/>
                <w:rtl w:val="true"/>
              </w:rPr>
              <w:t>اشارة</w:t>
            </w:r>
            <w:r>
              <w:rPr>
                <w:rStyle w:val="IndexLink"/>
                <w:rtl w:val="true"/>
              </w:rPr>
              <w:tab/>
            </w:r>
            <w:r>
              <w:rPr>
                <w:rStyle w:val="IndexLink"/>
              </w:rPr>
              <w:t>653</w:t>
            </w:r>
          </w:hyperlink>
        </w:p>
        <w:p>
          <w:pPr>
            <w:pStyle w:val="Contents5"/>
            <w:tabs>
              <w:tab w:val="clear" w:pos="7892"/>
              <w:tab w:val="right" w:pos="9026" w:leader="dot"/>
            </w:tabs>
            <w:rPr/>
          </w:pPr>
          <w:hyperlink w:anchor="__RefHeading___Toc8040463_1280447820">
            <w:r>
              <w:rPr>
                <w:webHidden/>
                <w:rStyle w:val="IndexLink"/>
                <w:rtl w:val="true"/>
              </w:rPr>
              <w:t>مسألةٌ</w:t>
            </w:r>
            <w:r>
              <w:rPr>
                <w:rStyle w:val="IndexLink"/>
                <w:rtl w:val="true"/>
              </w:rPr>
              <w:t>:</w:t>
              <w:tab/>
            </w:r>
            <w:r>
              <w:rPr>
                <w:rStyle w:val="IndexLink"/>
              </w:rPr>
              <w:t>653</w:t>
            </w:r>
          </w:hyperlink>
        </w:p>
        <w:p>
          <w:pPr>
            <w:pStyle w:val="Contents3"/>
            <w:tabs>
              <w:tab w:val="clear" w:pos="8459"/>
              <w:tab w:val="right" w:pos="9026" w:leader="dot"/>
            </w:tabs>
            <w:rPr/>
          </w:pPr>
          <w:hyperlink w:anchor="__RefHeading___Toc8040465_1280447820">
            <w:r>
              <w:rPr>
                <w:webHidden/>
                <w:rStyle w:val="IndexLink"/>
                <w:rtl w:val="true"/>
              </w:rPr>
              <w:t>(</w:t>
            </w:r>
            <w:r>
              <w:rPr>
                <w:rStyle w:val="IndexLink"/>
              </w:rPr>
              <w:t>95</w:t>
            </w:r>
            <w:r>
              <w:rPr>
                <w:rStyle w:val="IndexLink"/>
                <w:rtl w:val="true"/>
              </w:rPr>
              <w:t xml:space="preserve">) </w:t>
            </w:r>
            <w:r>
              <w:rPr>
                <w:rStyle w:val="IndexLink"/>
                <w:rtl w:val="true"/>
              </w:rPr>
              <w:t>مسألةٌ في شُمولِ الوقفِ على الأولادِ لوُلدِ البنتِ‌</w:t>
            </w:r>
            <w:r>
              <w:rPr>
                <w:rStyle w:val="IndexLink"/>
                <w:rtl w:val="true"/>
              </w:rPr>
              <w:tab/>
            </w:r>
            <w:r>
              <w:rPr>
                <w:rStyle w:val="IndexLink"/>
              </w:rPr>
              <w:t>655</w:t>
            </w:r>
          </w:hyperlink>
        </w:p>
        <w:p>
          <w:pPr>
            <w:pStyle w:val="Contents4"/>
            <w:tabs>
              <w:tab w:val="clear" w:pos="8176"/>
              <w:tab w:val="right" w:pos="9026" w:leader="dot"/>
            </w:tabs>
            <w:rPr/>
          </w:pPr>
          <w:hyperlink w:anchor="__RefHeading___Toc8040467_1280447820">
            <w:r>
              <w:rPr>
                <w:webHidden/>
                <w:rStyle w:val="IndexLink"/>
                <w:rtl w:val="true"/>
              </w:rPr>
              <w:t>اشارة</w:t>
            </w:r>
            <w:r>
              <w:rPr>
                <w:rStyle w:val="IndexLink"/>
                <w:rtl w:val="true"/>
              </w:rPr>
              <w:tab/>
            </w:r>
            <w:r>
              <w:rPr>
                <w:rStyle w:val="IndexLink"/>
              </w:rPr>
              <w:t>655</w:t>
            </w:r>
          </w:hyperlink>
        </w:p>
        <w:p>
          <w:pPr>
            <w:pStyle w:val="Contents4"/>
            <w:tabs>
              <w:tab w:val="clear" w:pos="8176"/>
              <w:tab w:val="right" w:pos="9026" w:leader="dot"/>
            </w:tabs>
            <w:rPr/>
          </w:pPr>
          <w:hyperlink w:anchor="__RefHeading___Toc8040469_1280447820">
            <w:r>
              <w:rPr>
                <w:webHidden/>
                <w:rStyle w:val="IndexLink"/>
                <w:rtl w:val="true"/>
              </w:rPr>
              <w:t>مقدّمة التحقيق</w:t>
            </w:r>
            <w:r>
              <w:rPr>
                <w:rStyle w:val="IndexLink"/>
                <w:rtl w:val="true"/>
              </w:rPr>
              <w:tab/>
            </w:r>
            <w:r>
              <w:rPr>
                <w:rStyle w:val="IndexLink"/>
              </w:rPr>
              <w:t>657</w:t>
            </w:r>
          </w:hyperlink>
        </w:p>
        <w:p>
          <w:pPr>
            <w:pStyle w:val="Contents5"/>
            <w:tabs>
              <w:tab w:val="clear" w:pos="7892"/>
              <w:tab w:val="right" w:pos="9026" w:leader="dot"/>
            </w:tabs>
            <w:rPr/>
          </w:pPr>
          <w:hyperlink w:anchor="__RefHeading___Toc8040471_1280447820">
            <w:r>
              <w:rPr>
                <w:webHidden/>
                <w:rStyle w:val="IndexLink"/>
                <w:rtl w:val="true"/>
              </w:rPr>
              <w:t>اشارة</w:t>
            </w:r>
            <w:r>
              <w:rPr>
                <w:rStyle w:val="IndexLink"/>
                <w:rtl w:val="true"/>
              </w:rPr>
              <w:tab/>
            </w:r>
            <w:r>
              <w:rPr>
                <w:rStyle w:val="IndexLink"/>
              </w:rPr>
              <w:t>657</w:t>
            </w:r>
          </w:hyperlink>
        </w:p>
        <w:p>
          <w:pPr>
            <w:pStyle w:val="Contents5"/>
            <w:tabs>
              <w:tab w:val="clear" w:pos="7892"/>
              <w:tab w:val="right" w:pos="9026" w:leader="dot"/>
            </w:tabs>
            <w:rPr/>
          </w:pPr>
          <w:hyperlink w:anchor="__RefHeading___Toc8040473_1280447820">
            <w:r>
              <w:rPr>
                <w:webHidden/>
                <w:rStyle w:val="IndexLink"/>
                <w:rtl w:val="true"/>
              </w:rPr>
              <w:t>عنوان الرسالة</w:t>
            </w:r>
            <w:r>
              <w:rPr>
                <w:rStyle w:val="IndexLink"/>
                <w:rtl w:val="true"/>
              </w:rPr>
              <w:tab/>
            </w:r>
            <w:r>
              <w:rPr>
                <w:rStyle w:val="IndexLink"/>
              </w:rPr>
              <w:t>657</w:t>
            </w:r>
          </w:hyperlink>
        </w:p>
        <w:p>
          <w:pPr>
            <w:pStyle w:val="Contents5"/>
            <w:tabs>
              <w:tab w:val="clear" w:pos="7892"/>
              <w:tab w:val="right" w:pos="9026" w:leader="dot"/>
            </w:tabs>
            <w:rPr/>
          </w:pPr>
          <w:hyperlink w:anchor="__RefHeading___Toc8040475_1280447820">
            <w:r>
              <w:rPr>
                <w:webHidden/>
                <w:rStyle w:val="IndexLink"/>
                <w:rtl w:val="true"/>
              </w:rPr>
              <w:t>مخطوطات الرسالة</w:t>
            </w:r>
            <w:r>
              <w:rPr>
                <w:rStyle w:val="IndexLink"/>
                <w:rtl w:val="true"/>
              </w:rPr>
              <w:tab/>
            </w:r>
            <w:r>
              <w:rPr>
                <w:rStyle w:val="IndexLink"/>
              </w:rPr>
              <w:t>658</w:t>
            </w:r>
          </w:hyperlink>
        </w:p>
        <w:p>
          <w:pPr>
            <w:pStyle w:val="Contents4"/>
            <w:tabs>
              <w:tab w:val="clear" w:pos="8176"/>
              <w:tab w:val="right" w:pos="9026" w:leader="dot"/>
            </w:tabs>
            <w:rPr/>
          </w:pPr>
          <w:hyperlink w:anchor="__RefHeading___Toc8040477_1280447820">
            <w:r>
              <w:rPr>
                <w:webHidden/>
                <w:rStyle w:val="IndexLink"/>
                <w:rtl w:val="true"/>
              </w:rPr>
              <w:t>مسألةٌ في شُمولِ الوقفِ على الأولادِ لوُلدِ البنتِ‌</w:t>
            </w:r>
            <w:r>
              <w:rPr>
                <w:rStyle w:val="IndexLink"/>
                <w:rtl w:val="true"/>
              </w:rPr>
              <w:tab/>
            </w:r>
            <w:r>
              <w:rPr>
                <w:rStyle w:val="IndexLink"/>
              </w:rPr>
              <w:t>661</w:t>
            </w:r>
          </w:hyperlink>
        </w:p>
        <w:p>
          <w:pPr>
            <w:pStyle w:val="Contents3"/>
            <w:tabs>
              <w:tab w:val="clear" w:pos="8459"/>
              <w:tab w:val="right" w:pos="9026" w:leader="dot"/>
            </w:tabs>
            <w:rPr/>
          </w:pPr>
          <w:hyperlink w:anchor="__RefHeading___Toc8040479_1280447820">
            <w:r>
              <w:rPr>
                <w:webHidden/>
                <w:rStyle w:val="IndexLink"/>
                <w:rtl w:val="true"/>
              </w:rPr>
              <w:t>(</w:t>
            </w:r>
            <w:r>
              <w:rPr>
                <w:rStyle w:val="IndexLink"/>
              </w:rPr>
              <w:t>96</w:t>
            </w:r>
            <w:r>
              <w:rPr>
                <w:rStyle w:val="IndexLink"/>
                <w:rtl w:val="true"/>
              </w:rPr>
              <w:t xml:space="preserve">) </w:t>
            </w:r>
            <w:r>
              <w:rPr>
                <w:rStyle w:val="IndexLink"/>
                <w:rtl w:val="true"/>
              </w:rPr>
              <w:t>مسألةٌ في حُكمِ التصدُّقِ بالمالِ الحَرامِ‌</w:t>
            </w:r>
            <w:r>
              <w:rPr>
                <w:rStyle w:val="IndexLink"/>
                <w:rtl w:val="true"/>
              </w:rPr>
              <w:tab/>
            </w:r>
            <w:r>
              <w:rPr>
                <w:rStyle w:val="IndexLink"/>
              </w:rPr>
              <w:t>663</w:t>
            </w:r>
          </w:hyperlink>
        </w:p>
        <w:p>
          <w:pPr>
            <w:pStyle w:val="Contents4"/>
            <w:tabs>
              <w:tab w:val="clear" w:pos="8176"/>
              <w:tab w:val="right" w:pos="9026" w:leader="dot"/>
            </w:tabs>
            <w:rPr/>
          </w:pPr>
          <w:hyperlink w:anchor="__RefHeading___Toc8040481_1280447820">
            <w:r>
              <w:rPr>
                <w:webHidden/>
                <w:rStyle w:val="IndexLink"/>
                <w:rtl w:val="true"/>
              </w:rPr>
              <w:t>اشارة</w:t>
            </w:r>
            <w:r>
              <w:rPr>
                <w:rStyle w:val="IndexLink"/>
                <w:rtl w:val="true"/>
              </w:rPr>
              <w:tab/>
            </w:r>
            <w:r>
              <w:rPr>
                <w:rStyle w:val="IndexLink"/>
              </w:rPr>
              <w:t>663</w:t>
            </w:r>
          </w:hyperlink>
        </w:p>
        <w:p>
          <w:pPr>
            <w:pStyle w:val="Contents4"/>
            <w:tabs>
              <w:tab w:val="clear" w:pos="8176"/>
              <w:tab w:val="right" w:pos="9026" w:leader="dot"/>
            </w:tabs>
            <w:rPr/>
          </w:pPr>
          <w:hyperlink w:anchor="__RefHeading___Toc8040483_1280447820">
            <w:r>
              <w:rPr>
                <w:webHidden/>
                <w:rStyle w:val="IndexLink"/>
                <w:rtl w:val="true"/>
              </w:rPr>
              <w:t>مقدّمة التحقيق</w:t>
            </w:r>
            <w:r>
              <w:rPr>
                <w:rStyle w:val="IndexLink"/>
                <w:rtl w:val="true"/>
              </w:rPr>
              <w:tab/>
            </w:r>
            <w:r>
              <w:rPr>
                <w:rStyle w:val="IndexLink"/>
              </w:rPr>
              <w:t>665</w:t>
            </w:r>
          </w:hyperlink>
        </w:p>
        <w:p>
          <w:pPr>
            <w:pStyle w:val="Contents5"/>
            <w:tabs>
              <w:tab w:val="clear" w:pos="7892"/>
              <w:tab w:val="right" w:pos="9026" w:leader="dot"/>
            </w:tabs>
            <w:rPr/>
          </w:pPr>
          <w:hyperlink w:anchor="__RefHeading___Toc8040485_1280447820">
            <w:r>
              <w:rPr>
                <w:webHidden/>
                <w:rStyle w:val="IndexLink"/>
                <w:rtl w:val="true"/>
              </w:rPr>
              <w:t>اشارة</w:t>
            </w:r>
            <w:r>
              <w:rPr>
                <w:rStyle w:val="IndexLink"/>
                <w:rtl w:val="true"/>
              </w:rPr>
              <w:tab/>
            </w:r>
            <w:r>
              <w:rPr>
                <w:rStyle w:val="IndexLink"/>
              </w:rPr>
              <w:t>665</w:t>
            </w:r>
          </w:hyperlink>
        </w:p>
        <w:p>
          <w:pPr>
            <w:pStyle w:val="Contents5"/>
            <w:tabs>
              <w:tab w:val="clear" w:pos="7892"/>
              <w:tab w:val="right" w:pos="9026" w:leader="dot"/>
            </w:tabs>
            <w:rPr/>
          </w:pPr>
          <w:hyperlink w:anchor="__RefHeading___Toc8040487_1280447820">
            <w:r>
              <w:rPr>
                <w:webHidden/>
                <w:rStyle w:val="IndexLink"/>
                <w:rtl w:val="true"/>
              </w:rPr>
              <w:t>مخطوطات الرسالة</w:t>
            </w:r>
            <w:r>
              <w:rPr>
                <w:rStyle w:val="IndexLink"/>
                <w:rtl w:val="true"/>
              </w:rPr>
              <w:tab/>
            </w:r>
            <w:r>
              <w:rPr>
                <w:rStyle w:val="IndexLink"/>
              </w:rPr>
              <w:t>666</w:t>
            </w:r>
          </w:hyperlink>
        </w:p>
        <w:p>
          <w:pPr>
            <w:pStyle w:val="Contents4"/>
            <w:tabs>
              <w:tab w:val="clear" w:pos="8176"/>
              <w:tab w:val="right" w:pos="9026" w:leader="dot"/>
            </w:tabs>
            <w:rPr/>
          </w:pPr>
          <w:hyperlink w:anchor="__RefHeading___Toc8040489_1280447820">
            <w:r>
              <w:rPr>
                <w:webHidden/>
                <w:rStyle w:val="IndexLink"/>
                <w:rtl w:val="true"/>
              </w:rPr>
              <w:t>مسألةٌ في حُكمِ التصدُّقِ بالمالِ الحَرامِ‌</w:t>
            </w:r>
            <w:r>
              <w:rPr>
                <w:rStyle w:val="IndexLink"/>
                <w:rtl w:val="true"/>
              </w:rPr>
              <w:tab/>
            </w:r>
            <w:r>
              <w:rPr>
                <w:rStyle w:val="IndexLink"/>
              </w:rPr>
              <w:t>667</w:t>
            </w:r>
          </w:hyperlink>
        </w:p>
        <w:p>
          <w:pPr>
            <w:pStyle w:val="Contents3"/>
            <w:tabs>
              <w:tab w:val="clear" w:pos="8459"/>
              <w:tab w:val="right" w:pos="9026" w:leader="dot"/>
            </w:tabs>
            <w:rPr/>
          </w:pPr>
          <w:hyperlink w:anchor="__RefHeading___Toc8040491_1280447820">
            <w:r>
              <w:rPr>
                <w:webHidden/>
                <w:rStyle w:val="IndexLink"/>
                <w:rtl w:val="true"/>
              </w:rPr>
              <w:t>(</w:t>
            </w:r>
            <w:r>
              <w:rPr>
                <w:rStyle w:val="IndexLink"/>
              </w:rPr>
              <w:t>97</w:t>
            </w:r>
            <w:r>
              <w:rPr>
                <w:rStyle w:val="IndexLink"/>
                <w:rtl w:val="true"/>
              </w:rPr>
              <w:t xml:space="preserve">) </w:t>
            </w:r>
            <w:r>
              <w:rPr>
                <w:rStyle w:val="IndexLink"/>
                <w:rtl w:val="true"/>
              </w:rPr>
              <w:t>مسألةٌ في العَمَلِ معَ السُّلطانِ‌</w:t>
            </w:r>
            <w:r>
              <w:rPr>
                <w:rStyle w:val="IndexLink"/>
                <w:rtl w:val="true"/>
              </w:rPr>
              <w:tab/>
            </w:r>
            <w:r>
              <w:rPr>
                <w:rStyle w:val="IndexLink"/>
              </w:rPr>
              <w:t>669</w:t>
            </w:r>
          </w:hyperlink>
        </w:p>
        <w:p>
          <w:pPr>
            <w:pStyle w:val="Contents4"/>
            <w:tabs>
              <w:tab w:val="clear" w:pos="8176"/>
              <w:tab w:val="right" w:pos="9026" w:leader="dot"/>
            </w:tabs>
            <w:rPr/>
          </w:pPr>
          <w:hyperlink w:anchor="__RefHeading___Toc8040493_1280447820">
            <w:r>
              <w:rPr>
                <w:webHidden/>
                <w:rStyle w:val="IndexLink"/>
                <w:rtl w:val="true"/>
              </w:rPr>
              <w:t>اشارة</w:t>
            </w:r>
            <w:r>
              <w:rPr>
                <w:rStyle w:val="IndexLink"/>
                <w:rtl w:val="true"/>
              </w:rPr>
              <w:tab/>
            </w:r>
            <w:r>
              <w:rPr>
                <w:rStyle w:val="IndexLink"/>
              </w:rPr>
              <w:t>669</w:t>
            </w:r>
          </w:hyperlink>
        </w:p>
        <w:p>
          <w:pPr>
            <w:pStyle w:val="Contents4"/>
            <w:tabs>
              <w:tab w:val="clear" w:pos="8176"/>
              <w:tab w:val="right" w:pos="9026" w:leader="dot"/>
            </w:tabs>
            <w:rPr/>
          </w:pPr>
          <w:hyperlink w:anchor="__RefHeading___Toc8040495_1280447820">
            <w:r>
              <w:rPr>
                <w:webHidden/>
                <w:rStyle w:val="IndexLink"/>
                <w:rtl w:val="true"/>
              </w:rPr>
              <w:t>مقدّمة التحقيق</w:t>
            </w:r>
            <w:r>
              <w:rPr>
                <w:rStyle w:val="IndexLink"/>
                <w:rtl w:val="true"/>
              </w:rPr>
              <w:tab/>
            </w:r>
            <w:r>
              <w:rPr>
                <w:rStyle w:val="IndexLink"/>
              </w:rPr>
              <w:t>671</w:t>
            </w:r>
          </w:hyperlink>
        </w:p>
        <w:p>
          <w:pPr>
            <w:pStyle w:val="Contents5"/>
            <w:tabs>
              <w:tab w:val="clear" w:pos="7892"/>
              <w:tab w:val="right" w:pos="9026" w:leader="dot"/>
            </w:tabs>
            <w:rPr/>
          </w:pPr>
          <w:hyperlink w:anchor="__RefHeading___Toc8040497_1280447820">
            <w:r>
              <w:rPr>
                <w:webHidden/>
                <w:rStyle w:val="IndexLink"/>
                <w:rtl w:val="true"/>
              </w:rPr>
              <w:t>اشارة</w:t>
            </w:r>
            <w:r>
              <w:rPr>
                <w:rStyle w:val="IndexLink"/>
                <w:rtl w:val="true"/>
              </w:rPr>
              <w:tab/>
            </w:r>
            <w:r>
              <w:rPr>
                <w:rStyle w:val="IndexLink"/>
              </w:rPr>
              <w:t>671</w:t>
            </w:r>
          </w:hyperlink>
        </w:p>
        <w:p>
          <w:pPr>
            <w:pStyle w:val="Contents5"/>
            <w:tabs>
              <w:tab w:val="clear" w:pos="7892"/>
              <w:tab w:val="right" w:pos="9026" w:leader="dot"/>
            </w:tabs>
            <w:rPr/>
          </w:pPr>
          <w:hyperlink w:anchor="__RefHeading___Toc8040499_1280447820">
            <w:r>
              <w:rPr>
                <w:webHidden/>
                <w:rStyle w:val="IndexLink"/>
                <w:rtl w:val="true"/>
              </w:rPr>
              <w:t>عنوان الرسالة</w:t>
            </w:r>
            <w:r>
              <w:rPr>
                <w:rStyle w:val="IndexLink"/>
                <w:rtl w:val="true"/>
              </w:rPr>
              <w:tab/>
            </w:r>
            <w:r>
              <w:rPr>
                <w:rStyle w:val="IndexLink"/>
              </w:rPr>
              <w:t>676</w:t>
            </w:r>
          </w:hyperlink>
        </w:p>
        <w:p>
          <w:pPr>
            <w:pStyle w:val="Contents5"/>
            <w:tabs>
              <w:tab w:val="clear" w:pos="7892"/>
              <w:tab w:val="right" w:pos="9026" w:leader="dot"/>
            </w:tabs>
            <w:rPr/>
          </w:pPr>
          <w:hyperlink w:anchor="__RefHeading___Toc8040501_1280447820">
            <w:r>
              <w:rPr>
                <w:webHidden/>
                <w:rStyle w:val="IndexLink"/>
                <w:rtl w:val="true"/>
              </w:rPr>
              <w:t>مخطوطات الرسالة</w:t>
            </w:r>
            <w:r>
              <w:rPr>
                <w:rStyle w:val="IndexLink"/>
                <w:rtl w:val="true"/>
              </w:rPr>
              <w:tab/>
            </w:r>
            <w:r>
              <w:rPr>
                <w:rStyle w:val="IndexLink"/>
              </w:rPr>
              <w:t>678</w:t>
            </w:r>
          </w:hyperlink>
        </w:p>
        <w:p>
          <w:pPr>
            <w:pStyle w:val="Contents6"/>
            <w:tabs>
              <w:tab w:val="clear" w:pos="7609"/>
              <w:tab w:val="right" w:pos="9026" w:leader="dot"/>
            </w:tabs>
            <w:rPr/>
          </w:pPr>
          <w:hyperlink w:anchor="__RefHeading___Toc8040503_1280447820">
            <w:r>
              <w:rPr>
                <w:webHidden/>
                <w:rStyle w:val="IndexLink"/>
                <w:rtl w:val="true"/>
              </w:rPr>
              <w:t>ألف</w:t>
            </w:r>
            <w:r>
              <w:rPr>
                <w:rStyle w:val="IndexLink"/>
                <w:rtl w:val="true"/>
              </w:rPr>
              <w:t xml:space="preserve">) </w:t>
            </w:r>
            <w:r>
              <w:rPr>
                <w:rStyle w:val="IndexLink"/>
                <w:rtl w:val="true"/>
              </w:rPr>
              <w:t>النسخ المعتمدة</w:t>
            </w:r>
            <w:r>
              <w:rPr>
                <w:rStyle w:val="IndexLink"/>
                <w:rtl w:val="true"/>
              </w:rPr>
              <w:t>:</w:t>
              <w:tab/>
            </w:r>
            <w:r>
              <w:rPr>
                <w:rStyle w:val="IndexLink"/>
              </w:rPr>
              <w:t>678</w:t>
            </w:r>
          </w:hyperlink>
        </w:p>
        <w:p>
          <w:pPr>
            <w:pStyle w:val="Contents6"/>
            <w:tabs>
              <w:tab w:val="clear" w:pos="7609"/>
              <w:tab w:val="right" w:pos="9026" w:leader="dot"/>
            </w:tabs>
            <w:rPr/>
          </w:pPr>
          <w:hyperlink w:anchor="__RefHeading___Toc8040505_1280447820">
            <w:r>
              <w:rPr>
                <w:webHidden/>
                <w:rStyle w:val="IndexLink"/>
                <w:rtl w:val="true"/>
              </w:rPr>
              <w:t>ب</w:t>
            </w:r>
            <w:r>
              <w:rPr>
                <w:rStyle w:val="IndexLink"/>
                <w:rtl w:val="true"/>
              </w:rPr>
              <w:t xml:space="preserve">) </w:t>
            </w:r>
            <w:r>
              <w:rPr>
                <w:rStyle w:val="IndexLink"/>
                <w:rtl w:val="true"/>
              </w:rPr>
              <w:t>سائر النسخ</w:t>
            </w:r>
            <w:r>
              <w:rPr>
                <w:rStyle w:val="IndexLink"/>
                <w:rtl w:val="true"/>
              </w:rPr>
              <w:t>:</w:t>
              <w:tab/>
            </w:r>
            <w:r>
              <w:rPr>
                <w:rStyle w:val="IndexLink"/>
              </w:rPr>
              <w:t>678</w:t>
            </w:r>
          </w:hyperlink>
        </w:p>
        <w:p>
          <w:pPr>
            <w:pStyle w:val="Contents4"/>
            <w:tabs>
              <w:tab w:val="clear" w:pos="8176"/>
              <w:tab w:val="right" w:pos="9026" w:leader="dot"/>
            </w:tabs>
            <w:rPr/>
          </w:pPr>
          <w:hyperlink w:anchor="__RefHeading___Toc8040507_1280447820">
            <w:r>
              <w:rPr>
                <w:webHidden/>
                <w:rStyle w:val="IndexLink"/>
                <w:rtl w:val="true"/>
              </w:rPr>
              <w:t>مسألةٌ في العَمَلِ معَ السُّلطانِ‌</w:t>
            </w:r>
            <w:r>
              <w:rPr>
                <w:rStyle w:val="IndexLink"/>
                <w:rtl w:val="true"/>
              </w:rPr>
              <w:tab/>
            </w:r>
            <w:r>
              <w:rPr>
                <w:rStyle w:val="IndexLink"/>
              </w:rPr>
              <w:t>681</w:t>
            </w:r>
          </w:hyperlink>
        </w:p>
        <w:p>
          <w:pPr>
            <w:pStyle w:val="Contents5"/>
            <w:tabs>
              <w:tab w:val="clear" w:pos="7892"/>
              <w:tab w:val="right" w:pos="9026" w:leader="dot"/>
            </w:tabs>
            <w:rPr/>
          </w:pPr>
          <w:hyperlink w:anchor="__RefHeading___Toc8040509_1280447820">
            <w:r>
              <w:rPr>
                <w:webHidden/>
                <w:rStyle w:val="IndexLink"/>
                <w:rtl w:val="true"/>
              </w:rPr>
              <w:t>اشارة</w:t>
            </w:r>
            <w:r>
              <w:rPr>
                <w:rStyle w:val="IndexLink"/>
                <w:rtl w:val="true"/>
              </w:rPr>
              <w:tab/>
            </w:r>
            <w:r>
              <w:rPr>
                <w:rStyle w:val="IndexLink"/>
              </w:rPr>
              <w:t>681</w:t>
            </w:r>
          </w:hyperlink>
        </w:p>
        <w:p>
          <w:pPr>
            <w:pStyle w:val="Contents5"/>
            <w:tabs>
              <w:tab w:val="clear" w:pos="7892"/>
              <w:tab w:val="right" w:pos="9026" w:leader="dot"/>
            </w:tabs>
            <w:rPr/>
          </w:pPr>
          <w:hyperlink w:anchor="__RefHeading___Toc8040511_1280447820">
            <w:r>
              <w:rPr>
                <w:webHidden/>
                <w:rStyle w:val="IndexLink"/>
                <w:rtl w:val="true"/>
              </w:rPr>
              <w:t>ضروب الولاية من قِبَل السلطان</w:t>
            </w:r>
            <w:r>
              <w:rPr>
                <w:rStyle w:val="IndexLink"/>
                <w:rtl w:val="true"/>
              </w:rPr>
              <w:tab/>
            </w:r>
            <w:r>
              <w:rPr>
                <w:rStyle w:val="IndexLink"/>
              </w:rPr>
              <w:t>682</w:t>
            </w:r>
          </w:hyperlink>
        </w:p>
        <w:p>
          <w:pPr>
            <w:pStyle w:val="Contents5"/>
            <w:tabs>
              <w:tab w:val="clear" w:pos="7892"/>
              <w:tab w:val="right" w:pos="9026" w:leader="dot"/>
            </w:tabs>
            <w:rPr/>
          </w:pPr>
          <w:hyperlink w:anchor="__RefHeading___Toc8040513_1280447820">
            <w:r>
              <w:rPr>
                <w:webHidden/>
                <w:rStyle w:val="IndexLink"/>
                <w:rtl w:val="true"/>
              </w:rPr>
              <w:t>بيان الوجه في حُسن و وجوب الولاية من قِبَل الظالم في بعض الأحيان</w:t>
            </w:r>
            <w:r>
              <w:rPr>
                <w:rStyle w:val="IndexLink"/>
                <w:rtl w:val="true"/>
              </w:rPr>
              <w:tab/>
            </w:r>
            <w:r>
              <w:rPr>
                <w:rStyle w:val="IndexLink"/>
              </w:rPr>
              <w:t>683</w:t>
            </w:r>
          </w:hyperlink>
        </w:p>
        <w:p>
          <w:pPr>
            <w:pStyle w:val="Contents5"/>
            <w:tabs>
              <w:tab w:val="clear" w:pos="7892"/>
              <w:tab w:val="right" w:pos="9026" w:leader="dot"/>
            </w:tabs>
            <w:rPr/>
          </w:pPr>
          <w:hyperlink w:anchor="__RefHeading___Toc8040515_1280447820">
            <w:r>
              <w:rPr>
                <w:webHidden/>
                <w:rStyle w:val="IndexLink"/>
                <w:rtl w:val="true"/>
              </w:rPr>
              <w:t>في جواز القتال لدفاع المتولّي عن ولايته</w:t>
            </w:r>
            <w:r>
              <w:rPr>
                <w:rStyle w:val="IndexLink"/>
                <w:rtl w:val="true"/>
              </w:rPr>
              <w:tab/>
            </w:r>
            <w:r>
              <w:rPr>
                <w:rStyle w:val="IndexLink"/>
              </w:rPr>
              <w:t>690</w:t>
            </w:r>
          </w:hyperlink>
        </w:p>
        <w:p>
          <w:pPr>
            <w:pStyle w:val="Contents5"/>
            <w:tabs>
              <w:tab w:val="clear" w:pos="7892"/>
              <w:tab w:val="right" w:pos="9026" w:leader="dot"/>
            </w:tabs>
            <w:rPr/>
          </w:pPr>
          <w:hyperlink w:anchor="__RefHeading___Toc8040517_1280447820">
            <w:r>
              <w:rPr>
                <w:webHidden/>
                <w:rStyle w:val="IndexLink"/>
                <w:rtl w:val="true"/>
              </w:rPr>
              <w:t>كيفيّة معرفة المتولِّي المحقّ من غيره</w:t>
            </w:r>
            <w:r>
              <w:rPr>
                <w:rStyle w:val="IndexLink"/>
                <w:rtl w:val="true"/>
              </w:rPr>
              <w:tab/>
            </w:r>
            <w:r>
              <w:rPr>
                <w:rStyle w:val="IndexLink"/>
              </w:rPr>
              <w:t>691</w:t>
            </w:r>
          </w:hyperlink>
        </w:p>
        <w:p>
          <w:pPr>
            <w:pStyle w:val="Contents5"/>
            <w:tabs>
              <w:tab w:val="clear" w:pos="7892"/>
              <w:tab w:val="right" w:pos="9026" w:leader="dot"/>
            </w:tabs>
            <w:rPr/>
          </w:pPr>
          <w:hyperlink w:anchor="__RefHeading___Toc8040519_1280447820">
            <w:r>
              <w:rPr>
                <w:webHidden/>
                <w:rStyle w:val="IndexLink"/>
                <w:rtl w:val="true"/>
              </w:rPr>
              <w:t>جواز توصُّل المتولّي المحِقّ إلىٰ منافع الدنيا عَرَضاً</w:t>
            </w:r>
            <w:r>
              <w:rPr>
                <w:rStyle w:val="IndexLink"/>
                <w:rtl w:val="true"/>
              </w:rPr>
              <w:tab/>
            </w:r>
            <w:r>
              <w:rPr>
                <w:rStyle w:val="IndexLink"/>
              </w:rPr>
              <w:t>694</w:t>
            </w:r>
          </w:hyperlink>
        </w:p>
        <w:p>
          <w:pPr>
            <w:pStyle w:val="Contents5"/>
            <w:tabs>
              <w:tab w:val="clear" w:pos="7892"/>
              <w:tab w:val="right" w:pos="9026" w:leader="dot"/>
            </w:tabs>
            <w:rPr/>
          </w:pPr>
          <w:hyperlink w:anchor="__RefHeading___Toc8040521_1280447820">
            <w:r>
              <w:rPr>
                <w:webHidden/>
                <w:rStyle w:val="IndexLink"/>
                <w:rtl w:val="true"/>
              </w:rPr>
              <w:t>مَعنىٰ حَديثٍ عنِ الصادِقِ عليه السلام حولَ كفّارةِ العملِ مع السلطانِ‌</w:t>
            </w:r>
            <w:r>
              <w:rPr>
                <w:rStyle w:val="IndexLink"/>
                <w:rtl w:val="true"/>
              </w:rPr>
              <w:tab/>
            </w:r>
            <w:r>
              <w:rPr>
                <w:rStyle w:val="IndexLink"/>
              </w:rPr>
              <w:t>695</w:t>
            </w:r>
          </w:hyperlink>
        </w:p>
        <w:p>
          <w:pPr>
            <w:pStyle w:val="Contents3"/>
            <w:tabs>
              <w:tab w:val="clear" w:pos="8459"/>
              <w:tab w:val="right" w:pos="9026" w:leader="dot"/>
            </w:tabs>
            <w:rPr/>
          </w:pPr>
          <w:hyperlink w:anchor="__RefHeading___Toc8040523_1280447820">
            <w:r>
              <w:rPr>
                <w:webHidden/>
                <w:rStyle w:val="IndexLink"/>
                <w:rtl w:val="true"/>
              </w:rPr>
              <w:t>(</w:t>
            </w:r>
            <w:r>
              <w:rPr>
                <w:rStyle w:val="IndexLink"/>
              </w:rPr>
              <w:t>98</w:t>
            </w:r>
            <w:r>
              <w:rPr>
                <w:rStyle w:val="IndexLink"/>
                <w:rtl w:val="true"/>
              </w:rPr>
              <w:t xml:space="preserve">) </w:t>
            </w:r>
            <w:r>
              <w:rPr>
                <w:rStyle w:val="IndexLink"/>
                <w:rtl w:val="true"/>
              </w:rPr>
              <w:t>مسألةٌ في حُكمِ أموالِ السلطانِ‌</w:t>
            </w:r>
            <w:r>
              <w:rPr>
                <w:rStyle w:val="IndexLink"/>
                <w:rtl w:val="true"/>
              </w:rPr>
              <w:tab/>
            </w:r>
            <w:r>
              <w:rPr>
                <w:rStyle w:val="IndexLink"/>
              </w:rPr>
              <w:t>697</w:t>
            </w:r>
          </w:hyperlink>
        </w:p>
        <w:p>
          <w:pPr>
            <w:pStyle w:val="Contents4"/>
            <w:tabs>
              <w:tab w:val="clear" w:pos="8176"/>
              <w:tab w:val="right" w:pos="9026" w:leader="dot"/>
            </w:tabs>
            <w:rPr/>
          </w:pPr>
          <w:hyperlink w:anchor="__RefHeading___Toc8040525_1280447820">
            <w:r>
              <w:rPr>
                <w:webHidden/>
                <w:rStyle w:val="IndexLink"/>
                <w:rtl w:val="true"/>
              </w:rPr>
              <w:t>اشارة</w:t>
            </w:r>
            <w:r>
              <w:rPr>
                <w:rStyle w:val="IndexLink"/>
                <w:rtl w:val="true"/>
              </w:rPr>
              <w:tab/>
            </w:r>
            <w:r>
              <w:rPr>
                <w:rStyle w:val="IndexLink"/>
              </w:rPr>
              <w:t>697</w:t>
            </w:r>
          </w:hyperlink>
        </w:p>
        <w:p>
          <w:pPr>
            <w:pStyle w:val="Contents4"/>
            <w:tabs>
              <w:tab w:val="clear" w:pos="8176"/>
              <w:tab w:val="right" w:pos="9026" w:leader="dot"/>
            </w:tabs>
            <w:rPr/>
          </w:pPr>
          <w:hyperlink w:anchor="__RefHeading___Toc8040527_1280447820">
            <w:r>
              <w:rPr>
                <w:webHidden/>
                <w:rStyle w:val="IndexLink"/>
                <w:rtl w:val="true"/>
              </w:rPr>
              <w:t>مقدّمة التحقيق</w:t>
            </w:r>
            <w:r>
              <w:rPr>
                <w:rStyle w:val="IndexLink"/>
                <w:rtl w:val="true"/>
              </w:rPr>
              <w:tab/>
            </w:r>
            <w:r>
              <w:rPr>
                <w:rStyle w:val="IndexLink"/>
              </w:rPr>
              <w:t>699</w:t>
            </w:r>
          </w:hyperlink>
        </w:p>
        <w:p>
          <w:pPr>
            <w:pStyle w:val="Contents5"/>
            <w:tabs>
              <w:tab w:val="clear" w:pos="7892"/>
              <w:tab w:val="right" w:pos="9026" w:leader="dot"/>
            </w:tabs>
            <w:rPr/>
          </w:pPr>
          <w:hyperlink w:anchor="__RefHeading___Toc8040529_1280447820">
            <w:r>
              <w:rPr>
                <w:webHidden/>
                <w:rStyle w:val="IndexLink"/>
                <w:rtl w:val="true"/>
              </w:rPr>
              <w:t>اشارة</w:t>
            </w:r>
            <w:r>
              <w:rPr>
                <w:rStyle w:val="IndexLink"/>
                <w:rtl w:val="true"/>
              </w:rPr>
              <w:tab/>
            </w:r>
            <w:r>
              <w:rPr>
                <w:rStyle w:val="IndexLink"/>
              </w:rPr>
              <w:t>699</w:t>
            </w:r>
          </w:hyperlink>
        </w:p>
        <w:p>
          <w:pPr>
            <w:pStyle w:val="Contents5"/>
            <w:tabs>
              <w:tab w:val="clear" w:pos="7892"/>
              <w:tab w:val="right" w:pos="9026" w:leader="dot"/>
            </w:tabs>
            <w:rPr/>
          </w:pPr>
          <w:hyperlink w:anchor="__RefHeading___Toc8040531_1280447820">
            <w:r>
              <w:rPr>
                <w:webHidden/>
                <w:rStyle w:val="IndexLink"/>
                <w:rtl w:val="true"/>
              </w:rPr>
              <w:t>مخطوطات الرسالة</w:t>
            </w:r>
            <w:r>
              <w:rPr>
                <w:rStyle w:val="IndexLink"/>
                <w:rtl w:val="true"/>
              </w:rPr>
              <w:tab/>
            </w:r>
            <w:r>
              <w:rPr>
                <w:rStyle w:val="IndexLink"/>
              </w:rPr>
              <w:t>700</w:t>
            </w:r>
          </w:hyperlink>
        </w:p>
        <w:p>
          <w:pPr>
            <w:pStyle w:val="Contents4"/>
            <w:tabs>
              <w:tab w:val="clear" w:pos="8176"/>
              <w:tab w:val="right" w:pos="9026" w:leader="dot"/>
            </w:tabs>
            <w:rPr/>
          </w:pPr>
          <w:hyperlink w:anchor="__RefHeading___Toc8040533_1280447820">
            <w:r>
              <w:rPr>
                <w:webHidden/>
                <w:rStyle w:val="IndexLink"/>
                <w:rtl w:val="true"/>
              </w:rPr>
              <w:t>مسألةٌ في حُكمِ أموالِ السلطانِ‌</w:t>
            </w:r>
            <w:r>
              <w:rPr>
                <w:rStyle w:val="IndexLink"/>
                <w:rtl w:val="true"/>
              </w:rPr>
              <w:tab/>
            </w:r>
            <w:r>
              <w:rPr>
                <w:rStyle w:val="IndexLink"/>
              </w:rPr>
              <w:t>701</w:t>
            </w:r>
          </w:hyperlink>
        </w:p>
        <w:p>
          <w:pPr>
            <w:pStyle w:val="Contents3"/>
            <w:tabs>
              <w:tab w:val="clear" w:pos="8459"/>
              <w:tab w:val="right" w:pos="9026" w:leader="dot"/>
            </w:tabs>
            <w:rPr/>
          </w:pPr>
          <w:hyperlink w:anchor="__RefHeading___Toc8040535_1280447820">
            <w:r>
              <w:rPr>
                <w:webHidden/>
                <w:rStyle w:val="IndexLink"/>
                <w:rtl w:val="true"/>
              </w:rPr>
              <w:t>(</w:t>
            </w:r>
            <w:r>
              <w:rPr>
                <w:rStyle w:val="IndexLink"/>
              </w:rPr>
              <w:t>99</w:t>
            </w:r>
            <w:r>
              <w:rPr>
                <w:rStyle w:val="IndexLink"/>
                <w:rtl w:val="true"/>
              </w:rPr>
              <w:t xml:space="preserve">) </w:t>
            </w:r>
            <w:r>
              <w:rPr>
                <w:rStyle w:val="IndexLink"/>
                <w:rtl w:val="true"/>
              </w:rPr>
              <w:t>مسألةٌ في وجوبِ بيانِ النوافلِ على الشرعِ، و وجهِ حُسنِها</w:t>
            </w:r>
            <w:r>
              <w:rPr>
                <w:rStyle w:val="IndexLink"/>
                <w:rtl w:val="true"/>
              </w:rPr>
              <w:tab/>
            </w:r>
            <w:r>
              <w:rPr>
                <w:rStyle w:val="IndexLink"/>
              </w:rPr>
              <w:t>703</w:t>
            </w:r>
          </w:hyperlink>
        </w:p>
        <w:p>
          <w:pPr>
            <w:pStyle w:val="Contents4"/>
            <w:tabs>
              <w:tab w:val="clear" w:pos="8176"/>
              <w:tab w:val="right" w:pos="9026" w:leader="dot"/>
            </w:tabs>
            <w:rPr/>
          </w:pPr>
          <w:hyperlink w:anchor="__RefHeading___Toc8040537_1280447820">
            <w:r>
              <w:rPr>
                <w:webHidden/>
                <w:rStyle w:val="IndexLink"/>
                <w:rtl w:val="true"/>
              </w:rPr>
              <w:t>اشارة</w:t>
            </w:r>
            <w:r>
              <w:rPr>
                <w:rStyle w:val="IndexLink"/>
                <w:rtl w:val="true"/>
              </w:rPr>
              <w:tab/>
            </w:r>
            <w:r>
              <w:rPr>
                <w:rStyle w:val="IndexLink"/>
              </w:rPr>
              <w:t>703</w:t>
            </w:r>
          </w:hyperlink>
        </w:p>
        <w:p>
          <w:pPr>
            <w:pStyle w:val="Contents4"/>
            <w:tabs>
              <w:tab w:val="clear" w:pos="8176"/>
              <w:tab w:val="right" w:pos="9026" w:leader="dot"/>
            </w:tabs>
            <w:rPr/>
          </w:pPr>
          <w:hyperlink w:anchor="__RefHeading___Toc8040539_1280447820">
            <w:r>
              <w:rPr>
                <w:webHidden/>
                <w:rStyle w:val="IndexLink"/>
                <w:rtl w:val="true"/>
              </w:rPr>
              <w:t>مقدّمة التحقيق</w:t>
            </w:r>
            <w:r>
              <w:rPr>
                <w:rStyle w:val="IndexLink"/>
                <w:rtl w:val="true"/>
              </w:rPr>
              <w:tab/>
            </w:r>
            <w:r>
              <w:rPr>
                <w:rStyle w:val="IndexLink"/>
              </w:rPr>
              <w:t>705</w:t>
            </w:r>
          </w:hyperlink>
        </w:p>
        <w:p>
          <w:pPr>
            <w:pStyle w:val="Contents5"/>
            <w:tabs>
              <w:tab w:val="clear" w:pos="7892"/>
              <w:tab w:val="right" w:pos="9026" w:leader="dot"/>
            </w:tabs>
            <w:rPr/>
          </w:pPr>
          <w:hyperlink w:anchor="__RefHeading___Toc8040541_1280447820">
            <w:r>
              <w:rPr>
                <w:webHidden/>
                <w:rStyle w:val="IndexLink"/>
                <w:rtl w:val="true"/>
              </w:rPr>
              <w:t>اشارة</w:t>
            </w:r>
            <w:r>
              <w:rPr>
                <w:rStyle w:val="IndexLink"/>
                <w:rtl w:val="true"/>
              </w:rPr>
              <w:tab/>
            </w:r>
            <w:r>
              <w:rPr>
                <w:rStyle w:val="IndexLink"/>
              </w:rPr>
              <w:t>705</w:t>
            </w:r>
          </w:hyperlink>
        </w:p>
        <w:p>
          <w:pPr>
            <w:pStyle w:val="Contents5"/>
            <w:tabs>
              <w:tab w:val="clear" w:pos="7892"/>
              <w:tab w:val="right" w:pos="9026" w:leader="dot"/>
            </w:tabs>
            <w:rPr/>
          </w:pPr>
          <w:hyperlink w:anchor="__RefHeading___Toc8040543_1280447820">
            <w:r>
              <w:rPr>
                <w:webHidden/>
                <w:rStyle w:val="IndexLink"/>
                <w:rtl w:val="true"/>
              </w:rPr>
              <w:t>عنوان الرسالة</w:t>
            </w:r>
            <w:r>
              <w:rPr>
                <w:rStyle w:val="IndexLink"/>
                <w:rtl w:val="true"/>
              </w:rPr>
              <w:tab/>
            </w:r>
            <w:r>
              <w:rPr>
                <w:rStyle w:val="IndexLink"/>
              </w:rPr>
              <w:t>706</w:t>
            </w:r>
          </w:hyperlink>
        </w:p>
        <w:p>
          <w:pPr>
            <w:pStyle w:val="Contents5"/>
            <w:tabs>
              <w:tab w:val="clear" w:pos="7892"/>
              <w:tab w:val="right" w:pos="9026" w:leader="dot"/>
            </w:tabs>
            <w:rPr/>
          </w:pPr>
          <w:hyperlink w:anchor="__RefHeading___Toc8040545_1280447820">
            <w:r>
              <w:rPr>
                <w:webHidden/>
                <w:rStyle w:val="IndexLink"/>
                <w:rtl w:val="true"/>
              </w:rPr>
              <w:t>مخطوطات الرسالة</w:t>
            </w:r>
            <w:r>
              <w:rPr>
                <w:rStyle w:val="IndexLink"/>
                <w:rtl w:val="true"/>
              </w:rPr>
              <w:tab/>
            </w:r>
            <w:r>
              <w:rPr>
                <w:rStyle w:val="IndexLink"/>
              </w:rPr>
              <w:t>706</w:t>
            </w:r>
          </w:hyperlink>
        </w:p>
        <w:p>
          <w:pPr>
            <w:pStyle w:val="Contents4"/>
            <w:tabs>
              <w:tab w:val="clear" w:pos="8176"/>
              <w:tab w:val="right" w:pos="9026" w:leader="dot"/>
            </w:tabs>
            <w:rPr/>
          </w:pPr>
          <w:hyperlink w:anchor="__RefHeading___Toc8040547_1280447820">
            <w:r>
              <w:rPr>
                <w:webHidden/>
                <w:rStyle w:val="IndexLink"/>
                <w:rtl w:val="true"/>
              </w:rPr>
              <w:t>مسألةٌ في وجوبِ بيانِ النوافلِ على الشرعِ، و وجهِ حُسنِها</w:t>
            </w:r>
            <w:r>
              <w:rPr>
                <w:rStyle w:val="IndexLink"/>
                <w:rtl w:val="true"/>
              </w:rPr>
              <w:tab/>
            </w:r>
            <w:r>
              <w:rPr>
                <w:rStyle w:val="IndexLink"/>
              </w:rPr>
              <w:t>709</w:t>
            </w:r>
          </w:hyperlink>
        </w:p>
        <w:p>
          <w:pPr>
            <w:pStyle w:val="Contents5"/>
            <w:tabs>
              <w:tab w:val="clear" w:pos="7892"/>
              <w:tab w:val="right" w:pos="9026" w:leader="dot"/>
            </w:tabs>
            <w:rPr/>
          </w:pPr>
          <w:hyperlink w:anchor="__RefHeading___Toc8040549_1280447820">
            <w:r>
              <w:rPr>
                <w:webHidden/>
                <w:rStyle w:val="IndexLink"/>
                <w:rtl w:val="true"/>
              </w:rPr>
              <w:t>اشارة</w:t>
            </w:r>
            <w:r>
              <w:rPr>
                <w:rStyle w:val="IndexLink"/>
                <w:rtl w:val="true"/>
              </w:rPr>
              <w:tab/>
            </w:r>
            <w:r>
              <w:rPr>
                <w:rStyle w:val="IndexLink"/>
              </w:rPr>
              <w:t>709</w:t>
            </w:r>
          </w:hyperlink>
        </w:p>
        <w:p>
          <w:pPr>
            <w:pStyle w:val="Contents5"/>
            <w:tabs>
              <w:tab w:val="clear" w:pos="7892"/>
              <w:tab w:val="right" w:pos="9026" w:leader="dot"/>
            </w:tabs>
            <w:rPr/>
          </w:pPr>
          <w:hyperlink w:anchor="__RefHeading___Toc8040551_1280447820">
            <w:r>
              <w:rPr>
                <w:webHidden/>
                <w:rStyle w:val="IndexLink"/>
                <w:rtl w:val="true"/>
              </w:rPr>
              <w:t>مسألةٌ</w:t>
            </w:r>
            <w:r>
              <w:rPr>
                <w:rStyle w:val="IndexLink"/>
                <w:rtl w:val="true"/>
              </w:rPr>
              <w:t>:</w:t>
              <w:tab/>
            </w:r>
            <w:r>
              <w:rPr>
                <w:rStyle w:val="IndexLink"/>
              </w:rPr>
              <w:t>709</w:t>
            </w:r>
          </w:hyperlink>
        </w:p>
        <w:p>
          <w:pPr>
            <w:pStyle w:val="Contents2"/>
            <w:tabs>
              <w:tab w:val="clear" w:pos="8743"/>
              <w:tab w:val="right" w:pos="9026" w:leader="dot"/>
            </w:tabs>
            <w:rPr/>
          </w:pPr>
          <w:hyperlink w:anchor="__RefHeading___Toc8040553_1280447820">
            <w:r>
              <w:rPr>
                <w:webHidden/>
                <w:rStyle w:val="IndexLink"/>
                <w:rtl w:val="true"/>
              </w:rPr>
              <w:t>فهرس المطالب</w:t>
            </w:r>
            <w:r>
              <w:rPr>
                <w:rStyle w:val="IndexLink"/>
                <w:rtl w:val="true"/>
              </w:rPr>
              <w:tab/>
            </w:r>
            <w:r>
              <w:rPr>
                <w:rStyle w:val="IndexLink"/>
              </w:rPr>
              <w:t>711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37_172361"/>
      <w:bookmarkStart w:id="1" w:name="pg16437_172361"/>
      <w:bookmarkEnd w:id="1"/>
    </w:p>
    <w:p>
      <w:pPr>
        <w:pStyle w:val="Heading2"/>
        <w:numPr>
          <w:ilvl w:val="1"/>
          <w:numId w:val="1"/>
        </w:numPr>
        <w:rPr/>
      </w:pPr>
      <w:bookmarkStart w:id="2" w:name="pg16437_172361"/>
      <w:bookmarkStart w:id="3" w:name="__RefHeading___Toc8039453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علی‌بن حسین،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Sharīf al-Murtaḍá, ʻAlam al-Hudá ʻAlī ibn al-Ḥusayn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والمسائل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المرتضی‌علی‌بن‌الحسین الموسوی،علم‌الهدی؛ تحقیق عدة من‌المحققین، محمدحسین الدرایتی، حب‌الله النجفی، حمید الاحمدی‌الجلفای؛ اعداد مرکز الموترات‌العلمیة والبحوث‌الحرة، التابع لموسسة دارالحدیث؛ تقدیم حیدر البیاتی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 رضا الاستادی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مرکز همایش‌های علمی و پژوهش‌های آزاد،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مولفات‌الشریف‌المرتضی؛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0492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060470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0471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0493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0503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موتمرالدولی‌الذکری الفیه‌الشریف‌المرتضی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الرسایل القرآنیه والحدیثیه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الرسائل‌الکلامیة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الرسائل‌الاصولیه والمنتزعه والمنسوبه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Imamite Shiites theology -- 11th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درایتی، محمدحسین،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نجفی،حب‌الله،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جلفایی، حمید،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حسن‌بیاتی، حیدر،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Research foundation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همایش‌های علمی و پژوهش‌های آزاد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بین‌المللی بزرگداشت هزاره سید مرتضی علم‌الهدی</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BP209/7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7273186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3945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الرسائل و المسائل</w:t>
      </w:r>
    </w:p>
    <w:p>
      <w:pPr>
        <w:pStyle w:val="BookText"/>
        <w:rPr/>
      </w:pPr>
      <w:r>
        <w:rPr>
          <w:rFonts w:ascii="Amiri" w:hAnsi="Amiri" w:eastAsia="Amiri" w:cs="Amiri"/>
          <w:color w:val="111111"/>
          <w:sz w:val="28"/>
          <w:sz w:val="28"/>
          <w:szCs w:val="28"/>
          <w:rtl w:val="true"/>
          <w:lang w:bidi="ar-SA"/>
        </w:rPr>
        <w:t>الشريف المرتضى</w:t>
      </w:r>
    </w:p>
    <w:p>
      <w:pPr>
        <w:pStyle w:val="BookText"/>
        <w:rPr/>
      </w:pPr>
      <w:r>
        <w:rPr>
          <w:rFonts w:ascii="Amiri" w:hAnsi="Amiri" w:eastAsia="Amiri" w:cs="Amiri"/>
          <w:color w:val="111111"/>
          <w:sz w:val="28"/>
          <w:sz w:val="28"/>
          <w:szCs w:val="28"/>
          <w:rtl w:val="true"/>
          <w:lang w:bidi="ar-SA"/>
        </w:rPr>
        <w:t>عليّ بن الحسين الموسوي، علم الهدى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عدّة من المحقّقين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مؤلّفات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37_172365"/>
      <w:bookmarkStart w:id="8" w:name="pg16437_172365"/>
      <w:bookmarkEnd w:id="8"/>
    </w:p>
    <w:p>
      <w:pPr>
        <w:pStyle w:val="Heading2"/>
        <w:numPr>
          <w:ilvl w:val="1"/>
          <w:numId w:val="1"/>
        </w:numPr>
        <w:rPr/>
      </w:pPr>
      <w:bookmarkStart w:id="9" w:name="pg16437_172365"/>
      <w:bookmarkStart w:id="10" w:name="__RefHeading___Toc8039457_1280447820"/>
      <w:bookmarkStart w:id="11" w:name="_Toc3"/>
      <w:bookmarkEnd w:id="9"/>
      <w:bookmarkEnd w:id="10"/>
      <w:r>
        <w:rPr>
          <w:rtl w:val="true"/>
        </w:rPr>
        <w:t>الفهرس الإجمالي</w:t>
      </w:r>
      <w:bookmarkEnd w:id="11"/>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الرسّيّة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الرسّيّة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الموصليّات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الموصليّات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مسائل أهل ميّافارقين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الواسطيّات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الرَّمليَّة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الفرق بين نجس العين و نجس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حكم ماء البئر النابع بعد غور مائها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عدم وجوب غسل الرِّجلين في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المسح على الخفَّين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الردِّ علىٰ أصحاب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استمرار الصوم مع قصد المنافي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استلام الحجر و التلبية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جواز تزكية مالٍ من مالٍ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نفي دلالة صيغة الأمر على 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نكاح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حكم الطلاق ثلاثاً بلفظ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إرث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إضافة أولاد البنت إلى جدِّهم إضافة 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شمول الوقف على الأولاد لولد البنت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حكم التصدُّق بالمال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العمل مع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حكم أموال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وجوب بيان النوافل على الشرع، و وجه حسنها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bookmarkStart w:id="12" w:name="pg16437_172367"/>
    </w:p>
    <w:p>
      <w:pPr>
        <w:pStyle w:val="Heading2"/>
        <w:numPr>
          <w:ilvl w:val="1"/>
          <w:numId w:val="1"/>
        </w:numPr>
        <w:rPr/>
      </w:pPr>
      <w:bookmarkStart w:id="13" w:name="__RefHeading___Toc8039459_1280447820"/>
      <w:bookmarkStart w:id="14" w:name="_Toc4"/>
      <w:bookmarkEnd w:id="12"/>
      <w:bookmarkEnd w:id="13"/>
      <w:r>
        <w:rPr>
          <w:rtl w:val="true"/>
        </w:rPr>
        <w:t>د</w:t>
      </w:r>
      <w:r>
        <w:rPr>
          <w:rtl w:val="true"/>
        </w:rPr>
        <w:t xml:space="preserve">. </w:t>
      </w:r>
      <w:r>
        <w:rPr>
          <w:rtl w:val="true"/>
        </w:rPr>
        <w:t>الرسائل الفقهيّة</w:t>
      </w:r>
      <w:bookmarkEnd w:id="14"/>
    </w:p>
    <w:p>
      <w:pPr>
        <w:pStyle w:val="Heading3"/>
        <w:numPr>
          <w:ilvl w:val="2"/>
          <w:numId w:val="1"/>
        </w:numPr>
        <w:rPr/>
      </w:pPr>
      <w:bookmarkStart w:id="15" w:name="__RefHeading___Toc8039461_1280447820"/>
      <w:bookmarkStart w:id="16" w:name="_Toc5"/>
      <w:bookmarkEnd w:id="15"/>
      <w:r>
        <w:rPr>
          <w:rtl w:val="true"/>
        </w:rPr>
        <w:t>(</w:t>
      </w:r>
      <w:r>
        <w:rPr/>
        <w:t>75</w:t>
      </w:r>
      <w:r>
        <w:rPr>
          <w:rtl w:val="true"/>
        </w:rPr>
        <w:t xml:space="preserve">) </w:t>
      </w:r>
      <w:r>
        <w:rPr>
          <w:rtl w:val="true"/>
        </w:rPr>
        <w:t>جواباتُ المَسائلِ الرَّسّيّةِ الأُولىٰ‌</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8039463_1280447820"/>
      <w:bookmarkStart w:id="18" w:name="_Toc6"/>
      <w:bookmarkEnd w:id="17"/>
      <w:r>
        <w:rPr>
          <w:rtl w:val="true"/>
        </w:rPr>
        <w:t>اشارة</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437_172369"/>
      <w:bookmarkStart w:id="20" w:name="pg16437_172369"/>
      <w:bookmarkEnd w:id="20"/>
    </w:p>
    <w:p>
      <w:pPr>
        <w:pStyle w:val="Heading4"/>
        <w:numPr>
          <w:ilvl w:val="3"/>
          <w:numId w:val="1"/>
        </w:numPr>
        <w:rPr/>
      </w:pPr>
      <w:bookmarkStart w:id="21" w:name="pg16437_172369"/>
      <w:bookmarkStart w:id="22" w:name="__RefHeading___Toc8039465_1280447820"/>
      <w:bookmarkStart w:id="23" w:name="_Toc7"/>
      <w:bookmarkEnd w:id="21"/>
      <w:bookmarkEnd w:id="22"/>
      <w:r>
        <w:rPr>
          <w:rtl w:val="true"/>
        </w:rPr>
        <w:t>مقدّمة التحقيق</w:t>
      </w:r>
      <w:bookmarkEnd w:id="23"/>
    </w:p>
    <w:p>
      <w:pPr>
        <w:pStyle w:val="Heading5"/>
        <w:numPr>
          <w:ilvl w:val="4"/>
          <w:numId w:val="1"/>
        </w:numPr>
        <w:rPr/>
      </w:pPr>
      <w:bookmarkStart w:id="24" w:name="__RefHeading___Toc8039467_1280447820"/>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مرّة أُخرى تجلّت في هذه المسائل براعة السائل و المُجيب؛ فقد احتوت المسائل الرسّيّة على أسئلة تمتّعت بالدقّة و الاستدلال العميق بما يكشف عن علميّة السائل و قدرته الكبيرة على البحث و التحليل؛ و قام الشريف المرتضى بالإجابة على تلك الأسئلة بالتفصيل، بما يتناسب مع مستوى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السائل هو السيّد الشريف أبو الحسن المحسن بن محمّد بن الناصر الحسنيّ الرَّسّي</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مدحه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رسالته في المواسعة و المضائقة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ينبّهك على ذلك ما أورده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مسألة من المسائل الرسّيّات، و هي مشهورة، و كان سائلها مدقّقاً عالماً فقيهاً حاذقاً مُلزِماً لخصمه، مُحتجّاً عليها بما لا يكاد يتفصّى منه إلّامَن كان في درجة السيّد المرتضى؛ يدلّ على ذلك مسألة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نصّ إحدى المسائل الرسّيّة المتعلّقة بمسألة النيّة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الشريف المرتضى قام بمدح السائل في مقدّمة المسائل، حيث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وقفتُ على المسائل التي ضمّنها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و سُررتُ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بما دلّتني عليه هذه المسائل من حُسن تدبّر وجودة تبحّر و أُنس ببواطن هذه العلوم و دفائنها و كوامِنها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نتمكّن من العثور على معلومات عن السائل الرسّيّ أكثر ممّا تقدّم، حتّى إنّ العلّامة السيّد محسن الأمين اكتفى بذكر اسمه، و أنّه صاحب المسائل الرسّيّة، و لم يترجِم له أكثر من ذلك</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أنّ لقب الرسّيّ نسبة إلى الرسّ، و هو جبل أسود بالقرب من ذي الحُليفة، على ستّة أميال من المدينة، توفّي فيه القاسم الرسّيّ‌</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معظمُ هذه المسائل فقهيّةٌ، و إن احتوت علىٰ مسائل كلاميّة مهمّة، ولكن حتّىٰ بعض هذه المسائل الكلاميّة كان لها ارتباط بالعبادات و الفقه، و لذلك أُدرجت هذه المسائل في ضمن الرسائل الفقهيّة للشريف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الشريف المرتضى بالإجابة علىٰ هذه المسائل الفقهيّة لكنّه كان أحياناً يقوم بطرح بحث كلامي عند وجود مناسبةٍ لذلك، و كأنّه لم يكن يتمكّن من الإفلات من عقال علم الكلام فكان يتطرّق إليه في كلّ مناسبة، و ذلك في إشارة إلى اعتبار علم الكلام في ذلك العصرِ العلمَ الأوّلَ و الأهمّ الذي ترجع إليه سائر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بلغت هذه المسائل أهمّيّة كبيرة بين العلماء، فقد كثر النقل عنها في كتب الفقه</w:t>
      </w:r>
      <w:r>
        <w:rPr>
          <w:rStyle w:val="FootnoteAnchor"/>
          <w:rtl w:val="true"/>
        </w:rPr>
        <w:footnoteReference w:id="6"/>
      </w:r>
      <w:r>
        <w:rPr>
          <w:rFonts w:ascii="Amiri" w:hAnsi="Amiri" w:eastAsia="Amiri" w:cs="Amiri"/>
          <w:color w:val="111111"/>
          <w:sz w:val="28"/>
          <w:sz w:val="28"/>
          <w:szCs w:val="28"/>
          <w:rtl w:val="true"/>
          <w:lang w:bidi="ar-SA"/>
        </w:rPr>
        <w:t>، و هو يدلّ على أهمّيّتها و مدى أثرها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انتهى الشريف المرتضى من إملاء أجوبة هذه المسائل في أواخر عمره، و ذلك في المحرّم من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حوالي سبع سنوات قبل وفاته، و هذا يعني أنّها تعبّر عن آخر آرائه الكلاميّة و الفقهيّة الموجودة فيها، و هو يزيد من أهمّيّة هذه المسائل و قيمتها العلميّة</w:t>
      </w:r>
      <w:r>
        <w:rPr>
          <w:rFonts w:eastAsia="Amiri" w:cs="Amiri" w:ascii="Amiri" w:hAnsi="Amiri"/>
          <w:color w:val="111111"/>
          <w:sz w:val="28"/>
          <w:szCs w:val="28"/>
          <w:rtl w:val="true"/>
          <w:lang w:bidi="ar-SA"/>
        </w:rPr>
        <w:t xml:space="preserve">. </w:t>
      </w:r>
      <w:bookmarkStart w:id="26" w:name="pg16437_172371"/>
    </w:p>
    <w:p>
      <w:pPr>
        <w:pStyle w:val="Heading5"/>
        <w:numPr>
          <w:ilvl w:val="4"/>
          <w:numId w:val="1"/>
        </w:numPr>
        <w:rPr/>
      </w:pPr>
      <w:bookmarkStart w:id="27" w:name="__RefHeading___Toc8039469_1280447820"/>
      <w:bookmarkStart w:id="28" w:name="_Toc9"/>
      <w:bookmarkEnd w:id="26"/>
      <w:bookmarkEnd w:id="27"/>
      <w:r>
        <w:rPr>
          <w:rtl w:val="true"/>
        </w:rPr>
        <w:t>نسبتها إلى المؤلّف</w:t>
      </w:r>
      <w:bookmarkEnd w:id="28"/>
    </w:p>
    <w:p>
      <w:pPr>
        <w:pStyle w:val="BookText"/>
        <w:rPr/>
      </w:pPr>
      <w:r>
        <w:rPr>
          <w:rFonts w:ascii="Amiri" w:hAnsi="Amiri" w:eastAsia="Amiri" w:cs="Amiri"/>
          <w:color w:val="111111"/>
          <w:sz w:val="28"/>
          <w:sz w:val="28"/>
          <w:szCs w:val="28"/>
          <w:rtl w:val="true"/>
          <w:lang w:bidi="ar-SA"/>
        </w:rPr>
        <w:t xml:space="preserve">و على الرغم من عدم ذكر أصحاب الفهارس المتقدّمين كالبُصروي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قد يَرجع سببُه إلى تقدّم تاريخ تأليف هذه الفهارس، أو تأليف القسم المرتبط منها بمصنّفات الشريف المرتضى، على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لا شكّ في نسبتها إلى الشريف المرتضى، فقد تقدّم كلام ابن إدريس عنها، و وصفُه لها بأنّها مشهورة، و بما أنّ عهده غير بعيد عن الشريف المرتضى، لذا يمكن الاعتماد على ما ينسبه إليه من مصنّفات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إضافة إلى ما تقدّم من كثرة نقل الفقهاء عنها، و هو يعتبر قرينة أُخرى على تصحيح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الأهمّ من ذلك إرجاع الشريف المرتضى فيها إلى كتبه المشهورة،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 و الشافي، و المسائل التبّانيّات، و الصرفة، و غيرها، ممّا لا يدع مجالاً للشكّ في نسبتها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لهذه المسائل ذيلاً أو مُلحقاً، و هو عبارة عن خمسة أسئلة أُخرى، قام الرسّيّ بإرسالها فيما بعد، و عُرفت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الرسّيّة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قام الشريف المرتضى بإلحاق جوابها بجواب هذه المسائل، حيث قال في بدايتها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وردت بعد ذلك مسائل خمس، فألحقنا جوابها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أنّ الرسّيّتين ليستا في الحقيقة سوى مجموعة مسائل واحدة، إلّا أنّهما اشتهرتا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الرسّيّة الأُولى و الرسّيّة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القارئ للمسائل الرسّيّة يجد قدراً كبيراً من القدرة على الإشكال و تشقيقه و تفريعه من جهة، و القدرة على الإجابة و الردّ مهما بلغ الإشكال من قوّة من جهة أُخرى، فهي نموذج رائع للقدرة الفائقة على المناظرة و البحث، التي كان لعلماء الإماميّة فيها القدح المعلّى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كانت هذه المسائل قد طبعت في ضمن رسائل الشريف المرتضى،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bookmarkStart w:id="29" w:name="pg16437_172372"/>
    </w:p>
    <w:p>
      <w:pPr>
        <w:pStyle w:val="Heading5"/>
        <w:numPr>
          <w:ilvl w:val="4"/>
          <w:numId w:val="1"/>
        </w:numPr>
        <w:rPr/>
      </w:pPr>
      <w:bookmarkStart w:id="30" w:name="__RefHeading___Toc8039471_1280447820"/>
      <w:bookmarkStart w:id="31" w:name="_Toc10"/>
      <w:bookmarkEnd w:id="29"/>
      <w:bookmarkEnd w:id="30"/>
      <w:r>
        <w:rPr>
          <w:rtl w:val="true"/>
        </w:rPr>
        <w:t>مخطوطات الرسالة</w:t>
      </w:r>
      <w:bookmarkEnd w:id="31"/>
    </w:p>
    <w:p>
      <w:pPr>
        <w:pStyle w:val="Heading6"/>
        <w:numPr>
          <w:ilvl w:val="5"/>
          <w:numId w:val="1"/>
        </w:numPr>
        <w:rPr/>
      </w:pPr>
      <w:bookmarkStart w:id="32" w:name="__RefHeading___Toc8039473_1280447820"/>
      <w:bookmarkStart w:id="33" w:name="_Toc11"/>
      <w:bookmarkEnd w:id="32"/>
      <w:r>
        <w:rPr>
          <w:rtl w:val="true"/>
        </w:rPr>
        <w:t>ألف</w:t>
      </w:r>
      <w:r>
        <w:rPr>
          <w:rtl w:val="true"/>
        </w:rPr>
        <w:t xml:space="preserve">) </w:t>
      </w:r>
      <w:r>
        <w:rPr>
          <w:rtl w:val="true"/>
        </w:rPr>
        <w:t>النسخ المعتمدة</w:t>
      </w:r>
      <w:r>
        <w:rPr>
          <w:rtl w:val="true"/>
        </w:rPr>
        <w:t>:</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21909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في بداية هذه النسخة و التي تليها باسم السائل الرسّيّ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8039475_1280447820"/>
      <w:bookmarkStart w:id="35" w:name="_Toc12"/>
      <w:bookmarkEnd w:id="34"/>
      <w:r>
        <w:rPr>
          <w:rtl w:val="true"/>
        </w:rPr>
        <w:t>ب</w:t>
      </w:r>
      <w:r>
        <w:rPr>
          <w:rtl w:val="true"/>
        </w:rPr>
        <w:t xml:space="preserve">) </w:t>
      </w:r>
      <w:r>
        <w:rPr>
          <w:rtl w:val="true"/>
        </w:rPr>
        <w:t>سائر النسخ</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 و هي ميكروفيلم من المخطوطة المرقّمة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المكتبة الروضة الرضويّة المقدّسة بمشهد، و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438/6</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6437_172375"/>
      <w:bookmarkStart w:id="37" w:name="pg16437_172375"/>
      <w:bookmarkEnd w:id="37"/>
    </w:p>
    <w:p>
      <w:pPr>
        <w:pStyle w:val="Heading4"/>
        <w:numPr>
          <w:ilvl w:val="3"/>
          <w:numId w:val="1"/>
        </w:numPr>
        <w:rPr/>
      </w:pPr>
      <w:bookmarkStart w:id="38" w:name="pg16437_172375"/>
      <w:bookmarkStart w:id="39" w:name="__RefHeading___Toc8039477_1280447820"/>
      <w:bookmarkStart w:id="40" w:name="_Toc13"/>
      <w:bookmarkEnd w:id="38"/>
      <w:bookmarkEnd w:id="39"/>
      <w:r>
        <w:rPr>
          <w:rtl w:val="true"/>
        </w:rPr>
        <w:t>جواباتُ المَسائلِ الرَّسّيّةِ الأُولىٰ‌</w:t>
      </w:r>
      <w:bookmarkEnd w:id="40"/>
    </w:p>
    <w:p>
      <w:pPr>
        <w:pStyle w:val="Heading5"/>
        <w:numPr>
          <w:ilvl w:val="4"/>
          <w:numId w:val="1"/>
        </w:numPr>
        <w:rPr/>
      </w:pPr>
      <w:bookmarkStart w:id="41" w:name="__RefHeading___Toc8039479_1280447820"/>
      <w:bookmarkStart w:id="42" w:name="_Toc14"/>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بِسمِ اللّٰهِ الرَّحمٰنِ الرَّحيمِ</w:t>
      </w:r>
    </w:p>
    <w:p>
      <w:pPr>
        <w:pStyle w:val="Heading5"/>
        <w:numPr>
          <w:ilvl w:val="4"/>
          <w:numId w:val="1"/>
        </w:numPr>
        <w:rPr/>
      </w:pPr>
      <w:bookmarkStart w:id="43" w:name="__RefHeading___Toc8039481_1280447820"/>
      <w:bookmarkStart w:id="44" w:name="_Toc15"/>
      <w:bookmarkEnd w:id="43"/>
      <w:r>
        <w:rPr>
          <w:rtl w:val="true"/>
        </w:rPr>
        <w:t>مُقدِّمةُ المؤلِّفِ‌</w:t>
      </w:r>
      <w:bookmarkEnd w:id="44"/>
    </w:p>
    <w:p>
      <w:pPr>
        <w:pStyle w:val="BookText"/>
        <w:rPr/>
      </w:pPr>
      <w:r>
        <w:rPr>
          <w:rFonts w:ascii="Amiri" w:hAnsi="Amiri" w:eastAsia="Amiri" w:cs="Amiri"/>
          <w:color w:val="111111"/>
          <w:sz w:val="28"/>
          <w:sz w:val="28"/>
          <w:szCs w:val="28"/>
          <w:rtl w:val="true"/>
          <w:lang w:bidi="ar-SA"/>
        </w:rPr>
        <w:t>الحَمدُ للّٰهِ علىٰ مُتَوالي نِعَمِه، و مُتَتالي قِسَمِه، و له الشُّكرُ علىٰ أن جَعَلَنا مِن أهلِ التمييزِ</w:t>
      </w:r>
      <w:r>
        <w:rPr>
          <w:rStyle w:val="FootnoteAnchor"/>
          <w:rtl w:val="true"/>
        </w:rPr>
        <w:footnoteReference w:id="7"/>
      </w:r>
      <w:r>
        <w:rPr>
          <w:rFonts w:ascii="Amiri" w:hAnsi="Amiri" w:eastAsia="Amiri" w:cs="Amiri"/>
          <w:color w:val="111111"/>
          <w:sz w:val="28"/>
          <w:sz w:val="28"/>
          <w:szCs w:val="28"/>
          <w:rtl w:val="true"/>
          <w:lang w:bidi="ar-SA"/>
        </w:rPr>
        <w:t>و التَّفَكُّرِ، حتّىٰ نُمِّيزَ بَينَ الحقِّ المُبينِ و الباطلِ المَهينِ،</w:t>
      </w:r>
      <w:r>
        <w:rPr>
          <w:rStyle w:val="FootnoteAnchor"/>
          <w:rtl w:val="true"/>
        </w:rPr>
        <w:footnoteReference w:id="8"/>
      </w:r>
      <w:r>
        <w:rPr>
          <w:rFonts w:ascii="Amiri" w:hAnsi="Amiri" w:eastAsia="Amiri" w:cs="Amiri"/>
          <w:color w:val="111111"/>
          <w:sz w:val="28"/>
          <w:sz w:val="28"/>
          <w:szCs w:val="28"/>
          <w:rtl w:val="true"/>
          <w:lang w:bidi="ar-SA"/>
        </w:rPr>
        <w:t>و الحُجّةِ المتبوعةِ‌</w:t>
      </w:r>
      <w:r>
        <w:rPr>
          <w:rStyle w:val="FootnoteAnchor"/>
          <w:rtl w:val="true"/>
        </w:rPr>
        <w:footnoteReference w:id="9"/>
      </w:r>
      <w:r>
        <w:rPr>
          <w:rFonts w:ascii="Amiri" w:hAnsi="Amiri" w:eastAsia="Amiri" w:cs="Amiri"/>
          <w:color w:val="111111"/>
          <w:sz w:val="28"/>
          <w:sz w:val="28"/>
          <w:szCs w:val="28"/>
          <w:rtl w:val="true"/>
          <w:lang w:bidi="ar-SA"/>
        </w:rPr>
        <w:t>و الشُّبهةِ المدفوعةِ</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 صَلَّى اللّٰهُ علىٰ سيِّدِ الأُمَمِ، و أفضَلِ العَرَبِ و العَجَمِ، مُحمّدٍ نَبيِّه و صَفيِّه و نَجيِّه،</w:t>
      </w:r>
      <w:r>
        <w:rPr>
          <w:rStyle w:val="FootnoteAnchor"/>
          <w:rtl w:val="true"/>
        </w:rPr>
        <w:footnoteReference w:id="11"/>
      </w:r>
      <w:r>
        <w:rPr>
          <w:rFonts w:ascii="Amiri" w:hAnsi="Amiri" w:eastAsia="Amiri" w:cs="Amiri"/>
          <w:color w:val="111111"/>
          <w:sz w:val="28"/>
          <w:sz w:val="28"/>
          <w:szCs w:val="28"/>
          <w:rtl w:val="true"/>
          <w:lang w:bidi="ar-SA"/>
        </w:rPr>
        <w:t>و علىٰ أفاضِلِ عِترتِه، و أطائِب أرومتهِ‌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وَقَفتُ علَى المَسائلِ التي ضَمَّنَها الشريفُ‌</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و سُرِرتُ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Style w:val="FootnoteAnchor"/>
          <w:rtl w:val="true"/>
        </w:rPr>
        <w:footnoteReference w:id="14"/>
      </w:r>
      <w:r>
        <w:rPr>
          <w:rFonts w:ascii="Amiri" w:hAnsi="Amiri" w:eastAsia="Amiri" w:cs="Amiri"/>
          <w:color w:val="111111"/>
          <w:sz w:val="28"/>
          <w:sz w:val="28"/>
          <w:szCs w:val="28"/>
          <w:rtl w:val="true"/>
          <w:lang w:bidi="ar-SA"/>
        </w:rPr>
        <w:t xml:space="preserve">بما دَلَّتني عليه هذه المَسائلُ مِن </w:t>
      </w:r>
    </w:p>
    <w:p>
      <w:pPr>
        <w:pStyle w:val="BookText"/>
        <w:rPr/>
      </w:pPr>
      <w:r>
        <w:rPr>
          <w:rFonts w:ascii="Amiri" w:hAnsi="Amiri" w:eastAsia="Amiri" w:cs="Amiri"/>
          <w:color w:val="111111"/>
          <w:sz w:val="28"/>
          <w:sz w:val="28"/>
          <w:szCs w:val="28"/>
          <w:rtl w:val="true"/>
          <w:lang w:bidi="ar-SA"/>
        </w:rPr>
        <w:t>حُسنِ‌</w:t>
      </w:r>
      <w:r>
        <w:rPr>
          <w:rStyle w:val="FootnoteAnchor"/>
          <w:rtl w:val="true"/>
        </w:rPr>
        <w:footnoteReference w:id="15"/>
      </w:r>
      <w:r>
        <w:rPr>
          <w:rFonts w:ascii="Amiri" w:hAnsi="Amiri" w:eastAsia="Amiri" w:cs="Amiri"/>
          <w:color w:val="111111"/>
          <w:sz w:val="28"/>
          <w:sz w:val="28"/>
          <w:szCs w:val="28"/>
          <w:rtl w:val="true"/>
          <w:lang w:bidi="ar-SA"/>
        </w:rPr>
        <w:t>تدَبُّرٍ، و جَودةِ تَبحُّرٍ، و أُنسٍ ببَواطِنِ هذه العُلومِ‌</w:t>
      </w:r>
      <w:r>
        <w:rPr>
          <w:rStyle w:val="FootnoteAnchor"/>
          <w:rtl w:val="true"/>
        </w:rPr>
        <w:footnoteReference w:id="16"/>
      </w:r>
      <w:r>
        <w:rPr>
          <w:rFonts w:ascii="Amiri" w:hAnsi="Amiri" w:eastAsia="Amiri" w:cs="Amiri"/>
          <w:color w:val="111111"/>
          <w:sz w:val="28"/>
          <w:sz w:val="28"/>
          <w:szCs w:val="28"/>
          <w:rtl w:val="true"/>
          <w:lang w:bidi="ar-SA"/>
        </w:rPr>
        <w:t>و دَفائنِها</w:t>
      </w:r>
      <w:r>
        <w:rPr>
          <w:rStyle w:val="FootnoteAnchor"/>
          <w:rtl w:val="true"/>
        </w:rPr>
        <w:footnoteReference w:id="17"/>
      </w:r>
      <w:r>
        <w:rPr>
          <w:rFonts w:ascii="Amiri" w:hAnsi="Amiri" w:eastAsia="Amiri" w:cs="Amiri"/>
          <w:color w:val="111111"/>
          <w:sz w:val="28"/>
          <w:sz w:val="28"/>
          <w:szCs w:val="28"/>
          <w:rtl w:val="true"/>
          <w:lang w:bidi="ar-SA"/>
        </w:rPr>
        <w:t>و كَوامِنِها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أُجيبُ عن المَسائلِ علىٰ ضيقِ زماني</w:t>
      </w:r>
      <w:r>
        <w:rPr>
          <w:rStyle w:val="FootnoteAnchor"/>
          <w:rtl w:val="true"/>
        </w:rPr>
        <w:footnoteReference w:id="19"/>
      </w:r>
      <w:r>
        <w:rPr>
          <w:rFonts w:ascii="Amiri" w:hAnsi="Amiri" w:eastAsia="Amiri" w:cs="Amiri"/>
          <w:color w:val="111111"/>
          <w:sz w:val="28"/>
          <w:sz w:val="28"/>
          <w:szCs w:val="28"/>
          <w:rtl w:val="true"/>
          <w:lang w:bidi="ar-SA"/>
        </w:rPr>
        <w:t>، و قِلّةِ فَراغي</w:t>
      </w:r>
      <w:r>
        <w:rPr>
          <w:rStyle w:val="FootnoteAnchor"/>
          <w:rtl w:val="true"/>
        </w:rPr>
        <w:footnoteReference w:id="20"/>
      </w:r>
      <w:r>
        <w:rPr>
          <w:rFonts w:ascii="Amiri" w:hAnsi="Amiri" w:eastAsia="Amiri" w:cs="Amiri"/>
          <w:color w:val="111111"/>
          <w:sz w:val="28"/>
          <w:sz w:val="28"/>
          <w:szCs w:val="28"/>
          <w:rtl w:val="true"/>
          <w:lang w:bidi="ar-SA"/>
        </w:rPr>
        <w:t>، و كَثرةِ قَواطِعي</w:t>
      </w:r>
      <w:r>
        <w:rPr>
          <w:rStyle w:val="FootnoteAnchor"/>
          <w:rtl w:val="true"/>
        </w:rPr>
        <w:footnoteReference w:id="21"/>
      </w:r>
      <w:r>
        <w:rPr>
          <w:rFonts w:ascii="Amiri" w:hAnsi="Amiri" w:eastAsia="Amiri" w:cs="Amiri"/>
          <w:color w:val="111111"/>
          <w:sz w:val="28"/>
          <w:sz w:val="28"/>
          <w:szCs w:val="28"/>
          <w:rtl w:val="true"/>
          <w:lang w:bidi="ar-SA"/>
        </w:rPr>
        <w:t xml:space="preserve">و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w:t>
      </w:r>
      <w:r>
        <w:rPr>
          <w:rStyle w:val="FootnoteAnchor"/>
          <w:rtl w:val="true"/>
        </w:rPr>
        <w:footnoteReference w:id="22"/>
      </w:r>
      <w:r>
        <w:rPr>
          <w:rFonts w:ascii="Amiri" w:hAnsi="Amiri" w:eastAsia="Amiri" w:cs="Amiri"/>
          <w:color w:val="111111"/>
          <w:sz w:val="28"/>
          <w:sz w:val="28"/>
          <w:szCs w:val="28"/>
          <w:rtl w:val="true"/>
          <w:lang w:bidi="ar-SA"/>
        </w:rPr>
        <w:t xml:space="preserve">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أستَمِدُّ التوفيقَ، مُستَمطِراً</w:t>
      </w:r>
      <w:r>
        <w:rPr>
          <w:rStyle w:val="FootnoteAnchor"/>
          <w:rtl w:val="true"/>
        </w:rPr>
        <w:footnoteReference w:id="23"/>
      </w:r>
      <w:r>
        <w:rPr>
          <w:rFonts w:ascii="Amiri" w:hAnsi="Amiri" w:eastAsia="Amiri" w:cs="Amiri"/>
          <w:color w:val="111111"/>
          <w:sz w:val="28"/>
          <w:sz w:val="28"/>
          <w:szCs w:val="28"/>
          <w:rtl w:val="true"/>
          <w:lang w:bidi="ar-SA"/>
        </w:rPr>
        <w:t>غَمامَه</w:t>
      </w:r>
      <w:r>
        <w:rPr>
          <w:rStyle w:val="FootnoteAnchor"/>
          <w:rtl w:val="true"/>
        </w:rPr>
        <w:footnoteReference w:id="24"/>
      </w:r>
      <w:r>
        <w:rPr>
          <w:rFonts w:ascii="Amiri" w:hAnsi="Amiri" w:eastAsia="Amiri" w:cs="Amiri"/>
          <w:color w:val="111111"/>
          <w:sz w:val="28"/>
          <w:sz w:val="28"/>
          <w:szCs w:val="28"/>
          <w:rtl w:val="true"/>
          <w:lang w:bidi="ar-SA"/>
        </w:rPr>
        <w:t>، و مُستَدِرّاً</w:t>
      </w:r>
      <w:r>
        <w:rPr>
          <w:rStyle w:val="FootnoteAnchor"/>
          <w:rtl w:val="true"/>
        </w:rPr>
        <w:footnoteReference w:id="25"/>
      </w:r>
      <w:r>
        <w:rPr>
          <w:rFonts w:ascii="Amiri" w:hAnsi="Amiri" w:eastAsia="Amiri" w:cs="Amiri"/>
          <w:color w:val="111111"/>
          <w:sz w:val="28"/>
          <w:sz w:val="28"/>
          <w:szCs w:val="28"/>
          <w:rtl w:val="true"/>
          <w:lang w:bidi="ar-SA"/>
        </w:rPr>
        <w:t>مَرامَه</w:t>
      </w:r>
      <w:r>
        <w:rPr>
          <w:rStyle w:val="FootnoteAnchor"/>
          <w:rtl w:val="true"/>
        </w:rPr>
        <w:footnoteReference w:id="26"/>
      </w:r>
      <w:r>
        <w:rPr>
          <w:rFonts w:ascii="Amiri" w:hAnsi="Amiri" w:eastAsia="Amiri" w:cs="Amiri"/>
          <w:color w:val="111111"/>
          <w:sz w:val="28"/>
          <w:sz w:val="28"/>
          <w:szCs w:val="28"/>
          <w:rtl w:val="true"/>
          <w:lang w:bidi="ar-SA"/>
        </w:rPr>
        <w:t>فهو تَعالىٰ وَليُّ ذلكَ و القادرُ عليه، و المفزوعُ‌</w:t>
      </w:r>
      <w:r>
        <w:rPr>
          <w:rStyle w:val="FootnoteAnchor"/>
          <w:rtl w:val="true"/>
        </w:rPr>
        <w:footnoteReference w:id="27"/>
      </w:r>
      <w:r>
        <w:rPr>
          <w:rFonts w:ascii="Amiri" w:hAnsi="Amiri" w:eastAsia="Amiri" w:cs="Amiri"/>
          <w:color w:val="111111"/>
          <w:sz w:val="28"/>
          <w:sz w:val="28"/>
          <w:szCs w:val="28"/>
          <w:rtl w:val="true"/>
          <w:lang w:bidi="ar-SA"/>
        </w:rPr>
        <w:t>فيه إليه</w:t>
      </w:r>
      <w:r>
        <w:rPr>
          <w:rFonts w:eastAsia="Amiri" w:cs="Amiri" w:ascii="Amiri" w:hAnsi="Amiri"/>
          <w:color w:val="111111"/>
          <w:sz w:val="28"/>
          <w:szCs w:val="28"/>
          <w:rtl w:val="true"/>
          <w:lang w:bidi="ar-SA"/>
        </w:rPr>
        <w:t>.</w:t>
      </w:r>
      <w:r>
        <w:rPr>
          <w:rStyle w:val="FootnoteAnchor"/>
          <w:rtl w:val="true"/>
        </w:rPr>
        <w:footnoteReference w:id="28"/>
      </w:r>
      <w:bookmarkStart w:id="45" w:name="pg16437_172377"/>
    </w:p>
    <w:p>
      <w:pPr>
        <w:pStyle w:val="Heading5"/>
        <w:numPr>
          <w:ilvl w:val="4"/>
          <w:numId w:val="1"/>
        </w:numPr>
        <w:rPr/>
      </w:pPr>
      <w:bookmarkStart w:id="46" w:name="__RefHeading___Toc8039483_1280447820"/>
      <w:bookmarkStart w:id="47" w:name="_Toc16"/>
      <w:bookmarkEnd w:id="45"/>
      <w:bookmarkEnd w:id="46"/>
      <w:r>
        <w:rPr>
          <w:rtl w:val="true"/>
        </w:rPr>
        <w:t>المسألةُ الأُولىٰ حُكمُ عباداتِ المقلِّدِ و تاركِ النظرِ</w:t>
      </w:r>
      <w:bookmarkEnd w:id="47"/>
    </w:p>
    <w:p>
      <w:pPr>
        <w:pStyle w:val="BookText"/>
        <w:rPr/>
      </w:pPr>
      <w:r>
        <w:rPr>
          <w:rFonts w:ascii="Amiri" w:hAnsi="Amiri" w:eastAsia="Amiri" w:cs="Amiri"/>
          <w:color w:val="111111"/>
          <w:sz w:val="28"/>
          <w:sz w:val="28"/>
          <w:szCs w:val="28"/>
          <w:rtl w:val="true"/>
          <w:lang w:bidi="ar-SA"/>
        </w:rPr>
        <w:t>ما القولُ في</w:t>
      </w:r>
      <w:r>
        <w:rPr>
          <w:rStyle w:val="FootnoteAnchor"/>
          <w:rtl w:val="true"/>
        </w:rPr>
        <w:footnoteReference w:id="29"/>
      </w:r>
      <w:r>
        <w:rPr>
          <w:rFonts w:ascii="Amiri" w:hAnsi="Amiri" w:eastAsia="Amiri" w:cs="Amiri"/>
          <w:color w:val="111111"/>
          <w:sz w:val="28"/>
          <w:sz w:val="28"/>
          <w:szCs w:val="28"/>
          <w:rtl w:val="true"/>
          <w:lang w:bidi="ar-SA"/>
        </w:rPr>
        <w:t>مُعتَقِدِ الحقِّ بأَسْرِه</w:t>
      </w:r>
      <w:r>
        <w:rPr>
          <w:rStyle w:val="FootnoteAnchor"/>
          <w:rtl w:val="true"/>
        </w:rPr>
        <w:footnoteReference w:id="30"/>
      </w:r>
      <w:r>
        <w:rPr>
          <w:rFonts w:ascii="Amiri" w:hAnsi="Amiri" w:eastAsia="Amiri" w:cs="Amiri"/>
          <w:color w:val="111111"/>
          <w:sz w:val="28"/>
          <w:sz w:val="28"/>
          <w:szCs w:val="28"/>
          <w:rtl w:val="true"/>
          <w:lang w:bidi="ar-SA"/>
        </w:rPr>
        <w:t>تقليداً؟ أكافرٌ، أم مؤمنٌ، أم فاسقٌ؟</w:t>
      </w:r>
    </w:p>
    <w:p>
      <w:pPr>
        <w:pStyle w:val="BookText"/>
        <w:rPr/>
      </w:pPr>
      <w:r>
        <w:rPr>
          <w:rFonts w:ascii="Amiri" w:hAnsi="Amiri" w:eastAsia="Amiri" w:cs="Amiri"/>
          <w:color w:val="111111"/>
          <w:sz w:val="28"/>
          <w:sz w:val="28"/>
          <w:szCs w:val="28"/>
          <w:rtl w:val="true"/>
          <w:lang w:bidi="ar-SA"/>
        </w:rPr>
        <w:t>فإن كانَ كافِراً، و نَدِمَ علىٰ‌</w:t>
      </w:r>
      <w:r>
        <w:rPr>
          <w:rStyle w:val="FootnoteAnchor"/>
          <w:rtl w:val="true"/>
        </w:rPr>
        <w:footnoteReference w:id="31"/>
      </w:r>
      <w:r>
        <w:rPr>
          <w:rFonts w:ascii="Amiri" w:hAnsi="Amiri" w:eastAsia="Amiri" w:cs="Amiri"/>
          <w:color w:val="111111"/>
          <w:sz w:val="28"/>
          <w:sz w:val="28"/>
          <w:szCs w:val="28"/>
          <w:rtl w:val="true"/>
          <w:lang w:bidi="ar-SA"/>
        </w:rPr>
        <w:t>تقليدِه، و قَصَدَ إلَى النظَرِ؛ أيَترُكُ التكليفَ الشرعيَّ‌</w:t>
      </w:r>
      <w:r>
        <w:rPr>
          <w:rStyle w:val="FootnoteAnchor"/>
          <w:rtl w:val="true"/>
        </w:rPr>
        <w:footnoteReference w:id="32"/>
      </w:r>
      <w:r>
        <w:rPr>
          <w:rFonts w:ascii="Amiri" w:hAnsi="Amiri" w:eastAsia="Amiri" w:cs="Amiri"/>
          <w:color w:val="111111"/>
          <w:sz w:val="28"/>
          <w:sz w:val="28"/>
          <w:szCs w:val="28"/>
          <w:rtl w:val="true"/>
          <w:lang w:bidi="ar-SA"/>
        </w:rPr>
        <w:t xml:space="preserve">إلىٰ أن تَستَقِرَّ له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كانَت صحّتُها موقوفةً علىٰ حصولِ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يَعمَلُ بها مع عِلمِنا بأنّها غيرُ عبادةٍ‌</w:t>
      </w:r>
      <w:r>
        <w:rPr>
          <w:rStyle w:val="FootnoteAnchor"/>
          <w:rtl w:val="true"/>
        </w:rPr>
        <w:footnoteReference w:id="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كانَ العملُ بها واجباً، ففيه خِلافُ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غيرَ واجبٍ،</w:t>
      </w:r>
      <w:r>
        <w:rPr>
          <w:rStyle w:val="FootnoteAnchor"/>
          <w:rtl w:val="true"/>
        </w:rPr>
        <w:footnoteReference w:id="34"/>
      </w:r>
      <w:r>
        <w:rPr>
          <w:rFonts w:ascii="Amiri" w:hAnsi="Amiri" w:eastAsia="Amiri" w:cs="Amiri"/>
          <w:color w:val="111111"/>
          <w:sz w:val="28"/>
          <w:sz w:val="28"/>
          <w:szCs w:val="28"/>
          <w:rtl w:val="true"/>
          <w:lang w:bidi="ar-SA"/>
        </w:rPr>
        <w:t>ففيه خِلافُ ما أجمَعَ المُسلِمونَ عليه؛ مِن وجوبِ‌</w:t>
      </w:r>
      <w:r>
        <w:rPr>
          <w:rStyle w:val="FootnoteAnchor"/>
          <w:rtl w:val="true"/>
        </w:rPr>
        <w:footnoteReference w:id="35"/>
      </w:r>
      <w:r>
        <w:rPr>
          <w:rFonts w:ascii="Amiri" w:hAnsi="Amiri" w:eastAsia="Amiri" w:cs="Amiri"/>
          <w:color w:val="111111"/>
          <w:sz w:val="28"/>
          <w:sz w:val="28"/>
          <w:szCs w:val="28"/>
          <w:rtl w:val="true"/>
          <w:lang w:bidi="ar-SA"/>
        </w:rPr>
        <w:t>التكليفِ الشرعيِّ علىٰ كُلِّ بالغٍ كامِلِ العقلِ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القولُ في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مُكلَّفٍ، و ما زادَ عليها مِن الأزمانِ التي فرَّطَ فيها في النظرِ في طريقِ المَعرفةِ؛ هَل تَجِبُ عليه فيها العباداتُ أم لا تَجِبُ؟ </w:t>
      </w:r>
    </w:p>
    <w:p>
      <w:pPr>
        <w:pStyle w:val="BookText"/>
        <w:rPr/>
      </w:pPr>
      <w:r>
        <w:rPr>
          <w:rFonts w:ascii="Amiri" w:hAnsi="Amiri" w:eastAsia="Amiri" w:cs="Amiri"/>
          <w:color w:val="111111"/>
          <w:sz w:val="28"/>
          <w:sz w:val="28"/>
          <w:szCs w:val="28"/>
          <w:rtl w:val="true"/>
          <w:lang w:bidi="ar-SA"/>
        </w:rPr>
        <w:t>و ما حُكمُ ما تَرَكَه مُقلِّدُ أهلِ الحقِّ و المُفرِّطُ في النظَرِ مِن العباداتِ‌</w:t>
      </w:r>
      <w:r>
        <w:rPr>
          <w:rStyle w:val="FootnoteAnchor"/>
          <w:rtl w:val="true"/>
        </w:rPr>
        <w:footnoteReference w:id="36"/>
      </w:r>
      <w:r>
        <w:rPr>
          <w:rFonts w:ascii="IRNazanin" w:hAnsi="IRNazanin" w:eastAsia="IRNazanin"/>
          <w:color w:val="111111"/>
          <w:sz w:val="28"/>
          <w:sz w:val="28"/>
          <w:szCs w:val="28"/>
          <w:rtl w:val="true"/>
          <w:lang w:bidi="fa-IR"/>
        </w:rPr>
        <w:t>و ما</w:t>
      </w:r>
      <w:r>
        <w:rPr>
          <w:rStyle w:val="FootnoteAnchor"/>
          <w:rtl w:val="true"/>
        </w:rPr>
        <w:footnoteReference w:id="37"/>
      </w:r>
      <w:r>
        <w:rPr>
          <w:rFonts w:ascii="Amiri" w:hAnsi="Amiri" w:eastAsia="Amiri" w:cs="Amiri"/>
          <w:color w:val="111111"/>
          <w:sz w:val="28"/>
          <w:sz w:val="28"/>
          <w:szCs w:val="28"/>
          <w:rtl w:val="true"/>
          <w:lang w:bidi="ar-SA"/>
        </w:rPr>
        <w:t>يَفعَلُه إذا حَصَلَت له المَعرفةُ بدليلِها؟ أيَقضي ما تَرَكَه و ما</w:t>
      </w:r>
      <w:r>
        <w:rPr>
          <w:rStyle w:val="FootnoteAnchor"/>
          <w:rtl w:val="true"/>
        </w:rPr>
        <w:footnoteReference w:id="38"/>
      </w:r>
      <w:r>
        <w:rPr>
          <w:rFonts w:ascii="Amiri" w:hAnsi="Amiri" w:eastAsia="Amiri" w:cs="Amiri"/>
          <w:color w:val="111111"/>
          <w:sz w:val="28"/>
          <w:sz w:val="28"/>
          <w:szCs w:val="28"/>
          <w:rtl w:val="true"/>
          <w:lang w:bidi="ar-SA"/>
        </w:rPr>
        <w:t>فَعَلَه،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مُعتَقِدَ الحقِّ علىٰ سَبيلِ التقليدِ غيرُ عارفٍ باللّٰهِ تَعالىٰ، و لا بما أَوجَبَ عليه مِن المَعرفةِ به، فهو كافِرٌ؛ لإضاعتِه المَعرفةَ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إضاعتِه الواجبَ عليه مِن المَعرفةِ بَينَ أن يَكونَ جاهلاً مُعتَقِداً</w:t>
      </w:r>
      <w:r>
        <w:rPr>
          <w:rStyle w:val="FootnoteAnchor"/>
          <w:rtl w:val="true"/>
        </w:rPr>
        <w:footnoteReference w:id="39"/>
      </w:r>
      <w:r>
        <w:rPr>
          <w:rFonts w:ascii="Amiri" w:hAnsi="Amiri" w:eastAsia="Amiri" w:cs="Amiri"/>
          <w:color w:val="111111"/>
          <w:sz w:val="28"/>
          <w:sz w:val="28"/>
          <w:szCs w:val="28"/>
          <w:rtl w:val="true"/>
          <w:lang w:bidi="ar-SA"/>
        </w:rPr>
        <w:t>لخِلافِ‌</w:t>
      </w:r>
      <w:r>
        <w:rPr>
          <w:rStyle w:val="FootnoteAnchor"/>
          <w:rtl w:val="true"/>
        </w:rPr>
        <w:footnoteReference w:id="40"/>
      </w:r>
      <w:r>
        <w:rPr>
          <w:rFonts w:ascii="Amiri" w:hAnsi="Amiri" w:eastAsia="Amiri" w:cs="Amiri"/>
          <w:color w:val="111111"/>
          <w:sz w:val="28"/>
          <w:sz w:val="28"/>
          <w:szCs w:val="28"/>
          <w:rtl w:val="true"/>
          <w:lang w:bidi="ar-SA"/>
        </w:rPr>
        <w:t>الحقِّ، و بَينَ أن يَكونَ شاكّاً غيرَ مُعتَقِدٍ لشَيءٍ، و بَينَ‌</w:t>
      </w:r>
      <w:r>
        <w:rPr>
          <w:rStyle w:val="FootnoteAnchor"/>
          <w:rtl w:val="true"/>
        </w:rPr>
        <w:footnoteReference w:id="41"/>
      </w:r>
      <w:r>
        <w:rPr>
          <w:rFonts w:ascii="Amiri" w:hAnsi="Amiri" w:eastAsia="Amiri" w:cs="Amiri"/>
          <w:color w:val="111111"/>
          <w:sz w:val="28"/>
          <w:sz w:val="28"/>
          <w:szCs w:val="28"/>
          <w:rtl w:val="true"/>
          <w:lang w:bidi="ar-SA"/>
        </w:rPr>
        <w:t>أن يَكونَ مُقلِّداً؛ لأنّ خُروجَه مِن المَعرفةِ علَى الوجوهِ كُلِّها حاصلٌ، و</w:t>
      </w:r>
      <w:r>
        <w:rPr>
          <w:rStyle w:val="FootnoteAnchor"/>
          <w:rtl w:val="true"/>
        </w:rPr>
        <w:footnoteReference w:id="42"/>
      </w:r>
      <w:r>
        <w:rPr>
          <w:rFonts w:ascii="Amiri" w:hAnsi="Amiri" w:eastAsia="Amiri" w:cs="Amiri"/>
          <w:color w:val="111111"/>
          <w:sz w:val="28"/>
          <w:sz w:val="28"/>
          <w:szCs w:val="28"/>
          <w:rtl w:val="true"/>
          <w:lang w:bidi="ar-SA"/>
        </w:rPr>
        <w:t>أنّ‌</w:t>
      </w:r>
      <w:r>
        <w:rPr>
          <w:rStyle w:val="FootnoteAnchor"/>
          <w:rtl w:val="true"/>
        </w:rPr>
        <w:footnoteReference w:id="43"/>
      </w:r>
      <w:r>
        <w:rPr>
          <w:rFonts w:ascii="Amiri" w:hAnsi="Amiri" w:eastAsia="Amiri" w:cs="Amiri"/>
          <w:color w:val="111111"/>
          <w:sz w:val="28"/>
          <w:sz w:val="28"/>
          <w:szCs w:val="28"/>
          <w:rtl w:val="true"/>
          <w:lang w:bidi="ar-SA"/>
        </w:rPr>
        <w:t>إضاعتَه</w:t>
      </w:r>
      <w:r>
        <w:rPr>
          <w:rStyle w:val="FootnoteAnchor"/>
          <w:rtl w:val="true"/>
        </w:rPr>
        <w:footnoteReference w:id="44"/>
      </w:r>
      <w:r>
        <w:rPr>
          <w:rFonts w:ascii="Amiri" w:hAnsi="Amiri" w:eastAsia="Amiri" w:cs="Amiri"/>
          <w:color w:val="111111"/>
          <w:sz w:val="28"/>
          <w:sz w:val="28"/>
          <w:szCs w:val="28"/>
          <w:rtl w:val="true"/>
          <w:lang w:bidi="ar-SA"/>
        </w:rPr>
        <w:t>لها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كافِرٌ؛ لأنّ الإخلالَ بمَعرفةِ اللّٰهِ تَعالىٰ و مَعرِفةِ مَن يَجِبُ العِلمُ به لا يَكونُ‌</w:t>
      </w:r>
      <w:r>
        <w:rPr>
          <w:rStyle w:val="FootnoteAnchor"/>
          <w:rtl w:val="true"/>
        </w:rPr>
        <w:footnoteReference w:id="45"/>
      </w:r>
      <w:r>
        <w:rPr>
          <w:rFonts w:ascii="Amiri" w:hAnsi="Amiri" w:eastAsia="Amiri" w:cs="Amiri"/>
          <w:color w:val="111111"/>
          <w:sz w:val="28"/>
          <w:sz w:val="28"/>
          <w:szCs w:val="28"/>
          <w:rtl w:val="true"/>
          <w:lang w:bidi="ar-SA"/>
        </w:rPr>
        <w:t>إلّاكُفراً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بيّنّا في كتابِنا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الطريقُ إلىٰ تكفيرِ</w:t>
      </w:r>
      <w:r>
        <w:rPr>
          <w:rStyle w:val="FootnoteAnchor"/>
          <w:rtl w:val="true"/>
        </w:rPr>
        <w:footnoteReference w:id="46"/>
      </w:r>
      <w:r>
        <w:rPr>
          <w:rFonts w:ascii="Amiri" w:hAnsi="Amiri" w:eastAsia="Amiri" w:cs="Amiri"/>
          <w:color w:val="111111"/>
          <w:sz w:val="28"/>
          <w:sz w:val="28"/>
          <w:szCs w:val="28"/>
          <w:rtl w:val="true"/>
          <w:lang w:bidi="ar-SA"/>
        </w:rPr>
        <w:t xml:space="preserve">مَن ضَيَّعَ </w:t>
      </w:r>
    </w:p>
    <w:p>
      <w:pPr>
        <w:pStyle w:val="BookText"/>
        <w:rPr/>
      </w:pPr>
      <w:r>
        <w:rPr>
          <w:rFonts w:ascii="Amiri" w:hAnsi="Amiri" w:eastAsia="Amiri" w:cs="Amiri"/>
          <w:color w:val="111111"/>
          <w:sz w:val="28"/>
          <w:sz w:val="28"/>
          <w:szCs w:val="28"/>
          <w:rtl w:val="true"/>
          <w:lang w:bidi="ar-SA"/>
        </w:rPr>
        <w:t>المَعارِفَ كُلَّها، و سَلَكنا فيها غيرَ الطريقِ‌</w:t>
      </w:r>
      <w:r>
        <w:rPr>
          <w:rStyle w:val="FootnoteAnchor"/>
          <w:rtl w:val="true"/>
        </w:rPr>
        <w:footnoteReference w:id="47"/>
      </w:r>
      <w:r>
        <w:rPr>
          <w:rFonts w:ascii="Amiri" w:hAnsi="Amiri" w:eastAsia="Amiri" w:cs="Amiri"/>
          <w:color w:val="111111"/>
          <w:sz w:val="28"/>
          <w:sz w:val="28"/>
          <w:szCs w:val="28"/>
          <w:rtl w:val="true"/>
          <w:lang w:bidi="ar-SA"/>
        </w:rPr>
        <w:t>التي سَلَكَها</w:t>
      </w:r>
      <w:r>
        <w:rPr>
          <w:rStyle w:val="FootnoteAnchor"/>
          <w:rtl w:val="true"/>
        </w:rPr>
        <w:footnoteReference w:id="48"/>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فإذا ثَبَتَ كُفرُ مَن ضَيَّعَ المَعارفَ، فلا شُبهةَ في أنّه فاسقٌ؛ لأنّ كُلَّ كُفرٍ فِسقٌ، و إن لَم يَكُن</w:t>
      </w:r>
      <w:r>
        <w:rPr>
          <w:rStyle w:val="FootnoteAnchor"/>
          <w:rtl w:val="true"/>
        </w:rPr>
        <w:footnoteReference w:id="50"/>
      </w:r>
      <w:r>
        <w:rPr>
          <w:rFonts w:ascii="Amiri" w:hAnsi="Amiri" w:eastAsia="Amiri" w:cs="Amiri"/>
          <w:color w:val="111111"/>
          <w:sz w:val="28"/>
          <w:sz w:val="28"/>
          <w:szCs w:val="28"/>
          <w:rtl w:val="true"/>
          <w:lang w:bidi="ar-SA"/>
        </w:rPr>
        <w:t>كُلُّ فِسقٍ‌</w:t>
      </w:r>
      <w:r>
        <w:rPr>
          <w:rStyle w:val="FootnoteAnchor"/>
          <w:rtl w:val="true"/>
        </w:rPr>
        <w:footnoteReference w:id="51"/>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العملُ بالعباداتِ الشرعيّةِ، فلَيسَ يَجوزُ أن يُكلَّفَها إلّامَن يَصِحُّ منه أن يأتيَ بها علَى الوجهِ الذي وَجَبَت</w:t>
      </w:r>
      <w:r>
        <w:rPr>
          <w:rStyle w:val="FootnoteAnchor"/>
          <w:rtl w:val="true"/>
        </w:rPr>
        <w:footnoteReference w:id="52"/>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 مَن قَلَّدَ فاعتَقَدَ الحقَّ تقليداً مِن غيرِ نَظَرٍ يُفضي به إلَى المَعرفةِ، قد فَرَّطَ فيما وَجَبَ عليه مِن المَعرفةِ، و عَرِيَ مِن العِلمِ لتفريطِه فيه؛ فهو مَلومٌ‌</w:t>
      </w:r>
      <w:r>
        <w:rPr>
          <w:rStyle w:val="FootnoteAnchor"/>
          <w:rtl w:val="true"/>
        </w:rPr>
        <w:footnoteReference w:id="53"/>
      </w:r>
      <w:r>
        <w:rPr>
          <w:rFonts w:ascii="Amiri" w:hAnsi="Amiri" w:eastAsia="Amiri" w:cs="Amiri"/>
          <w:color w:val="111111"/>
          <w:sz w:val="28"/>
          <w:sz w:val="28"/>
          <w:szCs w:val="28"/>
          <w:rtl w:val="true"/>
          <w:lang w:bidi="ar-SA"/>
        </w:rPr>
        <w:t>مُعاقَبٌ علىٰ تضييعِه و تفريطِه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مُخاطَبٌ بهذه العباداتِ في ابتداءِ الوقتِ الذي لَو نَظَرَ و عَرَفَ ما يَلزَمُه مِن المَعارِفِ، كانَ فيه عالِماً بوجوبِ هذه العباداتِ عليه، و صَحَّ منه أداؤها علَى الوجهِ الذي وَجَبَت عليه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قَبلَ‌</w:t>
      </w:r>
      <w:r>
        <w:rPr>
          <w:rStyle w:val="FootnoteAnchor"/>
          <w:rtl w:val="true"/>
        </w:rPr>
        <w:footnoteReference w:id="55"/>
      </w:r>
      <w:r>
        <w:rPr>
          <w:rFonts w:ascii="Amiri" w:hAnsi="Amiri" w:eastAsia="Amiri" w:cs="Amiri"/>
          <w:color w:val="111111"/>
          <w:sz w:val="28"/>
          <w:sz w:val="28"/>
          <w:szCs w:val="28"/>
          <w:rtl w:val="true"/>
          <w:lang w:bidi="ar-SA"/>
        </w:rPr>
        <w:t>هذا الوقتِ الذي عيّنّاه بصفتِه،</w:t>
      </w:r>
      <w:r>
        <w:rPr>
          <w:rStyle w:val="FootnoteAnchor"/>
          <w:rtl w:val="true"/>
        </w:rPr>
        <w:footnoteReference w:id="56"/>
      </w:r>
      <w:r>
        <w:rPr>
          <w:rFonts w:ascii="Amiri" w:hAnsi="Amiri" w:eastAsia="Amiri" w:cs="Amiri"/>
          <w:color w:val="111111"/>
          <w:sz w:val="28"/>
          <w:sz w:val="28"/>
          <w:szCs w:val="28"/>
          <w:rtl w:val="true"/>
          <w:lang w:bidi="ar-SA"/>
        </w:rPr>
        <w:t>فإنّه لا يَجوزُ أن تَلزَمَه</w:t>
      </w:r>
      <w:r>
        <w:rPr>
          <w:rStyle w:val="FootnoteAnchor"/>
          <w:rtl w:val="true"/>
        </w:rPr>
        <w:footnoteReference w:id="57"/>
      </w:r>
      <w:r>
        <w:rPr>
          <w:rFonts w:ascii="Amiri" w:hAnsi="Amiri" w:eastAsia="Amiri" w:cs="Amiri"/>
          <w:color w:val="111111"/>
          <w:sz w:val="28"/>
          <w:sz w:val="28"/>
          <w:szCs w:val="28"/>
          <w:rtl w:val="true"/>
          <w:lang w:bidi="ar-SA"/>
        </w:rPr>
        <w:t xml:space="preserve">فيه عبادةٌ </w:t>
      </w:r>
    </w:p>
    <w:p>
      <w:pPr>
        <w:pStyle w:val="BookText"/>
        <w:rPr/>
      </w:pPr>
      <w:r>
        <w:rPr>
          <w:rFonts w:ascii="Amiri" w:hAnsi="Amiri" w:eastAsia="Amiri" w:cs="Amiri"/>
          <w:color w:val="111111"/>
          <w:sz w:val="28"/>
          <w:sz w:val="28"/>
          <w:szCs w:val="28"/>
          <w:rtl w:val="true"/>
          <w:lang w:bidi="ar-SA"/>
        </w:rPr>
        <w:t>شَرعيّةٌ؛ لأنّها لا تَصِحُّ‌</w:t>
      </w:r>
      <w:r>
        <w:rPr>
          <w:rStyle w:val="FootnoteAnchor"/>
          <w:rtl w:val="true"/>
        </w:rPr>
        <w:footnoteReference w:id="58"/>
      </w:r>
      <w:r>
        <w:rPr>
          <w:rFonts w:ascii="Amiri" w:hAnsi="Amiri" w:eastAsia="Amiri" w:cs="Amiri"/>
          <w:color w:val="111111"/>
          <w:sz w:val="28"/>
          <w:sz w:val="28"/>
          <w:szCs w:val="28"/>
          <w:rtl w:val="true"/>
          <w:lang w:bidi="ar-SA"/>
        </w:rPr>
        <w:t>منه قَبلَ المَعرفةِ بوجوبِها إلّابمَعرفتِه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بعَينِه؛ لأنّ الزمانَ الذي لا يَجوزُ أن تَقَعَ‌</w:t>
      </w:r>
      <w:r>
        <w:rPr>
          <w:rStyle w:val="FootnoteAnchor"/>
          <w:rtl w:val="true"/>
        </w:rPr>
        <w:footnoteReference w:id="60"/>
      </w:r>
      <w:r>
        <w:rPr>
          <w:rFonts w:ascii="Amiri" w:hAnsi="Amiri" w:eastAsia="Amiri" w:cs="Amiri"/>
          <w:color w:val="111111"/>
          <w:sz w:val="28"/>
          <w:sz w:val="28"/>
          <w:szCs w:val="28"/>
          <w:rtl w:val="true"/>
          <w:lang w:bidi="ar-SA"/>
        </w:rPr>
        <w:t>المَعارِفُ‌</w:t>
      </w:r>
      <w:r>
        <w:rPr>
          <w:rStyle w:val="FootnoteAnchor"/>
          <w:rtl w:val="true"/>
        </w:rPr>
        <w:footnoteReference w:id="61"/>
      </w:r>
      <w:r>
        <w:rPr>
          <w:rFonts w:ascii="Amiri" w:hAnsi="Amiri" w:eastAsia="Amiri" w:cs="Amiri"/>
          <w:color w:val="111111"/>
          <w:sz w:val="28"/>
          <w:sz w:val="28"/>
          <w:szCs w:val="28"/>
          <w:rtl w:val="true"/>
          <w:lang w:bidi="ar-SA"/>
        </w:rPr>
        <w:t>إلّابَعدَ تَقَضّيهِ، و لا يُمكِنُ أن تَتقدَّمَ‌</w:t>
      </w:r>
      <w:r>
        <w:rPr>
          <w:rStyle w:val="FootnoteAnchor"/>
          <w:rtl w:val="true"/>
        </w:rPr>
        <w:footnoteReference w:id="62"/>
      </w:r>
      <w:r>
        <w:rPr>
          <w:rFonts w:ascii="Amiri" w:hAnsi="Amiri" w:eastAsia="Amiri" w:cs="Amiri"/>
          <w:color w:val="111111"/>
          <w:sz w:val="28"/>
          <w:sz w:val="28"/>
          <w:szCs w:val="28"/>
          <w:rtl w:val="true"/>
          <w:lang w:bidi="ar-SA"/>
        </w:rPr>
        <w:t>عليه، هو 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مُهلةَ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w:t>
      </w:r>
      <w:r>
        <w:rPr>
          <w:rStyle w:val="FootnoteAnchor"/>
          <w:rtl w:val="true"/>
        </w:rPr>
        <w:footnoteReference w:id="63"/>
      </w:r>
      <w:r>
        <w:rPr>
          <w:rFonts w:ascii="Amiri" w:hAnsi="Amiri" w:eastAsia="Amiri" w:cs="Amiri"/>
          <w:color w:val="111111"/>
          <w:sz w:val="28"/>
          <w:sz w:val="28"/>
          <w:szCs w:val="28"/>
          <w:rtl w:val="true"/>
          <w:lang w:bidi="ar-SA"/>
        </w:rPr>
        <w:t>زمانٌ لا يَمكِنُ قَبلَ انقضائه أن يُعرَفَ وجوبُ‌</w:t>
      </w:r>
      <w:r>
        <w:rPr>
          <w:rStyle w:val="FootnoteAnchor"/>
          <w:rtl w:val="true"/>
        </w:rPr>
        <w:footnoteReference w:id="64"/>
      </w:r>
      <w:r>
        <w:rPr>
          <w:rFonts w:ascii="Amiri" w:hAnsi="Amiri" w:eastAsia="Amiri" w:cs="Amiri"/>
          <w:color w:val="111111"/>
          <w:sz w:val="28"/>
          <w:sz w:val="28"/>
          <w:szCs w:val="28"/>
          <w:rtl w:val="true"/>
          <w:lang w:bidi="ar-SA"/>
        </w:rPr>
        <w:t>شَيءٍ مِن العباداتٍ، فكَيفَ يَلزَمُه أن يَفعَلَ ما لا يَصِحُّ أن يَعلَمَ وجوبَه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أهمَلَ النظَرَ و فَرَّطَ فيه حتَّى انقَضَى الزمانُ المضروبُ لمُهلتِه</w:t>
      </w:r>
      <w:r>
        <w:rPr>
          <w:rStyle w:val="FootnoteAnchor"/>
          <w:rtl w:val="true"/>
        </w:rPr>
        <w:footnoteReference w:id="65"/>
      </w:r>
      <w:r>
        <w:rPr>
          <w:rFonts w:ascii="Amiri" w:hAnsi="Amiri" w:eastAsia="Amiri" w:cs="Amiri"/>
          <w:color w:val="111111"/>
          <w:sz w:val="28"/>
          <w:sz w:val="28"/>
          <w:szCs w:val="28"/>
          <w:rtl w:val="true"/>
          <w:lang w:bidi="ar-SA"/>
        </w:rPr>
        <w:t>، فإنّ العباداتِ تَلزَمُه</w:t>
      </w:r>
      <w:r>
        <w:rPr>
          <w:rStyle w:val="FootnoteAnchor"/>
          <w:rtl w:val="true"/>
        </w:rPr>
        <w:footnoteReference w:id="66"/>
      </w:r>
      <w:r>
        <w:rPr>
          <w:rFonts w:ascii="Amiri" w:hAnsi="Amiri" w:eastAsia="Amiri" w:cs="Amiri"/>
          <w:color w:val="111111"/>
          <w:sz w:val="28"/>
          <w:sz w:val="28"/>
          <w:szCs w:val="28"/>
          <w:rtl w:val="true"/>
          <w:lang w:bidi="ar-SA"/>
        </w:rPr>
        <w:t>لأنّه لَو شاءَ أن يَنظُرَ في الزمانِ المضروبِ لِمُهلةِ النظَرِ، لَنَظَرَ، و عَرَفَ ما يَجِبُ عليه مَعرفتُه، و عَلِمَ وجوبَ هذه العباداتِ عليه، و أمكَنَه أن يَفعَلَها علَى الوجهِ الذي وَجَبَت عليه؛ فإذا ضَيَّعَ ذلكَ كُلَّه</w:t>
      </w:r>
      <w:r>
        <w:rPr>
          <w:rStyle w:val="FootnoteAnchor"/>
          <w:rtl w:val="true"/>
        </w:rPr>
        <w:footnoteReference w:id="67"/>
      </w:r>
      <w:r>
        <w:rPr>
          <w:rFonts w:ascii="Amiri" w:hAnsi="Amiri" w:eastAsia="Amiri" w:cs="Amiri"/>
          <w:color w:val="111111"/>
          <w:sz w:val="28"/>
          <w:sz w:val="28"/>
          <w:szCs w:val="28"/>
          <w:rtl w:val="true"/>
          <w:lang w:bidi="ar-SA"/>
        </w:rPr>
        <w:t>كانَ مَلوماً مُعاقَباً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فيمن أهمَلَ النظَرَ في مَعرِفةِ اللّٰهِ تَعالىٰ، و ضَيَّعَها، و تَقَضّىٰ زمانُ مُهلةِ النظَرِ و أضعافُه؛ أهو</w:t>
      </w:r>
      <w:r>
        <w:rPr>
          <w:rStyle w:val="FootnoteAnchor"/>
          <w:rtl w:val="true"/>
        </w:rPr>
        <w:footnoteReference w:id="68"/>
      </w:r>
      <w:r>
        <w:rPr>
          <w:rFonts w:ascii="Amiri" w:hAnsi="Amiri" w:eastAsia="Amiri" w:cs="Amiri"/>
          <w:color w:val="111111"/>
          <w:sz w:val="28"/>
          <w:sz w:val="28"/>
          <w:szCs w:val="28"/>
          <w:rtl w:val="true"/>
          <w:lang w:bidi="ar-SA"/>
        </w:rPr>
        <w:t>مُكلَّفٌ و حالُه هذه بأن</w:t>
      </w:r>
      <w:r>
        <w:rPr>
          <w:rStyle w:val="FootnoteAnchor"/>
          <w:rtl w:val="true"/>
        </w:rPr>
        <w:footnoteReference w:id="69"/>
      </w:r>
      <w:r>
        <w:rPr>
          <w:rFonts w:ascii="Amiri" w:hAnsi="Amiri" w:eastAsia="Amiri" w:cs="Amiri"/>
          <w:color w:val="111111"/>
          <w:sz w:val="28"/>
          <w:sz w:val="28"/>
          <w:szCs w:val="28"/>
          <w:rtl w:val="true"/>
          <w:lang w:bidi="ar-SA"/>
        </w:rPr>
        <w:t>يَفعَلَ العباداتِ الشرعيّةَ؟</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تكليفٌ‌</w:t>
      </w:r>
      <w:r>
        <w:rPr>
          <w:rStyle w:val="FootnoteAnchor"/>
          <w:rtl w:val="true"/>
        </w:rPr>
        <w:footnoteReference w:id="71"/>
      </w:r>
      <w:r>
        <w:rPr>
          <w:rFonts w:ascii="IRNazanin" w:hAnsi="IRNazanin" w:eastAsia="IRNazanin"/>
          <w:color w:val="111111"/>
          <w:sz w:val="28"/>
          <w:sz w:val="28"/>
          <w:szCs w:val="28"/>
          <w:rtl w:val="true"/>
          <w:lang w:bidi="fa-IR"/>
        </w:rPr>
        <w:t>بما</w:t>
      </w:r>
      <w:r>
        <w:rPr>
          <w:rStyle w:val="FootnoteAnchor"/>
          <w:rtl w:val="true"/>
        </w:rPr>
        <w:footnoteReference w:id="72"/>
      </w:r>
      <w:r>
        <w:rPr>
          <w:rFonts w:ascii="Amiri" w:hAnsi="Amiri" w:eastAsia="Amiri" w:cs="Amiri"/>
          <w:color w:val="111111"/>
          <w:sz w:val="28"/>
          <w:sz w:val="28"/>
          <w:szCs w:val="28"/>
          <w:rtl w:val="true"/>
          <w:lang w:bidi="ar-SA"/>
        </w:rPr>
        <w:t>لا يُطاقُ؛ لأنّه لا يَعلَمُ في هذه الحالِ وجوبَها عليه، و لا يَتمكَّنُ أيضاً مِن العِلمِ بذلكَ؛ لحاجةِ هذا العِلمِ إلىٰ علومٍ كثيرةٍ تَتقدَّمُ‌</w:t>
      </w:r>
      <w:r>
        <w:rPr>
          <w:rStyle w:val="FootnoteAnchor"/>
          <w:rtl w:val="true"/>
        </w:rPr>
        <w:footnoteReference w:id="73"/>
      </w:r>
      <w:r>
        <w:rPr>
          <w:rFonts w:ascii="Amiri" w:hAnsi="Amiri" w:eastAsia="Amiri" w:cs="Amiri"/>
          <w:color w:val="111111"/>
          <w:sz w:val="28"/>
          <w:sz w:val="28"/>
          <w:szCs w:val="28"/>
          <w:rtl w:val="true"/>
          <w:lang w:bidi="ar-SA"/>
        </w:rPr>
        <w:t>عليه يَضيقُ‌</w:t>
      </w:r>
      <w:r>
        <w:rPr>
          <w:rStyle w:val="FootnoteAnchor"/>
          <w:rtl w:val="true"/>
        </w:rPr>
        <w:footnoteReference w:id="74"/>
      </w:r>
      <w:r>
        <w:rPr>
          <w:rFonts w:ascii="IRNazanin" w:hAnsi="IRNazanin" w:eastAsia="IRNazanin"/>
          <w:color w:val="111111"/>
          <w:sz w:val="28"/>
          <w:sz w:val="28"/>
          <w:szCs w:val="28"/>
          <w:rtl w:val="true"/>
          <w:lang w:bidi="fa-IR"/>
        </w:rPr>
        <w:t>هذا الزمانُ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غيرُ 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تَرَكتم مَذهبَكم في أنّ الكُفّارَ كُلَّهم مُخاطَبونَ‌</w:t>
      </w:r>
      <w:r>
        <w:rPr>
          <w:rStyle w:val="FootnoteAnchor"/>
          <w:rtl w:val="true"/>
        </w:rPr>
        <w:footnoteReference w:id="75"/>
      </w:r>
      <w:r>
        <w:rPr>
          <w:rFonts w:ascii="Amiri" w:hAnsi="Amiri" w:eastAsia="Amiri" w:cs="Amiri"/>
          <w:color w:val="111111"/>
          <w:sz w:val="28"/>
          <w:sz w:val="28"/>
          <w:szCs w:val="28"/>
          <w:rtl w:val="true"/>
          <w:lang w:bidi="ar-SA"/>
        </w:rPr>
        <w:t>بالشرعيّاتِ</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r>
        <w:rPr>
          <w:rStyle w:val="FootnoteAnchor"/>
          <w:rtl w:val="true"/>
        </w:rPr>
        <w:footnoteReference w:id="77"/>
      </w:r>
      <w:r>
        <w:rPr>
          <w:rFonts w:ascii="Amiri" w:hAnsi="Amiri" w:eastAsia="Amiri" w:cs="Amiri"/>
          <w:color w:val="111111"/>
          <w:sz w:val="28"/>
          <w:sz w:val="28"/>
          <w:szCs w:val="28"/>
          <w:rtl w:val="true"/>
          <w:lang w:bidi="ar-SA"/>
        </w:rPr>
        <w:t xml:space="preserve">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سُئلنا عن تكليفِه الشرعيّاتِ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يَتمكَّنُ قَبلَ حُلولِه مِن العِلمِ بوجوبِ هذه الشرعيّاتِ عليه، فهو مُخاطَبٌ بفِعلِها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يَضيقُ عن ذلكَ لتفريطِه و إهمالِه الىٰ أن انتَهىٰ إليه،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مُخاطَباً بفِعلِ هذه الشرعيّاتِ في هذا الزمانِ، فأضاعَ ما كُلِّفَه، فهو مذمومٌ مَعاقَبٌ علىٰ إخلالِه بهذه الشرعيّاتِ؛ لأنّها كانَت واجبةً عليه قَبلَ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الآنَ مُخاطَبٌ منها بما يَتمكَّنُ مِن العِلمِ بوجوبِه؛ فإن عَلِمَ و فَعَلَ فقَد قامَ بالواجبِ، و إن فَرَّطَ أيضاً كانَ القولُ فيه ما تَقَدَّمَ ذِكرُه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w:t>
      </w:r>
      <w:r>
        <w:rPr>
          <w:rStyle w:val="FootnoteAnchor"/>
          <w:rtl w:val="true"/>
        </w:rPr>
        <w:footnoteReference w:id="78"/>
      </w:r>
      <w:r>
        <w:rPr>
          <w:rFonts w:ascii="Amiri" w:hAnsi="Amiri" w:eastAsia="Amiri" w:cs="Amiri"/>
          <w:color w:val="111111"/>
          <w:sz w:val="28"/>
          <w:sz w:val="28"/>
          <w:szCs w:val="28"/>
          <w:rtl w:val="true"/>
          <w:lang w:bidi="ar-SA"/>
        </w:rPr>
        <w:t>وجوبُ القضاءِ عليه متىٰ عَرَفَ اللّٰهَ تَعالىٰ و وجوبَ الشرعيّاتِ، فإنّه غيرُ واجبٍ عليه القضاءُ، و إن كانَ الأداءُ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يَجِبُ أن يُعتَبَرَ وجوبُ الأداءِ </w:t>
      </w:r>
    </w:p>
    <w:p>
      <w:pPr>
        <w:pStyle w:val="BookText"/>
        <w:rPr/>
      </w:pPr>
      <w:r>
        <w:rPr>
          <w:rFonts w:ascii="Amiri" w:hAnsi="Amiri" w:eastAsia="Amiri" w:cs="Amiri"/>
          <w:color w:val="111111"/>
          <w:sz w:val="28"/>
          <w:sz w:val="28"/>
          <w:szCs w:val="28"/>
          <w:rtl w:val="true"/>
          <w:lang w:bidi="ar-SA"/>
        </w:rPr>
        <w:t>بوجوبِ القضاءِ،</w:t>
      </w:r>
      <w:r>
        <w:rPr>
          <w:rStyle w:val="FootnoteAnchor"/>
          <w:rtl w:val="true"/>
        </w:rPr>
        <w:footnoteReference w:id="79"/>
      </w:r>
      <w:r>
        <w:rPr>
          <w:rFonts w:ascii="Amiri" w:hAnsi="Amiri" w:eastAsia="Amiri" w:cs="Amiri"/>
          <w:color w:val="111111"/>
          <w:sz w:val="28"/>
          <w:sz w:val="28"/>
          <w:szCs w:val="28"/>
          <w:rtl w:val="true"/>
          <w:lang w:bidi="ar-SA"/>
        </w:rPr>
        <w:t>و لا سُقوطُه</w:t>
      </w:r>
      <w:r>
        <w:rPr>
          <w:rStyle w:val="FootnoteAnchor"/>
          <w:rtl w:val="true"/>
        </w:rPr>
        <w:footnoteReference w:id="80"/>
      </w:r>
      <w:r>
        <w:rPr>
          <w:rFonts w:ascii="Amiri" w:hAnsi="Amiri" w:eastAsia="Amiri" w:cs="Amiri"/>
          <w:color w:val="111111"/>
          <w:sz w:val="28"/>
          <w:sz w:val="28"/>
          <w:szCs w:val="28"/>
          <w:rtl w:val="true"/>
          <w:lang w:bidi="ar-SA"/>
        </w:rPr>
        <w:t>بسُقوطِه؛ لِانفصالِ كُلِّ واحدةٍ مِن هاتَينِ العبادتَينِ عن الأُخرىٰ؛ لأنّ في العباداتِ ما يَجِبُ أداؤه و لا يَجِبُ قضاؤه إذا فاتَ، كالجُمعةِ؛ و مِنها</w:t>
      </w:r>
      <w:r>
        <w:rPr>
          <w:rStyle w:val="FootnoteAnchor"/>
          <w:rtl w:val="true"/>
        </w:rPr>
        <w:footnoteReference w:id="81"/>
      </w:r>
      <w:r>
        <w:rPr>
          <w:rFonts w:ascii="Amiri" w:hAnsi="Amiri" w:eastAsia="Amiri" w:cs="Amiri"/>
          <w:color w:val="111111"/>
          <w:sz w:val="28"/>
          <w:sz w:val="28"/>
          <w:szCs w:val="28"/>
          <w:rtl w:val="true"/>
          <w:lang w:bidi="ar-SA"/>
        </w:rPr>
        <w:t>ما لا يَجِبُ أداؤه و يَجِبُ قَضاؤه، كصَومِ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 قد أحكَمناها و استَقصَيناها في مَسائلِ أُصولِ الفقهِ‌</w:t>
      </w:r>
      <w:r>
        <w:rPr>
          <w:rStyle w:val="FootnoteAnchor"/>
          <w:rtl w:val="true"/>
        </w:rPr>
        <w:footnoteReference w:id="82"/>
      </w:r>
      <w:r>
        <w:rPr>
          <w:rFonts w:ascii="Amiri" w:hAnsi="Amiri" w:eastAsia="Amiri" w:cs="Amiri"/>
          <w:color w:val="111111"/>
          <w:sz w:val="28"/>
          <w:sz w:val="28"/>
          <w:szCs w:val="28"/>
          <w:rtl w:val="true"/>
          <w:lang w:bidi="ar-SA"/>
        </w:rPr>
        <w:t>حَيثُ دَلَّلنا علىٰ أنّ الكُفّارَ مُخاطَبونَ بالشرعيّاتِ، و بيّنّا أنّهم مُتمكِّنونَ في حالِ كُفرِهم مِن أداءِ هذه العباداتِ؛ بأن يؤمِنوا و يُسلِموا، فيَعلَموا وجوبَها، و يَتمكَّنونَ حينَئذٍ مِن فِعلِها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بيّنّا أنّ مَن دَفَعَ وجوبَ ذلكَ عليهم مِن حَيثُ لا يَتمكَّنونَ منه في الثاني</w:t>
      </w:r>
      <w:r>
        <w:rPr>
          <w:rStyle w:val="FootnoteAnchor"/>
          <w:rtl w:val="true"/>
        </w:rPr>
        <w:footnoteReference w:id="84"/>
      </w:r>
      <w:r>
        <w:rPr>
          <w:rFonts w:ascii="Amiri" w:hAnsi="Amiri" w:eastAsia="Amiri" w:cs="Amiri"/>
          <w:color w:val="111111"/>
          <w:sz w:val="28"/>
          <w:sz w:val="28"/>
          <w:szCs w:val="28"/>
          <w:rtl w:val="true"/>
          <w:lang w:bidi="ar-SA"/>
        </w:rPr>
        <w:t>إلّا</w:t>
      </w:r>
      <w:r>
        <w:rPr>
          <w:rStyle w:val="FootnoteAnchor"/>
          <w:rtl w:val="true"/>
        </w:rPr>
        <w:footnoteReference w:id="85"/>
      </w:r>
      <w:r>
        <w:rPr>
          <w:rFonts w:ascii="Amiri" w:hAnsi="Amiri" w:eastAsia="Amiri" w:cs="Amiri"/>
          <w:color w:val="111111"/>
          <w:sz w:val="28"/>
          <w:sz w:val="28"/>
          <w:szCs w:val="28"/>
          <w:rtl w:val="true"/>
          <w:lang w:bidi="ar-SA"/>
        </w:rPr>
        <w:t>بَعدَ أحوالٍ كثيرةٍ، يَلزَمُه أن لا يَكونَ المُحدِثُ مُخاطَباً بالصلاةِ؛ لأنّه لا يَتمكَّنُ مع الحَدَثِ مِن إيقاعِها، لكِنّه لمّا تَمكَّنَ مِن إزالةِ‌</w:t>
      </w:r>
      <w:r>
        <w:rPr>
          <w:rStyle w:val="FootnoteAnchor"/>
          <w:rtl w:val="true"/>
        </w:rPr>
        <w:footnoteReference w:id="86"/>
      </w:r>
      <w:r>
        <w:rPr>
          <w:rFonts w:ascii="Amiri" w:hAnsi="Amiri" w:eastAsia="Amiri" w:cs="Amiri"/>
          <w:color w:val="111111"/>
          <w:sz w:val="28"/>
          <w:sz w:val="28"/>
          <w:szCs w:val="28"/>
          <w:rtl w:val="true"/>
          <w:lang w:bidi="ar-SA"/>
        </w:rPr>
        <w:t>الحَدَثِ قَبلَ الإيقاعِ كانَ مُخاطَباً بالإيقاعِ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في استيفاءِ ذلكَ إلَى الغايةِ القُصوىٰ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عندَنا أنّ المُرتَدَّ يَقضي ما فاتَه مِن الصلاةِ و غيرِها من العباداتِ،</w:t>
      </w:r>
      <w:r>
        <w:rPr>
          <w:rStyle w:val="FootnoteAnchor"/>
          <w:rtl w:val="true"/>
        </w:rPr>
        <w:footnoteReference w:id="87"/>
      </w:r>
      <w:r>
        <w:rPr>
          <w:rFonts w:ascii="Amiri" w:hAnsi="Amiri" w:eastAsia="Amiri" w:cs="Amiri"/>
          <w:color w:val="111111"/>
          <w:sz w:val="28"/>
          <w:sz w:val="28"/>
          <w:szCs w:val="28"/>
          <w:rtl w:val="true"/>
          <w:lang w:bidi="ar-SA"/>
        </w:rPr>
        <w:t>و إن كانَ الكافرُ الأصليُّ لا يَلزَمُه</w:t>
      </w:r>
      <w:r>
        <w:rPr>
          <w:rStyle w:val="FootnoteAnchor"/>
          <w:rtl w:val="true"/>
        </w:rPr>
        <w:footnoteReference w:id="88"/>
      </w:r>
      <w:r>
        <w:rPr>
          <w:rFonts w:ascii="Amiri" w:hAnsi="Amiri" w:eastAsia="Amiri" w:cs="Amiri"/>
          <w:color w:val="111111"/>
          <w:sz w:val="28"/>
          <w:sz w:val="28"/>
          <w:szCs w:val="28"/>
          <w:rtl w:val="true"/>
          <w:lang w:bidi="ar-SA"/>
        </w:rPr>
        <w:t>قضاءُ ذلكَ إذا أسلَمَ؛ و هو مَذهبُ الشافعيِّ</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الفَرقُ بَينَهما أنّ المُرتَدَّ كَفَرَ بَعدَ التزامِ‌</w:t>
      </w:r>
      <w:r>
        <w:rPr>
          <w:rStyle w:val="FootnoteAnchor"/>
          <w:rtl w:val="true"/>
        </w:rPr>
        <w:footnoteReference w:id="90"/>
      </w:r>
      <w:r>
        <w:rPr>
          <w:rFonts w:ascii="IRNazanin" w:hAnsi="IRNazanin" w:eastAsia="IRNazanin"/>
          <w:color w:val="111111"/>
          <w:sz w:val="28"/>
          <w:sz w:val="28"/>
          <w:szCs w:val="28"/>
          <w:rtl w:val="true"/>
          <w:lang w:bidi="fa-IR"/>
        </w:rPr>
        <w:t>هذه</w:t>
      </w:r>
      <w:r>
        <w:rPr>
          <w:rStyle w:val="FootnoteAnchor"/>
          <w:rtl w:val="true"/>
        </w:rPr>
        <w:footnoteReference w:id="91"/>
      </w:r>
      <w:r>
        <w:rPr>
          <w:rFonts w:ascii="Amiri" w:hAnsi="Amiri" w:eastAsia="Amiri" w:cs="Amiri"/>
          <w:color w:val="111111"/>
          <w:sz w:val="28"/>
          <w:sz w:val="28"/>
          <w:szCs w:val="28"/>
          <w:rtl w:val="true"/>
          <w:lang w:bidi="ar-SA"/>
        </w:rPr>
        <w:t>الشرعيّاتِ، فيَجوزُ أن يَلزَمَه مِن القَضاءِ ما لا يَلزَمُ الكافرَ الأصليَّ؛ لأنّ الكافرَ الأصليَّ لَم يَلتَزِمْ مِن ذلكَ شَيئاً، و إن كانَ‌</w:t>
      </w:r>
      <w:r>
        <w:rPr>
          <w:rStyle w:val="FootnoteAnchor"/>
          <w:rtl w:val="true"/>
        </w:rPr>
        <w:footnoteReference w:id="92"/>
      </w:r>
      <w:r>
        <w:rPr>
          <w:rFonts w:ascii="Amiri" w:hAnsi="Amiri" w:eastAsia="Amiri" w:cs="Amiri"/>
          <w:color w:val="111111"/>
          <w:sz w:val="28"/>
          <w:sz w:val="28"/>
          <w:szCs w:val="28"/>
          <w:rtl w:val="true"/>
          <w:lang w:bidi="ar-SA"/>
        </w:rPr>
        <w:t>له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مضىٰ في أثناءِ الكلامِ مِن إجماعِ المُسلِمينَ علىٰ أنّ التكليفَ الشرعيَّ لازمٌ لكُلِّ بالغٍ كاملِ العقلِ، فهو خَطأٌ بلا شُبهةٍ؛ لأنّ الخِلافَ كُلَّه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المُتكلِّمونَ كُلُّهم</w:t>
      </w:r>
      <w:r>
        <w:rPr>
          <w:rStyle w:val="FootnoteAnchor"/>
          <w:rtl w:val="true"/>
        </w:rPr>
        <w:footnoteReference w:id="93"/>
      </w:r>
      <w:r>
        <w:rPr>
          <w:rFonts w:ascii="Amiri" w:hAnsi="Amiri" w:eastAsia="Amiri" w:cs="Amiri"/>
          <w:color w:val="111111"/>
          <w:sz w:val="28"/>
          <w:sz w:val="28"/>
          <w:szCs w:val="28"/>
          <w:rtl w:val="true"/>
          <w:lang w:bidi="ar-SA"/>
        </w:rPr>
        <w:t>فيَذهبونَ إلىٰ أنّ مَن هو في مُهلةِ النظَرِ لا تَجِبُ‌</w:t>
      </w:r>
      <w:r>
        <w:rPr>
          <w:rStyle w:val="FootnoteAnchor"/>
          <w:rtl w:val="true"/>
        </w:rPr>
        <w:footnoteReference w:id="94"/>
      </w:r>
      <w:r>
        <w:rPr>
          <w:rFonts w:ascii="Amiri" w:hAnsi="Amiri" w:eastAsia="Amiri" w:cs="Amiri"/>
          <w:color w:val="111111"/>
          <w:sz w:val="28"/>
          <w:sz w:val="28"/>
          <w:szCs w:val="28"/>
          <w:rtl w:val="true"/>
          <w:lang w:bidi="ar-SA"/>
        </w:rPr>
        <w:t>عليه العباداتُ الشرعيّاتُ؛ لأنّه</w:t>
      </w:r>
      <w:r>
        <w:rPr>
          <w:rStyle w:val="FootnoteAnchor"/>
          <w:rtl w:val="true"/>
        </w:rPr>
        <w:footnoteReference w:id="95"/>
      </w:r>
      <w:r>
        <w:rPr>
          <w:rFonts w:ascii="Amiri" w:hAnsi="Amiri" w:eastAsia="Amiri" w:cs="Amiri"/>
          <w:color w:val="111111"/>
          <w:sz w:val="28"/>
          <w:sz w:val="28"/>
          <w:szCs w:val="28"/>
          <w:rtl w:val="true"/>
          <w:lang w:bidi="ar-SA"/>
        </w:rPr>
        <w:t>لا يَتمكَّنُ مِن العِلمِ بوجوبِها عليه، و إن كانَ بالغاً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 الفقهاءِ يَذهبونَ إلىٰ أنّ الكُفّارَ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اليهودِ و النصارىٰ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مُخاطَبينَ بالعباداتِ الشرعيّةِ، و إن كانوا عقلاءَ 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يُدَّعَى</w:t>
      </w:r>
      <w:r>
        <w:rPr>
          <w:rStyle w:val="FootnoteAnchor"/>
          <w:rtl w:val="true"/>
        </w:rPr>
        <w:footnoteReference w:id="96"/>
      </w:r>
      <w:r>
        <w:rPr>
          <w:rFonts w:ascii="Amiri" w:hAnsi="Amiri" w:eastAsia="Amiri" w:cs="Amiri"/>
          <w:color w:val="111111"/>
          <w:sz w:val="28"/>
          <w:sz w:val="28"/>
          <w:szCs w:val="28"/>
          <w:rtl w:val="true"/>
          <w:lang w:bidi="ar-SA"/>
        </w:rPr>
        <w:t>الإجماعُ فيما فيه خِلافُ كُلِّ مُحِقٍّ و مُبطِلٍ؟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إذَن ما بيّنّاه و رَتَّبناه</w:t>
      </w:r>
      <w:r>
        <w:rPr>
          <w:rFonts w:eastAsia="Amiri" w:cs="Amiri" w:ascii="Amiri" w:hAnsi="Amiri"/>
          <w:color w:val="111111"/>
          <w:sz w:val="28"/>
          <w:szCs w:val="28"/>
          <w:rtl w:val="true"/>
          <w:lang w:bidi="ar-SA"/>
        </w:rPr>
        <w:t xml:space="preserve">. </w:t>
      </w:r>
      <w:bookmarkStart w:id="48" w:name="pg16437_172384"/>
    </w:p>
    <w:p>
      <w:pPr>
        <w:pStyle w:val="Heading5"/>
        <w:numPr>
          <w:ilvl w:val="4"/>
          <w:numId w:val="1"/>
        </w:numPr>
        <w:rPr/>
      </w:pPr>
      <w:bookmarkStart w:id="49" w:name="__RefHeading___Toc8039485_1280447820"/>
      <w:bookmarkStart w:id="50" w:name="_Toc17"/>
      <w:bookmarkEnd w:id="48"/>
      <w:bookmarkEnd w:id="49"/>
      <w:r>
        <w:rPr>
          <w:rtl w:val="true"/>
        </w:rPr>
        <w:t>المَسألةُ الثانيةُ كَيفيّةُ رُجوعِ العامّيِّ إلَى العالِمِ‌</w:t>
      </w:r>
      <w:bookmarkEnd w:id="50"/>
    </w:p>
    <w:p>
      <w:pPr>
        <w:pStyle w:val="Heading6"/>
        <w:numPr>
          <w:ilvl w:val="5"/>
          <w:numId w:val="1"/>
        </w:numPr>
        <w:rPr/>
      </w:pPr>
      <w:bookmarkStart w:id="51" w:name="__RefHeading___Toc8039487_1280447820"/>
      <w:bookmarkStart w:id="52" w:name="_Toc18"/>
      <w:bookmarkEnd w:id="51"/>
      <w:r>
        <w:rPr>
          <w:rtl w:val="true"/>
        </w:rPr>
        <w:t>اشارة</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بأَسرِهم مُتَساوونَ في كمالِ العقلِ، فما الوجهُ في فُتياكم بأنّ العامّيَّ المُسوَّغَ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العلماءِ في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جُمَلِ‌</w:t>
      </w:r>
      <w:r>
        <w:rPr>
          <w:rStyle w:val="FootnoteAnchor"/>
          <w:rtl w:val="true"/>
        </w:rPr>
        <w:footnoteReference w:id="97"/>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يَتمكَّنُ مِن التدقيقِ في الأُصولِ، و لا يَقدِرُ علَى التوَغُّلِ‌</w:t>
      </w:r>
      <w:r>
        <w:rPr>
          <w:rStyle w:val="FootnoteAnchor"/>
          <w:rtl w:val="true"/>
        </w:rPr>
        <w:footnoteReference w:id="98"/>
      </w:r>
      <w:r>
        <w:rPr>
          <w:rFonts w:ascii="Amiri" w:hAnsi="Amiri" w:eastAsia="Amiri" w:cs="Amiri"/>
          <w:color w:val="111111"/>
          <w:sz w:val="28"/>
          <w:sz w:val="28"/>
          <w:szCs w:val="28"/>
          <w:rtl w:val="true"/>
          <w:lang w:bidi="ar-SA"/>
        </w:rPr>
        <w:t>في غوامِضِ المَعارِفِ، و لا يَستَطيعُ حَلَّ‌</w:t>
      </w:r>
      <w:r>
        <w:rPr>
          <w:rStyle w:val="FootnoteAnchor"/>
          <w:rtl w:val="true"/>
        </w:rPr>
        <w:footnoteReference w:id="99"/>
      </w:r>
      <w:r>
        <w:rPr>
          <w:rFonts w:ascii="Amiri" w:hAnsi="Amiri" w:eastAsia="Amiri" w:cs="Amiri"/>
          <w:color w:val="111111"/>
          <w:sz w:val="28"/>
          <w:sz w:val="28"/>
          <w:szCs w:val="28"/>
          <w:rtl w:val="true"/>
          <w:lang w:bidi="ar-SA"/>
        </w:rPr>
        <w:t>الشُّبَهِ‌</w:t>
      </w:r>
      <w:r>
        <w:rPr>
          <w:rStyle w:val="FootnoteAnchor"/>
          <w:rtl w:val="true"/>
        </w:rPr>
        <w:footnoteReference w:id="100"/>
      </w:r>
      <w:r>
        <w:rPr>
          <w:rFonts w:ascii="Amiri" w:hAnsi="Amiri" w:eastAsia="Amiri" w:cs="Amiri"/>
          <w:color w:val="111111"/>
          <w:sz w:val="28"/>
          <w:sz w:val="28"/>
          <w:szCs w:val="28"/>
          <w:rtl w:val="true"/>
          <w:lang w:bidi="ar-SA"/>
        </w:rPr>
        <w:t>، و لا سَبيلَ له إلىٰ معرفةِ الفروعِ؛ لِافتقارِ العِلمِ بها إلىٰ أُمورٍ لا يَستَطيعُها العامّيُّ بحالٍ، مع كَونِه</w:t>
      </w:r>
      <w:r>
        <w:rPr>
          <w:rStyle w:val="FootnoteAnchor"/>
          <w:rtl w:val="true"/>
        </w:rPr>
        <w:footnoteReference w:id="101"/>
      </w:r>
      <w:r>
        <w:rPr>
          <w:rFonts w:ascii="Amiri" w:hAnsi="Amiri" w:eastAsia="Amiri" w:cs="Amiri"/>
          <w:color w:val="111111"/>
          <w:sz w:val="28"/>
          <w:sz w:val="28"/>
          <w:szCs w:val="28"/>
          <w:rtl w:val="true"/>
          <w:lang w:bidi="ar-SA"/>
        </w:rPr>
        <w:t>عاقلاً مُكلَّفاً، و هَل هذا إلّامُقتَضٍ لِاختلافِ‌</w:t>
      </w:r>
      <w:r>
        <w:rPr>
          <w:rStyle w:val="FootnoteAnchor"/>
          <w:rtl w:val="true"/>
        </w:rPr>
        <w:footnoteReference w:id="102"/>
      </w:r>
      <w:r>
        <w:rPr>
          <w:rFonts w:ascii="Amiri" w:hAnsi="Amiri" w:eastAsia="Amiri" w:cs="Amiri"/>
          <w:color w:val="111111"/>
          <w:sz w:val="28"/>
          <w:sz w:val="28"/>
          <w:szCs w:val="28"/>
          <w:rtl w:val="true"/>
          <w:lang w:bidi="ar-SA"/>
        </w:rPr>
        <w:t xml:space="preserve">العقلاءِ في كَمالِ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اختَلَفَ تكليفُهم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القَطعِ‌</w:t>
      </w:r>
      <w:r>
        <w:rPr>
          <w:rStyle w:val="FootnoteAnchor"/>
          <w:rtl w:val="true"/>
        </w:rPr>
        <w:footnoteReference w:id="103"/>
      </w:r>
      <w:r>
        <w:rPr>
          <w:rFonts w:ascii="Amiri" w:hAnsi="Amiri" w:eastAsia="Amiri" w:cs="Amiri"/>
          <w:color w:val="111111"/>
          <w:sz w:val="28"/>
          <w:sz w:val="28"/>
          <w:szCs w:val="28"/>
          <w:rtl w:val="true"/>
          <w:lang w:bidi="ar-SA"/>
        </w:rPr>
        <w:t>علىٰ أنَّ العامّيَّ غيرُ عاقلٍ، فيَكونُ غيرَ مُكلَّفٍ بشَيءٍ‌</w:t>
      </w:r>
      <w:r>
        <w:rPr>
          <w:rStyle w:val="FootnoteAnchor"/>
          <w:rtl w:val="true"/>
        </w:rPr>
        <w:footnoteReference w:id="10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العامّيَّ لا يَجوزُ أن يَسوغَ له العملُ بفُتيا العلماءِ إلّابَعدَ أن يَكونَ ممّن قامَت عليه الحُجّةُ بصِحةِ الاستفتاءِ و العِلمُ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يَكونَ كذلك إلّاو هو ممّن يَصِحُّ أن يَعلَمَ الأحوالَ التي تُبنىٰ‌</w:t>
      </w:r>
      <w:r>
        <w:rPr>
          <w:rStyle w:val="FootnoteAnchor"/>
          <w:rtl w:val="true"/>
        </w:rPr>
        <w:footnoteReference w:id="106"/>
      </w:r>
      <w:r>
        <w:rPr>
          <w:rFonts w:ascii="Amiri" w:hAnsi="Amiri" w:eastAsia="Amiri" w:cs="Amiri"/>
          <w:color w:val="111111"/>
          <w:sz w:val="28"/>
          <w:sz w:val="28"/>
          <w:szCs w:val="28"/>
          <w:rtl w:val="true"/>
          <w:lang w:bidi="ar-SA"/>
        </w:rPr>
        <w:t>عليها صِحّةُ الاستفتاءِ، إمّا علىٰ جُملةٍ، أو تفصيلٍ؛ لأنّه إن لم يَكُن بذلكَ عالِماً كانَ مُقْدِماً مِن العملِ بالفُتيا علىٰ ما لا يأمَنُ كَونَه قَبيحاً، و إنّما يأمَنُ أن يَكونَ كذلكَ بأن يَعلَمَ الحُجّةَ في جوازِ الاستفتاءِ و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 الِاستفتاءَ مشروعٌ، و مِن جُملةِ ما عَلِمناه بالسمعِ مِن جهةِ الرسولِ صَلَّى اللّٰهُ عليه و آلِه؛ فلا بُدَّ مِن أن يَكونَ هذا العامّيُّ الذي سَوَّغنا له العملَ بالفُتيا مُتمكِّناً مِن العِلمِ بصِحّةِ الشريعةِ‌</w:t>
      </w:r>
      <w:r>
        <w:rPr>
          <w:rStyle w:val="FootnoteAnchor"/>
          <w:rtl w:val="true"/>
        </w:rPr>
        <w:footnoteReference w:id="107"/>
      </w:r>
      <w:r>
        <w:rPr>
          <w:rFonts w:ascii="Amiri" w:hAnsi="Amiri" w:eastAsia="Amiri" w:cs="Amiri"/>
          <w:color w:val="111111"/>
          <w:sz w:val="28"/>
          <w:sz w:val="28"/>
          <w:szCs w:val="28"/>
          <w:rtl w:val="true"/>
          <w:lang w:bidi="ar-SA"/>
        </w:rPr>
        <w:t>و صِدقِ الرسولِ عليه السلامُ، و كذلكَ لا بُدَّ مِن أن يَكونَ عالِماً بما تَبتَني</w:t>
      </w:r>
      <w:r>
        <w:rPr>
          <w:rStyle w:val="FootnoteAnchor"/>
          <w:rtl w:val="true"/>
        </w:rPr>
        <w:footnoteReference w:id="108"/>
      </w:r>
      <w:r>
        <w:rPr>
          <w:rFonts w:ascii="Amiri" w:hAnsi="Amiri" w:eastAsia="Amiri" w:cs="Amiri"/>
          <w:color w:val="111111"/>
          <w:sz w:val="28"/>
          <w:sz w:val="28"/>
          <w:szCs w:val="28"/>
          <w:rtl w:val="true"/>
          <w:lang w:bidi="ar-SA"/>
        </w:rPr>
        <w:t>عليه</w:t>
      </w:r>
      <w:r>
        <w:rPr>
          <w:rStyle w:val="FootnoteAnchor"/>
          <w:rtl w:val="true"/>
        </w:rPr>
        <w:footnoteReference w:id="109"/>
      </w:r>
      <w:r>
        <w:rPr>
          <w:rFonts w:ascii="Amiri" w:hAnsi="Amiri" w:eastAsia="Amiri" w:cs="Amiri"/>
          <w:color w:val="111111"/>
          <w:sz w:val="28"/>
          <w:sz w:val="28"/>
          <w:szCs w:val="28"/>
          <w:rtl w:val="true"/>
          <w:lang w:bidi="ar-SA"/>
        </w:rPr>
        <w:t>صِحّةُ الرسالةِ؛</w:t>
      </w:r>
      <w:r>
        <w:rPr>
          <w:rStyle w:val="FootnoteAnchor"/>
          <w:rtl w:val="true"/>
        </w:rPr>
        <w:footnoteReference w:id="110"/>
      </w:r>
      <w:r>
        <w:rPr>
          <w:rFonts w:ascii="Amiri" w:hAnsi="Amiri" w:eastAsia="Amiri" w:cs="Amiri"/>
          <w:color w:val="111111"/>
          <w:sz w:val="28"/>
          <w:sz w:val="28"/>
          <w:szCs w:val="28"/>
          <w:rtl w:val="true"/>
          <w:lang w:bidi="ar-SA"/>
        </w:rPr>
        <w:t>مِن التوحيدِ و العدلِ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هذه العلومَ قد تَكفيه</w:t>
      </w:r>
      <w:r>
        <w:rPr>
          <w:rStyle w:val="FootnoteAnchor"/>
          <w:rtl w:val="true"/>
        </w:rPr>
        <w:footnoteReference w:id="111"/>
      </w:r>
      <w:r>
        <w:rPr>
          <w:rFonts w:ascii="Amiri" w:hAnsi="Amiri" w:eastAsia="Amiri" w:cs="Amiri"/>
          <w:color w:val="111111"/>
          <w:sz w:val="28"/>
          <w:sz w:val="28"/>
          <w:szCs w:val="28"/>
          <w:rtl w:val="true"/>
          <w:lang w:bidi="ar-SA"/>
        </w:rPr>
        <w:t>منها الجُمَلُ،</w:t>
      </w:r>
      <w:r>
        <w:rPr>
          <w:rStyle w:val="FootnoteAnchor"/>
          <w:rtl w:val="true"/>
        </w:rPr>
        <w:footnoteReference w:id="112"/>
      </w:r>
      <w:r>
        <w:rPr>
          <w:rFonts w:ascii="Amiri" w:hAnsi="Amiri" w:eastAsia="Amiri" w:cs="Amiri"/>
          <w:color w:val="111111"/>
          <w:sz w:val="28"/>
          <w:sz w:val="28"/>
          <w:szCs w:val="28"/>
          <w:rtl w:val="true"/>
          <w:lang w:bidi="ar-SA"/>
        </w:rPr>
        <w:t>دونَ التفصيلِ‌</w:t>
      </w:r>
      <w:r>
        <w:rPr>
          <w:rStyle w:val="FootnoteAnchor"/>
          <w:rtl w:val="true"/>
        </w:rPr>
        <w:footnoteReference w:id="113"/>
      </w:r>
      <w:r>
        <w:rPr>
          <w:rFonts w:ascii="Amiri" w:hAnsi="Amiri" w:eastAsia="Amiri" w:cs="Amiri"/>
          <w:color w:val="111111"/>
          <w:sz w:val="28"/>
          <w:sz w:val="28"/>
          <w:szCs w:val="28"/>
          <w:rtl w:val="true"/>
          <w:lang w:bidi="ar-SA"/>
        </w:rPr>
        <w:t>و الشرحِ الطويلِ و التدقيقِ و التعميقِ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طَعَنَ قومٌ في صِحّةِ الِاستفتاءِ،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العامّيُّ المُستَفتي لا يَخلو مِن أن يَكونَ عامّيّاً في أُصولِ الدينِ أيضاً، أو عالِماً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في الأُصولِ مُقلِّداً؛ لأنّ التقليدَ في الفروعِ إنّما جازَ مِن حَيثُ أَمِنَ هذا المُقلِّدُ مِن كَونِ ذلكَ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يأمَنُ منه لمَعرفتِه بالأُصولِ، و أنّها سَوَّغَت له الِاستفتاءَ، فقَطَعَ علىٰ صِحّةِ ذلكَ؛ لِتَقدُّمِ عِلمِه بالأُصولِ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الأُصولُ لا يُمكِنُ التقليدُ فيها علىٰ وجهٍ يُقطَعُ علىٰ صِحّتِه، و يؤمَنُ مِن</w:t>
      </w:r>
      <w:r>
        <w:rPr>
          <w:rStyle w:val="FootnoteAnchor"/>
          <w:rtl w:val="true"/>
        </w:rPr>
        <w:footnoteReference w:id="114"/>
      </w:r>
      <w:r>
        <w:rPr>
          <w:rFonts w:ascii="Amiri" w:hAnsi="Amiri" w:eastAsia="Amiri" w:cs="Amiri"/>
          <w:color w:val="111111"/>
          <w:sz w:val="28"/>
          <w:sz w:val="28"/>
          <w:szCs w:val="28"/>
          <w:rtl w:val="true"/>
          <w:lang w:bidi="ar-SA"/>
        </w:rPr>
        <w:t>القَبيحِ فيه؛ لأنّه لَيسَ وَراءَها ما يَستَنِدُ إليه</w:t>
      </w:r>
      <w:r>
        <w:rPr>
          <w:rStyle w:val="FootnoteAnchor"/>
          <w:rtl w:val="true"/>
        </w:rPr>
        <w:footnoteReference w:id="115"/>
      </w:r>
      <w:r>
        <w:rPr>
          <w:rFonts w:ascii="Amiri" w:hAnsi="Amiri" w:eastAsia="Amiri" w:cs="Amiri"/>
          <w:color w:val="111111"/>
          <w:sz w:val="28"/>
          <w:sz w:val="28"/>
          <w:szCs w:val="28"/>
          <w:rtl w:val="true"/>
          <w:lang w:bidi="ar-SA"/>
        </w:rPr>
        <w:t>ذلكَ، كما قُلناه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أن يَكونَ عالِماً بصِحّةِ الأُصولِ‌</w:t>
      </w:r>
      <w:r>
        <w:rPr>
          <w:rStyle w:val="FootnoteAnchor"/>
          <w:rtl w:val="true"/>
        </w:rPr>
        <w:footnoteReference w:id="116"/>
      </w:r>
      <w:r>
        <w:rPr>
          <w:rFonts w:ascii="Amiri" w:hAnsi="Amiri" w:eastAsia="Amiri" w:cs="Amiri"/>
          <w:color w:val="111111"/>
          <w:sz w:val="28"/>
          <w:sz w:val="28"/>
          <w:szCs w:val="28"/>
          <w:rtl w:val="true"/>
          <w:lang w:bidi="ar-SA"/>
        </w:rPr>
        <w:t>إمّا علىٰ جُملةٍ، أو علىٰ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عَلِمَ أُصولَ الدينِ، و مَيَّزَ الحقَّ فيها مِن الباطلِ، كَيفَ لا يَصِحُّ أن يَعلَمَ الفروعَ، و هي</w:t>
      </w:r>
      <w:r>
        <w:rPr>
          <w:rStyle w:val="FootnoteAnchor"/>
          <w:rtl w:val="true"/>
        </w:rPr>
        <w:footnoteReference w:id="117"/>
      </w:r>
      <w:r>
        <w:rPr>
          <w:rFonts w:ascii="Amiri" w:hAnsi="Amiri" w:eastAsia="Amiri" w:cs="Amiri"/>
          <w:color w:val="111111"/>
          <w:sz w:val="28"/>
          <w:sz w:val="28"/>
          <w:szCs w:val="28"/>
          <w:rtl w:val="true"/>
          <w:lang w:bidi="ar-SA"/>
        </w:rPr>
        <w:t>أهوَنُ مِن الأُصولِ؟</w:t>
      </w:r>
    </w:p>
    <w:p>
      <w:pPr>
        <w:pStyle w:val="BookText"/>
        <w:rPr/>
      </w:pPr>
      <w:r>
        <w:rPr>
          <w:rFonts w:ascii="Amiri" w:hAnsi="Amiri" w:eastAsia="Amiri" w:cs="Amiri"/>
          <w:color w:val="111111"/>
          <w:sz w:val="28"/>
          <w:sz w:val="28"/>
          <w:szCs w:val="28"/>
          <w:rtl w:val="true"/>
          <w:lang w:bidi="ar-SA"/>
        </w:rPr>
        <w:t>و إن كانَ هذا العامّيُّ ممّن لا يَتمكَّنُ مِن إصابةِ الحقِّ في أُصولٍ و لا فروعٍ، فهو خارجٌ مِن التكليفِ و جارٍ مَجرَى البَهائمِ، و لا حاجةَ به</w:t>
      </w:r>
      <w:r>
        <w:rPr>
          <w:rStyle w:val="FootnoteAnchor"/>
          <w:rtl w:val="true"/>
        </w:rPr>
        <w:footnoteReference w:id="118"/>
      </w:r>
      <w:r>
        <w:rPr>
          <w:rFonts w:ascii="Amiri" w:hAnsi="Amiri" w:eastAsia="Amiri" w:cs="Amiri"/>
          <w:color w:val="111111"/>
          <w:sz w:val="28"/>
          <w:sz w:val="28"/>
          <w:szCs w:val="28"/>
          <w:rtl w:val="true"/>
          <w:lang w:bidi="ar-SA"/>
        </w:rPr>
        <w:t>إلَى الفُتيا؛ فلَيسَ شَيءٌ بمُحرَّمٍ عليه و لا واجبٍ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الذي حَكَيناه غَلَطٌ فاحشٌ؛ لأنّ العامّيَّ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يَسوغُ له الاستفتاءُ و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عالِماً علىٰ سَبيلِ الجُملةِ بالأُصولِ؛ حتّىٰ يَكونَ ممّن تَقومُ‌</w:t>
      </w:r>
      <w:r>
        <w:rPr>
          <w:rStyle w:val="FootnoteAnchor"/>
          <w:rtl w:val="true"/>
        </w:rPr>
        <w:footnoteReference w:id="119"/>
      </w:r>
      <w:r>
        <w:rPr>
          <w:rFonts w:ascii="Amiri" w:hAnsi="Amiri" w:eastAsia="Amiri" w:cs="Amiri"/>
          <w:color w:val="111111"/>
          <w:sz w:val="28"/>
          <w:sz w:val="28"/>
          <w:szCs w:val="28"/>
          <w:rtl w:val="true"/>
          <w:lang w:bidi="ar-SA"/>
        </w:rPr>
        <w:t>عليه الحُجّةُ بجوازِ الِاستفتاءِ</w:t>
      </w:r>
      <w:r>
        <w:rPr>
          <w:rFonts w:eastAsia="Amiri" w:cs="Amiri" w:ascii="Amiri" w:hAnsi="Amiri"/>
          <w:color w:val="111111"/>
          <w:sz w:val="28"/>
          <w:szCs w:val="28"/>
          <w:rtl w:val="true"/>
          <w:lang w:bidi="ar-SA"/>
        </w:rPr>
        <w:t xml:space="preserve">. </w:t>
      </w:r>
      <w:bookmarkStart w:id="53" w:name="pg16437_172387"/>
    </w:p>
    <w:p>
      <w:pPr>
        <w:pStyle w:val="BookText"/>
        <w:rPr/>
      </w:pPr>
      <w:bookmarkEnd w:id="53"/>
      <w:r>
        <w:rPr>
          <w:rFonts w:ascii="Amiri" w:hAnsi="Amiri" w:eastAsia="Amiri" w:cs="Amiri"/>
          <w:color w:val="111111"/>
          <w:sz w:val="28"/>
          <w:sz w:val="28"/>
          <w:szCs w:val="28"/>
          <w:rtl w:val="true"/>
          <w:lang w:bidi="ar-SA"/>
        </w:rPr>
        <w:t>و لَيسَ يَجِبُ أن يَكونَ هذا العِلمُ المُجمَلُ في كُلِّ‌</w:t>
      </w:r>
      <w:r>
        <w:rPr>
          <w:rStyle w:val="FootnoteAnchor"/>
          <w:rtl w:val="true"/>
        </w:rPr>
        <w:footnoteReference w:id="120"/>
      </w:r>
      <w:r>
        <w:rPr>
          <w:rFonts w:ascii="Amiri" w:hAnsi="Amiri" w:eastAsia="Amiri" w:cs="Amiri"/>
          <w:color w:val="111111"/>
          <w:sz w:val="28"/>
          <w:sz w:val="28"/>
          <w:szCs w:val="28"/>
          <w:rtl w:val="true"/>
          <w:lang w:bidi="ar-SA"/>
        </w:rPr>
        <w:t>مَوضعٍ مبسوطاً مشروحاً مُفرَّعاً مُشعَّباً، حَسَبَ ما يَفعَلُه مُدقِّقو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يَجِبُ فيمن يَحصُلُ له عِلمُ الجُملةِ في الأُصولِ أن يَتمكَّنَ مِن مَعرفةِ الفروعِ علَى التفصيلِ؛ بَل لا بُدَّ في مَعرفةِ حُكمِ كُلِّ حادثةٍ مِن فروعِ الشريعةِ مِن علومٍ رُبَّما لَم يَقدِرْ عليها صاحبُ الجُملةِ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فاحتاجَ صاحبُ الجُملةِ في الأُصولِ‌</w:t>
      </w:r>
      <w:r>
        <w:rPr>
          <w:rStyle w:val="FootnoteAnchor"/>
          <w:rtl w:val="true"/>
        </w:rPr>
        <w:footnoteReference w:id="121"/>
      </w:r>
      <w:r>
        <w:rPr>
          <w:rFonts w:ascii="Amiri" w:hAnsi="Amiri" w:eastAsia="Amiri" w:cs="Amiri"/>
          <w:color w:val="111111"/>
          <w:sz w:val="28"/>
          <w:sz w:val="28"/>
          <w:szCs w:val="28"/>
          <w:rtl w:val="true"/>
          <w:lang w:bidi="ar-SA"/>
        </w:rPr>
        <w:t>إلَى الِاستفتاءِ في فروعِ الشريعةِ؛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استَقصَينا هذا الكلامَ و بَسَطناه و فَرَّعناه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المَسائلِ الحَلَبيّاتِ</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 انتَهَينا فيه إلىٰ أبعَدِ غاياتِه</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8039489_1280447820"/>
      <w:bookmarkStart w:id="55" w:name="_Toc19"/>
      <w:bookmarkEnd w:id="54"/>
      <w:r>
        <w:rPr>
          <w:rtl w:val="true"/>
        </w:rPr>
        <w:t>في بيان حقيقة العقل</w:t>
      </w:r>
      <w:bookmarkEnd w:id="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العامّيُّ الذي مِن فَرضِه الِاستفتاءُ، و لا يَتمكَّنُ مِن العِلمِ بأحكامِ الحوادثِ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غيرَ عاقلٍ؛ أو غيرَ كاملِ العقلِ؛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لعُلومٍ مخصوصةٍ يَصِحُّ مِن المُكلَّفِ معها العِلمُ‌</w:t>
      </w:r>
      <w:r>
        <w:rPr>
          <w:rStyle w:val="FootnoteAnchor"/>
          <w:rtl w:val="true"/>
        </w:rPr>
        <w:footnoteReference w:id="123"/>
      </w:r>
      <w:r>
        <w:rPr>
          <w:rFonts w:ascii="Amiri" w:hAnsi="Amiri" w:eastAsia="Amiri" w:cs="Amiri"/>
          <w:color w:val="111111"/>
          <w:sz w:val="28"/>
          <w:sz w:val="28"/>
          <w:szCs w:val="28"/>
          <w:rtl w:val="true"/>
          <w:lang w:bidi="ar-SA"/>
        </w:rPr>
        <w:t>بما كُلِّفَه و القيامُ به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هذا العامّيُّ ما كُلِّفَ النظَرَ في أحكامِ الحوادثِ علَى التفصيلِ و العِلمَ بها، فلا يَكونُ ناقصَ العقلِ؛ لأنّ معه مِن العلومِ التي تُسَمّىٰ‌</w:t>
      </w:r>
      <w:r>
        <w:rPr>
          <w:rStyle w:val="FootnoteAnchor"/>
          <w:rtl w:val="true"/>
        </w:rPr>
        <w:footnoteReference w:id="125"/>
      </w:r>
      <w:r>
        <w:rPr>
          <w:rFonts w:ascii="Amiri" w:hAnsi="Amiri" w:eastAsia="Amiri" w:cs="Amiri"/>
          <w:color w:val="111111"/>
          <w:sz w:val="28"/>
          <w:sz w:val="28"/>
          <w:szCs w:val="28"/>
          <w:rtl w:val="true"/>
          <w:lang w:bidi="ar-SA"/>
        </w:rPr>
        <w:t>عقلاً ما يَكفيهِ في مَعرفةِ ما كُلِّفَه و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فاتَه مِن علومٍ زائدةٍ علىٰ ذلكَ، إذا لَم تَكُن مُخِلّةً بشَيءٍ مِن تكليفِه، فإنّها لا تُسَمّىٰ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w:t>
      </w:r>
      <w:r>
        <w:rPr>
          <w:rStyle w:val="FootnoteAnchor"/>
          <w:rtl w:val="true"/>
        </w:rPr>
        <w:footnoteReference w:id="126"/>
      </w:r>
      <w:r>
        <w:rPr>
          <w:rFonts w:ascii="Amiri" w:hAnsi="Amiri" w:eastAsia="Amiri" w:cs="Amiri"/>
          <w:color w:val="111111"/>
          <w:sz w:val="28"/>
          <w:sz w:val="28"/>
          <w:szCs w:val="28"/>
          <w:rtl w:val="true"/>
          <w:lang w:bidi="ar-SA"/>
        </w:rPr>
        <w:t>هذا الذي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127"/>
      </w:r>
      <w:r>
        <w:rPr>
          <w:rFonts w:ascii="Amiri" w:hAnsi="Amiri" w:eastAsia="Amiri" w:cs="Amiri"/>
          <w:color w:val="111111"/>
          <w:sz w:val="28"/>
          <w:sz w:val="28"/>
          <w:szCs w:val="28"/>
          <w:rtl w:val="true"/>
          <w:lang w:bidi="ar-SA"/>
        </w:rPr>
        <w:t xml:space="preserve">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اختَلَفوا في حصولِ العلومِ‌</w:t>
      </w:r>
      <w:r>
        <w:rPr>
          <w:rStyle w:val="FootnoteAnchor"/>
          <w:rtl w:val="true"/>
        </w:rPr>
        <w:footnoteReference w:id="128"/>
      </w:r>
      <w:r>
        <w:rPr>
          <w:rFonts w:ascii="Amiri" w:hAnsi="Amiri" w:eastAsia="Amiri" w:cs="Amiri"/>
          <w:color w:val="111111"/>
          <w:sz w:val="28"/>
          <w:sz w:val="28"/>
          <w:szCs w:val="28"/>
          <w:rtl w:val="true"/>
          <w:lang w:bidi="ar-SA"/>
        </w:rPr>
        <w:t>الضروريّةِ‌</w:t>
      </w:r>
      <w:r>
        <w:rPr>
          <w:rStyle w:val="FootnoteAnchor"/>
          <w:rtl w:val="true"/>
        </w:rPr>
        <w:footnoteReference w:id="129"/>
      </w:r>
      <w:r>
        <w:rPr>
          <w:rFonts w:ascii="Amiri" w:hAnsi="Amiri" w:eastAsia="Amiri" w:cs="Amiri"/>
          <w:color w:val="111111"/>
          <w:sz w:val="28"/>
          <w:sz w:val="28"/>
          <w:szCs w:val="28"/>
          <w:rtl w:val="true"/>
          <w:lang w:bidi="ar-SA"/>
        </w:rPr>
        <w:t xml:space="preserve">لهم، و زادَت في بعضِهم و نَقَصَت 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أن يَكونوا مُختَلِفينَ في كَمالِ العقلِ، و لا في العلومِ المُسمّاةِ بهذا الِاسمِ؛ لأنّا إذا جَعَلنا هذا الِاسمَ واقعاً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يَحتاجُ العاقلُ إليه في مَعرفةِ ما 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لَم يَكُن ما فاتَ بعضَهم في</w:t>
      </w:r>
      <w:r>
        <w:rPr>
          <w:rStyle w:val="FootnoteAnchor"/>
          <w:rtl w:val="true"/>
        </w:rPr>
        <w:footnoteReference w:id="130"/>
      </w:r>
      <w:r>
        <w:rPr>
          <w:rFonts w:ascii="Amiri" w:hAnsi="Amiri" w:eastAsia="Amiri" w:cs="Amiri"/>
          <w:color w:val="111111"/>
          <w:sz w:val="28"/>
          <w:sz w:val="28"/>
          <w:szCs w:val="28"/>
          <w:rtl w:val="true"/>
          <w:lang w:bidi="ar-SA"/>
        </w:rPr>
        <w:t>هذه العلومِ مُسَمّىً بكمالِ العقلِ؛ لأنّه غيرُ مُخِلٍّ بما كُلِّفَه مِن المَعارِفِ، و ما معه مِن العلومِ التي هي</w:t>
      </w:r>
      <w:r>
        <w:rPr>
          <w:rStyle w:val="FootnoteAnchor"/>
          <w:rtl w:val="true"/>
        </w:rPr>
        <w:footnoteReference w:id="131"/>
      </w:r>
      <w:r>
        <w:rPr>
          <w:rFonts w:ascii="Amiri" w:hAnsi="Amiri" w:eastAsia="Amiri" w:cs="Amiri"/>
          <w:color w:val="111111"/>
          <w:sz w:val="28"/>
          <w:sz w:val="28"/>
          <w:szCs w:val="28"/>
          <w:rtl w:val="true"/>
          <w:lang w:bidi="ar-SA"/>
        </w:rPr>
        <w:t>عقلٌ كافٍ في التوَصُّلِ به إلىٰ ما كُلِّفَه</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بجوازِ التفاوُتِ في العلومِ صحيحٌ، و لَيسَ بصحيحٍ القولُ بالتفاوُتِ‌</w:t>
      </w:r>
      <w:r>
        <w:rPr>
          <w:rStyle w:val="FootnoteAnchor"/>
          <w:rtl w:val="true"/>
        </w:rPr>
        <w:footnoteReference w:id="133"/>
      </w:r>
      <w:r>
        <w:rPr>
          <w:rFonts w:ascii="Amiri" w:hAnsi="Amiri" w:eastAsia="Amiri" w:cs="Amiri"/>
          <w:color w:val="111111"/>
          <w:sz w:val="28"/>
          <w:sz w:val="28"/>
          <w:szCs w:val="28"/>
          <w:rtl w:val="true"/>
          <w:lang w:bidi="ar-SA"/>
        </w:rPr>
        <w:t>في كَمالِ العقلِ؛ لِما بيّنّاه</w:t>
      </w:r>
      <w:r>
        <w:rPr>
          <w:rFonts w:eastAsia="Amiri" w:cs="Amiri" w:ascii="Amiri" w:hAnsi="Amiri"/>
          <w:color w:val="111111"/>
          <w:sz w:val="28"/>
          <w:szCs w:val="28"/>
          <w:rtl w:val="true"/>
          <w:lang w:bidi="ar-SA"/>
        </w:rPr>
        <w:t xml:space="preserve">. </w:t>
      </w:r>
      <w:bookmarkStart w:id="56" w:name="pg16437_172389"/>
    </w:p>
    <w:p>
      <w:pPr>
        <w:pStyle w:val="Heading5"/>
        <w:numPr>
          <w:ilvl w:val="4"/>
          <w:numId w:val="1"/>
        </w:numPr>
        <w:rPr/>
      </w:pPr>
      <w:bookmarkStart w:id="57" w:name="__RefHeading___Toc8039491_1280447820"/>
      <w:bookmarkStart w:id="58" w:name="_Toc20"/>
      <w:bookmarkEnd w:id="56"/>
      <w:bookmarkEnd w:id="57"/>
      <w:r>
        <w:rPr>
          <w:rtl w:val="true"/>
        </w:rPr>
        <w:t>المسألةُ الثالثةُ عدمُ توقّفِ القولِ بالصرفةِ علَى العلمِ بالعربيّةِ و فنونِ الفصاحةِ‌</w:t>
      </w:r>
      <w:bookmarkEnd w:id="58"/>
    </w:p>
    <w:p>
      <w:pPr>
        <w:pStyle w:val="BookText"/>
        <w:rPr/>
      </w:pPr>
      <w:r>
        <w:rPr>
          <w:rFonts w:ascii="Amiri" w:hAnsi="Amiri" w:eastAsia="Amiri" w:cs="Amiri"/>
          <w:color w:val="111111"/>
          <w:sz w:val="28"/>
          <w:sz w:val="28"/>
          <w:szCs w:val="28"/>
          <w:rtl w:val="true"/>
          <w:lang w:bidi="ar-SA"/>
        </w:rPr>
        <w:t>إذا كانَ صِدقُ مُدَّعي النبوّةِ لا يَثبُتُ إلّابالمُعجِزِ الخارقِ للعادةِ، علىٰ وجهٍ لا يَتقدَّرُ معه</w:t>
      </w:r>
      <w:r>
        <w:rPr>
          <w:rStyle w:val="FootnoteAnchor"/>
          <w:rtl w:val="true"/>
        </w:rPr>
        <w:footnoteReference w:id="134"/>
      </w:r>
      <w:r>
        <w:rPr>
          <w:rFonts w:ascii="Amiri" w:hAnsi="Amiri" w:eastAsia="Amiri" w:cs="Amiri"/>
          <w:color w:val="111111"/>
          <w:sz w:val="28"/>
          <w:sz w:val="28"/>
          <w:szCs w:val="28"/>
          <w:rtl w:val="true"/>
          <w:lang w:bidi="ar-SA"/>
        </w:rPr>
        <w:t>إضافتُه إلىٰ مُحدَثٍ لجِنسِه</w:t>
      </w:r>
      <w:r>
        <w:rPr>
          <w:rStyle w:val="FootnoteAnchor"/>
          <w:rtl w:val="true"/>
        </w:rPr>
        <w:footnoteReference w:id="135"/>
      </w:r>
      <w:r>
        <w:rPr>
          <w:rFonts w:ascii="Amiri" w:hAnsi="Amiri" w:eastAsia="Amiri" w:cs="Amiri"/>
          <w:color w:val="111111"/>
          <w:sz w:val="28"/>
          <w:sz w:val="28"/>
          <w:szCs w:val="28"/>
          <w:rtl w:val="true"/>
          <w:lang w:bidi="ar-SA"/>
        </w:rPr>
        <w:t>أو صفتِه المخصوصةِ؛ ليَعلَمَ الناظرُ اختصاصَه بالقَديمِ تَعالَى، الذي لا يَجوزُ منه تصديقُ الكَذّابِ‌</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الإعجازِ في القُرآنِ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المُفتَقِرُ العِلمِ‌</w:t>
      </w:r>
      <w:r>
        <w:rPr>
          <w:rStyle w:val="FootnoteAnchor"/>
          <w:rtl w:val="true"/>
        </w:rPr>
        <w:footnoteReference w:id="138"/>
      </w:r>
      <w:r>
        <w:rPr>
          <w:rFonts w:ascii="Amiri" w:hAnsi="Amiri" w:eastAsia="Amiri" w:cs="Amiri"/>
          <w:color w:val="111111"/>
          <w:sz w:val="28"/>
          <w:sz w:val="28"/>
          <w:szCs w:val="28"/>
          <w:rtl w:val="true"/>
          <w:lang w:bidi="ar-SA"/>
        </w:rPr>
        <w:t>به إلَى العِلمِ بالفَصاحةِ؛ ليَعلَمَ الناظرُ عَدَمَ الفَرقِ الواجبِ حُصولُه بَينَ المُعجِزِ و المُمكِنِ</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يَقتَضي تَعذُّرَ حُصولِ العِلمِ بالنبوّةِ علىٰ مَن لَيسَ مِن أهلِ المَعرفةِ بالعربيّةِ‌</w:t>
      </w:r>
      <w:r>
        <w:rPr>
          <w:rStyle w:val="FootnoteAnchor"/>
          <w:rtl w:val="true"/>
        </w:rPr>
        <w:footnoteReference w:id="140"/>
      </w:r>
      <w:r>
        <w:rPr>
          <w:rFonts w:ascii="Amiri" w:hAnsi="Amiri" w:eastAsia="Amiri" w:cs="Amiri"/>
          <w:color w:val="111111"/>
          <w:sz w:val="28"/>
          <w:sz w:val="28"/>
          <w:szCs w:val="28"/>
          <w:rtl w:val="true"/>
          <w:lang w:bidi="ar-SA"/>
        </w:rPr>
        <w:t>، و فَرقِ‌</w:t>
      </w:r>
      <w:r>
        <w:rPr>
          <w:rStyle w:val="FootnoteAnchor"/>
          <w:rtl w:val="true"/>
        </w:rPr>
        <w:footnoteReference w:id="141"/>
      </w:r>
      <w:r>
        <w:rPr>
          <w:rFonts w:ascii="Amiri" w:hAnsi="Amiri" w:eastAsia="Amiri" w:cs="Amiri"/>
          <w:color w:val="111111"/>
          <w:sz w:val="28"/>
          <w:sz w:val="28"/>
          <w:szCs w:val="28"/>
          <w:rtl w:val="true"/>
          <w:lang w:bidi="ar-SA"/>
        </w:rPr>
        <w:t>ما بَينَ فَصيحِ‌</w:t>
      </w:r>
      <w:r>
        <w:rPr>
          <w:rStyle w:val="FootnoteAnchor"/>
          <w:rtl w:val="true"/>
        </w:rPr>
        <w:footnoteReference w:id="142"/>
      </w:r>
      <w:r>
        <w:rPr>
          <w:rFonts w:ascii="Amiri" w:hAnsi="Amiri" w:eastAsia="Amiri" w:cs="Amiri"/>
          <w:color w:val="111111"/>
          <w:sz w:val="28"/>
          <w:sz w:val="28"/>
          <w:szCs w:val="28"/>
          <w:rtl w:val="true"/>
          <w:lang w:bidi="ar-SA"/>
        </w:rPr>
        <w:t>الكلامِ و رَكيكِه، و في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سُقوطُ تكليفِ النبوّةِ عن</w:t>
      </w:r>
      <w:r>
        <w:rPr>
          <w:rStyle w:val="FootnoteAnchor"/>
          <w:rtl w:val="true"/>
        </w:rPr>
        <w:footnoteReference w:id="143"/>
      </w:r>
      <w:r>
        <w:rPr>
          <w:rFonts w:ascii="Amiri" w:hAnsi="Amiri" w:eastAsia="Amiri" w:cs="Amiri"/>
          <w:color w:val="111111"/>
          <w:sz w:val="28"/>
          <w:sz w:val="28"/>
          <w:szCs w:val="28"/>
          <w:rtl w:val="true"/>
          <w:lang w:bidi="ar-SA"/>
        </w:rPr>
        <w:t>أكثَرِ الخَلقِ، و الأعاجِمِ، و غيرِهم ممّن لا بَصيرةَ له بالفَصاحةِ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القولُ بوجوبِ تقديمِ مَعرفةِ العربيّةِ؛ و ذلكَ ممّا يَتعسَّرُ</w:t>
      </w:r>
      <w:r>
        <w:rPr>
          <w:rStyle w:val="FootnoteAnchor"/>
          <w:rtl w:val="true"/>
        </w:rPr>
        <w:footnoteReference w:id="144"/>
      </w:r>
      <w:r>
        <w:rPr>
          <w:rFonts w:ascii="Amiri" w:hAnsi="Amiri" w:eastAsia="Amiri" w:cs="Amiri"/>
          <w:color w:val="111111"/>
          <w:sz w:val="28"/>
          <w:sz w:val="28"/>
          <w:szCs w:val="28"/>
          <w:rtl w:val="true"/>
          <w:lang w:bidi="ar-SA"/>
        </w:rPr>
        <w:t>في أكثَرِ المُكلَّفينَ، و يَتعذَّرُ في آخَرينَ، مع ما فيه مِن إيجابِ مَعرفةِ العربيّةِ، و وقوفِ تكليفِ النبوّةِ طولَ زمانِ مُهلةِ المَعرفةِ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العادةِ و تَعذُّرُ المُعارَضةِ‌</w:t>
      </w:r>
      <w:r>
        <w:rPr>
          <w:rStyle w:val="FootnoteAnchor"/>
          <w:rtl w:val="true"/>
        </w:rPr>
        <w:footnoteReference w:id="145"/>
      </w:r>
      <w:r>
        <w:rPr>
          <w:rFonts w:ascii="Amiri" w:hAnsi="Amiri" w:eastAsia="Amiri" w:cs="Amiri"/>
          <w:color w:val="111111"/>
          <w:sz w:val="28"/>
          <w:sz w:val="28"/>
          <w:szCs w:val="28"/>
          <w:rtl w:val="true"/>
          <w:lang w:bidi="ar-SA"/>
        </w:rPr>
        <w:t>كافٍ‌</w:t>
      </w:r>
      <w:r>
        <w:rPr>
          <w:rStyle w:val="FootnoteAnchor"/>
          <w:rtl w:val="true"/>
        </w:rPr>
        <w:footnoteReference w:id="146"/>
      </w:r>
      <w:r>
        <w:rPr>
          <w:rFonts w:ascii="Amiri" w:hAnsi="Amiri" w:eastAsia="Amiri" w:cs="Amiri"/>
          <w:color w:val="111111"/>
          <w:sz w:val="28"/>
          <w:sz w:val="28"/>
          <w:szCs w:val="28"/>
          <w:rtl w:val="true"/>
          <w:lang w:bidi="ar-SA"/>
        </w:rPr>
        <w:t>في تَكليفِ‌</w:t>
      </w:r>
      <w:r>
        <w:rPr>
          <w:rStyle w:val="FootnoteAnchor"/>
          <w:rtl w:val="true"/>
        </w:rPr>
        <w:footnoteReference w:id="147"/>
      </w:r>
      <w:r>
        <w:rPr>
          <w:rFonts w:ascii="Amiri" w:hAnsi="Amiri" w:eastAsia="Amiri" w:cs="Amiri"/>
          <w:color w:val="111111"/>
          <w:sz w:val="28"/>
          <w:sz w:val="28"/>
          <w:szCs w:val="28"/>
          <w:rtl w:val="true"/>
          <w:lang w:bidi="ar-SA"/>
        </w:rPr>
        <w:t>هؤلاءِ العِلمَ‌</w:t>
      </w:r>
      <w:r>
        <w:rPr>
          <w:rStyle w:val="FootnoteAnchor"/>
          <w:rtl w:val="true"/>
        </w:rPr>
        <w:footnoteReference w:id="148"/>
      </w:r>
      <w:r>
        <w:rPr>
          <w:rFonts w:ascii="Amiri" w:hAnsi="Amiri" w:eastAsia="Amiri" w:cs="Amiri"/>
          <w:color w:val="111111"/>
          <w:sz w:val="28"/>
          <w:sz w:val="28"/>
          <w:szCs w:val="28"/>
          <w:rtl w:val="true"/>
          <w:lang w:bidi="ar-SA"/>
        </w:rPr>
        <w:t>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قد بيّنّا ما لا</w:t>
      </w:r>
      <w:r>
        <w:rPr>
          <w:rStyle w:val="FootnoteAnchor"/>
          <w:rtl w:val="true"/>
        </w:rPr>
        <w:footnoteReference w:id="149"/>
      </w:r>
      <w:r>
        <w:rPr>
          <w:rFonts w:ascii="Amiri" w:hAnsi="Amiri" w:eastAsia="Amiri" w:cs="Amiri"/>
          <w:color w:val="111111"/>
          <w:sz w:val="28"/>
          <w:sz w:val="28"/>
          <w:szCs w:val="28"/>
          <w:rtl w:val="true"/>
          <w:lang w:bidi="ar-SA"/>
        </w:rPr>
        <w:t>خِلافَ فيه، مِن أنّ خَرقَ العادةِ غيرُ كافٍ في الإعجازِ، حتّىٰ يَكونَ واقعاً علىٰ وجهٍ لا يَصِحُّ دخولُه تَحتَ مقدورِ مُحدَثٍ، و هذا الحُكمُ لا يَحصُلُ مع</w:t>
      </w:r>
      <w:r>
        <w:rPr>
          <w:rStyle w:val="FootnoteAnchor"/>
          <w:rtl w:val="true"/>
        </w:rPr>
        <w:footnoteReference w:id="150"/>
      </w:r>
      <w:r>
        <w:rPr>
          <w:rFonts w:ascii="Amiri" w:hAnsi="Amiri" w:eastAsia="Amiri" w:cs="Amiri"/>
          <w:color w:val="111111"/>
          <w:sz w:val="28"/>
          <w:sz w:val="28"/>
          <w:szCs w:val="28"/>
          <w:rtl w:val="true"/>
          <w:lang w:bidi="ar-SA"/>
        </w:rPr>
        <w:t>القولِ بالصَّرفةِ إلّابَعدَ المَعرفةِ بالعربيّةِ، و ذلكَ يَقتَضي ما بيّنّا فَسادَ القولِ به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إن قيلَ 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العِلمُ بمُرادِ اللّٰهِ تَعالىٰ و مُرادِ رسولِه و القائمينَ في الأُمّةِ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إلّابَعدَ العِلمِ بالعربيّةِ التي </w:t>
      </w:r>
    </w:p>
    <w:p>
      <w:pPr>
        <w:pStyle w:val="BookText"/>
        <w:rPr/>
      </w:pPr>
      <w:r>
        <w:rPr>
          <w:rFonts w:ascii="Amiri" w:hAnsi="Amiri" w:eastAsia="Amiri" w:cs="Amiri"/>
          <w:color w:val="111111"/>
          <w:sz w:val="28"/>
          <w:sz w:val="28"/>
          <w:szCs w:val="28"/>
          <w:rtl w:val="true"/>
          <w:lang w:bidi="ar-SA"/>
        </w:rPr>
        <w:t>خوطِبنا بها، فيَجِبُ علىٰ كُلِّ مُكلَّفٍ العِلمَ بها أن يَكونَ عالِماً بالعربيةِ؛ و ذلكَ يَقتَضي وجوبَها مُتقدِّمةً‌</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مُكلَّفٍ بالشريعةِ‌</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هذه الشُّبهةَ لَم تَخطُرْ</w:t>
      </w:r>
      <w:r>
        <w:rPr>
          <w:rStyle w:val="FootnoteAnchor"/>
          <w:rtl w:val="true"/>
        </w:rPr>
        <w:footnoteReference w:id="154"/>
      </w:r>
      <w:r>
        <w:rPr>
          <w:rFonts w:ascii="Amiri" w:hAnsi="Amiri" w:eastAsia="Amiri" w:cs="Amiri"/>
          <w:color w:val="111111"/>
          <w:sz w:val="28"/>
          <w:sz w:val="28"/>
          <w:szCs w:val="28"/>
          <w:rtl w:val="true"/>
          <w:lang w:bidi="ar-SA"/>
        </w:rPr>
        <w:t>إلّابِبالِ مَن تَصفَّحَ كُتُبي، و قَرأَ كلامي في نُصرةِ القولِ بالصَّرفةِ، و اعتمادي في نُصرتِها علىٰ أنّ أحَدَنا</w:t>
      </w:r>
      <w:r>
        <w:rPr>
          <w:rStyle w:val="FootnoteAnchor"/>
          <w:rtl w:val="true"/>
        </w:rPr>
        <w:footnoteReference w:id="155"/>
      </w:r>
      <w:r>
        <w:rPr>
          <w:rFonts w:ascii="Amiri" w:hAnsi="Amiri" w:eastAsia="Amiri" w:cs="Amiri"/>
          <w:color w:val="111111"/>
          <w:sz w:val="28"/>
          <w:sz w:val="28"/>
          <w:szCs w:val="28"/>
          <w:rtl w:val="true"/>
          <w:lang w:bidi="ar-SA"/>
        </w:rPr>
        <w:t xml:space="preserve">لا 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مِن غيرِ 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مَواضِعَ مِن القُرآنِ و بَينَ أفصَحِ كلامٍ للعَرَبِ‌</w:t>
      </w:r>
      <w:r>
        <w:rPr>
          <w:rStyle w:val="FootnoteAnchor"/>
          <w:rtl w:val="true"/>
        </w:rPr>
        <w:footnoteReference w:id="156"/>
      </w:r>
      <w:r>
        <w:rPr>
          <w:rFonts w:ascii="Amiri" w:hAnsi="Amiri" w:eastAsia="Amiri" w:cs="Amiri"/>
          <w:color w:val="111111"/>
          <w:sz w:val="28"/>
          <w:sz w:val="28"/>
          <w:szCs w:val="28"/>
          <w:rtl w:val="true"/>
          <w:lang w:bidi="ar-SA"/>
        </w:rPr>
        <w:t>في الفَصاحةِ،</w:t>
      </w:r>
      <w:r>
        <w:rPr>
          <w:rStyle w:val="FootnoteAnchor"/>
          <w:rtl w:val="true"/>
        </w:rPr>
        <w:footnoteReference w:id="157"/>
      </w:r>
      <w:r>
        <w:rPr>
          <w:rFonts w:ascii="IRNazanin" w:hAnsi="IRNazanin" w:eastAsia="IRNazanin"/>
          <w:color w:val="111111"/>
          <w:sz w:val="28"/>
          <w:sz w:val="28"/>
          <w:szCs w:val="28"/>
          <w:rtl w:val="true"/>
          <w:lang w:bidi="fa-IR"/>
        </w:rPr>
        <w:t>و إن</w:t>
      </w:r>
      <w:r>
        <w:rPr>
          <w:rStyle w:val="FootnoteAnchor"/>
          <w:rtl w:val="true"/>
        </w:rPr>
        <w:footnoteReference w:id="158"/>
      </w:r>
      <w:r>
        <w:rPr>
          <w:rFonts w:ascii="Amiri" w:hAnsi="Amiri" w:eastAsia="Amiri" w:cs="Amiri"/>
          <w:color w:val="111111"/>
          <w:sz w:val="28"/>
          <w:sz w:val="28"/>
          <w:szCs w:val="28"/>
          <w:rtl w:val="true"/>
          <w:lang w:bidi="ar-SA"/>
        </w:rPr>
        <w:t>كانَ يُفرِّقُ ما بَينَ أفصَحِ كلامِهم و أدوَنِه تَفرِقةً‌</w:t>
      </w:r>
      <w:r>
        <w:rPr>
          <w:rStyle w:val="FootnoteAnchor"/>
          <w:rtl w:val="true"/>
        </w:rPr>
        <w:footnoteReference w:id="159"/>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مُحالٌ أن يُفرِّقَ بَينَ المتقاربَينِ مَن لا يُفرِّقُ بَينَ المتباعدَينِ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فتركيبُ هذه الشُّبهةِ مِن مفهومِ هذا الكلامِ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يُمكِنُ أن نَقولَ‌</w:t>
      </w:r>
      <w:r>
        <w:rPr>
          <w:rStyle w:val="FootnoteAnchor"/>
          <w:rtl w:val="true"/>
        </w:rPr>
        <w:footnoteReference w:id="160"/>
      </w:r>
      <w:r>
        <w:rPr>
          <w:rFonts w:ascii="Amiri" w:hAnsi="Amiri" w:eastAsia="Amiri" w:cs="Amiri"/>
          <w:color w:val="111111"/>
          <w:sz w:val="28"/>
          <w:sz w:val="28"/>
          <w:szCs w:val="28"/>
          <w:rtl w:val="true"/>
          <w:lang w:bidi="ar-SA"/>
        </w:rPr>
        <w:t>في هذا المَوضِعِ ما لا يَزالُ‌</w:t>
      </w:r>
      <w:r>
        <w:rPr>
          <w:rStyle w:val="FootnoteAnchor"/>
          <w:rtl w:val="true"/>
        </w:rPr>
        <w:footnoteReference w:id="161"/>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الناظِرَ إذا عَلِمَ أنّ القُرآنَ قد تُحُدّيَ‌</w:t>
      </w:r>
      <w:r>
        <w:rPr>
          <w:rStyle w:val="FootnoteAnchor"/>
          <w:rtl w:val="true"/>
        </w:rPr>
        <w:footnoteReference w:id="162"/>
      </w:r>
      <w:r>
        <w:rPr>
          <w:rFonts w:ascii="Amiri" w:hAnsi="Amiri" w:eastAsia="Amiri" w:cs="Amiri"/>
          <w:color w:val="111111"/>
          <w:sz w:val="28"/>
          <w:sz w:val="28"/>
          <w:szCs w:val="28"/>
          <w:rtl w:val="true"/>
          <w:lang w:bidi="ar-SA"/>
        </w:rPr>
        <w:t>به، و لَم تَقَعِ‌</w:t>
      </w:r>
      <w:r>
        <w:rPr>
          <w:rStyle w:val="FootnoteAnchor"/>
          <w:rtl w:val="true"/>
        </w:rPr>
        <w:footnoteReference w:id="163"/>
      </w:r>
      <w:r>
        <w:rPr>
          <w:rFonts w:ascii="Amiri" w:hAnsi="Amiri" w:eastAsia="Amiri" w:cs="Amiri"/>
          <w:color w:val="111111"/>
          <w:sz w:val="28"/>
          <w:sz w:val="28"/>
          <w:szCs w:val="28"/>
          <w:rtl w:val="true"/>
          <w:lang w:bidi="ar-SA"/>
        </w:rPr>
        <w:t xml:space="preserve">المُعارَضةُ له؛ لتَعذُّرِها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لا يَجوزُ أن يَكونَ مُعتاداً؛ فَلَيْسَ بَعدَ ذلكَ إلّاأن يَكونَ القُرآنُ خَرَقَ العادةَ بفَصاحتِه، أو صَرَفَ القومَ عن 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الأمرَينِ كانَ فقَد صَحَّت النبوّةُ، فلا فَقرَ بنا إلىٰ مَعرفةِ الوجهِ علىٰ سَبيلِ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الطريقةَ غيرُ مُستَمِرّةٍ، علىٰ ما بَنَينا</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 في نُصرةِ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لأنّ تَعذُّرَ المُعارَضةِ يُمكِنُ أن يَكونَ لفَرطِ فَصاحةِ القُرآنِ و خَرقِه</w:t>
      </w:r>
      <w:r>
        <w:rPr>
          <w:rStyle w:val="FootnoteAnchor"/>
          <w:rtl w:val="true"/>
        </w:rPr>
        <w:footnoteReference w:id="165"/>
      </w:r>
      <w:r>
        <w:rPr>
          <w:rFonts w:ascii="Amiri" w:hAnsi="Amiri" w:eastAsia="Amiri" w:cs="Amiri"/>
          <w:color w:val="111111"/>
          <w:sz w:val="28"/>
          <w:sz w:val="28"/>
          <w:szCs w:val="28"/>
          <w:rtl w:val="true"/>
          <w:lang w:bidi="ar-SA"/>
        </w:rPr>
        <w:t>عادتَنا بفَصاحتِه، إلّاأنّ الناظرَ</w:t>
      </w:r>
      <w:r>
        <w:rPr>
          <w:rStyle w:val="FootnoteAnchor"/>
          <w:rtl w:val="true"/>
        </w:rPr>
        <w:footnoteReference w:id="166"/>
      </w:r>
      <w:r>
        <w:rPr>
          <w:rFonts w:ascii="Amiri" w:hAnsi="Amiri" w:eastAsia="Amiri" w:cs="Amiri"/>
          <w:color w:val="111111"/>
          <w:sz w:val="28"/>
          <w:sz w:val="28"/>
          <w:szCs w:val="28"/>
          <w:rtl w:val="true"/>
          <w:lang w:bidi="ar-SA"/>
        </w:rPr>
        <w:t>يُجوِّزُ أن يَكونَ هذا القُرآنُ مِن فِعلِ جِنّيٍّ‌</w:t>
      </w:r>
      <w:r>
        <w:rPr>
          <w:rStyle w:val="FootnoteAnchor"/>
          <w:rtl w:val="true"/>
        </w:rPr>
        <w:footnoteReference w:id="167"/>
      </w:r>
      <w:r>
        <w:rPr>
          <w:rFonts w:ascii="Amiri" w:hAnsi="Amiri" w:eastAsia="Amiri" w:cs="Amiri"/>
          <w:color w:val="111111"/>
          <w:sz w:val="28"/>
          <w:sz w:val="28"/>
          <w:szCs w:val="28"/>
          <w:rtl w:val="true"/>
          <w:lang w:bidi="ar-SA"/>
        </w:rPr>
        <w:t>ألقاه إلىٰ مَن ظَهَرَ عليه يَخرُقُ به عادتَنا؛ لأنّا لا نُحيطُ عِلماً بمَبلَغِ مَراتِبِ‌</w:t>
      </w:r>
      <w:r>
        <w:rPr>
          <w:rStyle w:val="FootnoteAnchor"/>
          <w:rtl w:val="true"/>
        </w:rPr>
        <w:footnoteReference w:id="168"/>
      </w:r>
      <w:r>
        <w:rPr>
          <w:rFonts w:ascii="Amiri" w:hAnsi="Amiri" w:eastAsia="Amiri" w:cs="Amiri"/>
          <w:color w:val="111111"/>
          <w:sz w:val="28"/>
          <w:sz w:val="28"/>
          <w:szCs w:val="28"/>
          <w:rtl w:val="true"/>
          <w:lang w:bidi="ar-SA"/>
        </w:rPr>
        <w:t>الجِنِّ في الفَصاحةِ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إذا جَوَّزنا ذلكَ لَم يَثبُتْ كَونُه مُعجِزاً بهذا الضربِ مِن الاستدلالِ، دونَ أن يُعلَمَ أنّ الذي خَرَقَ به عادتَنا حَكيمٌ‌</w:t>
      </w:r>
      <w:r>
        <w:rPr>
          <w:rStyle w:val="FootnoteAnchor"/>
          <w:rtl w:val="true"/>
        </w:rPr>
        <w:footnoteReference w:id="170"/>
      </w:r>
      <w:r>
        <w:rPr>
          <w:rFonts w:ascii="Amiri" w:hAnsi="Amiri" w:eastAsia="Amiri" w:cs="Amiri"/>
          <w:color w:val="111111"/>
          <w:sz w:val="28"/>
          <w:sz w:val="28"/>
          <w:szCs w:val="28"/>
          <w:rtl w:val="true"/>
          <w:lang w:bidi="ar-SA"/>
        </w:rPr>
        <w:t>لا يَجوزُ أن يُصدِّقَ الكَذّابَ‌</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سؤالَ الجِنِّ لا جوابَ‌</w:t>
      </w:r>
      <w:r>
        <w:rPr>
          <w:rStyle w:val="FootnoteAnchor"/>
          <w:rtl w:val="true"/>
        </w:rPr>
        <w:footnoteReference w:id="172"/>
      </w:r>
      <w:r>
        <w:rPr>
          <w:rFonts w:ascii="Amiri" w:hAnsi="Amiri" w:eastAsia="Amiri" w:cs="Amiri"/>
          <w:color w:val="111111"/>
          <w:sz w:val="28"/>
          <w:sz w:val="28"/>
          <w:szCs w:val="28"/>
          <w:rtl w:val="true"/>
          <w:lang w:bidi="ar-SA"/>
        </w:rPr>
        <w:t>عنه إلّاعلىٰ مَذهبِ القائلينَ بالصَّرفةِ؛ لأنّ مَن يَذهبُ إليها</w:t>
      </w:r>
      <w:r>
        <w:rPr>
          <w:rStyle w:val="FootnoteAnchor"/>
          <w:rtl w:val="true"/>
        </w:rPr>
        <w:footnoteReference w:id="173"/>
      </w:r>
      <w:r>
        <w:rPr>
          <w:rFonts w:ascii="Amiri" w:hAnsi="Amiri" w:eastAsia="Amiri" w:cs="Amiri"/>
          <w:color w:val="111111"/>
          <w:sz w:val="28"/>
          <w:sz w:val="28"/>
          <w:szCs w:val="28"/>
          <w:rtl w:val="true"/>
          <w:lang w:bidi="ar-SA"/>
        </w:rPr>
        <w:t>يَعلَمُ أنّ جِهةَ تَعذُّرِ المُعارَضةِ‌</w:t>
      </w:r>
      <w:r>
        <w:rPr>
          <w:rStyle w:val="FootnoteAnchor"/>
          <w:rtl w:val="true"/>
        </w:rPr>
        <w:footnoteReference w:id="174"/>
      </w:r>
      <w:r>
        <w:rPr>
          <w:rFonts w:ascii="Amiri" w:hAnsi="Amiri" w:eastAsia="Amiri" w:cs="Amiri"/>
          <w:color w:val="111111"/>
          <w:sz w:val="28"/>
          <w:sz w:val="28"/>
          <w:szCs w:val="28"/>
          <w:rtl w:val="true"/>
          <w:lang w:bidi="ar-SA"/>
        </w:rPr>
        <w:t xml:space="preserve">علَى العَرَبِ إنّما </w:t>
      </w:r>
    </w:p>
    <w:p>
      <w:pPr>
        <w:pStyle w:val="BookText"/>
        <w:rPr/>
      </w:pPr>
      <w:r>
        <w:rPr>
          <w:rFonts w:ascii="Amiri" w:hAnsi="Amiri" w:eastAsia="Amiri" w:cs="Amiri"/>
          <w:color w:val="111111"/>
          <w:sz w:val="28"/>
          <w:sz w:val="28"/>
          <w:szCs w:val="28"/>
          <w:rtl w:val="true"/>
          <w:lang w:bidi="ar-SA"/>
        </w:rPr>
        <w:t>هي للصَّرفِ‌</w:t>
      </w:r>
      <w:r>
        <w:rPr>
          <w:rStyle w:val="FootnoteAnchor"/>
          <w:rtl w:val="true"/>
        </w:rPr>
        <w:footnoteReference w:id="175"/>
      </w:r>
      <w:r>
        <w:rPr>
          <w:rFonts w:ascii="IRNazanin" w:hAnsi="IRNazanin" w:eastAsia="IRNazanin"/>
          <w:color w:val="111111"/>
          <w:sz w:val="28"/>
          <w:sz w:val="28"/>
          <w:szCs w:val="28"/>
          <w:rtl w:val="true"/>
          <w:lang w:bidi="fa-IR"/>
        </w:rPr>
        <w:t>عنها، لا</w:t>
      </w:r>
      <w:r>
        <w:rPr>
          <w:rStyle w:val="FootnoteAnchor"/>
          <w:rtl w:val="true"/>
        </w:rPr>
        <w:footnoteReference w:id="176"/>
      </w:r>
      <w:r>
        <w:rPr>
          <w:rFonts w:ascii="Amiri" w:hAnsi="Amiri" w:eastAsia="Amiri" w:cs="Amiri"/>
          <w:color w:val="111111"/>
          <w:sz w:val="28"/>
          <w:sz w:val="28"/>
          <w:szCs w:val="28"/>
          <w:rtl w:val="true"/>
          <w:lang w:bidi="ar-SA"/>
        </w:rPr>
        <w:t>لفَرطِ الفَصاحةِ، و الصَّرفُ عن العلومِ التي يَتأتّىٰ‌</w:t>
      </w:r>
      <w:r>
        <w:rPr>
          <w:rStyle w:val="FootnoteAnchor"/>
          <w:rtl w:val="true"/>
        </w:rPr>
        <w:footnoteReference w:id="177"/>
      </w:r>
      <w:r>
        <w:rPr>
          <w:rFonts w:ascii="Amiri" w:hAnsi="Amiri" w:eastAsia="Amiri" w:cs="Amiri"/>
          <w:color w:val="111111"/>
          <w:sz w:val="28"/>
          <w:sz w:val="28"/>
          <w:szCs w:val="28"/>
          <w:rtl w:val="true"/>
          <w:lang w:bidi="ar-SA"/>
        </w:rPr>
        <w:t>معها الكلامُ الفَصيحُ لا يَصِحُّ إلّامِن اللّٰهِ تَعالىٰ دونَ كُلِّ قادرٍ مُحدَثٍ</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هذه الشُّبهةِ‌</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Style w:val="FootnoteAnchor"/>
          <w:rtl w:val="true"/>
        </w:rPr>
        <w:footnoteReference w:id="180"/>
      </w:r>
      <w:r>
        <w:rPr>
          <w:rFonts w:ascii="Amiri" w:hAnsi="Amiri" w:eastAsia="Amiri" w:cs="Amiri"/>
          <w:color w:val="111111"/>
          <w:sz w:val="28"/>
          <w:sz w:val="28"/>
          <w:szCs w:val="28"/>
          <w:rtl w:val="true"/>
          <w:lang w:bidi="ar-SA"/>
        </w:rPr>
        <w:t>إن كانَ هذا القولُ قادحاً في مَذهبِ الصَّرفةِ، فهو قادحٌ في مَذهبِ خُصومِهم القائلينَ بأنّ جِهةَ إعجازِ القُرآنِ فَرطُ فَصاحتهِ؛ لأنّه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Style w:val="FootnoteAnchor"/>
          <w:rtl w:val="true"/>
        </w:rPr>
        <w:footnoteReference w:id="181"/>
      </w:r>
      <w:r>
        <w:rPr>
          <w:rFonts w:ascii="Amiri" w:hAnsi="Amiri" w:eastAsia="Amiri" w:cs="Amiri"/>
          <w:color w:val="111111"/>
          <w:sz w:val="28"/>
          <w:sz w:val="28"/>
          <w:szCs w:val="28"/>
          <w:rtl w:val="true"/>
          <w:lang w:bidi="ar-SA"/>
        </w:rPr>
        <w:t>كانَ الطريقُ إلَى العِلمِ بأنّ فَصاحةَ القُرآنِ خارقةٌ للعادةِ هو</w:t>
      </w:r>
      <w:r>
        <w:rPr>
          <w:rStyle w:val="FootnoteAnchor"/>
          <w:rtl w:val="true"/>
        </w:rPr>
        <w:footnoteReference w:id="182"/>
      </w:r>
      <w:r>
        <w:rPr>
          <w:rFonts w:ascii="Amiri" w:hAnsi="Amiri" w:eastAsia="Amiri" w:cs="Amiri"/>
          <w:color w:val="111111"/>
          <w:sz w:val="28"/>
          <w:sz w:val="28"/>
          <w:szCs w:val="28"/>
          <w:rtl w:val="true"/>
          <w:lang w:bidi="ar-SA"/>
        </w:rPr>
        <w:t>عَدَمُ مُعارَضتهِ، فلَو عورِضَ القُرآنُ بما لا يُشبِهُ فَصاحتَه كمُعارَضةِ مُسَيلِمةَ‌</w:t>
      </w:r>
      <w:r>
        <w:rPr>
          <w:rStyle w:val="FootnoteAnchor"/>
          <w:rtl w:val="true"/>
        </w:rPr>
        <w:footnoteReference w:id="183"/>
      </w:r>
      <w:r>
        <w:rPr>
          <w:rFonts w:ascii="Amiri" w:hAnsi="Amiri" w:eastAsia="Amiri" w:cs="Amiri"/>
          <w:color w:val="111111"/>
          <w:sz w:val="28"/>
          <w:sz w:val="28"/>
          <w:szCs w:val="28"/>
          <w:rtl w:val="true"/>
          <w:lang w:bidi="ar-SA"/>
        </w:rPr>
        <w:t>مِن أينَ كانَ يَعلَمُ العَجَمُ و العوامُّ و كلُّ مَن لا يَعرِفُ العربيّةَ و مَراتِبَ الفَصاحةِ أنّ هذه المُعارَضةَ غيرُ واقعةٍ مَوقِعَها، و هو لا يَعلَمُ أنّه عَلَمٌ مُعجِزٌ إلّابَعدَ أن يَعلَمَ أنّه لَم يُعارَضُ مُعارَضةً مؤثِّرةً؟ فأيُّ شيءٍ قالوه في ذلكَ قُلنا لهم</w:t>
      </w:r>
      <w:r>
        <w:rPr>
          <w:rStyle w:val="FootnoteAnchor"/>
          <w:rtl w:val="true"/>
        </w:rPr>
        <w:footnoteReference w:id="184"/>
      </w:r>
      <w:r>
        <w:rPr>
          <w:rFonts w:ascii="Amiri" w:hAnsi="Amiri" w:eastAsia="Amiri" w:cs="Amiri"/>
          <w:color w:val="111111"/>
          <w:sz w:val="28"/>
          <w:sz w:val="28"/>
          <w:szCs w:val="28"/>
          <w:rtl w:val="true"/>
          <w:lang w:bidi="ar-SA"/>
        </w:rPr>
        <w:t>مِثلَه في نُصرةِ القولِ بالصَّرفةِ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 عن الشُّبهةِ بَعدَ المُعارَضةِ‌</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لَيسَ مِن أهلِ العِلمِ بالفَصاحةِ و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أعجَميٍّ أو 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مُتمكِّنٌ مِن العِلمِ بفَضلِ‌</w:t>
      </w:r>
      <w:r>
        <w:rPr>
          <w:rStyle w:val="FootnoteAnchor"/>
          <w:rtl w:val="true"/>
        </w:rPr>
        <w:footnoteReference w:id="186"/>
      </w:r>
      <w:r>
        <w:rPr>
          <w:rFonts w:ascii="Amiri" w:hAnsi="Amiri" w:eastAsia="Amiri" w:cs="Amiri"/>
          <w:color w:val="111111"/>
          <w:sz w:val="28"/>
          <w:sz w:val="28"/>
          <w:szCs w:val="28"/>
          <w:rtl w:val="true"/>
          <w:lang w:bidi="ar-SA"/>
        </w:rPr>
        <w:t>فَصيحٍ مِن الكلامِ علىٰ غيرِه و مَرتَبتِه</w:t>
      </w:r>
      <w:r>
        <w:rPr>
          <w:rStyle w:val="FootnoteAnchor"/>
          <w:rtl w:val="true"/>
        </w:rPr>
        <w:footnoteReference w:id="187"/>
      </w:r>
      <w:r>
        <w:rPr>
          <w:rFonts w:ascii="Amiri" w:hAnsi="Amiri" w:eastAsia="Amiri" w:cs="Amiri"/>
          <w:color w:val="111111"/>
          <w:sz w:val="28"/>
          <w:sz w:val="28"/>
          <w:szCs w:val="28"/>
          <w:rtl w:val="true"/>
          <w:lang w:bidi="ar-SA"/>
        </w:rPr>
        <w:t>في الفَصاحةِ، بالرجوعِ إلىٰ أهلِ الصِّناعةِ و السؤالِ لهم، فيَعلَمَ مِن ذلكَ ما تَدعوه الحاجةُ إلىٰ عِلمِه، و إن لَم يَحتَجْ إلىٰ أن يَكونَ هو في نفسِه مِن أهلِ هذه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الأعجَميَّ‌</w:t>
      </w:r>
      <w:r>
        <w:rPr>
          <w:rStyle w:val="FootnoteAnchor"/>
          <w:rtl w:val="true"/>
        </w:rPr>
        <w:footnoteReference w:id="188"/>
      </w:r>
      <w:r>
        <w:rPr>
          <w:rFonts w:ascii="Amiri" w:hAnsi="Amiri" w:eastAsia="Amiri" w:cs="Amiri"/>
          <w:color w:val="111111"/>
          <w:sz w:val="28"/>
          <w:sz w:val="28"/>
          <w:szCs w:val="28"/>
          <w:rtl w:val="true"/>
          <w:lang w:bidi="ar-SA"/>
        </w:rPr>
        <w:t xml:space="preserve">و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لا يَعرِفانِ شَيئاً مِن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يَعلَما أنّ امرَأَ القَيسِ‌</w:t>
      </w:r>
      <w:r>
        <w:rPr>
          <w:rStyle w:val="FootnoteAnchor"/>
          <w:rtl w:val="true"/>
        </w:rPr>
        <w:footnoteReference w:id="189"/>
      </w:r>
      <w:r>
        <w:rPr>
          <w:rFonts w:ascii="Amiri" w:hAnsi="Amiri" w:eastAsia="Amiri" w:cs="Amiri"/>
          <w:color w:val="111111"/>
          <w:sz w:val="28"/>
          <w:sz w:val="28"/>
          <w:szCs w:val="28"/>
          <w:rtl w:val="true"/>
          <w:lang w:bidi="ar-SA"/>
        </w:rPr>
        <w:t xml:space="preserve">أفصَحُ مِمّن عَداه مِن الشُّعَراءِ، و أنّ بعضَ الكلامِ الفَصيحِ أفضَلُ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تَدخُلُ‌</w:t>
      </w:r>
      <w:r>
        <w:rPr>
          <w:rStyle w:val="FootnoteAnchor"/>
          <w:rtl w:val="true"/>
        </w:rPr>
        <w:footnoteReference w:id="190"/>
      </w:r>
      <w:r>
        <w:rPr>
          <w:rFonts w:ascii="Amiri" w:hAnsi="Amiri" w:eastAsia="Amiri" w:cs="Amiri"/>
          <w:color w:val="111111"/>
          <w:sz w:val="28"/>
          <w:sz w:val="28"/>
          <w:szCs w:val="28"/>
          <w:rtl w:val="true"/>
          <w:lang w:bidi="ar-SA"/>
        </w:rPr>
        <w:t xml:space="preserve">عليه في ذلكَ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مِمّن يَعرِفُ ذلكَ؟</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مَن لا يَعرِفُ فَنَّ‌</w:t>
      </w:r>
      <w:r>
        <w:rPr>
          <w:rStyle w:val="FootnoteAnchor"/>
          <w:rtl w:val="true"/>
        </w:rPr>
        <w:footnoteReference w:id="191"/>
      </w:r>
      <w:r>
        <w:rPr>
          <w:rFonts w:ascii="Amiri" w:hAnsi="Amiri" w:eastAsia="Amiri" w:cs="Amiri"/>
          <w:color w:val="111111"/>
          <w:sz w:val="28"/>
          <w:sz w:val="28"/>
          <w:szCs w:val="28"/>
          <w:rtl w:val="true"/>
          <w:lang w:bidi="ar-SA"/>
        </w:rPr>
        <w:t>النِّساجةِ أو الصِّياغةِ‌</w:t>
      </w:r>
      <w:r>
        <w:rPr>
          <w:rStyle w:val="FootnoteAnchor"/>
          <w:rtl w:val="true"/>
        </w:rPr>
        <w:footnoteReference w:id="192"/>
      </w:r>
      <w:r>
        <w:rPr>
          <w:rFonts w:ascii="Amiri" w:hAnsi="Amiri" w:eastAsia="Amiri" w:cs="Amiri"/>
          <w:color w:val="111111"/>
          <w:sz w:val="28"/>
          <w:sz w:val="28"/>
          <w:szCs w:val="28"/>
          <w:rtl w:val="true"/>
          <w:lang w:bidi="ar-SA"/>
        </w:rPr>
        <w:t xml:space="preserve">يَصِحُّ أن يَعلَمَ في ثَوبٍ أنّه </w:t>
      </w:r>
    </w:p>
    <w:p>
      <w:pPr>
        <w:pStyle w:val="BookText"/>
        <w:rPr/>
      </w:pPr>
      <w:r>
        <w:rPr>
          <w:rFonts w:ascii="Amiri" w:hAnsi="Amiri" w:eastAsia="Amiri" w:cs="Amiri"/>
          <w:color w:val="111111"/>
          <w:sz w:val="28"/>
          <w:sz w:val="28"/>
          <w:szCs w:val="28"/>
          <w:rtl w:val="true"/>
          <w:lang w:bidi="ar-SA"/>
        </w:rPr>
        <w:t>أفضَلُ مِن غيرِه أو في عِلْقٍ‌</w:t>
      </w:r>
      <w:r>
        <w:rPr>
          <w:rStyle w:val="FootnoteAnchor"/>
          <w:rtl w:val="true"/>
        </w:rPr>
        <w:footnoteReference w:id="193"/>
      </w:r>
      <w:r>
        <w:rPr>
          <w:rFonts w:ascii="Amiri" w:hAnsi="Amiri" w:eastAsia="Amiri" w:cs="Amiri"/>
          <w:color w:val="111111"/>
          <w:sz w:val="28"/>
          <w:sz w:val="28"/>
          <w:szCs w:val="28"/>
          <w:rtl w:val="true"/>
          <w:lang w:bidi="ar-SA"/>
        </w:rPr>
        <w:t>مَصوغٍ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جِهةُ العِلمِ ثابتةً للأعجَميِّ كما أنّها ثابتةٌ للعَرَبيِّ، جازَ أن يَعلَمَ بالرجوعِ‌</w:t>
      </w:r>
      <w:r>
        <w:rPr>
          <w:rStyle w:val="FootnoteAnchor"/>
          <w:rtl w:val="true"/>
        </w:rPr>
        <w:footnoteReference w:id="194"/>
      </w:r>
      <w:r>
        <w:rPr>
          <w:rFonts w:ascii="Amiri" w:hAnsi="Amiri" w:eastAsia="Amiri" w:cs="Amiri"/>
          <w:color w:val="111111"/>
          <w:sz w:val="28"/>
          <w:sz w:val="28"/>
          <w:szCs w:val="28"/>
          <w:rtl w:val="true"/>
          <w:lang w:bidi="ar-SA"/>
        </w:rPr>
        <w:t>إلىٰ أهلِ الصِّناعةِ أنّ الفَرقَ بَينَ أفصَحِ كلامِ العَرَبِ و بَينَ بعضِ قِصارِ سُوَرِ</w:t>
      </w:r>
      <w:r>
        <w:rPr>
          <w:rStyle w:val="FootnoteAnchor"/>
          <w:rtl w:val="true"/>
        </w:rPr>
        <w:footnoteReference w:id="195"/>
      </w:r>
      <w:r>
        <w:rPr>
          <w:rFonts w:ascii="Amiri" w:hAnsi="Amiri" w:eastAsia="Amiri" w:cs="Amiri"/>
          <w:color w:val="111111"/>
          <w:sz w:val="28"/>
          <w:sz w:val="28"/>
          <w:szCs w:val="28"/>
          <w:rtl w:val="true"/>
          <w:lang w:bidi="ar-SA"/>
        </w:rPr>
        <w:t>المُفصَّلِ‌</w:t>
      </w:r>
      <w:r>
        <w:rPr>
          <w:rStyle w:val="FootnoteAnchor"/>
          <w:rtl w:val="true"/>
        </w:rPr>
        <w:footnoteReference w:id="196"/>
      </w:r>
      <w:r>
        <w:rPr>
          <w:rFonts w:ascii="Amiri" w:hAnsi="Amiri" w:eastAsia="Amiri" w:cs="Amiri"/>
          <w:color w:val="111111"/>
          <w:sz w:val="28"/>
          <w:sz w:val="28"/>
          <w:szCs w:val="28"/>
          <w:rtl w:val="true"/>
          <w:lang w:bidi="ar-SA"/>
        </w:rPr>
        <w:t>في الفَصاحةِ غيرُ ظاهرٍ</w:t>
      </w:r>
      <w:r>
        <w:rPr>
          <w:rStyle w:val="FootnoteAnchor"/>
          <w:rtl w:val="true"/>
        </w:rPr>
        <w:footnoteReference w:id="197"/>
      </w:r>
      <w:r>
        <w:rPr>
          <w:rFonts w:ascii="Amiri" w:hAnsi="Amiri" w:eastAsia="Amiri" w:cs="Amiri"/>
          <w:color w:val="111111"/>
          <w:sz w:val="28"/>
          <w:sz w:val="28"/>
          <w:szCs w:val="28"/>
          <w:rtl w:val="true"/>
          <w:lang w:bidi="ar-SA"/>
        </w:rPr>
        <w:t>ظُهورَ الفَرقِ بَينَ فَصاحةِ شِعرِ</w:t>
      </w:r>
      <w:r>
        <w:rPr>
          <w:rStyle w:val="FootnoteAnchor"/>
          <w:rtl w:val="true"/>
        </w:rPr>
        <w:footnoteReference w:id="198"/>
      </w:r>
      <w:r>
        <w:rPr>
          <w:rFonts w:ascii="Amiri" w:hAnsi="Amiri" w:eastAsia="Amiri" w:cs="Amiri"/>
          <w:color w:val="111111"/>
          <w:sz w:val="28"/>
          <w:sz w:val="28"/>
          <w:szCs w:val="28"/>
          <w:rtl w:val="true"/>
          <w:lang w:bidi="ar-SA"/>
        </w:rPr>
        <w:t>الجاهليّةِ و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يَعلَمُ أنّ جِهةَ إعجازِه هي الصَّرفةُ، لا فَرطُ فَصاحتِه؛ لأنّه قد عَلِمَ تَعذُّرَ المُعارَضةِ لا مَحالةَ‌</w:t>
      </w:r>
      <w:r>
        <w:rPr>
          <w:rStyle w:val="FootnoteAnchor"/>
          <w:rtl w:val="true"/>
        </w:rPr>
        <w:footnoteReference w:id="199"/>
      </w:r>
      <w:r>
        <w:rPr>
          <w:rFonts w:ascii="Amiri" w:hAnsi="Amiri" w:eastAsia="Amiri" w:cs="Amiri"/>
          <w:color w:val="111111"/>
          <w:sz w:val="28"/>
          <w:sz w:val="28"/>
          <w:szCs w:val="28"/>
          <w:rtl w:val="true"/>
          <w:lang w:bidi="ar-SA"/>
        </w:rPr>
        <w:t>، و إذا لَم تَكُن</w:t>
      </w:r>
      <w:r>
        <w:rPr>
          <w:rStyle w:val="FootnoteAnchor"/>
          <w:rtl w:val="true"/>
        </w:rPr>
        <w:footnoteReference w:id="200"/>
      </w:r>
      <w:r>
        <w:rPr>
          <w:rFonts w:ascii="Amiri" w:hAnsi="Amiri" w:eastAsia="Amiri" w:cs="Amiri"/>
          <w:color w:val="111111"/>
          <w:sz w:val="28"/>
          <w:sz w:val="28"/>
          <w:szCs w:val="28"/>
          <w:rtl w:val="true"/>
          <w:lang w:bidi="ar-SA"/>
        </w:rPr>
        <w:t>مُتعذِّرةً‌</w:t>
      </w:r>
      <w:r>
        <w:rPr>
          <w:rStyle w:val="FootnoteAnchor"/>
          <w:rtl w:val="true"/>
        </w:rPr>
        <w:footnoteReference w:id="201"/>
      </w:r>
      <w:r>
        <w:rPr>
          <w:rFonts w:ascii="Amiri" w:hAnsi="Amiri" w:eastAsia="Amiri" w:cs="Amiri"/>
          <w:color w:val="111111"/>
          <w:sz w:val="28"/>
          <w:sz w:val="28"/>
          <w:szCs w:val="28"/>
          <w:rtl w:val="true"/>
          <w:lang w:bidi="ar-SA"/>
        </w:rPr>
        <w:t>لفَرطِ الفَصاحةِ فلَيسَ إلّاالصَّرفُ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في أحكامِ خِطابِ العربيّةِ يَجري مَجرىٰ ما ذَكَرناه، في أنّ الأعجَميَّ‌</w:t>
      </w:r>
      <w:r>
        <w:rPr>
          <w:rStyle w:val="FootnoteAnchor"/>
          <w:rtl w:val="true"/>
        </w:rPr>
        <w:footnoteReference w:id="202"/>
      </w:r>
      <w:r>
        <w:rPr>
          <w:rFonts w:ascii="Amiri" w:hAnsi="Amiri" w:eastAsia="Amiri" w:cs="Amiri"/>
          <w:color w:val="111111"/>
          <w:sz w:val="28"/>
          <w:sz w:val="28"/>
          <w:szCs w:val="28"/>
          <w:rtl w:val="true"/>
          <w:lang w:bidi="ar-SA"/>
        </w:rPr>
        <w:t>يُمكِنُ‌</w:t>
      </w:r>
      <w:r>
        <w:rPr>
          <w:rStyle w:val="FootnoteAnchor"/>
          <w:rtl w:val="true"/>
        </w:rPr>
        <w:footnoteReference w:id="203"/>
      </w:r>
      <w:r>
        <w:rPr>
          <w:rFonts w:ascii="Amiri" w:hAnsi="Amiri" w:eastAsia="Amiri" w:cs="Amiri"/>
          <w:color w:val="111111"/>
          <w:sz w:val="28"/>
          <w:sz w:val="28"/>
          <w:szCs w:val="28"/>
          <w:rtl w:val="true"/>
          <w:lang w:bidi="ar-SA"/>
        </w:rPr>
        <w:t>أن يَعلَمَه مِن أهلِه و إن لَم يَكُن هو في نفسِه عالِماً بالعربيّةِ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الذي يَشُكُّ في أنّ مَن كُلِّفَ مَعرفةَ مُرادِ اللّٰهِ تَعالىٰ بخِطابِه و مُرادِ الرسولِ عليه السلامُ بكَلامِه لا بُدَّ مِن أن يَكونَ له طَريقٌ إلىٰ مَعرفةِ ذلكَ؟ </w:t>
      </w:r>
    </w:p>
    <w:p>
      <w:pPr>
        <w:pStyle w:val="BookText"/>
        <w:rPr/>
      </w:pPr>
      <w:r>
        <w:rPr>
          <w:rFonts w:ascii="Amiri" w:hAnsi="Amiri" w:eastAsia="Amiri" w:cs="Amiri"/>
          <w:color w:val="111111"/>
          <w:sz w:val="28"/>
          <w:sz w:val="28"/>
          <w:szCs w:val="28"/>
          <w:rtl w:val="true"/>
          <w:lang w:bidi="ar-SA"/>
        </w:rPr>
        <w:t>فإن كانَ مِن أهلِ العربيّةِ و العِلمِ بمَوضوعاتِ أهلِها</w:t>
      </w:r>
      <w:r>
        <w:rPr>
          <w:rStyle w:val="FootnoteAnchor"/>
          <w:rtl w:val="true"/>
        </w:rPr>
        <w:footnoteReference w:id="204"/>
      </w:r>
      <w:r>
        <w:rPr>
          <w:rFonts w:ascii="Amiri" w:hAnsi="Amiri" w:eastAsia="Amiri" w:cs="Amiri"/>
          <w:color w:val="111111"/>
          <w:sz w:val="28"/>
          <w:sz w:val="28"/>
          <w:szCs w:val="28"/>
          <w:rtl w:val="true"/>
          <w:lang w:bidi="ar-SA"/>
        </w:rPr>
        <w:t>، فهو يَرجِعُ إلىٰ عِلمِه و نفسِه في العِلمِ‌</w:t>
      </w:r>
      <w:r>
        <w:rPr>
          <w:rStyle w:val="FootnoteAnchor"/>
          <w:rtl w:val="true"/>
        </w:rPr>
        <w:footnoteReference w:id="205"/>
      </w:r>
      <w:r>
        <w:rPr>
          <w:rFonts w:ascii="Amiri" w:hAnsi="Amiri" w:eastAsia="Amiri" w:cs="Amiri"/>
          <w:color w:val="111111"/>
          <w:sz w:val="28"/>
          <w:sz w:val="28"/>
          <w:szCs w:val="28"/>
          <w:rtl w:val="true"/>
          <w:lang w:bidi="ar-SA"/>
        </w:rPr>
        <w:t>بالمُرادِ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لَيسَ مِن أهلِ العربيّةِ، فلا بُدَّ مِن الرجوعِ إلىٰ أهلِها فيما يَحتاجُ إلىٰ عِلمِه؛ حتّىٰ يَتِمَّ له العِلمُ بالمُرادِ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الوجهِ الذي أشَرنا إليه يَعلَمُ الأعاجِمُ مُرادَ اللّٰهِ تَعالىٰ بخِطابِ القُرآنِ، و مُرادَ العَرَبِ بخطابِهم لهم و مُحاوَرَتِهم</w:t>
      </w:r>
      <w:r>
        <w:rPr>
          <w:rStyle w:val="FootnoteAnchor"/>
          <w:rtl w:val="true"/>
        </w:rPr>
        <w:footnoteReference w:id="206"/>
      </w:r>
      <w:r>
        <w:rPr>
          <w:rFonts w:ascii="Amiri" w:hAnsi="Amiri" w:eastAsia="Amiri" w:cs="Amiri"/>
          <w:color w:val="111111"/>
          <w:sz w:val="28"/>
          <w:sz w:val="28"/>
          <w:szCs w:val="28"/>
          <w:rtl w:val="true"/>
          <w:lang w:bidi="ar-SA"/>
        </w:rPr>
        <w:t>، و يَعلَمُ أيضاً العربيُّ مُرادَ العَجَميِّ في خِطابِه 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جُملةٌ كافيةٌ</w:t>
      </w:r>
      <w:r>
        <w:rPr>
          <w:rFonts w:eastAsia="Amiri" w:cs="Amiri" w:ascii="Amiri" w:hAnsi="Amiri"/>
          <w:color w:val="111111"/>
          <w:sz w:val="28"/>
          <w:szCs w:val="28"/>
          <w:rtl w:val="true"/>
          <w:lang w:bidi="ar-SA"/>
        </w:rPr>
        <w:t xml:space="preserve">. </w:t>
      </w:r>
      <w:bookmarkStart w:id="59" w:name="pg16437_172397"/>
    </w:p>
    <w:p>
      <w:pPr>
        <w:pStyle w:val="Heading5"/>
        <w:numPr>
          <w:ilvl w:val="4"/>
          <w:numId w:val="1"/>
        </w:numPr>
        <w:rPr/>
      </w:pPr>
      <w:bookmarkStart w:id="60" w:name="__RefHeading___Toc8039493_1280447820"/>
      <w:bookmarkStart w:id="61" w:name="_Toc21"/>
      <w:bookmarkEnd w:id="59"/>
      <w:bookmarkEnd w:id="60"/>
      <w:r>
        <w:rPr>
          <w:rtl w:val="true"/>
        </w:rPr>
        <w:t>المسألةُ الرابعةُ نفيُ حصولِ المعرفةِ باللّٰهِ تَعالىٰ للكُفّارِ</w:t>
      </w:r>
      <w:bookmarkEnd w:id="61"/>
    </w:p>
    <w:p>
      <w:pPr>
        <w:pStyle w:val="BookText"/>
        <w:rPr/>
      </w:pPr>
      <w:r>
        <w:rPr>
          <w:rFonts w:ascii="Amiri" w:hAnsi="Amiri" w:eastAsia="Amiri" w:cs="Amiri"/>
          <w:color w:val="111111"/>
          <w:sz w:val="28"/>
          <w:sz w:val="28"/>
          <w:szCs w:val="28"/>
          <w:rtl w:val="true"/>
          <w:lang w:bidi="ar-SA"/>
        </w:rPr>
        <w:t xml:space="preserve">ما حُكمُ المُكلَّفينَ الذينَ دَعاهم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 النائبينَ‌</w:t>
      </w:r>
      <w:r>
        <w:rPr>
          <w:rStyle w:val="FootnoteAnchor"/>
          <w:rtl w:val="true"/>
        </w:rPr>
        <w:footnoteReference w:id="20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الإجابةَ؟ أ</w:t>
      </w:r>
      <w:r>
        <w:rPr>
          <w:rStyle w:val="FootnoteAnchor"/>
          <w:rtl w:val="true"/>
        </w:rPr>
        <w:footnoteReference w:id="208"/>
      </w:r>
      <w:r>
        <w:rPr>
          <w:rFonts w:ascii="Amiri" w:hAnsi="Amiri" w:eastAsia="Amiri" w:cs="Amiri"/>
          <w:color w:val="111111"/>
          <w:sz w:val="28"/>
          <w:sz w:val="28"/>
          <w:szCs w:val="28"/>
          <w:rtl w:val="true"/>
          <w:lang w:bidi="ar-SA"/>
        </w:rPr>
        <w:t>كانوا عارفينَ باللّٰهِ تَعالىٰ و صِفاتِه و عَدلِه، أم لَم يَكونوا كَذلكَ؟</w:t>
      </w:r>
    </w:p>
    <w:p>
      <w:pPr>
        <w:pStyle w:val="BookText"/>
        <w:rPr/>
      </w:pPr>
      <w:r>
        <w:rPr>
          <w:rFonts w:ascii="Amiri" w:hAnsi="Amiri" w:eastAsia="Amiri" w:cs="Amiri"/>
          <w:color w:val="111111"/>
          <w:sz w:val="28"/>
          <w:sz w:val="28"/>
          <w:szCs w:val="28"/>
          <w:rtl w:val="true"/>
          <w:lang w:bidi="ar-SA"/>
        </w:rPr>
        <w:t>فإن كانوا عارفينَ، وَجَبَ أن يَستَحِقّوا بمَعرفتِهم الثوابَ، و ذلكَ يُنافي كَونَهم كُفّاراً بتَركِ إجابتِه عليه السلامُ، علىٰ أُصولِكم في القولِ بفَسادِ التَّحابُطِ</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كانوا غيرَ</w:t>
      </w:r>
      <w:r>
        <w:rPr>
          <w:rStyle w:val="FootnoteAnchor"/>
          <w:rtl w:val="true"/>
        </w:rPr>
        <w:footnoteReference w:id="210"/>
      </w:r>
      <w:r>
        <w:rPr>
          <w:rFonts w:ascii="Amiri" w:hAnsi="Amiri" w:eastAsia="Amiri" w:cs="Amiri"/>
          <w:color w:val="111111"/>
          <w:sz w:val="28"/>
          <w:sz w:val="28"/>
          <w:szCs w:val="28"/>
          <w:rtl w:val="true"/>
          <w:lang w:bidi="ar-SA"/>
        </w:rPr>
        <w:t>عارفينَ، فالواجبُ تقديمُ دَعوَتِهم</w:t>
      </w:r>
      <w:r>
        <w:rPr>
          <w:rStyle w:val="FootnoteAnchor"/>
          <w:rtl w:val="true"/>
        </w:rPr>
        <w:footnoteReference w:id="211"/>
      </w:r>
      <w:r>
        <w:rPr>
          <w:rFonts w:ascii="Amiri" w:hAnsi="Amiri" w:eastAsia="Amiri" w:cs="Amiri"/>
          <w:color w:val="111111"/>
          <w:sz w:val="28"/>
          <w:sz w:val="28"/>
          <w:szCs w:val="28"/>
          <w:rtl w:val="true"/>
          <w:lang w:bidi="ar-SA"/>
        </w:rPr>
        <w:t>، و ترتيبُ الأدلّةِ عليها</w:t>
      </w:r>
      <w:r>
        <w:rPr>
          <w:rStyle w:val="FootnoteAnchor"/>
          <w:rtl w:val="true"/>
        </w:rPr>
        <w:footnoteReference w:id="212"/>
      </w:r>
      <w:r>
        <w:rPr>
          <w:rFonts w:ascii="Amiri" w:hAnsi="Amiri" w:eastAsia="Amiri" w:cs="Amiri"/>
          <w:color w:val="111111"/>
          <w:sz w:val="28"/>
          <w:sz w:val="28"/>
          <w:szCs w:val="28"/>
          <w:rtl w:val="true"/>
          <w:lang w:bidi="ar-SA"/>
        </w:rPr>
        <w:t>، و التخويفُ‌</w:t>
      </w:r>
      <w:r>
        <w:rPr>
          <w:rStyle w:val="FootnoteAnchor"/>
          <w:rtl w:val="true"/>
        </w:rPr>
        <w:footnoteReference w:id="213"/>
      </w:r>
      <w:r>
        <w:rPr>
          <w:rFonts w:ascii="Amiri" w:hAnsi="Amiri" w:eastAsia="Amiri" w:cs="Amiri"/>
          <w:color w:val="111111"/>
          <w:sz w:val="28"/>
          <w:sz w:val="28"/>
          <w:szCs w:val="28"/>
          <w:rtl w:val="true"/>
          <w:lang w:bidi="ar-SA"/>
        </w:rPr>
        <w:t>مِن إهمالِ‌</w:t>
      </w:r>
      <w:r>
        <w:rPr>
          <w:rStyle w:val="FootnoteAnchor"/>
          <w:rtl w:val="true"/>
        </w:rPr>
        <w:footnoteReference w:id="214"/>
      </w:r>
      <w:r>
        <w:rPr>
          <w:rFonts w:ascii="Amiri" w:hAnsi="Amiri" w:eastAsia="Amiri" w:cs="Amiri"/>
          <w:color w:val="111111"/>
          <w:sz w:val="28"/>
          <w:sz w:val="28"/>
          <w:szCs w:val="28"/>
          <w:rtl w:val="true"/>
          <w:lang w:bidi="ar-SA"/>
        </w:rPr>
        <w:t xml:space="preserve">النظَرِ فيها، قَبلَ الدعوَةِ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فَرعٌ لها، و ألطافٌ فيها</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إيجابُ اللُّطفِ مع الجهلِ بما هو لُطفٌ فيه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w:t>
      </w:r>
    </w:p>
    <w:p>
      <w:pPr>
        <w:pStyle w:val="BookText"/>
        <w:rPr/>
      </w:pPr>
      <w:r>
        <w:rPr>
          <w:rFonts w:ascii="Amiri" w:hAnsi="Amiri" w:eastAsia="Amiri" w:cs="Amiri"/>
          <w:color w:val="111111"/>
          <w:sz w:val="28"/>
          <w:sz w:val="28"/>
          <w:szCs w:val="28"/>
          <w:rtl w:val="true"/>
          <w:lang w:bidi="ar-SA"/>
        </w:rPr>
        <w:t>صِحّتَها</w:t>
      </w:r>
      <w:r>
        <w:rPr>
          <w:rStyle w:val="FootnoteAnchor"/>
          <w:rtl w:val="true"/>
        </w:rPr>
        <w:footnoteReference w:id="216"/>
      </w:r>
      <w:r>
        <w:rPr>
          <w:rFonts w:ascii="Amiri" w:hAnsi="Amiri" w:eastAsia="Amiri" w:cs="Amiri"/>
          <w:color w:val="111111"/>
          <w:sz w:val="28"/>
          <w:sz w:val="28"/>
          <w:szCs w:val="28"/>
          <w:rtl w:val="true"/>
          <w:lang w:bidi="ar-SA"/>
        </w:rPr>
        <w:t>موقوفةٌ علىٰ تَقدُّمِ المَعرفةِ بمَن يُتوجَّهُ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دَعا إلىٰ ذلكَ و رَتَّبَه تَرتيبَكم</w:t>
      </w:r>
      <w:r>
        <w:rPr>
          <w:rStyle w:val="FootnoteAnchor"/>
          <w:rtl w:val="true"/>
        </w:rPr>
        <w:footnoteReference w:id="217"/>
      </w:r>
      <w:r>
        <w:rPr>
          <w:rFonts w:ascii="Amiri" w:hAnsi="Amiri" w:eastAsia="Amiri" w:cs="Amiri"/>
          <w:color w:val="111111"/>
          <w:sz w:val="28"/>
          <w:sz w:val="28"/>
          <w:szCs w:val="28"/>
          <w:rtl w:val="true"/>
          <w:lang w:bidi="ar-SA"/>
        </w:rPr>
        <w:t>، لَوَجَبَ‌</w:t>
      </w:r>
      <w:r>
        <w:rPr>
          <w:rStyle w:val="FootnoteAnchor"/>
          <w:rtl w:val="true"/>
        </w:rPr>
        <w:footnoteReference w:id="218"/>
      </w:r>
      <w:r>
        <w:rPr>
          <w:rFonts w:ascii="Amiri" w:hAnsi="Amiri" w:eastAsia="Amiri" w:cs="Amiri"/>
          <w:color w:val="111111"/>
          <w:sz w:val="28"/>
          <w:sz w:val="28"/>
          <w:szCs w:val="28"/>
          <w:rtl w:val="true"/>
          <w:lang w:bidi="ar-SA"/>
        </w:rPr>
        <w:t>حصولُ العِلمِ به علىٰ وجهٍ لا يَصِحُّ دخولُ الشُّبهةِ فيه، كسائرِ ما دَعا إليه مِن الفَرائضِ، و كحُصولِ العِلمِ بما رَتَّبَه كُلٌّ منكم</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إليه مِن العباداتِ عن الأدلّةِ؛ و في عَدَمِ ذلكَ دليلٌ علىٰ سُقوطِ ما توجِبونَه</w:t>
      </w:r>
      <w:r>
        <w:rPr>
          <w:rStyle w:val="FootnoteAnchor"/>
          <w:rtl w:val="true"/>
        </w:rPr>
        <w:footnoteReference w:id="220"/>
      </w:r>
      <w:r>
        <w:rPr>
          <w:rFonts w:ascii="Amiri" w:hAnsi="Amiri" w:eastAsia="Amiri" w:cs="Amiri"/>
          <w:color w:val="111111"/>
          <w:sz w:val="28"/>
          <w:sz w:val="28"/>
          <w:szCs w:val="28"/>
          <w:rtl w:val="true"/>
          <w:lang w:bidi="ar-SA"/>
        </w:rPr>
        <w:t>مِن النَّظَرِ في طريقِ المَعارفِ، أو القولِ بأحَدِ</w:t>
      </w:r>
      <w:r>
        <w:rPr>
          <w:rStyle w:val="FootnoteAnchor"/>
          <w:rtl w:val="true"/>
        </w:rPr>
        <w:footnoteReference w:id="221"/>
      </w:r>
      <w:r>
        <w:rPr>
          <w:rFonts w:ascii="Amiri" w:hAnsi="Amiri" w:eastAsia="Amiri" w:cs="Amiri"/>
          <w:color w:val="111111"/>
          <w:sz w:val="28"/>
          <w:sz w:val="28"/>
          <w:szCs w:val="28"/>
          <w:rtl w:val="true"/>
          <w:lang w:bidi="ar-SA"/>
        </w:rPr>
        <w:t>ما قَدَّمناه ممّا هو ظاهرُ الفَسادِ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مَن عَلِمنا أنّه كافرٌ مُستَحِقٌّ للعِقابِ الدائمِ، فإنّه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المَذهبِ الصحيحِ الذي نَذهَبُ‌</w:t>
      </w:r>
      <w:r>
        <w:rPr>
          <w:rStyle w:val="FootnoteAnchor"/>
          <w:rtl w:val="true"/>
        </w:rPr>
        <w:footnoteReference w:id="222"/>
      </w:r>
      <w:r>
        <w:rPr>
          <w:rFonts w:ascii="Amiri" w:hAnsi="Amiri" w:eastAsia="Amiri" w:cs="Amiri"/>
          <w:color w:val="111111"/>
          <w:sz w:val="28"/>
          <w:sz w:val="28"/>
          <w:szCs w:val="28"/>
          <w:rtl w:val="true"/>
          <w:lang w:bidi="ar-SA"/>
        </w:rPr>
        <w:t>إليه في فَقدِ التحابُطِ</w:t>
      </w:r>
      <w:r>
        <w:rPr>
          <w:rStyle w:val="FootnoteAnchor"/>
          <w:rtl w:val="true"/>
        </w:rPr>
        <w:footnoteReference w:id="223"/>
      </w:r>
      <w:r>
        <w:rPr>
          <w:rFonts w:ascii="Amiri" w:hAnsi="Amiri" w:eastAsia="Amiri" w:cs="Amiri"/>
          <w:color w:val="111111"/>
          <w:sz w:val="28"/>
          <w:sz w:val="28"/>
          <w:szCs w:val="28"/>
          <w:rtl w:val="true"/>
          <w:lang w:bidi="ar-SA"/>
        </w:rPr>
        <w:t xml:space="preserve">بَينَ الثوابِ و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معه إيمانٌ أو طاعةٌ يَستَحِقُّ بها الثوابَ؛ لأنّ الطاعةَ يُستَحقُّ بها الثوابُ الدائمُ، و لا يَجتَمِعُ استحقاقُ الدائمَينِ مِن ثوابٍ و عِقابٍ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جَهِلَ نُبوّةَ النبيِّ صَلَّى اللّٰهُ عليه و آلِه كافرٌ بِلا شُبهةٍ، فهو مُستَحِقٌّ للعِقابِ الدائمِ؛ فلَو كانَ عارفاً باللّٰهِ تَعالىٰ و صِفاتِه و عَدلِه، لَكانَ قد اجتَمَعَ له </w:t>
      </w:r>
    </w:p>
    <w:p>
      <w:pPr>
        <w:pStyle w:val="BookText"/>
        <w:rPr/>
      </w:pPr>
      <w:r>
        <w:rPr>
          <w:rFonts w:ascii="Amiri" w:hAnsi="Amiri" w:eastAsia="Amiri" w:cs="Amiri"/>
          <w:color w:val="111111"/>
          <w:sz w:val="28"/>
          <w:sz w:val="28"/>
          <w:szCs w:val="28"/>
          <w:rtl w:val="true"/>
          <w:lang w:bidi="ar-SA"/>
        </w:rPr>
        <w:t>استحقاقُ الدائمَينِ مِن الثوابِ و العقابِ مع فَسادِ التحابُطِ</w:t>
      </w:r>
      <w:r>
        <w:rPr>
          <w:rStyle w:val="FootnoteAnchor"/>
          <w:rtl w:val="true"/>
        </w:rPr>
        <w:footnoteReference w:id="224"/>
      </w:r>
      <w:r>
        <w:rPr>
          <w:rFonts w:ascii="Amiri" w:hAnsi="Amiri" w:eastAsia="Amiri" w:cs="Amiri"/>
          <w:color w:val="111111"/>
          <w:sz w:val="28"/>
          <w:sz w:val="28"/>
          <w:szCs w:val="28"/>
          <w:rtl w:val="true"/>
          <w:lang w:bidi="ar-SA"/>
        </w:rPr>
        <w:t>و أجمَعَت الأُمّةُ علىٰ بُطلانِ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فعَلِمنا أنّ الذي يُظهِرُه نافي</w:t>
      </w:r>
      <w:r>
        <w:rPr>
          <w:rStyle w:val="FootnoteAnchor"/>
          <w:rtl w:val="true"/>
        </w:rPr>
        <w:footnoteReference w:id="225"/>
      </w:r>
      <w:r>
        <w:rPr>
          <w:rFonts w:ascii="Amiri" w:hAnsi="Amiri" w:eastAsia="Amiri" w:cs="Amiri"/>
          <w:color w:val="111111"/>
          <w:sz w:val="28"/>
          <w:sz w:val="28"/>
          <w:szCs w:val="28"/>
          <w:rtl w:val="true"/>
          <w:lang w:bidi="ar-SA"/>
        </w:rPr>
        <w:t>النُّبوّةِ مِن</w:t>
      </w:r>
      <w:r>
        <w:rPr>
          <w:rStyle w:val="FootnoteAnchor"/>
          <w:rtl w:val="true"/>
        </w:rPr>
        <w:footnoteReference w:id="226"/>
      </w:r>
      <w:r>
        <w:rPr>
          <w:rFonts w:ascii="Amiri" w:hAnsi="Amiri" w:eastAsia="Amiri" w:cs="Amiri"/>
          <w:color w:val="111111"/>
          <w:sz w:val="28"/>
          <w:sz w:val="28"/>
          <w:szCs w:val="28"/>
          <w:rtl w:val="true"/>
          <w:lang w:bidi="ar-SA"/>
        </w:rPr>
        <w:t>المَعرفةِ باللّٰهِ تَعالىٰ هو</w:t>
      </w:r>
      <w:r>
        <w:rPr>
          <w:rStyle w:val="FootnoteAnchor"/>
          <w:rtl w:val="true"/>
        </w:rPr>
        <w:footnoteReference w:id="227"/>
      </w:r>
      <w:r>
        <w:rPr>
          <w:rFonts w:ascii="Amiri" w:hAnsi="Amiri" w:eastAsia="Amiri" w:cs="Amiri"/>
          <w:color w:val="111111"/>
          <w:sz w:val="28"/>
          <w:sz w:val="28"/>
          <w:szCs w:val="28"/>
          <w:rtl w:val="true"/>
          <w:lang w:bidi="ar-SA"/>
        </w:rPr>
        <w:t>نِفاقٌ، أو هو مُعتَقِدٌ لها تقليداً، أو بغَيرِ دليلٍ‌</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يُمكِنُ أن يُدَّعىٰ‌</w:t>
      </w:r>
      <w:r>
        <w:rPr>
          <w:rStyle w:val="FootnoteAnchor"/>
          <w:rtl w:val="true"/>
        </w:rPr>
        <w:footnoteReference w:id="229"/>
      </w:r>
      <w:r>
        <w:rPr>
          <w:rFonts w:ascii="Amiri" w:hAnsi="Amiri" w:eastAsia="Amiri" w:cs="Amiri"/>
          <w:color w:val="111111"/>
          <w:sz w:val="28"/>
          <w:sz w:val="28"/>
          <w:szCs w:val="28"/>
          <w:rtl w:val="true"/>
          <w:lang w:bidi="ar-SA"/>
        </w:rPr>
        <w:t>أنّا نَعلَمُ ضرورةً كَونَ أحَدِنا عارفاً؛ لأنّ ذلكَ ممّا لا يَصِحُّ أن يَعلَمَه</w:t>
      </w:r>
      <w:r>
        <w:rPr>
          <w:rStyle w:val="FootnoteAnchor"/>
          <w:rtl w:val="true"/>
        </w:rPr>
        <w:footnoteReference w:id="230"/>
      </w:r>
      <w:r>
        <w:rPr>
          <w:rFonts w:ascii="Amiri" w:hAnsi="Amiri" w:eastAsia="Amiri" w:cs="Amiri"/>
          <w:color w:val="111111"/>
          <w:sz w:val="28"/>
          <w:sz w:val="28"/>
          <w:szCs w:val="28"/>
          <w:rtl w:val="true"/>
          <w:lang w:bidi="ar-SA"/>
        </w:rPr>
        <w:t>أحَدُنا مِن غيرِه، و إنّما يَصِحُّ أن يَعلَمَه مُعتَقِداً</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في مَواضِعَ مِن كلامِنا</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يُستَدلَّ‌</w:t>
      </w:r>
      <w:r>
        <w:rPr>
          <w:rStyle w:val="FootnoteAnchor"/>
          <w:rtl w:val="true"/>
        </w:rPr>
        <w:footnoteReference w:id="233"/>
      </w:r>
      <w:r>
        <w:rPr>
          <w:rFonts w:ascii="Amiri" w:hAnsi="Amiri" w:eastAsia="Amiri" w:cs="Amiri"/>
          <w:color w:val="111111"/>
          <w:sz w:val="28"/>
          <w:sz w:val="28"/>
          <w:szCs w:val="28"/>
          <w:rtl w:val="true"/>
          <w:lang w:bidi="ar-SA"/>
        </w:rPr>
        <w:t>علىٰ أنّ مُخالِفينا في النُّبوّةِ عارفونَ باللّٰهِ تَعالىٰ مِن حَيثُ نَظَروا في أدلّتِنا و رَتَّبوها</w:t>
      </w:r>
      <w:r>
        <w:rPr>
          <w:rStyle w:val="FootnoteAnchor"/>
          <w:rtl w:val="true"/>
        </w:rPr>
        <w:footnoteReference w:id="234"/>
      </w:r>
      <w:r>
        <w:rPr>
          <w:rFonts w:ascii="Amiri" w:hAnsi="Amiri" w:eastAsia="Amiri" w:cs="Amiri"/>
          <w:color w:val="111111"/>
          <w:sz w:val="28"/>
          <w:sz w:val="28"/>
          <w:szCs w:val="28"/>
          <w:rtl w:val="true"/>
          <w:lang w:bidi="ar-SA"/>
        </w:rPr>
        <w:t>تَرتيبَنا</w:t>
      </w:r>
      <w:r>
        <w:rPr>
          <w:rStyle w:val="FootnoteAnchor"/>
          <w:rtl w:val="true"/>
        </w:rPr>
        <w:footnoteReference w:id="235"/>
      </w:r>
      <w:r>
        <w:rPr>
          <w:rFonts w:ascii="Amiri" w:hAnsi="Amiri" w:eastAsia="Amiri" w:cs="Amiri"/>
          <w:color w:val="111111"/>
          <w:sz w:val="28"/>
          <w:sz w:val="28"/>
          <w:szCs w:val="28"/>
          <w:rtl w:val="true"/>
          <w:lang w:bidi="ar-SA"/>
        </w:rPr>
        <w:t xml:space="preserve">، و أنّه لا يَجوزُ أن يَحصُلَ لهم مِن العِلمِ ما حَصَلَ لنا؛ لأنّ ذلكَ غيرُ معلومٍ لنا مِن جِهتِهم؛ فإنّا لا نَقطَعُ علىٰ أنّهم ناظرونَ في الأدلّةِ التي نَظَرنا فيها، و لَو نَظَروا فيها لَما عَلِمنا أنّهم ناظِرونَ مِن الوجهِ الذي كانَت عليه أدلّةً، و لَو عَلِمنا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عَلِمنا أنّهم</w:t>
      </w:r>
      <w:r>
        <w:rPr>
          <w:rStyle w:val="FootnoteAnchor"/>
          <w:rtl w:val="true"/>
        </w:rPr>
        <w:footnoteReference w:id="236"/>
      </w:r>
      <w:r>
        <w:rPr>
          <w:rFonts w:ascii="Amiri" w:hAnsi="Amiri" w:eastAsia="Amiri" w:cs="Amiri"/>
          <w:color w:val="111111"/>
          <w:sz w:val="28"/>
          <w:sz w:val="28"/>
          <w:szCs w:val="28"/>
          <w:rtl w:val="true"/>
          <w:lang w:bidi="ar-SA"/>
        </w:rPr>
        <w:t>علَى الصفةِ التي يُوَلِّدُ</w:t>
      </w:r>
      <w:r>
        <w:rPr>
          <w:rStyle w:val="FootnoteAnchor"/>
          <w:rtl w:val="true"/>
        </w:rPr>
        <w:footnoteReference w:id="237"/>
      </w:r>
      <w:r>
        <w:rPr>
          <w:rFonts w:ascii="Amiri" w:hAnsi="Amiri" w:eastAsia="Amiri" w:cs="Amiri"/>
          <w:color w:val="111111"/>
          <w:sz w:val="28"/>
          <w:sz w:val="28"/>
          <w:szCs w:val="28"/>
          <w:rtl w:val="true"/>
          <w:lang w:bidi="ar-SA"/>
        </w:rPr>
        <w:t>معها النظَرُ لهم العِلمَ بالمنظورِ فيه؛ و غيرُ</w:t>
      </w:r>
      <w:r>
        <w:rPr>
          <w:rStyle w:val="FootnoteAnchor"/>
          <w:rtl w:val="true"/>
        </w:rPr>
        <w:footnoteReference w:id="238"/>
      </w:r>
      <w:r>
        <w:rPr>
          <w:rFonts w:ascii="Amiri" w:hAnsi="Amiri" w:eastAsia="Amiri" w:cs="Amiri"/>
          <w:color w:val="111111"/>
          <w:sz w:val="28"/>
          <w:sz w:val="28"/>
          <w:szCs w:val="28"/>
          <w:rtl w:val="true"/>
          <w:lang w:bidi="ar-SA"/>
        </w:rPr>
        <w:t>مُمتَنِعٍ أن يَكونوا</w:t>
      </w:r>
      <w:r>
        <w:rPr>
          <w:rStyle w:val="FootnoteAnchor"/>
          <w:rtl w:val="true"/>
        </w:rPr>
        <w:footnoteReference w:id="239"/>
      </w:r>
      <w:r>
        <w:rPr>
          <w:rFonts w:ascii="Amiri" w:hAnsi="Amiri" w:eastAsia="Amiri" w:cs="Amiri"/>
          <w:color w:val="111111"/>
          <w:sz w:val="28"/>
          <w:sz w:val="28"/>
          <w:szCs w:val="28"/>
          <w:rtl w:val="true"/>
          <w:lang w:bidi="ar-SA"/>
        </w:rPr>
        <w:t>علىٰ صِفاتٍ‌</w:t>
      </w:r>
      <w:r>
        <w:rPr>
          <w:rStyle w:val="FootnoteAnchor"/>
          <w:rtl w:val="true"/>
        </w:rPr>
        <w:footnoteReference w:id="240"/>
      </w:r>
      <w:r>
        <w:rPr>
          <w:rFonts w:ascii="Amiri" w:hAnsi="Amiri" w:eastAsia="Amiri" w:cs="Amiri"/>
          <w:color w:val="111111"/>
          <w:sz w:val="28"/>
          <w:sz w:val="28"/>
          <w:szCs w:val="28"/>
          <w:rtl w:val="true"/>
          <w:lang w:bidi="ar-SA"/>
        </w:rPr>
        <w:t>و اعتقاداتٍ لا يَجوزُ معها توليدُ</w:t>
      </w:r>
      <w:r>
        <w:rPr>
          <w:rStyle w:val="FootnoteAnchor"/>
          <w:rtl w:val="true"/>
        </w:rPr>
        <w:footnoteReference w:id="241"/>
      </w:r>
      <w:r>
        <w:rPr>
          <w:rFonts w:ascii="Amiri" w:hAnsi="Amiri" w:eastAsia="Amiri" w:cs="Amiri"/>
          <w:color w:val="111111"/>
          <w:sz w:val="28"/>
          <w:sz w:val="28"/>
          <w:szCs w:val="28"/>
          <w:rtl w:val="true"/>
          <w:lang w:bidi="ar-SA"/>
        </w:rPr>
        <w:t>النظَرِ العِلمَ‌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يَجِبُ أن نَعلَمَه</w:t>
      </w:r>
      <w:r>
        <w:rPr>
          <w:rStyle w:val="FootnoteAnchor"/>
          <w:rtl w:val="true"/>
        </w:rPr>
        <w:footnoteReference w:id="243"/>
      </w:r>
      <w:r>
        <w:rPr>
          <w:rFonts w:ascii="Amiri" w:hAnsi="Amiri" w:eastAsia="Amiri" w:cs="Amiri"/>
          <w:color w:val="111111"/>
          <w:sz w:val="28"/>
          <w:sz w:val="28"/>
          <w:szCs w:val="28"/>
          <w:rtl w:val="true"/>
          <w:lang w:bidi="ar-SA"/>
        </w:rPr>
        <w:t>علىٰ سَبيلِ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نَظَروا و أحوالُهم كأحوالِ مَن وَلَّدَ نَظَرُه العِلمَ لَتولَّدَ</w:t>
      </w:r>
      <w:r>
        <w:rPr>
          <w:rStyle w:val="FootnoteAnchor"/>
          <w:rtl w:val="true"/>
        </w:rPr>
        <w:footnoteReference w:id="244"/>
      </w:r>
      <w:r>
        <w:rPr>
          <w:rFonts w:ascii="Amiri" w:hAnsi="Amiri" w:eastAsia="Amiri" w:cs="Amiri"/>
          <w:color w:val="111111"/>
          <w:sz w:val="28"/>
          <w:sz w:val="28"/>
          <w:szCs w:val="28"/>
          <w:rtl w:val="true"/>
          <w:lang w:bidi="ar-SA"/>
        </w:rPr>
        <w:t>لهم العِلمُ‌</w:t>
      </w:r>
      <w:r>
        <w:rPr>
          <w:rStyle w:val="FootnoteAnchor"/>
          <w:rtl w:val="true"/>
        </w:rPr>
        <w:footnoteReference w:id="245"/>
      </w:r>
      <w:r>
        <w:rPr>
          <w:rFonts w:ascii="Amiri" w:hAnsi="Amiri" w:eastAsia="Amiri" w:cs="Amiri"/>
          <w:color w:val="111111"/>
          <w:sz w:val="28"/>
          <w:sz w:val="28"/>
          <w:szCs w:val="28"/>
          <w:rtl w:val="true"/>
          <w:lang w:bidi="ar-SA"/>
        </w:rPr>
        <w:t>فإذا عَلِمنا أنّهم غيرُ عالِمينَ، فلا بُدَّ مِن أن يكونَ بعضُ الشرائطِ قد</w:t>
      </w:r>
      <w:r>
        <w:rPr>
          <w:rStyle w:val="FootnoteAnchor"/>
          <w:rtl w:val="true"/>
        </w:rPr>
        <w:footnoteReference w:id="246"/>
      </w:r>
      <w:r>
        <w:rPr>
          <w:rFonts w:ascii="Amiri" w:hAnsi="Amiri" w:eastAsia="Amiri" w:cs="Amiri"/>
          <w:color w:val="111111"/>
          <w:sz w:val="28"/>
          <w:sz w:val="28"/>
          <w:szCs w:val="28"/>
          <w:rtl w:val="true"/>
          <w:lang w:bidi="ar-SA"/>
        </w:rPr>
        <w:t>اختَلَّت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مَثَّلَ المُتكلِّمونَ في كُتُبِهم ذلكَ بالرُّماةِ علىٰ سَمتٍ واحدٍ، إذا</w:t>
      </w:r>
      <w:r>
        <w:rPr>
          <w:rStyle w:val="FootnoteAnchor"/>
          <w:rtl w:val="true"/>
        </w:rPr>
        <w:footnoteReference w:id="247"/>
      </w:r>
      <w:r>
        <w:rPr>
          <w:rFonts w:ascii="Amiri" w:hAnsi="Amiri" w:eastAsia="Amiri" w:cs="Amiri"/>
          <w:color w:val="111111"/>
          <w:sz w:val="28"/>
          <w:sz w:val="28"/>
          <w:szCs w:val="28"/>
          <w:rtl w:val="true"/>
          <w:lang w:bidi="ar-SA"/>
        </w:rPr>
        <w:t>أصابَ أحَدُهم الغرضَ، و ادَّعَى الرامي الآخَرُ الذي لَم يُصِبْ سَهمُه الغرضَ أنّه رَمىٰ في سَمتِ المُصيبِ و علىٰ حَدِّ رَميِه و علىٰ أحوالِه كُلِّها، فإنّا نَعلَمُ أنّ مُدَّعِيَ ذلكَ كاذبٌ؛ لأنّه لَو كانَ صادقاً لأَصابَ كَما أصابَ صاحبُه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كُنّا ذَكَرنا وجهاً غريباً خَطَرَ 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المَسائلِ البَرمَكيّاتِ‌</w:t>
      </w:r>
      <w:r>
        <w:rPr>
          <w:rStyle w:val="FootnoteAnchor"/>
          <w:rtl w:val="true"/>
        </w:rPr>
        <w:footnoteReference w:id="2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 xml:space="preserve">ذَكَرناه إلّافيها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سَلَّمنا حُصولَ المَعارفِ لبعضِ الكُفّارِ، غيرَ أنّا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إنّما يُستَحَقُّ‌</w:t>
      </w:r>
      <w:r>
        <w:rPr>
          <w:rStyle w:val="FootnoteAnchor"/>
          <w:rtl w:val="true"/>
        </w:rPr>
        <w:footnoteReference w:id="249"/>
      </w:r>
      <w:r>
        <w:rPr>
          <w:rFonts w:ascii="Amiri" w:hAnsi="Amiri" w:eastAsia="Amiri" w:cs="Amiri"/>
          <w:color w:val="111111"/>
          <w:sz w:val="28"/>
          <w:sz w:val="28"/>
          <w:szCs w:val="28"/>
          <w:rtl w:val="true"/>
          <w:lang w:bidi="ar-SA"/>
        </w:rPr>
        <w:t>عليها الثوابُ إذا فُعِلَت للوجهِ الذي منه</w:t>
      </w:r>
      <w:r>
        <w:rPr>
          <w:rStyle w:val="FootnoteAnchor"/>
          <w:rtl w:val="true"/>
        </w:rPr>
        <w:footnoteReference w:id="250"/>
      </w:r>
      <w:r>
        <w:rPr>
          <w:rFonts w:ascii="Amiri" w:hAnsi="Amiri" w:eastAsia="Amiri" w:cs="Amiri"/>
          <w:color w:val="111111"/>
          <w:sz w:val="28"/>
          <w:sz w:val="28"/>
          <w:szCs w:val="28"/>
          <w:rtl w:val="true"/>
          <w:lang w:bidi="ar-SA"/>
        </w:rPr>
        <w:t>وَجَبَت، فأمّا إذا فُعِلَت لوَجهٍ آخَرَ لَم تَجِبْ‌</w:t>
      </w:r>
      <w:r>
        <w:rPr>
          <w:rStyle w:val="FootnoteAnchor"/>
          <w:rtl w:val="true"/>
        </w:rPr>
        <w:footnoteReference w:id="251"/>
      </w:r>
      <w:r>
        <w:rPr>
          <w:rFonts w:ascii="Amiri" w:hAnsi="Amiri" w:eastAsia="Amiri" w:cs="Amiri"/>
          <w:color w:val="111111"/>
          <w:sz w:val="28"/>
          <w:sz w:val="28"/>
          <w:szCs w:val="28"/>
          <w:rtl w:val="true"/>
          <w:lang w:bidi="ar-SA"/>
        </w:rPr>
        <w:t>منه؛ فإنّ الثوابَ لا يُستَحَقُّ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w:t>
      </w:r>
      <w:r>
        <w:rPr>
          <w:rStyle w:val="FootnoteAnchor"/>
          <w:rtl w:val="true"/>
        </w:rPr>
        <w:footnoteReference w:id="252"/>
      </w:r>
      <w:r>
        <w:rPr>
          <w:rFonts w:ascii="Amiri" w:hAnsi="Amiri" w:eastAsia="Amiri" w:cs="Amiri"/>
          <w:color w:val="111111"/>
          <w:sz w:val="28"/>
          <w:sz w:val="28"/>
          <w:szCs w:val="28"/>
          <w:rtl w:val="true"/>
          <w:lang w:bidi="ar-SA"/>
        </w:rPr>
        <w:t>مَن رَدَّ الوديعةَ لا لوجوبِها عليه، بَل للرِّياءِ و السُّمعةِ و ليودَعَ أمثالَها، فإنّه لا يَستَحِقُّ علَى الردِّ مَدحاً و لا ثَواباً؟</w:t>
      </w:r>
    </w:p>
    <w:p>
      <w:pPr>
        <w:pStyle w:val="BookText"/>
        <w:rPr/>
      </w:pPr>
      <w:r>
        <w:rPr>
          <w:rFonts w:ascii="Amiri" w:hAnsi="Amiri" w:eastAsia="Amiri" w:cs="Amiri"/>
          <w:color w:val="111111"/>
          <w:sz w:val="28"/>
          <w:sz w:val="28"/>
          <w:szCs w:val="28"/>
          <w:rtl w:val="true"/>
          <w:lang w:bidi="ar-SA"/>
        </w:rPr>
        <w:t>و علىٰ هذا التقديرِ لا يُمنَعُ‌</w:t>
      </w:r>
      <w:r>
        <w:rPr>
          <w:rStyle w:val="FootnoteAnchor"/>
          <w:rtl w:val="true"/>
        </w:rPr>
        <w:footnoteReference w:id="253"/>
      </w:r>
      <w:r>
        <w:rPr>
          <w:rFonts w:ascii="Amiri" w:hAnsi="Amiri" w:eastAsia="Amiri" w:cs="Amiri"/>
          <w:color w:val="111111"/>
          <w:sz w:val="28"/>
          <w:sz w:val="28"/>
          <w:szCs w:val="28"/>
          <w:rtl w:val="true"/>
          <w:lang w:bidi="ar-SA"/>
        </w:rPr>
        <w:t>أن يَكونَ مَن جَوَّزنا أن يَكونَ معه مَعرِفةُ اللّٰهِ تَعالىٰ مِن الكُفّارِ، ما فَعَلَها لوَجهِ وجوبِها، بَل لوَجهٍ آخَرَ، فلا يَستَحِقُّ عليها ثَواباً؛ و إنّما يُمنَعُ‌</w:t>
      </w:r>
      <w:r>
        <w:rPr>
          <w:rStyle w:val="FootnoteAnchor"/>
          <w:rtl w:val="true"/>
        </w:rPr>
        <w:footnoteReference w:id="254"/>
      </w:r>
      <w:r>
        <w:rPr>
          <w:rFonts w:ascii="Amiri" w:hAnsi="Amiri" w:eastAsia="Amiri" w:cs="Amiri"/>
          <w:color w:val="111111"/>
          <w:sz w:val="28"/>
          <w:sz w:val="28"/>
          <w:szCs w:val="28"/>
          <w:rtl w:val="true"/>
          <w:lang w:bidi="ar-SA"/>
        </w:rPr>
        <w:t>مِن اجتماعِ استحقاقِ‌</w:t>
      </w:r>
      <w:r>
        <w:rPr>
          <w:rStyle w:val="FootnoteAnchor"/>
          <w:rtl w:val="true"/>
        </w:rPr>
        <w:footnoteReference w:id="255"/>
      </w:r>
      <w:r>
        <w:rPr>
          <w:rFonts w:ascii="Amiri" w:hAnsi="Amiri" w:eastAsia="Amiri" w:cs="Amiri"/>
          <w:color w:val="111111"/>
          <w:sz w:val="28"/>
          <w:sz w:val="28"/>
          <w:szCs w:val="28"/>
          <w:rtl w:val="true"/>
          <w:lang w:bidi="ar-SA"/>
        </w:rPr>
        <w:t>الثوابِ و العِقابِ الدائمَينِ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جازَ أن يَكونَ في المَعارِفِ ما لا يُستَحَقُّ عليه الثوابُ، أجَزنا أن يُجامِعَ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مَضىٰ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إذا كانوا غيرَ عارفينَ باللّٰهِ تَعالىٰ، فالواجبُ أن يَتقدَّمَ دُعاؤهم إلَى المَعرِفةِ باللّٰهِ تَعالىٰ علَى الدعاءِ إلَى الشرائعِ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جَرَى الأمرُ، و إنّ النبيَّ صَلَّى اللّٰهُ عليه و آلِه كانَ يأمُرُ الدُّعاةَ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يَصدُرونَ‌</w:t>
      </w:r>
      <w:r>
        <w:rPr>
          <w:rStyle w:val="FootnoteAnchor"/>
          <w:rtl w:val="true"/>
        </w:rPr>
        <w:footnoteReference w:id="256"/>
      </w:r>
      <w:r>
        <w:rPr>
          <w:rFonts w:ascii="Amiri" w:hAnsi="Amiri" w:eastAsia="Amiri" w:cs="Amiri"/>
          <w:color w:val="111111"/>
          <w:sz w:val="28"/>
          <w:sz w:val="28"/>
          <w:szCs w:val="28"/>
          <w:rtl w:val="true"/>
          <w:lang w:bidi="ar-SA"/>
        </w:rPr>
        <w:t xml:space="preserve">منه إلىٰ أطرافِ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يَدعو الناسَ إلىٰ مَعرِفةِ اللّٰهِ تَعالىٰ و وَحدانيّتِه، ثُمَّ إلىٰ نُبوّتِه عليه السلامُ و شَريعتِه؛ و الأخبارُ في السيرةِ مَملُوّةٌ مِن هذه </w:t>
      </w:r>
    </w:p>
    <w:p>
      <w:pPr>
        <w:pStyle w:val="BookText"/>
        <w:rPr/>
      </w:pPr>
      <w:r>
        <w:rPr>
          <w:rFonts w:ascii="Amiri" w:hAnsi="Amiri" w:eastAsia="Amiri" w:cs="Amiri"/>
          <w:color w:val="111111"/>
          <w:sz w:val="28"/>
          <w:sz w:val="28"/>
          <w:szCs w:val="28"/>
          <w:rtl w:val="true"/>
          <w:lang w:bidi="ar-SA"/>
        </w:rPr>
        <w:t>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يَرِدْ في ذلكَ خبرٌ، لَكُنّا نَعلَمُ أنّ الأمرَ جَرىٰ عليه؛ لقيامِ الأدلّةِ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ظُهورُ الدُّعاءِ إلَى النُّبوّةِ و الشريعةِ أكثَرُ مِن ظُهورِ الدُّعاءِ إلَى التوحيدِ و العَدلِ لأنّ المَعرِفةَ بالتوحيدِ و العَدلِ إليها</w:t>
      </w:r>
      <w:r>
        <w:rPr>
          <w:rStyle w:val="FootnoteAnchor"/>
          <w:rtl w:val="true"/>
        </w:rPr>
        <w:footnoteReference w:id="257"/>
      </w:r>
      <w:r>
        <w:rPr>
          <w:rFonts w:ascii="Amiri" w:hAnsi="Amiri" w:eastAsia="Amiri" w:cs="Amiri"/>
          <w:color w:val="111111"/>
          <w:sz w:val="28"/>
          <w:sz w:val="28"/>
          <w:szCs w:val="28"/>
          <w:rtl w:val="true"/>
          <w:lang w:bidi="ar-SA"/>
        </w:rPr>
        <w:t>دُعاةٌ، و عليها حُداةٌ‌</w:t>
      </w:r>
      <w:r>
        <w:rPr>
          <w:rStyle w:val="FootnoteAnchor"/>
          <w:rtl w:val="true"/>
        </w:rPr>
        <w:footnoteReference w:id="258"/>
      </w:r>
      <w:r>
        <w:rPr>
          <w:rFonts w:ascii="Amiri" w:hAnsi="Amiri" w:eastAsia="Amiri" w:cs="Amiri"/>
          <w:color w:val="111111"/>
          <w:sz w:val="28"/>
          <w:sz w:val="28"/>
          <w:szCs w:val="28"/>
          <w:rtl w:val="true"/>
          <w:lang w:bidi="ar-SA"/>
        </w:rPr>
        <w:t>مِن الناسِ، و الخَواطِرِ، و مُشاهَدةِ آثارِ الصَّنعةِ في العالَمِ‌</w:t>
      </w:r>
      <w:r>
        <w:rPr>
          <w:rStyle w:val="FootnoteAnchor"/>
          <w:rtl w:val="true"/>
        </w:rPr>
        <w:footnoteReference w:id="259"/>
      </w:r>
      <w:r>
        <w:rPr>
          <w:rFonts w:ascii="Amiri" w:hAnsi="Amiri" w:eastAsia="Amiri" w:cs="Amiri"/>
          <w:color w:val="111111"/>
          <w:sz w:val="28"/>
          <w:sz w:val="28"/>
          <w:szCs w:val="28"/>
          <w:rtl w:val="true"/>
          <w:lang w:bidi="ar-SA"/>
        </w:rPr>
        <w:t>فلَو لَم يَدعُ إليها داعٍ بعَينِه، لَكانَ في تلكَ الدواعي التي أشَرنا إليها</w:t>
      </w:r>
      <w:r>
        <w:rPr>
          <w:rStyle w:val="FootnoteAnchor"/>
          <w:rtl w:val="true"/>
        </w:rPr>
        <w:footnoteReference w:id="260"/>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النُّبوّةُ و الشريعةُ؛ لأنّه لا طريقَ إلَى الدُّعاءِ إليهما إلّاقولُ النبيِّ عليه السلامُ و تنبيهُه، أو قولُ مَن يَكونُ رَسولاً له</w:t>
      </w:r>
      <w:r>
        <w:rPr>
          <w:rStyle w:val="FootnoteAnchor"/>
          <w:rtl w:val="true"/>
        </w:rPr>
        <w:footnoteReference w:id="261"/>
      </w:r>
      <w:r>
        <w:rPr>
          <w:rFonts w:ascii="Amiri" w:hAnsi="Amiri" w:eastAsia="Amiri" w:cs="Amiri"/>
          <w:color w:val="111111"/>
          <w:sz w:val="28"/>
          <w:sz w:val="28"/>
          <w:szCs w:val="28"/>
          <w:rtl w:val="true"/>
          <w:lang w:bidi="ar-SA"/>
        </w:rPr>
        <w:t>و مؤدّياً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أحَدَ مِن المُكلَّفينَ إلّاو هو مَدعُوٌّ بعَقلِه، و بما</w:t>
      </w:r>
      <w:r>
        <w:rPr>
          <w:rStyle w:val="FootnoteAnchor"/>
          <w:rtl w:val="true"/>
        </w:rPr>
        <w:footnoteReference w:id="262"/>
      </w:r>
      <w:r>
        <w:rPr>
          <w:rFonts w:ascii="Amiri" w:hAnsi="Amiri" w:eastAsia="Amiri" w:cs="Amiri"/>
          <w:color w:val="111111"/>
          <w:sz w:val="28"/>
          <w:sz w:val="28"/>
          <w:szCs w:val="28"/>
          <w:rtl w:val="true"/>
          <w:lang w:bidi="ar-SA"/>
        </w:rPr>
        <w:t>يَسمَعُه أيضاً مِن غيرِه إلَى النظَرِ في مَعرِفةِ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داعيَ له إلىٰ مَعرِفةِ نُبوّةِ نَبيٍّ‌</w:t>
      </w:r>
      <w:r>
        <w:rPr>
          <w:rStyle w:val="FootnoteAnchor"/>
          <w:rtl w:val="true"/>
        </w:rPr>
        <w:footnoteReference w:id="263"/>
      </w:r>
      <w:r>
        <w:rPr>
          <w:rFonts w:ascii="Amiri" w:hAnsi="Amiri" w:eastAsia="Amiri" w:cs="Amiri"/>
          <w:color w:val="111111"/>
          <w:sz w:val="28"/>
          <w:sz w:val="28"/>
          <w:szCs w:val="28"/>
          <w:rtl w:val="true"/>
          <w:lang w:bidi="ar-SA"/>
        </w:rPr>
        <w:t>و شَريعتِه إلّاقولُ ذلكَ النبيِّ و تنبيهُه، أو قولُ مَن يؤدّي عنه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r>
        <w:rPr>
          <w:rStyle w:val="FootnoteAnchor"/>
          <w:rtl w:val="true"/>
        </w:rPr>
        <w:footnoteReference w:id="264"/>
      </w:r>
      <w:bookmarkStart w:id="62" w:name="pg16437_172403"/>
    </w:p>
    <w:p>
      <w:pPr>
        <w:pStyle w:val="Heading5"/>
        <w:numPr>
          <w:ilvl w:val="4"/>
          <w:numId w:val="1"/>
        </w:numPr>
        <w:rPr/>
      </w:pPr>
      <w:bookmarkStart w:id="63" w:name="__RefHeading___Toc8039495_1280447820"/>
      <w:bookmarkStart w:id="64" w:name="_Toc22"/>
      <w:bookmarkEnd w:id="62"/>
      <w:bookmarkEnd w:id="63"/>
      <w:r>
        <w:rPr>
          <w:rtl w:val="true"/>
        </w:rPr>
        <w:t>المسألةُ الخامسةُ عدمُ جوازِ الرجوعِ إلَى الكتبِ المصنَّفةِ لمعرفةِ الأحكامِ‌</w:t>
      </w:r>
      <w:bookmarkEnd w:id="64"/>
    </w:p>
    <w:p>
      <w:pPr>
        <w:pStyle w:val="BookText"/>
        <w:rPr/>
      </w:pPr>
      <w:r>
        <w:rPr>
          <w:rFonts w:ascii="Amiri" w:hAnsi="Amiri" w:eastAsia="Amiri" w:cs="Amiri"/>
          <w:color w:val="111111"/>
          <w:sz w:val="28"/>
          <w:sz w:val="28"/>
          <w:szCs w:val="28"/>
          <w:rtl w:val="true"/>
          <w:lang w:bidi="ar-SA"/>
        </w:rPr>
        <w:t xml:space="preserve">هل يَجوزُ لِعالِمٍ أو مُتمكِّنٍ مِن العِلمِ أو عامّيٍّ الرجوعُ في تَعرُّفِ أحكامِ ما يَجِبُ عليه العملُ به مِن التكليفِ الشرعيِّ إلىٰ كِتابٍ مُصنَّفٍ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Style w:val="FootnoteAnchor"/>
          <w:rtl w:val="true"/>
        </w:rPr>
        <w:footnoteReference w:id="265"/>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كِتابِ رِوايةٍ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 أو كِتابِ‌</w:t>
      </w:r>
      <w:r>
        <w:rPr>
          <w:rStyle w:val="FootnoteAnchor"/>
          <w:rtl w:val="true"/>
        </w:rPr>
        <w:footnoteReference w:id="266"/>
      </w:r>
      <w:r>
        <w:rPr>
          <w:rFonts w:ascii="Amiri" w:hAnsi="Amiri" w:eastAsia="Amiri" w:cs="Amiri"/>
          <w:color w:val="111111"/>
          <w:sz w:val="28"/>
          <w:sz w:val="28"/>
          <w:szCs w:val="28"/>
          <w:rtl w:val="true"/>
          <w:lang w:bidi="ar-SA"/>
        </w:rPr>
        <w:t xml:space="preserve">أصلٍ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لا يَجوزُ ذلكَ؟</w:t>
      </w:r>
    </w:p>
    <w:p>
      <w:pPr>
        <w:pStyle w:val="BookText"/>
        <w:rPr/>
      </w:pPr>
      <w:r>
        <w:rPr>
          <w:rFonts w:ascii="Amiri" w:hAnsi="Amiri" w:eastAsia="Amiri" w:cs="Amiri"/>
          <w:color w:val="111111"/>
          <w:sz w:val="28"/>
          <w:sz w:val="28"/>
          <w:szCs w:val="28"/>
          <w:rtl w:val="true"/>
          <w:lang w:bidi="ar-SA"/>
        </w:rPr>
        <w:t>فإن كانَ جائزاً، فما الوجهُ فيه؟ مع أنّه غيرُ مُثمِرٍ لعِلمٍ، و لا موجِبٍ ليَقينٍ، بَل الفقهاءُ العاملونَ بأخبارِ الآحادِ لا يُجيزونَ 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غيرَ جائزٍ، فما الغرضُ في وَضعِ هذه الكُتُبِ، و هي لا تُجدي نَفعاً؟ و ما الوجهُ فيما عَلِمناه مِن رجوعِ عامّةِ طائفتِنا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قَديمِ الدهرِ و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العملِ بهذه الكُتُبِ، و ارتفاعِ النَّكيرِ مِن العلماءِ مِنّا علَى العاملِ بها؟ بَل نَجِدُهم يُدرِّسونَها مُطلَقةً مِن حُجّةٍ‌</w:t>
      </w:r>
      <w:r>
        <w:rPr>
          <w:rStyle w:val="FootnoteAnchor"/>
          <w:rtl w:val="true"/>
        </w:rPr>
        <w:footnoteReference w:id="267"/>
      </w:r>
      <w:r>
        <w:rPr>
          <w:rFonts w:ascii="Amiri" w:hAnsi="Amiri" w:eastAsia="Amiri" w:cs="Amiri"/>
          <w:color w:val="111111"/>
          <w:sz w:val="28"/>
          <w:sz w:val="28"/>
          <w:szCs w:val="28"/>
          <w:rtl w:val="true"/>
          <w:lang w:bidi="ar-SA"/>
        </w:rPr>
        <w:t>، خَليّةً مِن بَيِّنةٍ علىٰ تَركِ العملِ بمُتضمَّنِها</w:t>
      </w:r>
      <w:r>
        <w:rPr>
          <w:rStyle w:val="FootnoteAnchor"/>
          <w:rtl w:val="true"/>
        </w:rPr>
        <w:footnoteReference w:id="268"/>
      </w:r>
      <w:r>
        <w:rPr>
          <w:rFonts w:ascii="Amiri" w:hAnsi="Amiri" w:eastAsia="Amiri" w:cs="Amiri"/>
          <w:color w:val="111111"/>
          <w:sz w:val="28"/>
          <w:sz w:val="28"/>
          <w:szCs w:val="28"/>
          <w:rtl w:val="true"/>
          <w:lang w:bidi="ar-SA"/>
        </w:rPr>
        <w:t>بَل يَكادُ يُعلَمُ مِن قَصدِهم إيجابُ الدينِ‌</w:t>
      </w:r>
      <w:r>
        <w:rPr>
          <w:rStyle w:val="FootnoteAnchor"/>
          <w:rtl w:val="true"/>
        </w:rPr>
        <w:footnoteReference w:id="269"/>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أنّه لا يَجوزُ لِعالِمٍ و لا عامّيٍّ الرجوعُ في حُكمٍ مِن أحكامِ الشريعةِ إلىٰ كِتابٍ مُصنَّفٍ؛ لأنّ العملَ لا بُدَّ مِن أن يَكونَ تابعاً للعِلمِ علىٰ بعضِ الوجوهِ، و النظَرُ في الكِتابِ لا يُفيدُ عِلماً؛ فالعاملُ بما وَجَدَه فيه لا يأمَنُ مِن</w:t>
      </w:r>
      <w:r>
        <w:rPr>
          <w:rStyle w:val="FootnoteAnchor"/>
          <w:rtl w:val="true"/>
        </w:rPr>
        <w:footnoteReference w:id="271"/>
      </w:r>
      <w:r>
        <w:rPr>
          <w:rFonts w:ascii="Amiri" w:hAnsi="Amiri" w:eastAsia="Amiri" w:cs="Amiri"/>
          <w:color w:val="111111"/>
          <w:sz w:val="28"/>
          <w:sz w:val="28"/>
          <w:szCs w:val="28"/>
          <w:rtl w:val="true"/>
          <w:lang w:bidi="ar-SA"/>
        </w:rPr>
        <w:t>أن يَكونَ مُقدِماً علىٰ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يَلزَمُ علىٰ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العملِ بالفُتيا و تقليدِ المُفتي</w:t>
      </w:r>
      <w:r>
        <w:rPr>
          <w:rStyle w:val="FootnoteAnchor"/>
          <w:rtl w:val="true"/>
        </w:rPr>
        <w:footnoteReference w:id="272"/>
      </w:r>
      <w:r>
        <w:rPr>
          <w:rFonts w:ascii="Amiri" w:hAnsi="Amiri" w:eastAsia="Amiri" w:cs="Amiri"/>
          <w:color w:val="111111"/>
          <w:sz w:val="28"/>
          <w:sz w:val="28"/>
          <w:szCs w:val="28"/>
          <w:rtl w:val="true"/>
          <w:lang w:bidi="ar-SA"/>
        </w:rPr>
        <w:t xml:space="preserve">لأنّ هذا العملَ مُستَنِدٌ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قيامُ الحُجّةِ علَى المُستَفتي بأنّ له أن يَعمَلَ بقَولِ المُفتي؛ فهو آمِنٌ‌</w:t>
      </w:r>
      <w:r>
        <w:rPr>
          <w:rStyle w:val="FootnoteAnchor"/>
          <w:rtl w:val="true"/>
        </w:rPr>
        <w:footnoteReference w:id="273"/>
      </w:r>
      <w:r>
        <w:rPr>
          <w:rFonts w:ascii="Amiri" w:hAnsi="Amiri" w:eastAsia="Amiri" w:cs="Amiri"/>
          <w:color w:val="111111"/>
          <w:sz w:val="28"/>
          <w:sz w:val="28"/>
          <w:szCs w:val="28"/>
          <w:rtl w:val="true"/>
          <w:lang w:bidi="ar-SA"/>
        </w:rPr>
        <w:t>لهذا الوجهِ مِن أن يَكونَ فاعلاً لقَبيحٍ، و لَيسَ كُلُّ هذا موجوداً في تَناوُلِ الأحكامِ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يَجِبُ أن</w:t>
      </w:r>
      <w:r>
        <w:rPr>
          <w:rStyle w:val="FootnoteAnchor"/>
          <w:rtl w:val="true"/>
        </w:rPr>
        <w:footnoteReference w:id="274"/>
      </w:r>
      <w:r>
        <w:rPr>
          <w:rFonts w:ascii="Amiri" w:hAnsi="Amiri" w:eastAsia="Amiri" w:cs="Amiri"/>
          <w:color w:val="111111"/>
          <w:sz w:val="28"/>
          <w:sz w:val="28"/>
          <w:szCs w:val="28"/>
          <w:rtl w:val="true"/>
          <w:lang w:bidi="ar-SA"/>
        </w:rPr>
        <w:t>تُجَوِّزوا</w:t>
      </w:r>
      <w:r>
        <w:rPr>
          <w:rStyle w:val="FootnoteAnchor"/>
          <w:rtl w:val="true"/>
        </w:rPr>
        <w:footnoteReference w:id="275"/>
      </w:r>
      <w:r>
        <w:rPr>
          <w:rFonts w:ascii="Amiri" w:hAnsi="Amiri" w:eastAsia="Amiri" w:cs="Amiri"/>
          <w:color w:val="111111"/>
          <w:sz w:val="28"/>
          <w:sz w:val="28"/>
          <w:szCs w:val="28"/>
          <w:rtl w:val="true"/>
          <w:lang w:bidi="ar-SA"/>
        </w:rPr>
        <w:t xml:space="preserve">التعبُّدَ لنا بأن نَرجِعَ في الأحكامِ إلَى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نَرجِعُ إلَى العلماءِ و نأمَنُ مِن القَبيح؛ لأجلِ دليلِ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قُلتم في المُفتي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تُعُبِّدَ العامّيُّ بالرجوعِ إلَى المُفتي، تُعُبِّدَ</w:t>
      </w:r>
      <w:r>
        <w:rPr>
          <w:rStyle w:val="FootnoteAnchor"/>
          <w:rtl w:val="true"/>
        </w:rPr>
        <w:footnoteReference w:id="276"/>
      </w:r>
      <w:r>
        <w:rPr>
          <w:rFonts w:ascii="Amiri" w:hAnsi="Amiri" w:eastAsia="Amiri" w:cs="Amiri"/>
          <w:color w:val="111111"/>
          <w:sz w:val="28"/>
          <w:sz w:val="28"/>
          <w:szCs w:val="28"/>
          <w:rtl w:val="true"/>
          <w:lang w:bidi="ar-SA"/>
        </w:rPr>
        <w:t>بالرجوعِ إلىٰ مَن له صفةٌ مخصوصةٌ، يَتمكَّنُ مِن مَعرفتِها و تمييزِها</w:t>
      </w:r>
      <w:r>
        <w:rPr>
          <w:rStyle w:val="FootnoteAnchor"/>
          <w:rtl w:val="true"/>
        </w:rPr>
        <w:footnoteReference w:id="277"/>
      </w:r>
      <w:r>
        <w:rPr>
          <w:rFonts w:ascii="Amiri" w:hAnsi="Amiri" w:eastAsia="Amiri" w:cs="Amiri"/>
          <w:color w:val="111111"/>
          <w:sz w:val="28"/>
          <w:sz w:val="28"/>
          <w:szCs w:val="28"/>
          <w:rtl w:val="true"/>
          <w:lang w:bidi="ar-SA"/>
        </w:rPr>
        <w:t xml:space="preserve">، و يَثِقُ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دليلِ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w:t>
      </w:r>
    </w:p>
    <w:p>
      <w:pPr>
        <w:pStyle w:val="BookText"/>
        <w:rPr/>
      </w:pPr>
      <w:r>
        <w:rPr>
          <w:rFonts w:ascii="Amiri" w:hAnsi="Amiri" w:eastAsia="Amiri" w:cs="Amiri"/>
          <w:color w:val="111111"/>
          <w:sz w:val="28"/>
          <w:sz w:val="28"/>
          <w:szCs w:val="28"/>
          <w:rtl w:val="true"/>
          <w:lang w:bidi="ar-SA"/>
        </w:rPr>
        <w:t>يُفتيهِ به يَجِبُ عملُه</w:t>
      </w:r>
      <w:r>
        <w:rPr>
          <w:rStyle w:val="FootnoteAnchor"/>
          <w:rtl w:val="true"/>
        </w:rPr>
        <w:footnoteReference w:id="278"/>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في الأحكامِ إلَى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تعيينٍ و لا صفةٍ مخصوصةٍ، لَم يَكُن للحقِّ جهةٌ مُعيَّنةٌ مُتميِّزةٌ‌</w:t>
      </w:r>
      <w:r>
        <w:rPr>
          <w:rStyle w:val="FootnoteAnchor"/>
          <w:rtl w:val="true"/>
        </w:rPr>
        <w:footnoteReference w:id="279"/>
      </w:r>
      <w:r>
        <w:rPr>
          <w:rFonts w:ascii="Amiri" w:hAnsi="Amiri" w:eastAsia="Amiri" w:cs="Amiri"/>
          <w:color w:val="111111"/>
          <w:sz w:val="28"/>
          <w:sz w:val="28"/>
          <w:szCs w:val="28"/>
          <w:rtl w:val="true"/>
          <w:lang w:bidi="ar-SA"/>
        </w:rPr>
        <w:t>و لكِنْ لَو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الكِتابِ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سُمّيَ الكِتابُ و عُيِّنَ‌</w:t>
      </w:r>
      <w:r>
        <w:rPr>
          <w:rStyle w:val="FootnoteAnchor"/>
          <w:rtl w:val="true"/>
        </w:rPr>
        <w:footnoteReference w:id="280"/>
      </w:r>
      <w:r>
        <w:rPr>
          <w:rFonts w:ascii="Amiri" w:hAnsi="Amiri" w:eastAsia="Amiri" w:cs="Amiri"/>
          <w:color w:val="111111"/>
          <w:sz w:val="28"/>
          <w:sz w:val="28"/>
          <w:szCs w:val="28"/>
          <w:rtl w:val="true"/>
          <w:lang w:bidi="ar-SA"/>
        </w:rPr>
        <w:t>، أو وُصِفَ بوَصفٍ لا يوجَدُ إلّافيه، لَجَرىٰ‌</w:t>
      </w:r>
      <w:r>
        <w:rPr>
          <w:rStyle w:val="FootnoteAnchor"/>
          <w:rtl w:val="true"/>
        </w:rPr>
        <w:footnoteReference w:id="281"/>
      </w:r>
      <w:r>
        <w:rPr>
          <w:rFonts w:ascii="Amiri" w:hAnsi="Amiri" w:eastAsia="Amiri" w:cs="Amiri"/>
          <w:color w:val="111111"/>
          <w:sz w:val="28"/>
          <w:sz w:val="28"/>
          <w:szCs w:val="28"/>
          <w:rtl w:val="true"/>
          <w:lang w:bidi="ar-SA"/>
        </w:rPr>
        <w:t>مَجرَى الفُتيا، في جوازِ العبادةِ به، و حُصولِ الأمنِ مِن الإقدامِ علَى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الإلزامُ لنا أن لا يَكونَ في تَكلُّفِ‌</w:t>
      </w:r>
      <w:r>
        <w:rPr>
          <w:rStyle w:val="FootnoteAnchor"/>
          <w:rtl w:val="true"/>
        </w:rPr>
        <w:footnoteReference w:id="282"/>
      </w:r>
      <w:r>
        <w:rPr>
          <w:rFonts w:ascii="Amiri" w:hAnsi="Amiri" w:eastAsia="Amiri" w:cs="Amiri"/>
          <w:color w:val="111111"/>
          <w:sz w:val="28"/>
          <w:sz w:val="28"/>
          <w:szCs w:val="28"/>
          <w:rtl w:val="true"/>
          <w:lang w:bidi="ar-SA"/>
        </w:rPr>
        <w:t>هذه الكُتُبِ فائدةٌ، إذا كانَ العملُ بها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بصَحيحٍ؛ لأنّ مُصنِّفَ هذه الكُتُبِ قد أفادَنا بتَصنيفِها، و تَرصيفِها</w:t>
      </w:r>
      <w:r>
        <w:rPr>
          <w:rStyle w:val="FootnoteAnchor"/>
          <w:rtl w:val="true"/>
        </w:rPr>
        <w:footnoteReference w:id="283"/>
      </w:r>
      <w:r>
        <w:rPr>
          <w:rFonts w:ascii="Amiri" w:hAnsi="Amiri" w:eastAsia="Amiri" w:cs="Amiri"/>
          <w:color w:val="111111"/>
          <w:sz w:val="28"/>
          <w:sz w:val="28"/>
          <w:szCs w:val="28"/>
          <w:rtl w:val="true"/>
          <w:lang w:bidi="ar-SA"/>
        </w:rPr>
        <w:t>، و حَصرِها</w:t>
      </w:r>
      <w:r>
        <w:rPr>
          <w:rStyle w:val="FootnoteAnchor"/>
          <w:rtl w:val="true"/>
        </w:rPr>
        <w:footnoteReference w:id="284"/>
      </w:r>
      <w:r>
        <w:rPr>
          <w:rFonts w:ascii="Amiri" w:hAnsi="Amiri" w:eastAsia="Amiri" w:cs="Amiri"/>
          <w:color w:val="111111"/>
          <w:sz w:val="28"/>
          <w:sz w:val="28"/>
          <w:szCs w:val="28"/>
          <w:rtl w:val="true"/>
          <w:lang w:bidi="ar-SA"/>
        </w:rPr>
        <w:t>، و جَمعِها مَذاهبَه التي يَذهَبُ إليها في هذه الأحكامِ؛ و أحالَنا في مَعرِفةِ صِحّتِها مِن فَسادِها</w:t>
      </w:r>
      <w:r>
        <w:rPr>
          <w:rStyle w:val="FootnoteAnchor"/>
          <w:rtl w:val="true"/>
        </w:rPr>
        <w:footnoteReference w:id="285"/>
      </w:r>
      <w:r>
        <w:rPr>
          <w:rFonts w:ascii="Amiri" w:hAnsi="Amiri" w:eastAsia="Amiri" w:cs="Amiri"/>
          <w:color w:val="111111"/>
          <w:sz w:val="28"/>
          <w:sz w:val="28"/>
          <w:szCs w:val="28"/>
          <w:rtl w:val="true"/>
          <w:lang w:bidi="ar-SA"/>
        </w:rPr>
        <w:t>علَى النظَرِ في الأدلّةِ و وجوهِ صِحّةِ ما سَطَرَه في كِتابِه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يَكُن في هذه الكُتُبِ المُصنَّفةِ إلّاأنّها تَذكرةٌ لنا بما يَجِبُ أن يُنظَرَ فيه</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مِن أحكامِ الشرعيّاتِ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لَم تُجمَعْ له هذه المَسائلُ حتّىٰ يَنظُرَ في كُلِّ واحدةٍ منها و دليلِ صِحّتِه، تَعِبَ و طالَ زمانُه في جَمعِ ذلكَ، فقَد كُفيَ بما تُكُلِّفَ له مِن جَمعِها مَؤونةَ الجَمعِ، و بَقيَ عليه مَؤونةُ النظَرِ في الصحّةِ أو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كَثيراً مِن الفقهاءِ يَجمَعونَ و يَقرَؤونَ‌</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للمُتعلِّمينَ و لنُفوسِهم علىٰ سَبيلِ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مَسائلِ الخِلافِ مُجرَّدةً مِن المَسائلِ و العِلَلِ، و يَتَدارَسونَ ذلكَ و يَتَلقَّنونَه</w:t>
      </w:r>
      <w:r>
        <w:rPr>
          <w:rStyle w:val="FootnoteAnchor"/>
          <w:rtl w:val="true"/>
        </w:rPr>
        <w:footnoteReference w:id="288"/>
      </w:r>
      <w:r>
        <w:rPr>
          <w:rFonts w:ascii="Amiri" w:hAnsi="Amiri" w:eastAsia="Amiri" w:cs="Amiri"/>
          <w:color w:val="111111"/>
          <w:sz w:val="28"/>
          <w:sz w:val="28"/>
          <w:szCs w:val="28"/>
          <w:rtl w:val="true"/>
          <w:lang w:bidi="ar-SA"/>
        </w:rPr>
        <w:t>، و نَحنُ نَعلَمُ أنّ اعتقادَ ذلكَ بغَيرِ حُجّةٍ لا يَسوغُ‌</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إذا لَم يَجُز ذلكَ لَم يَكُن في جَمعِ ذلكَ و تَسطيرِه فائدةٌ؛ بَل الفائدةُ ما أشَرنا إليه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مضىٰ في أثناءِ الكلامِ مِن أنّ قَوماً مِن طائفتِنا يَرجِعونَ‌</w:t>
      </w:r>
      <w:r>
        <w:rPr>
          <w:rStyle w:val="FootnoteAnchor"/>
          <w:rtl w:val="true"/>
        </w:rPr>
        <w:footnoteReference w:id="290"/>
      </w:r>
      <w:r>
        <w:rPr>
          <w:rFonts w:ascii="Amiri" w:hAnsi="Amiri" w:eastAsia="Amiri" w:cs="Amiri"/>
          <w:color w:val="111111"/>
          <w:sz w:val="28"/>
          <w:sz w:val="28"/>
          <w:szCs w:val="28"/>
          <w:rtl w:val="true"/>
          <w:lang w:bidi="ar-SA"/>
        </w:rPr>
        <w:t>إلَى العملِ بهذه الكُتُبِ مُجرَّدةً مِن</w:t>
      </w:r>
      <w:r>
        <w:rPr>
          <w:rStyle w:val="FootnoteAnchor"/>
          <w:rtl w:val="true"/>
        </w:rPr>
        <w:footnoteReference w:id="291"/>
      </w:r>
      <w:r>
        <w:rPr>
          <w:rFonts w:ascii="Amiri" w:hAnsi="Amiri" w:eastAsia="Amiri" w:cs="Amiri"/>
          <w:color w:val="111111"/>
          <w:sz w:val="28"/>
          <w:sz w:val="28"/>
          <w:szCs w:val="28"/>
          <w:rtl w:val="true"/>
          <w:lang w:bidi="ar-SA"/>
        </w:rPr>
        <w:t xml:space="preserve">حُجّةٍ، و لا يُنكِرُ بعضُهم علىٰ بعضٍ فِعلَه؛ فقَد بيّنّا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مَسائلِ التَّبّانيّاتِ</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الجوابَ عن هذا الفَصلِ، و بَسَطناه و شَرَحناه، و انتَهَينا فيه إلَى الغايةِ القُصوىٰ؛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ما نَجِدُ مُحصِّلاً مِن أصحابِنا يَرجِعُ إلَى العملِ بما في هذه الكُتُبِ مِن غيرِ حُجّةٍ تَعضُدُه و دَلالةٍ تُسنِدُه</w:t>
      </w:r>
      <w:r>
        <w:rPr>
          <w:rStyle w:val="FootnoteAnchor"/>
          <w:rtl w:val="true"/>
        </w:rPr>
        <w:footnoteReference w:id="293"/>
      </w:r>
      <w:r>
        <w:rPr>
          <w:rFonts w:ascii="Amiri" w:hAnsi="Amiri" w:eastAsia="Amiri" w:cs="Amiri"/>
          <w:color w:val="111111"/>
          <w:sz w:val="28"/>
          <w:sz w:val="28"/>
          <w:szCs w:val="28"/>
          <w:rtl w:val="true"/>
          <w:lang w:bidi="ar-SA"/>
        </w:rPr>
        <w:t>، و مَن فَعَلَ ذلكَ منهم فهو عامّيٌّ مُقلِّدٌ في الأُصولِ؛ و كما يُرجَعُ في الأحكامِ إلىٰ هذه الكُتُبِ، فهو أيضاً يَرجِعُ في التوحيدِ و العَدلِ و النُّبوّةِ و الإمامةِ إلىٰ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الرجوعَ في هذه</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الأُصولِ إلَى</w:t>
      </w:r>
      <w:r>
        <w:rPr>
          <w:rStyle w:val="FootnoteAnchor"/>
          <w:rtl w:val="true"/>
        </w:rPr>
        <w:footnoteReference w:id="295"/>
      </w:r>
      <w:r>
        <w:rPr>
          <w:rFonts w:ascii="Amiri" w:hAnsi="Amiri" w:eastAsia="Amiri" w:cs="Amiri"/>
          <w:color w:val="111111"/>
          <w:sz w:val="28"/>
          <w:sz w:val="28"/>
          <w:szCs w:val="28"/>
          <w:rtl w:val="true"/>
          <w:lang w:bidi="ar-SA"/>
        </w:rPr>
        <w:t>الكُتُبِ خَطأٌ و جَهلٌ؛ فكذلكَ الرجوعُ إليها في الفُروعِ بِلا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علماءُ الطائفةِ و مُتكلِّموهُم يُنكِرونَ على عَوامِّهم العملَ بما يَجِدونَه في الكُتُبِ مِن غيرِ حُجّةٍ؛ مُشافَهةً، و فيما</w:t>
      </w:r>
      <w:r>
        <w:rPr>
          <w:rStyle w:val="FootnoteAnchor"/>
          <w:rtl w:val="true"/>
        </w:rPr>
        <w:footnoteReference w:id="296"/>
      </w:r>
      <w:r>
        <w:rPr>
          <w:rFonts w:ascii="Amiri" w:hAnsi="Amiri" w:eastAsia="Amiri" w:cs="Amiri"/>
          <w:color w:val="111111"/>
          <w:sz w:val="28"/>
          <w:sz w:val="28"/>
          <w:szCs w:val="28"/>
          <w:rtl w:val="true"/>
          <w:lang w:bidi="ar-SA"/>
        </w:rPr>
        <w:t>يُصنِّفونَه</w:t>
      </w:r>
      <w:r>
        <w:rPr>
          <w:rStyle w:val="FootnoteAnchor"/>
          <w:rtl w:val="true"/>
        </w:rPr>
        <w:footnoteReference w:id="297"/>
      </w:r>
      <w:r>
        <w:rPr>
          <w:rFonts w:ascii="Amiri" w:hAnsi="Amiri" w:eastAsia="Amiri" w:cs="Amiri"/>
          <w:color w:val="111111"/>
          <w:sz w:val="28"/>
          <w:sz w:val="28"/>
          <w:szCs w:val="28"/>
          <w:rtl w:val="true"/>
          <w:lang w:bidi="ar-SA"/>
        </w:rPr>
        <w:t>في كُتُبِهم، و رَدِّهم علىٰ أصحابِ التقليدِ؛ فكَيفَ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النَّكيرَ ارتَفَعَ‌</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أظهَرُ مِن الشمسِ الطالِعةِ؟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يُرادَ أنّ النَّكيرَ مِن بعضِ أهلِ التقليدِ علىٰ بعضٍ ارتَفَعَ، فذلكَ غيرُ نافعٍ؛ لأنّ المُنكِرَ لا يُنكِرُ ما يَستَعمِلُ مِثلَه</w:t>
      </w:r>
      <w:r>
        <w:rPr>
          <w:rStyle w:val="FootnoteAnchor"/>
          <w:rtl w:val="true"/>
        </w:rPr>
        <w:footnoteReference w:id="299"/>
      </w:r>
      <w:r>
        <w:rPr>
          <w:rFonts w:ascii="Amiri" w:hAnsi="Amiri" w:eastAsia="Amiri" w:cs="Amiri"/>
          <w:color w:val="111111"/>
          <w:sz w:val="28"/>
          <w:sz w:val="28"/>
          <w:szCs w:val="28"/>
          <w:rtl w:val="true"/>
          <w:lang w:bidi="ar-SA"/>
        </w:rPr>
        <w:t>، و إنّما يُنكِرُ مِن الأفعالِ ما هو له مُجانِبٌ‌</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اعتبارَ بعَوامِّ الطائفةِ و طَغامِهم، و إنّما الاعتبارُ بالعلماءِ المُحصِّلينَ المُحقِّقينَ‌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65" w:name="pg16437_172408"/>
    </w:p>
    <w:p>
      <w:pPr>
        <w:pStyle w:val="Heading5"/>
        <w:numPr>
          <w:ilvl w:val="4"/>
          <w:numId w:val="1"/>
        </w:numPr>
        <w:rPr/>
      </w:pPr>
      <w:bookmarkStart w:id="66" w:name="__RefHeading___Toc8039497_1280447820"/>
      <w:bookmarkStart w:id="67" w:name="_Toc23"/>
      <w:bookmarkEnd w:id="65"/>
      <w:bookmarkEnd w:id="66"/>
      <w:r>
        <w:rPr>
          <w:rtl w:val="true"/>
        </w:rPr>
        <w:t>المسألةُ السادسةُ وجوبُ قضاءِ الحجِّ التطوُّعيِّ عند إفسادِه</w:t>
      </w:r>
      <w:bookmarkEnd w:id="67"/>
    </w:p>
    <w:p>
      <w:pPr>
        <w:pStyle w:val="BookText"/>
        <w:rPr/>
      </w:pPr>
      <w:r>
        <w:rPr>
          <w:rFonts w:ascii="Amiri" w:hAnsi="Amiri" w:eastAsia="Amiri" w:cs="Amiri"/>
          <w:color w:val="111111"/>
          <w:sz w:val="28"/>
          <w:sz w:val="28"/>
          <w:szCs w:val="28"/>
          <w:rtl w:val="true"/>
          <w:lang w:bidi="ar-SA"/>
        </w:rPr>
        <w:t>ما المُرادُ بفَتوَى العِصابةِ‌</w:t>
      </w:r>
      <w:r>
        <w:rPr>
          <w:rStyle w:val="FootnoteAnchor"/>
          <w:rtl w:val="true"/>
        </w:rPr>
        <w:footnoteReference w:id="302"/>
      </w:r>
      <w:r>
        <w:rPr>
          <w:rFonts w:ascii="Amiri" w:hAnsi="Amiri" w:eastAsia="Amiri" w:cs="Amiri"/>
          <w:color w:val="111111"/>
          <w:sz w:val="28"/>
          <w:sz w:val="28"/>
          <w:szCs w:val="28"/>
          <w:rtl w:val="true"/>
          <w:lang w:bidi="ar-SA"/>
        </w:rPr>
        <w:t>فيمن جامَعَ‌</w:t>
      </w:r>
      <w:r>
        <w:rPr>
          <w:rStyle w:val="FootnoteAnchor"/>
          <w:rtl w:val="true"/>
        </w:rPr>
        <w:footnoteReference w:id="303"/>
      </w:r>
      <w:r>
        <w:rPr>
          <w:rFonts w:ascii="Amiri" w:hAnsi="Amiri" w:eastAsia="Amiri" w:cs="Amiri"/>
          <w:color w:val="111111"/>
          <w:sz w:val="28"/>
          <w:sz w:val="28"/>
          <w:szCs w:val="28"/>
          <w:rtl w:val="true"/>
          <w:lang w:bidi="ar-SA"/>
        </w:rPr>
        <w:t>قَبلَ عَرَفةَ، أو فاتَه المَشعَرُ</w:t>
      </w:r>
      <w:r>
        <w:rPr>
          <w:rStyle w:val="FootnoteAnchor"/>
          <w:rtl w:val="true"/>
        </w:rPr>
        <w:footnoteReference w:id="304"/>
      </w:r>
      <w:r>
        <w:rPr>
          <w:rFonts w:ascii="Amiri" w:hAnsi="Amiri" w:eastAsia="Amiri" w:cs="Amiri"/>
          <w:color w:val="111111"/>
          <w:sz w:val="28"/>
          <w:sz w:val="28"/>
          <w:szCs w:val="28"/>
          <w:rtl w:val="true"/>
          <w:lang w:bidi="ar-SA"/>
        </w:rPr>
        <w:t xml:space="preserve">الحَرامُ، أو تَعمَّدَ تَركَ رُكنٍ مِن أركانِ الحَجِّ،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الحَجُّ‌</w:t>
      </w:r>
      <w:r>
        <w:rPr>
          <w:rStyle w:val="FootnoteAnchor"/>
          <w:rtl w:val="true"/>
        </w:rPr>
        <w:footnoteReference w:id="305"/>
      </w:r>
      <w:r>
        <w:rPr>
          <w:rFonts w:ascii="Amiri" w:hAnsi="Amiri" w:eastAsia="Amiri" w:cs="Amiri"/>
          <w:color w:val="111111"/>
          <w:sz w:val="28"/>
          <w:sz w:val="28"/>
          <w:szCs w:val="28"/>
          <w:rtl w:val="true"/>
          <w:lang w:bidi="ar-SA"/>
        </w:rPr>
        <w:t>مِن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حَجّاً</w:t>
      </w:r>
      <w:r>
        <w:rPr>
          <w:rStyle w:val="FootnoteAnchor"/>
          <w:rtl w:val="true"/>
        </w:rPr>
        <w:footnoteReference w:id="306"/>
      </w:r>
      <w:r>
        <w:rPr>
          <w:rFonts w:ascii="Amiri" w:hAnsi="Amiri" w:eastAsia="Amiri" w:cs="Amiri"/>
          <w:color w:val="111111"/>
          <w:sz w:val="28"/>
          <w:sz w:val="28"/>
          <w:szCs w:val="28"/>
          <w:rtl w:val="true"/>
          <w:lang w:bidi="ar-SA"/>
        </w:rPr>
        <w:t>واجباً كانَ أو تَطوُّعاً، أو هو مُختَصٌّ بحَجِّ‌</w:t>
      </w:r>
      <w:r>
        <w:rPr>
          <w:rStyle w:val="FootnoteAnchor"/>
          <w:rtl w:val="true"/>
        </w:rPr>
        <w:footnoteReference w:id="307"/>
      </w:r>
      <w:r>
        <w:rPr>
          <w:rFonts w:ascii="Amiri" w:hAnsi="Amiri" w:eastAsia="Amiri" w:cs="Amiri"/>
          <w:color w:val="111111"/>
          <w:sz w:val="28"/>
          <w:sz w:val="28"/>
          <w:szCs w:val="28"/>
          <w:rtl w:val="true"/>
          <w:lang w:bidi="ar-SA"/>
        </w:rPr>
        <w:t>الفَرضِ؟</w:t>
      </w:r>
    </w:p>
    <w:p>
      <w:pPr>
        <w:pStyle w:val="BookText"/>
        <w:rPr/>
      </w:pPr>
      <w:r>
        <w:rPr>
          <w:rFonts w:ascii="Amiri" w:hAnsi="Amiri" w:eastAsia="Amiri" w:cs="Amiri"/>
          <w:color w:val="111111"/>
          <w:sz w:val="28"/>
          <w:sz w:val="28"/>
          <w:szCs w:val="28"/>
          <w:rtl w:val="true"/>
          <w:lang w:bidi="ar-SA"/>
        </w:rPr>
        <w:t>فإن كانَ مُختَصّاً بالفَرضِ، فما الدليلُ المُخصِّصُ له به؟ مع كَونِ الفُتيا مِن الطائفةِ، و الروايةِ الثابتةِ بذلكَ،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الجميعَ، فالتطوُّعُ في الأصلِ غيرُ واجبٍ؛ فكَيفَ يَجِبُ قَضاؤه؟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لا خِلافَ بَينَ الإماميّةِ في أنّ المُجامِعَ قَبلَ الوقوفِ بعَرَفةَ أو بالمَشعَرِ الحَرامِ يَجِبُ عليه مع الكَفّارةِ قَضاءُ هذه الحَجّةِ؛ نَفلاً كانَت، أو فَرضاً؛ و ما فَرَّقَ أحَدٌ منهم في هذا الحُكمِ بَينَ الفَرضِ و النَّفلِ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أظُنُّ أحَداً مِن فقهاءِ‌</w:t>
      </w:r>
      <w:r>
        <w:rPr>
          <w:rStyle w:val="FootnoteAnchor"/>
          <w:rtl w:val="true"/>
        </w:rPr>
        <w:footnoteReference w:id="308"/>
      </w:r>
      <w:r>
        <w:rPr>
          <w:rFonts w:ascii="Amiri" w:hAnsi="Amiri" w:eastAsia="Amiri" w:cs="Amiri"/>
          <w:color w:val="111111"/>
          <w:sz w:val="28"/>
          <w:sz w:val="28"/>
          <w:szCs w:val="28"/>
          <w:rtl w:val="true"/>
          <w:lang w:bidi="ar-SA"/>
        </w:rPr>
        <w:t>العامّةِ يُخالِفُ أيضاً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ناظَروا أصحابَ الشافعيِّ في أنّ الداخلَ في صَلاةِ تَطوُّعٍ أو صيامِ نافلةٍ، تَجِبُ‌</w:t>
      </w:r>
      <w:r>
        <w:rPr>
          <w:rStyle w:val="FootnoteAnchor"/>
          <w:rtl w:val="true"/>
        </w:rPr>
        <w:footnoteReference w:id="309"/>
      </w:r>
      <w:r>
        <w:rPr>
          <w:rFonts w:ascii="Amiri" w:hAnsi="Amiri" w:eastAsia="Amiri" w:cs="Amiri"/>
          <w:color w:val="111111"/>
          <w:sz w:val="28"/>
          <w:sz w:val="28"/>
          <w:szCs w:val="28"/>
          <w:rtl w:val="true"/>
          <w:lang w:bidi="ar-SA"/>
        </w:rPr>
        <w:t xml:space="preserve">عليه هذه العبادةُ بالدخولِ فيها، و قَضاؤها إن أفسَدَها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w:t>
      </w:r>
      <w:r>
        <w:rPr>
          <w:rStyle w:val="FootnoteAnchor"/>
          <w:rtl w:val="true"/>
        </w:rPr>
        <w:footnoteReference w:id="310"/>
      </w:r>
      <w:r>
        <w:rPr>
          <w:rFonts w:ascii="Amiri" w:hAnsi="Amiri" w:eastAsia="Amiri" w:cs="Amiri"/>
          <w:color w:val="111111"/>
          <w:sz w:val="28"/>
          <w:sz w:val="28"/>
          <w:szCs w:val="28"/>
          <w:rtl w:val="true"/>
          <w:lang w:bidi="ar-SA"/>
        </w:rPr>
        <w:t>حَجَّ النافلةِ أصلاً لهم و قاسوا عليه غيرَه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الشافعيِّ أبَداً</w:t>
      </w:r>
      <w:r>
        <w:rPr>
          <w:rStyle w:val="FootnoteAnchor"/>
          <w:rtl w:val="true"/>
        </w:rPr>
        <w:footnoteReference w:id="311"/>
      </w:r>
      <w:r>
        <w:rPr>
          <w:rFonts w:ascii="Amiri" w:hAnsi="Amiri" w:eastAsia="Amiri" w:cs="Amiri"/>
          <w:color w:val="111111"/>
          <w:sz w:val="28"/>
          <w:sz w:val="28"/>
          <w:szCs w:val="28"/>
          <w:rtl w:val="true"/>
          <w:lang w:bidi="ar-SA"/>
        </w:rPr>
        <w:t>يُفرِّقونَ بَينَ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Style w:val="FootnoteAnchor"/>
          <w:rtl w:val="true"/>
        </w:rPr>
        <w:footnoteReference w:id="312"/>
      </w:r>
      <w:r>
        <w:rPr>
          <w:rFonts w:ascii="Amiri" w:hAnsi="Amiri" w:eastAsia="Amiri" w:cs="Amiri"/>
          <w:color w:val="111111"/>
          <w:sz w:val="28"/>
          <w:sz w:val="28"/>
          <w:szCs w:val="28"/>
          <w:rtl w:val="true"/>
          <w:lang w:bidi="ar-SA"/>
        </w:rPr>
        <w:t>الحَجَّ آكَدُ مِن باقي العباداتِ؛ لأنّه لا خِلافَ في وجوبِ المُضيِّ في فاسِدِه، و لَيسَ كذلكَ الصلاةُ و الصيامُ، فلَيسَ يَمتَنِعُ لهذه المَزيّةِ أن يَختَصَّ الحَجُّ بأنْ يَجِبَ منه ما كانَ نَفلاً بالدخولِ فيه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كُنّا لا نُراعي في الشريعةِ القياسَ، و لا</w:t>
      </w:r>
      <w:r>
        <w:rPr>
          <w:rStyle w:val="FootnoteAnchor"/>
          <w:rtl w:val="true"/>
        </w:rPr>
        <w:footnoteReference w:id="313"/>
      </w:r>
      <w:r>
        <w:rPr>
          <w:rFonts w:ascii="Amiri" w:hAnsi="Amiri" w:eastAsia="Amiri" w:cs="Amiri"/>
          <w:color w:val="111111"/>
          <w:sz w:val="28"/>
          <w:sz w:val="28"/>
          <w:szCs w:val="28"/>
          <w:rtl w:val="true"/>
          <w:lang w:bidi="ar-SA"/>
        </w:rPr>
        <w:t>نُثبِتُ‌</w:t>
      </w:r>
      <w:r>
        <w:rPr>
          <w:rStyle w:val="FootnoteAnchor"/>
          <w:rtl w:val="true"/>
        </w:rPr>
        <w:footnoteReference w:id="314"/>
      </w:r>
      <w:r>
        <w:rPr>
          <w:rFonts w:ascii="Amiri" w:hAnsi="Amiri" w:eastAsia="Amiri" w:cs="Amiri"/>
          <w:color w:val="111111"/>
          <w:sz w:val="28"/>
          <w:sz w:val="28"/>
          <w:szCs w:val="28"/>
          <w:rtl w:val="true"/>
          <w:lang w:bidi="ar-SA"/>
        </w:rPr>
        <w:t>الأحكامَ بعِلَلٍ قياسيّةٍ‌</w:t>
      </w:r>
      <w:r>
        <w:rPr>
          <w:rStyle w:val="FootnoteAnchor"/>
          <w:rtl w:val="true"/>
        </w:rPr>
        <w:footnoteReference w:id="315"/>
      </w:r>
      <w:r>
        <w:rPr>
          <w:rFonts w:ascii="Amiri" w:hAnsi="Amiri" w:eastAsia="Amiri" w:cs="Amiri"/>
          <w:color w:val="111111"/>
          <w:sz w:val="28"/>
          <w:sz w:val="28"/>
          <w:szCs w:val="28"/>
          <w:rtl w:val="true"/>
          <w:lang w:bidi="ar-SA"/>
        </w:rPr>
        <w:t>، فلا حاجةَ بنا إلىٰ هذه التفرِقةِ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علينا أكثَرُ مِن أن نَدُلَّ علىٰ أنّ حُكمَ‌</w:t>
      </w:r>
      <w:r>
        <w:rPr>
          <w:rStyle w:val="FootnoteAnchor"/>
          <w:rtl w:val="true"/>
        </w:rPr>
        <w:footnoteReference w:id="316"/>
      </w:r>
      <w:r>
        <w:rPr>
          <w:rFonts w:ascii="Amiri" w:hAnsi="Amiri" w:eastAsia="Amiri" w:cs="Amiri"/>
          <w:color w:val="111111"/>
          <w:sz w:val="28"/>
          <w:sz w:val="28"/>
          <w:szCs w:val="28"/>
          <w:rtl w:val="true"/>
          <w:lang w:bidi="ar-SA"/>
        </w:rPr>
        <w:t xml:space="preserve">إفسادِ الحَجِّ ما ذَكَرناه، و أنّه يُخالِفُ حُكمَ إفسادِ الصلاةِ أو الصومِ إذا كانَ تَطوُّعاً؛ و إجماعُ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علىٰ ما بيّنّاه في عِدّةِ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المُفرِّقُ‌</w:t>
      </w:r>
      <w:r>
        <w:rPr>
          <w:rStyle w:val="FootnoteAnchor"/>
          <w:rtl w:val="true"/>
        </w:rPr>
        <w:footnoteReference w:id="317"/>
      </w:r>
      <w:r>
        <w:rPr>
          <w:rFonts w:ascii="Amiri" w:hAnsi="Amiri" w:eastAsia="Amiri" w:cs="Amiri"/>
          <w:color w:val="111111"/>
          <w:sz w:val="28"/>
          <w:sz w:val="28"/>
          <w:szCs w:val="28"/>
          <w:rtl w:val="true"/>
          <w:lang w:bidi="ar-SA"/>
        </w:rPr>
        <w:t>بَينَ حُكمِ المَوضِعَينِ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الحَجّةُ تَجِبُ بالدخولِ فيها، فأيُّ مَعنىً لقَولِ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الحَجِّ نَفلاً، كما أنّ فيه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التقديرِ لا حَجَّ إلّاو هو واجبٌ؛ لأنّ النَّفلَ يَجِبُ بالدخولِ، فيُلحَقُ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الحَجِّ نَفلاً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ما لا يَجِبُ علينا أن نَدخُلَ فيه، و لا أن نُنشئَ الإحرامَ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يَجِبُ الدخولُ فيه، و يَستَحِقُّ مَن لَم</w:t>
      </w:r>
      <w:r>
        <w:rPr>
          <w:rStyle w:val="FootnoteAnchor"/>
          <w:rtl w:val="true"/>
        </w:rPr>
        <w:footnoteReference w:id="318"/>
      </w:r>
      <w:r>
        <w:rPr>
          <w:rFonts w:ascii="Amiri" w:hAnsi="Amiri" w:eastAsia="Amiri" w:cs="Amiri"/>
          <w:color w:val="111111"/>
          <w:sz w:val="28"/>
          <w:sz w:val="28"/>
          <w:szCs w:val="28"/>
          <w:rtl w:val="true"/>
          <w:lang w:bidi="ar-SA"/>
        </w:rPr>
        <w:t>يَفعَلْه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التقديرِ لا يَجوزُ أن يَكونَ شَيءٌ‌</w:t>
      </w:r>
      <w:r>
        <w:rPr>
          <w:rStyle w:val="FootnoteAnchor"/>
          <w:rtl w:val="true"/>
        </w:rPr>
        <w:footnoteReference w:id="319"/>
      </w:r>
      <w:r>
        <w:rPr>
          <w:rFonts w:ascii="Amiri" w:hAnsi="Amiri" w:eastAsia="Amiri" w:cs="Amiri"/>
          <w:color w:val="111111"/>
          <w:sz w:val="28"/>
          <w:sz w:val="28"/>
          <w:szCs w:val="28"/>
          <w:rtl w:val="true"/>
          <w:lang w:bidi="ar-SA"/>
        </w:rPr>
        <w:t xml:space="preserve">مِن أفعالِ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الإحرامِ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نَفلاً غيرَ واجبٍ؛ كالوقوفِ و الطوافِ،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مَذهبِ أبي حَنيفةَ في وجوبِ الصلاةِ بالدخولِ فيها يَجِبُ أن لا يَكونَ في أفعالِ الصلاةِ شَيءٌ نَفلاً، سِوىٰ تكبيرةِ الِافتتاحِ، و باقي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رُكوعٍ و سُجودٍ 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واجباً؛ لأنّه يوجَبُ النَّفلُ بالدخولِ فيه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الصحيحُ مِن مَذاهبِكم</w:t>
      </w:r>
      <w:r>
        <w:rPr>
          <w:rStyle w:val="FootnoteAnchor"/>
          <w:rtl w:val="true"/>
        </w:rPr>
        <w:footnoteReference w:id="3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الشرعيّاتِ إنّما تَجِبُ لأنّها ألطافٌ في العقليّاتِ، و لا وجهَ لوجوبِها إلّاذلكَ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فالواجبُ مِن هذه العباداتِ لُطفٌ في أمثالِه مِن واجباتِ العقولِ، و النَّفلُ منها لُطفٌ في أمثالِه مِن نَوافِلِ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فالحَجّةُ النافلةُ‌</w:t>
      </w:r>
      <w:r>
        <w:rPr>
          <w:rStyle w:val="FootnoteAnchor"/>
          <w:rtl w:val="true"/>
        </w:rPr>
        <w:footnoteReference w:id="321"/>
      </w:r>
      <w:r>
        <w:rPr>
          <w:rFonts w:ascii="Amiri" w:hAnsi="Amiri" w:eastAsia="Amiri" w:cs="Amiri"/>
          <w:color w:val="111111"/>
          <w:sz w:val="28"/>
          <w:sz w:val="28"/>
          <w:szCs w:val="28"/>
          <w:rtl w:val="true"/>
          <w:lang w:bidi="ar-SA"/>
        </w:rPr>
        <w:t>إذا وَجَبَت بالدخولِ فيها، فيَجِبُ‌</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لُطفاً في أمثالِها</w:t>
      </w:r>
      <w:r>
        <w:rPr>
          <w:rStyle w:val="FootnoteAnchor"/>
          <w:rtl w:val="true"/>
        </w:rPr>
        <w:footnoteReference w:id="323"/>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الواجباتِ، و لا تَكونَ‌</w:t>
      </w:r>
      <w:r>
        <w:rPr>
          <w:rStyle w:val="FootnoteAnchor"/>
          <w:rtl w:val="true"/>
        </w:rPr>
        <w:footnoteReference w:id="324"/>
      </w:r>
      <w:r>
        <w:rPr>
          <w:rFonts w:ascii="Amiri" w:hAnsi="Amiri" w:eastAsia="Amiri" w:cs="Amiri"/>
          <w:color w:val="111111"/>
          <w:sz w:val="28"/>
          <w:sz w:val="28"/>
          <w:szCs w:val="28"/>
          <w:rtl w:val="true"/>
          <w:lang w:bidi="ar-SA"/>
        </w:rPr>
        <w:t>إلّاكذلكَ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أيِّ مَوضِعٍ يَكونُ الحَجُّ لُطفاً في مِثلِه مِن النوافِلِ؟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إذا كانَ فاعلُه مُتنفِّلاً</w:t>
      </w:r>
      <w:r>
        <w:rPr>
          <w:rStyle w:val="FootnoteAnchor"/>
          <w:rtl w:val="true"/>
        </w:rPr>
        <w:footnoteReference w:id="325"/>
      </w:r>
      <w:r>
        <w:rPr>
          <w:rFonts w:ascii="Amiri" w:hAnsi="Amiri" w:eastAsia="Amiri" w:cs="Amiri"/>
          <w:color w:val="111111"/>
          <w:sz w:val="28"/>
          <w:sz w:val="28"/>
          <w:szCs w:val="28"/>
          <w:rtl w:val="true"/>
          <w:lang w:bidi="ar-SA"/>
        </w:rPr>
        <w:t>به مُتطوِّعاً، فهو لُطفٌ في أمثالِه مِن نَوافِلِ العقلِ؛ فأمّا باقي أفعالِ الحَجِّ، فلا تَكونُ إلّاواجبةً في نُفوسِها؛ و وجهُ وجوبِها أنّها</w:t>
      </w:r>
      <w:r>
        <w:rPr>
          <w:rStyle w:val="FootnoteAnchor"/>
          <w:rtl w:val="true"/>
        </w:rPr>
        <w:footnoteReference w:id="326"/>
      </w:r>
      <w:r>
        <w:rPr>
          <w:rFonts w:ascii="Amiri" w:hAnsi="Amiri" w:eastAsia="Amiri" w:cs="Amiri"/>
          <w:color w:val="111111"/>
          <w:sz w:val="28"/>
          <w:sz w:val="28"/>
          <w:szCs w:val="28"/>
          <w:rtl w:val="true"/>
          <w:lang w:bidi="ar-SA"/>
        </w:rPr>
        <w:t>ألطافٌ في أمثالِها مِن واجباتِ العقلِ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فليُتأمَّلْ ذلكَ، و ليُقَسْ عليه نَظائرُه</w:t>
      </w:r>
      <w:r>
        <w:rPr>
          <w:rFonts w:eastAsia="Amiri" w:cs="Amiri" w:ascii="Amiri" w:hAnsi="Amiri"/>
          <w:color w:val="111111"/>
          <w:sz w:val="28"/>
          <w:szCs w:val="28"/>
          <w:rtl w:val="true"/>
          <w:lang w:bidi="ar-SA"/>
        </w:rPr>
        <w:t xml:space="preserve">. </w:t>
      </w:r>
      <w:bookmarkStart w:id="68" w:name="pg16437_172412"/>
    </w:p>
    <w:p>
      <w:pPr>
        <w:pStyle w:val="Heading5"/>
        <w:numPr>
          <w:ilvl w:val="4"/>
          <w:numId w:val="1"/>
        </w:numPr>
        <w:rPr/>
      </w:pPr>
      <w:bookmarkStart w:id="69" w:name="__RefHeading___Toc8039499_1280447820"/>
      <w:bookmarkStart w:id="70" w:name="_Toc24"/>
      <w:bookmarkEnd w:id="68"/>
      <w:bookmarkEnd w:id="69"/>
      <w:r>
        <w:rPr>
          <w:rtl w:val="true"/>
        </w:rPr>
        <w:t>المسألةُ السابعةُ حَولَ الخبرِ المُتَواتِرِ</w:t>
      </w:r>
      <w:bookmarkEnd w:id="70"/>
    </w:p>
    <w:p>
      <w:pPr>
        <w:pStyle w:val="BookText"/>
        <w:rPr/>
      </w:pPr>
      <w:r>
        <w:rPr>
          <w:rFonts w:ascii="IRNazanin" w:hAnsi="IRNazanin" w:eastAsia="IRNazanin"/>
          <w:color w:val="111111"/>
          <w:sz w:val="28"/>
          <w:sz w:val="28"/>
          <w:szCs w:val="28"/>
          <w:rtl w:val="true"/>
          <w:lang w:bidi="fa-IR"/>
        </w:rPr>
        <w:t>إذا</w:t>
      </w:r>
      <w:r>
        <w:rPr>
          <w:rStyle w:val="FootnoteAnchor"/>
          <w:rtl w:val="true"/>
        </w:rPr>
        <w:footnoteReference w:id="327"/>
      </w:r>
      <w:r>
        <w:rPr>
          <w:rFonts w:ascii="Amiri" w:hAnsi="Amiri" w:eastAsia="Amiri" w:cs="Amiri"/>
          <w:color w:val="111111"/>
          <w:sz w:val="28"/>
          <w:sz w:val="28"/>
          <w:szCs w:val="28"/>
          <w:rtl w:val="true"/>
          <w:lang w:bidi="ar-SA"/>
        </w:rPr>
        <w:t>كُنتم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شَرطِ الخبرِ المعلومِ مُخبَرُه باكتِسابٍ أن يَبلُغَ ناقِلوه حَدّاً لا يُساغُ‌</w:t>
      </w:r>
      <w:r>
        <w:rPr>
          <w:rStyle w:val="FootnoteAnchor"/>
          <w:rtl w:val="true"/>
        </w:rPr>
        <w:footnoteReference w:id="328"/>
      </w:r>
      <w:r>
        <w:rPr>
          <w:rFonts w:ascii="Amiri" w:hAnsi="Amiri" w:eastAsia="Amiri" w:cs="Amiri"/>
          <w:color w:val="111111"/>
          <w:sz w:val="28"/>
          <w:sz w:val="28"/>
          <w:szCs w:val="28"/>
          <w:rtl w:val="true"/>
          <w:lang w:bidi="ar-SA"/>
        </w:rPr>
        <w:t>معه الكَذِبُ باتّفاقٍ و لا تَواطؤٍ و لا</w:t>
      </w:r>
      <w:r>
        <w:rPr>
          <w:rStyle w:val="FootnoteAnchor"/>
          <w:rtl w:val="true"/>
        </w:rPr>
        <w:footnoteReference w:id="329"/>
      </w:r>
      <w:r>
        <w:rPr>
          <w:rFonts w:ascii="Amiri" w:hAnsi="Amiri" w:eastAsia="Amiri" w:cs="Amiri"/>
          <w:color w:val="111111"/>
          <w:sz w:val="28"/>
          <w:sz w:val="28"/>
          <w:szCs w:val="28"/>
          <w:rtl w:val="true"/>
          <w:lang w:bidi="ar-SA"/>
        </w:rPr>
        <w:t>ما يَقومُ مَقامَه؛ و لا يَكونُ كذلكَ إلّا ببُلوغِهم حَدّاً مِن الكَثرةِ، و يَكونُ‌</w:t>
      </w:r>
      <w:r>
        <w:rPr>
          <w:rStyle w:val="FootnoteAnchor"/>
          <w:rtl w:val="true"/>
        </w:rPr>
        <w:footnoteReference w:id="330"/>
      </w:r>
      <w:r>
        <w:rPr>
          <w:rFonts w:ascii="Amiri" w:hAnsi="Amiri" w:eastAsia="Amiri" w:cs="Amiri"/>
          <w:color w:val="111111"/>
          <w:sz w:val="28"/>
          <w:sz w:val="28"/>
          <w:szCs w:val="28"/>
          <w:rtl w:val="true"/>
          <w:lang w:bidi="ar-SA"/>
        </w:rPr>
        <w:t>هؤلاءِ الكَثرةُ مُتَباعِدي الديارِ مُختَلِفي الآراءِ؛ فإن كانوا يَنقُلونَ بواسطةٍ، وَجَبَ أن يَكونَ حُكمُها</w:t>
      </w:r>
      <w:r>
        <w:rPr>
          <w:rStyle w:val="FootnoteAnchor"/>
          <w:rtl w:val="true"/>
        </w:rPr>
        <w:footnoteReference w:id="331"/>
      </w:r>
      <w:r>
        <w:rPr>
          <w:rFonts w:ascii="Amiri" w:hAnsi="Amiri" w:eastAsia="Amiri" w:cs="Amiri"/>
          <w:color w:val="111111"/>
          <w:sz w:val="28"/>
          <w:sz w:val="28"/>
          <w:szCs w:val="28"/>
          <w:rtl w:val="true"/>
          <w:lang w:bidi="ar-SA"/>
        </w:rPr>
        <w:t>حُكمَهم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الطريقُ الذي منه</w:t>
      </w:r>
      <w:r>
        <w:rPr>
          <w:rStyle w:val="FootnoteAnchor"/>
          <w:rtl w:val="true"/>
        </w:rPr>
        <w:footnoteReference w:id="332"/>
      </w:r>
      <w:r>
        <w:rPr>
          <w:rFonts w:ascii="Amiri" w:hAnsi="Amiri" w:eastAsia="Amiri" w:cs="Amiri"/>
          <w:color w:val="111111"/>
          <w:sz w:val="28"/>
          <w:sz w:val="28"/>
          <w:szCs w:val="28"/>
          <w:rtl w:val="true"/>
          <w:lang w:bidi="ar-SA"/>
        </w:rPr>
        <w:t>يَعلَمُ الناظرُ بُلوغَ الطبقةِ التي تَليهِ هذا الحَدَّ؟ بلِقاءِ كُلِّ ناقِلٍ بعَينِه، أم بالخبرِ عنه؟ و لا واسطةَ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بلِقاءِ كُلِّ ناقِلٍ، لَم يَجُز لأحَدٍ مِنّا أن يَستَدِلَّ بتَواتُرٍ إلّابَعدَ أن يَلقىٰ جميعَ‌</w:t>
      </w:r>
      <w:r>
        <w:rPr>
          <w:rStyle w:val="FootnoteAnchor"/>
          <w:rtl w:val="true"/>
        </w:rPr>
        <w:footnoteReference w:id="333"/>
      </w:r>
      <w:r>
        <w:rPr>
          <w:rFonts w:ascii="Amiri" w:hAnsi="Amiri" w:eastAsia="Amiri" w:cs="Amiri"/>
          <w:color w:val="111111"/>
          <w:sz w:val="28"/>
          <w:sz w:val="28"/>
          <w:szCs w:val="28"/>
          <w:rtl w:val="true"/>
          <w:lang w:bidi="ar-SA"/>
        </w:rPr>
        <w:t>مَن</w:t>
      </w:r>
      <w:r>
        <w:rPr>
          <w:rStyle w:val="FootnoteAnchor"/>
          <w:rtl w:val="true"/>
        </w:rPr>
        <w:footnoteReference w:id="334"/>
      </w:r>
      <w:r>
        <w:rPr>
          <w:rFonts w:ascii="Amiri" w:hAnsi="Amiri" w:eastAsia="Amiri" w:cs="Amiri"/>
          <w:color w:val="111111"/>
          <w:sz w:val="28"/>
          <w:sz w:val="28"/>
          <w:szCs w:val="28"/>
          <w:rtl w:val="true"/>
          <w:lang w:bidi="ar-SA"/>
        </w:rPr>
        <w:t xml:space="preserve">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ناقِلي النصِّ و غيرِه</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زمانِه في جميعِ البِلادِ، أو مَن يَقومُ‌</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بنَقلِه منهم</w:t>
      </w:r>
      <w:r>
        <w:rPr>
          <w:rStyle w:val="FootnoteAnchor"/>
          <w:rtl w:val="true"/>
        </w:rPr>
        <w:footnoteReference w:id="337"/>
      </w:r>
      <w:r>
        <w:rPr>
          <w:rFonts w:ascii="Amiri" w:hAnsi="Amiri" w:eastAsia="Amiri" w:cs="Amiri"/>
          <w:color w:val="111111"/>
          <w:sz w:val="28"/>
          <w:sz w:val="28"/>
          <w:szCs w:val="28"/>
          <w:rtl w:val="true"/>
          <w:lang w:bidi="ar-SA"/>
        </w:rPr>
        <w:t>الحُجّةُ؛ و ذلكَ كالمُتعذِّرِ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افتقارُ</w:t>
      </w:r>
      <w:r>
        <w:rPr>
          <w:rStyle w:val="FootnoteAnchor"/>
          <w:rtl w:val="true"/>
        </w:rPr>
        <w:footnoteReference w:id="338"/>
      </w:r>
      <w:r>
        <w:rPr>
          <w:rFonts w:ascii="Amiri" w:hAnsi="Amiri" w:eastAsia="Amiri" w:cs="Amiri"/>
          <w:color w:val="111111"/>
          <w:sz w:val="28"/>
          <w:sz w:val="28"/>
          <w:szCs w:val="28"/>
          <w:rtl w:val="true"/>
          <w:lang w:bidi="ar-SA"/>
        </w:rPr>
        <w:t>استدلالِ كُلِّ‌</w:t>
      </w:r>
      <w:r>
        <w:rPr>
          <w:rStyle w:val="FootnoteAnchor"/>
          <w:rtl w:val="true"/>
        </w:rPr>
        <w:footnoteReference w:id="339"/>
      </w:r>
      <w:r>
        <w:rPr>
          <w:rFonts w:ascii="Amiri" w:hAnsi="Amiri" w:eastAsia="Amiri" w:cs="Amiri"/>
          <w:color w:val="111111"/>
          <w:sz w:val="28"/>
          <w:sz w:val="28"/>
          <w:szCs w:val="28"/>
          <w:rtl w:val="true"/>
          <w:lang w:bidi="ar-SA"/>
        </w:rPr>
        <w:t xml:space="preserve">مُستَدِلٍّ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 و مُعجِزاتِ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Style w:val="FootnoteAnchor"/>
          <w:rtl w:val="true"/>
        </w:rPr>
        <w:footnoteReference w:id="340"/>
      </w:r>
      <w:r>
        <w:rPr>
          <w:rFonts w:ascii="Amiri" w:hAnsi="Amiri" w:eastAsia="Amiri" w:cs="Amiri"/>
          <w:color w:val="111111"/>
          <w:sz w:val="28"/>
          <w:sz w:val="28"/>
          <w:szCs w:val="28"/>
          <w:rtl w:val="true"/>
          <w:lang w:bidi="ar-SA"/>
        </w:rPr>
        <w:t>أن يَلقىٰ‌</w:t>
      </w:r>
      <w:r>
        <w:rPr>
          <w:rStyle w:val="FootnoteAnchor"/>
          <w:rtl w:val="true"/>
        </w:rPr>
        <w:footnoteReference w:id="341"/>
      </w:r>
      <w:r>
        <w:rPr>
          <w:rFonts w:ascii="Amiri" w:hAnsi="Amiri" w:eastAsia="Amiri" w:cs="Amiri"/>
          <w:color w:val="111111"/>
          <w:sz w:val="28"/>
          <w:sz w:val="28"/>
          <w:szCs w:val="28"/>
          <w:rtl w:val="true"/>
          <w:lang w:bidi="ar-SA"/>
        </w:rPr>
        <w:t>مَن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بالخبرِ عنهم، فلا يَخلو حصولُ ذلكَ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بخبرِ</w:t>
      </w:r>
      <w:r>
        <w:rPr>
          <w:rStyle w:val="FootnoteAnchor"/>
          <w:rtl w:val="true"/>
        </w:rPr>
        <w:footnoteReference w:id="342"/>
      </w:r>
      <w:r>
        <w:rPr>
          <w:rFonts w:ascii="Amiri" w:hAnsi="Amiri" w:eastAsia="Amiri" w:cs="Amiri"/>
          <w:color w:val="111111"/>
          <w:sz w:val="28"/>
          <w:sz w:val="28"/>
          <w:szCs w:val="28"/>
          <w:rtl w:val="true"/>
          <w:lang w:bidi="ar-SA"/>
        </w:rPr>
        <w:t>واحدٍ عن</w:t>
      </w:r>
      <w:r>
        <w:rPr>
          <w:rStyle w:val="FootnoteAnchor"/>
          <w:rtl w:val="true"/>
        </w:rPr>
        <w:footnoteReference w:id="343"/>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Style w:val="FootnoteAnchor"/>
          <w:rtl w:val="true"/>
        </w:rPr>
        <w:footnoteReference w:id="344"/>
      </w:r>
      <w:r>
        <w:rPr>
          <w:rFonts w:ascii="Amiri" w:hAnsi="Amiri" w:eastAsia="Amiri" w:cs="Amiri"/>
          <w:color w:val="111111"/>
          <w:sz w:val="28"/>
          <w:sz w:val="28"/>
          <w:szCs w:val="28"/>
          <w:rtl w:val="true"/>
          <w:lang w:bidi="ar-SA"/>
        </w:rPr>
        <w:t>واحدٍ</w:t>
      </w:r>
      <w:r>
        <w:rPr>
          <w:rStyle w:val="FootnoteAnchor"/>
          <w:rtl w:val="true"/>
        </w:rPr>
        <w:footnoteReference w:id="345"/>
      </w:r>
      <w:r>
        <w:rPr>
          <w:rFonts w:ascii="Amiri" w:hAnsi="Amiri" w:eastAsia="Amiri" w:cs="Amiri"/>
          <w:color w:val="111111"/>
          <w:sz w:val="28"/>
          <w:sz w:val="28"/>
          <w:szCs w:val="28"/>
          <w:rtl w:val="true"/>
          <w:lang w:bidi="ar-SA"/>
        </w:rPr>
        <w:t>عن جميعِهم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خبرِ جماعةٍ لا يَصِحُّ عليها</w:t>
      </w:r>
      <w:r>
        <w:rPr>
          <w:rStyle w:val="FootnoteAnchor"/>
          <w:rtl w:val="true"/>
        </w:rPr>
        <w:footnoteReference w:id="346"/>
      </w:r>
      <w:r>
        <w:rPr>
          <w:rFonts w:ascii="Amiri" w:hAnsi="Amiri" w:eastAsia="Amiri" w:cs="Amiri"/>
          <w:color w:val="111111"/>
          <w:sz w:val="28"/>
          <w:sz w:val="28"/>
          <w:szCs w:val="28"/>
          <w:rtl w:val="true"/>
          <w:lang w:bidi="ar-SA"/>
        </w:rPr>
        <w:t>الكَذِبُ عن جماعةٍ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القِسمانِ الأوّلانِ و الرابعُ لَيسَ بطريقٍ للعِلمِ، فلا اعتدادَ</w:t>
      </w:r>
      <w:r>
        <w:rPr>
          <w:rStyle w:val="FootnoteAnchor"/>
          <w:rtl w:val="true"/>
        </w:rPr>
        <w:footnoteReference w:id="347"/>
      </w:r>
      <w:r>
        <w:rPr>
          <w:rFonts w:ascii="IRNazanin" w:hAnsi="IRNazanin" w:eastAsia="IRNazanin"/>
          <w:color w:val="111111"/>
          <w:sz w:val="28"/>
          <w:sz w:val="28"/>
          <w:szCs w:val="28"/>
          <w:rtl w:val="true"/>
          <w:lang w:bidi="fa-IR"/>
        </w:rPr>
        <w:t>به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القِسمُ الثالثُ يوجِبُ اختصاصَ الاستدلالِ بالتواتُرِ بمَن</w:t>
      </w:r>
      <w:r>
        <w:rPr>
          <w:rStyle w:val="FootnoteAnchor"/>
          <w:rtl w:val="true"/>
        </w:rPr>
        <w:footnoteReference w:id="349"/>
      </w:r>
      <w:r>
        <w:rPr>
          <w:rFonts w:ascii="Amiri" w:hAnsi="Amiri" w:eastAsia="Amiri" w:cs="Amiri"/>
          <w:color w:val="111111"/>
          <w:sz w:val="28"/>
          <w:sz w:val="28"/>
          <w:szCs w:val="28"/>
          <w:rtl w:val="true"/>
          <w:lang w:bidi="ar-SA"/>
        </w:rPr>
        <w:t>لَقيَ‌</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الناقِلينَ عن</w:t>
      </w:r>
      <w:r>
        <w:rPr>
          <w:rStyle w:val="FootnoteAnchor"/>
          <w:rtl w:val="true"/>
        </w:rPr>
        <w:footnoteReference w:id="351"/>
      </w:r>
      <w:r>
        <w:rPr>
          <w:rFonts w:ascii="Amiri" w:hAnsi="Amiri" w:eastAsia="Amiri" w:cs="Amiri"/>
          <w:color w:val="111111"/>
          <w:sz w:val="28"/>
          <w:sz w:val="28"/>
          <w:szCs w:val="28"/>
          <w:rtl w:val="true"/>
          <w:lang w:bidi="ar-SA"/>
        </w:rPr>
        <w:t xml:space="preserve">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352"/>
      </w:r>
      <w:r>
        <w:rPr>
          <w:rFonts w:ascii="Amiri" w:hAnsi="Amiri" w:eastAsia="Amiri" w:cs="Amiri"/>
          <w:color w:val="111111"/>
          <w:sz w:val="28"/>
          <w:sz w:val="28"/>
          <w:szCs w:val="28"/>
          <w:rtl w:val="true"/>
          <w:lang w:bidi="ar-SA"/>
        </w:rPr>
        <w:t>له صفةُ التواتُرِ، دونَ مَن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لاحِقٌ بالقِسمِ المُتقدِّمِ، و قد بيّنّا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أنصَفَ كُلُّ مُستَدِلٍّ بتَواتُرٍ مِن نفسِه، عَلِمَ تَعذُّرَ هذا عليه، و ارتفاعَه عن صفةِ مَن سَمِعَ منهم ما يَقولُ بتَواتُرِه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صَحَّ حُصولُه فالأعيانُ يَكادونَ‌</w:t>
      </w:r>
      <w:r>
        <w:rPr>
          <w:rStyle w:val="FootnoteAnchor"/>
          <w:rtl w:val="true"/>
        </w:rPr>
        <w:footnoteReference w:id="353"/>
      </w:r>
      <w:r>
        <w:rPr>
          <w:rFonts w:ascii="Amiri" w:hAnsi="Amiri" w:eastAsia="Amiri" w:cs="Amiri"/>
          <w:color w:val="111111"/>
          <w:sz w:val="28"/>
          <w:sz w:val="28"/>
          <w:szCs w:val="28"/>
          <w:rtl w:val="true"/>
          <w:lang w:bidi="ar-SA"/>
        </w:rPr>
        <w:t>لا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القائلينَ بالتواتُرِ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يَذهَبُ إلىٰ أنّ الخبرَ المُتَواتِرَ يَفعَلُ‌</w:t>
      </w:r>
      <w:r>
        <w:rPr>
          <w:rStyle w:val="FootnoteAnchor"/>
          <w:rtl w:val="true"/>
        </w:rPr>
        <w:footnoteReference w:id="355"/>
      </w:r>
      <w:r>
        <w:rPr>
          <w:rFonts w:ascii="Amiri" w:hAnsi="Amiri" w:eastAsia="Amiri" w:cs="Amiri"/>
          <w:color w:val="111111"/>
          <w:sz w:val="28"/>
          <w:sz w:val="28"/>
          <w:szCs w:val="28"/>
          <w:rtl w:val="true"/>
          <w:lang w:bidi="ar-SA"/>
        </w:rPr>
        <w:t>اللّٰهُ تَعالىٰ عندَه للسامعينَ العِلمَ الضروريَّ بمُخبَرِه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 يَذهَبونَ إلىٰ أنّ العِلمَ بمُخبَرِه مُكتَسَبٌ</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فمَن ذَهَبَ إلَى الأوّلِ يُعوِّلُ‌</w:t>
      </w:r>
      <w:r>
        <w:rPr>
          <w:rStyle w:val="FootnoteAnchor"/>
          <w:rtl w:val="true"/>
        </w:rPr>
        <w:footnoteReference w:id="357"/>
      </w:r>
      <w:r>
        <w:rPr>
          <w:rFonts w:ascii="Amiri" w:hAnsi="Amiri" w:eastAsia="Amiri" w:cs="Amiri"/>
          <w:color w:val="111111"/>
          <w:sz w:val="28"/>
          <w:sz w:val="28"/>
          <w:szCs w:val="28"/>
          <w:rtl w:val="true"/>
          <w:lang w:bidi="ar-SA"/>
        </w:rPr>
        <w:t>علىٰ وقوعِ العِلمِ الضروريِّ له؛ فإذا وَجَدَ نفسَه عليه عَلِمَ أنّ صفةَ المُخبِرينَ له صفةُ المُتَواتِرينَ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العِلمِ بصِفةِ المُخبِرينَ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حُصولُ العِلمِ الضروريِّ بِمُخبَرِهم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قالَ بالمَذهبِ الثاني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w:t>
      </w:r>
      <w:r>
        <w:rPr>
          <w:rStyle w:val="FootnoteAnchor"/>
          <w:rtl w:val="true"/>
        </w:rPr>
        <w:footnoteReference w:id="358"/>
      </w:r>
      <w:r>
        <w:rPr>
          <w:rFonts w:ascii="Amiri" w:hAnsi="Amiri" w:eastAsia="Amiri" w:cs="Amiri"/>
          <w:color w:val="111111"/>
          <w:sz w:val="28"/>
          <w:sz w:val="28"/>
          <w:szCs w:val="28"/>
          <w:rtl w:val="true"/>
          <w:lang w:bidi="ar-SA"/>
        </w:rPr>
        <w:t xml:space="preserve">إلَى العِلمِ بصِفةِ المُخبِرينَ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العادةَ قد فَرَّقَت بَينَ الجماعةِ التي يَجوزُ عليها أن يَتَّفِقَ منها الكَذِبُ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غيرِ تَواطؤٍ و ما يَقومُ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لا يَجوزُ ذلكَ عليه، و فَرَّقَت أيضاً بَينَ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يَجوزُ عليه التواطؤُ مِن الجَماعاتِ و 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لا يَجوزُ ذلكَ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إذا وَقَعَ منه التواطؤُ جازَ أن يَنكَتِمَ و بَينَ مَن لا يَجوزُ انكِتامُ تَواطُئِه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كُلَّ عاقِلٍ خالَطَ أهلَ العاداتِ يَعلَمُ ضَرورةً أنّ أهلَ مَدينةِ السلامِ لا يَجوزُ</w:t>
      </w:r>
      <w:r>
        <w:rPr>
          <w:rStyle w:val="FootnoteAnchor"/>
          <w:rtl w:val="true"/>
        </w:rPr>
        <w:footnoteReference w:id="359"/>
      </w:r>
      <w:r>
        <w:rPr>
          <w:rFonts w:ascii="IRNazanin" w:hAnsi="IRNazanin" w:eastAsia="IRNazanin"/>
          <w:color w:val="111111"/>
          <w:sz w:val="28"/>
          <w:sz w:val="28"/>
          <w:szCs w:val="28"/>
          <w:rtl w:val="true"/>
          <w:lang w:bidi="fa-IR"/>
        </w:rPr>
        <w:t>أن</w:t>
      </w:r>
      <w:r>
        <w:rPr>
          <w:rStyle w:val="FootnoteAnchor"/>
          <w:rtl w:val="true"/>
        </w:rPr>
        <w:footnoteReference w:id="360"/>
      </w:r>
      <w:r>
        <w:rPr>
          <w:rFonts w:ascii="Amiri" w:hAnsi="Amiri" w:eastAsia="Amiri" w:cs="Amiri"/>
          <w:color w:val="111111"/>
          <w:sz w:val="28"/>
          <w:sz w:val="28"/>
          <w:szCs w:val="28"/>
          <w:rtl w:val="true"/>
          <w:lang w:bidi="ar-SA"/>
        </w:rPr>
        <w:t>يَتَّفِقَ منهم الكَذِبُ الواحدُ مِن غيرِ تَواطؤٍ عليه، و لا أن يَتَواطَؤُوا أو يَقومَ‌</w:t>
      </w:r>
      <w:r>
        <w:rPr>
          <w:rStyle w:val="FootnoteAnchor"/>
          <w:rtl w:val="true"/>
        </w:rPr>
        <w:footnoteReference w:id="361"/>
      </w:r>
      <w:r>
        <w:rPr>
          <w:rFonts w:ascii="Amiri" w:hAnsi="Amiri" w:eastAsia="Amiri" w:cs="Amiri"/>
          <w:color w:val="111111"/>
          <w:sz w:val="28"/>
          <w:sz w:val="28"/>
          <w:szCs w:val="28"/>
          <w:rtl w:val="true"/>
          <w:lang w:bidi="ar-SA"/>
        </w:rPr>
        <w:t>لهم جامعٌ علَى الخبرِ مَقامَ التواطؤِ، فيَنكَتِمَ ذلكَ فيَستَتِرَ؛ بَل</w:t>
      </w:r>
      <w:r>
        <w:rPr>
          <w:rStyle w:val="FootnoteAnchor"/>
          <w:rtl w:val="true"/>
        </w:rPr>
        <w:footnoteReference w:id="362"/>
      </w:r>
      <w:r>
        <w:rPr>
          <w:rFonts w:ascii="Amiri" w:hAnsi="Amiri" w:eastAsia="Amiri" w:cs="Amiri"/>
          <w:color w:val="111111"/>
          <w:sz w:val="28"/>
          <w:sz w:val="28"/>
          <w:szCs w:val="28"/>
          <w:rtl w:val="true"/>
          <w:lang w:bidi="ar-SA"/>
        </w:rPr>
        <w:t>لا يَجوزُ علىٰ مَن حَضَرَ بعضَ جَوامِعِها ذلكَ‌</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عَلِمَ أنّ وجوهَ‌</w:t>
      </w:r>
      <w:r>
        <w:rPr>
          <w:rStyle w:val="FootnoteAnchor"/>
          <w:rtl w:val="true"/>
        </w:rPr>
        <w:footnoteReference w:id="364"/>
      </w:r>
      <w:r>
        <w:rPr>
          <w:rFonts w:ascii="Amiri" w:hAnsi="Amiri" w:eastAsia="Amiri" w:cs="Amiri"/>
          <w:color w:val="111111"/>
          <w:sz w:val="28"/>
          <w:sz w:val="28"/>
          <w:szCs w:val="28"/>
          <w:rtl w:val="true"/>
          <w:lang w:bidi="ar-SA"/>
        </w:rPr>
        <w:t>كَونِ الخبرِ كَذِباً لا يَصِحُّ علىٰ هذه الجَماعاتِ‌</w:t>
      </w:r>
      <w:r>
        <w:rPr>
          <w:rStyle w:val="FootnoteAnchor"/>
          <w:rtl w:val="true"/>
        </w:rPr>
        <w:footnoteReference w:id="365"/>
      </w:r>
      <w:r>
        <w:rPr>
          <w:rFonts w:ascii="Amiri" w:hAnsi="Amiri" w:eastAsia="Amiri" w:cs="Amiri"/>
          <w:color w:val="111111"/>
          <w:sz w:val="28"/>
          <w:sz w:val="28"/>
          <w:szCs w:val="28"/>
          <w:rtl w:val="true"/>
          <w:lang w:bidi="ar-SA"/>
        </w:rPr>
        <w:t>، فلَيسَ بَعدَ ارتفاعِ كَونِه كَذِباً إلّاكَونُه صِدقاً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عَجَبٍ و استبعادٍ لأِنْ يَكونَ أحَدُنا يَلقىٰ بنَفسِه و يَسمَعُ الخبرَ ممّن هو علىٰ صفةِ المُتَواتِرينَ؟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وَ لَيسَ كُلُّ واحدٍ مِنّا يَسمَعُ الأخبارَ ممّن يُخبِرُه عن عُمانَ و سِجِستانَ و البُلدانِ التي ما شاهَدَها، فيَعلَمُ صِدقَهم، إذا عَلِمَ أنّ العادةَ لَم تَجرِ</w:t>
      </w:r>
      <w:r>
        <w:rPr>
          <w:rStyle w:val="FootnoteAnchor"/>
          <w:rtl w:val="true"/>
        </w:rPr>
        <w:footnoteReference w:id="367"/>
      </w:r>
      <w:r>
        <w:rPr>
          <w:rFonts w:ascii="Amiri" w:hAnsi="Amiri" w:eastAsia="Amiri" w:cs="Amiri"/>
          <w:color w:val="111111"/>
          <w:sz w:val="28"/>
          <w:sz w:val="28"/>
          <w:szCs w:val="28"/>
          <w:rtl w:val="true"/>
          <w:lang w:bidi="ar-SA"/>
        </w:rPr>
        <w:t>في مِثلِ مَن خَبَّرَه عن ذلكَ بالكَذِبِ؛ لعَدَمِ جوازِ اتّفاقِ الكَذِبِ و التواطؤِ؟ و هَل العِلمُ بالوَقائعِ و الحَوادثِ الكِبارِ في عَصرِنا مُستَفادٌ إلّاممّن يُخبِرُنا مُشافَهةً عن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العِلمُ بالنَّصِّ الذي يَنفَرِدُ</w:t>
      </w:r>
      <w:r>
        <w:rPr>
          <w:rStyle w:val="FootnoteAnchor"/>
          <w:rtl w:val="true"/>
        </w:rPr>
        <w:footnoteReference w:id="368"/>
      </w:r>
      <w:r>
        <w:rPr>
          <w:rFonts w:ascii="Amiri" w:hAnsi="Amiri" w:eastAsia="Amiri" w:cs="Amiri"/>
          <w:color w:val="111111"/>
          <w:sz w:val="28"/>
          <w:sz w:val="28"/>
          <w:szCs w:val="28"/>
          <w:rtl w:val="true"/>
          <w:lang w:bidi="ar-SA"/>
        </w:rPr>
        <w:t>به الإماميّةُ‌</w:t>
      </w:r>
      <w:r>
        <w:rPr>
          <w:rStyle w:val="FootnoteAnchor"/>
          <w:rtl w:val="true"/>
        </w:rPr>
        <w:footnoteReference w:id="369"/>
      </w:r>
      <w:r>
        <w:rPr>
          <w:rFonts w:ascii="Amiri" w:hAnsi="Amiri" w:eastAsia="Amiri" w:cs="Amiri"/>
          <w:color w:val="111111"/>
          <w:sz w:val="28"/>
          <w:sz w:val="28"/>
          <w:szCs w:val="28"/>
          <w:rtl w:val="true"/>
          <w:lang w:bidi="ar-SA"/>
        </w:rPr>
        <w:t>لا يَزالُ أحَدُنا يَسمَعُ كُلَّ إماميٍّ عاصَرَه و لَقِيَه</w:t>
      </w:r>
      <w:r>
        <w:rPr>
          <w:rStyle w:val="FootnoteAnchor"/>
          <w:rtl w:val="true"/>
        </w:rPr>
        <w:footnoteReference w:id="370"/>
      </w:r>
      <w:r>
        <w:rPr>
          <w:rFonts w:ascii="Amiri" w:hAnsi="Amiri" w:eastAsia="Amiri" w:cs="Amiri"/>
          <w:color w:val="111111"/>
          <w:sz w:val="28"/>
          <w:sz w:val="28"/>
          <w:szCs w:val="28"/>
          <w:rtl w:val="true"/>
          <w:lang w:bidi="ar-SA"/>
        </w:rPr>
        <w:t>يَرويهِ له، مع كَثرتِهم و امتناعِ الكَذِبِ في العاداتِ علىٰ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يَجِبُ أن لا يَعلَمَ هذا النَّصَّ إلّابَعدَ أن يَلقىٰ كُلَّ إماميٍّ يَرويهِ في كُلِّ بَلَدٍ؛ لأنّه إذا لَقِيَ مِن جُملتِهم مَن خَبَّرَه بالنَّصِّ، و قد بَلَغوا مِن الكَثرةِ إلىٰ حَدٍّ تَقضي</w:t>
      </w:r>
      <w:r>
        <w:rPr>
          <w:rStyle w:val="FootnoteAnchor"/>
          <w:rtl w:val="true"/>
        </w:rPr>
        <w:footnoteReference w:id="371"/>
      </w:r>
      <w:r>
        <w:rPr>
          <w:rFonts w:ascii="Amiri" w:hAnsi="Amiri" w:eastAsia="Amiri" w:cs="Amiri"/>
          <w:color w:val="111111"/>
          <w:sz w:val="28"/>
          <w:sz w:val="28"/>
          <w:szCs w:val="28"/>
          <w:rtl w:val="true"/>
          <w:lang w:bidi="ar-SA"/>
        </w:rPr>
        <w:t>العاداتُ بأنّ الكَذِبَ لا يَجوزُ معه عليهم، عَلِمَ‌</w:t>
      </w:r>
      <w:r>
        <w:rPr>
          <w:rStyle w:val="FootnoteAnchor"/>
          <w:rtl w:val="true"/>
        </w:rPr>
        <w:footnoteReference w:id="372"/>
      </w:r>
      <w:r>
        <w:rPr>
          <w:rFonts w:ascii="Amiri" w:hAnsi="Amiri" w:eastAsia="Amiri" w:cs="Amiri"/>
          <w:color w:val="111111"/>
          <w:sz w:val="28"/>
          <w:sz w:val="28"/>
          <w:szCs w:val="28"/>
          <w:rtl w:val="true"/>
          <w:lang w:bidi="ar-SA"/>
        </w:rPr>
        <w:t>صِدقَهم، و إن لَم يُخبِرْه كُلُّ إماميٍّ في الأرضِ</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مِن شَرطِ الخبرِ المُتَواتِرِ أن يَكونَ رُواتُه مُتباعِدي الديارِ، مُختَلِفي الآراءِ و الأوطانِ؛ و لا يَحصُرَهم بَلَدٌ</w:t>
      </w:r>
      <w:r>
        <w:rPr>
          <w:rStyle w:val="FootnoteAnchor"/>
          <w:rtl w:val="true"/>
        </w:rPr>
        <w:footnoteReference w:id="373"/>
      </w:r>
      <w:r>
        <w:rPr>
          <w:rFonts w:ascii="Amiri" w:hAnsi="Amiri" w:eastAsia="Amiri" w:cs="Amiri"/>
          <w:color w:val="111111"/>
          <w:sz w:val="28"/>
          <w:sz w:val="28"/>
          <w:szCs w:val="28"/>
          <w:rtl w:val="true"/>
          <w:lang w:bidi="ar-SA"/>
        </w:rPr>
        <w:t>و لا يُحصيَهم عَدَدٌ</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مَضىٰ في المَسألةِ، علىٰ ما يَظُنُّه مَن لا خِبرةَ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التواتُرَ</w:t>
      </w:r>
      <w:r>
        <w:rPr>
          <w:rStyle w:val="FootnoteAnchor"/>
          <w:rtl w:val="true"/>
        </w:rPr>
        <w:footnoteReference w:id="375"/>
      </w:r>
      <w:r>
        <w:rPr>
          <w:rFonts w:ascii="Amiri" w:hAnsi="Amiri" w:eastAsia="Amiri" w:cs="Amiri"/>
          <w:color w:val="111111"/>
          <w:sz w:val="28"/>
          <w:sz w:val="28"/>
          <w:szCs w:val="28"/>
          <w:rtl w:val="true"/>
          <w:lang w:bidi="ar-SA"/>
        </w:rPr>
        <w:t xml:space="preserve">قد يَحصُلُ بأهلِ بَلَدٍ واحدٍ، بَل بأهلِ </w:t>
      </w:r>
    </w:p>
    <w:p>
      <w:pPr>
        <w:pStyle w:val="BookText"/>
        <w:rPr/>
      </w:pPr>
      <w:r>
        <w:rPr>
          <w:rFonts w:ascii="Amiri" w:hAnsi="Amiri" w:eastAsia="Amiri" w:cs="Amiri"/>
          <w:color w:val="111111"/>
          <w:sz w:val="28"/>
          <w:sz w:val="28"/>
          <w:szCs w:val="28"/>
          <w:rtl w:val="true"/>
          <w:lang w:bidi="ar-SA"/>
        </w:rPr>
        <w:t>مَحلّةٍ واحدةٍ، و مع اتّفاقِ الآراءِ و الأوطانِ و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لِاعتبارِ ذلكَ‌</w:t>
      </w:r>
      <w:r>
        <w:rPr>
          <w:rStyle w:val="FootnoteAnchor"/>
          <w:rtl w:val="true"/>
        </w:rPr>
        <w:footnoteReference w:id="376"/>
      </w:r>
      <w:r>
        <w:rPr>
          <w:rFonts w:ascii="Amiri" w:hAnsi="Amiri" w:eastAsia="Amiri" w:cs="Amiri"/>
          <w:color w:val="111111"/>
          <w:sz w:val="28"/>
          <w:sz w:val="28"/>
          <w:szCs w:val="28"/>
          <w:rtl w:val="true"/>
          <w:lang w:bidi="ar-SA"/>
        </w:rPr>
        <w:t>، و لا تأثيرَ في الحُكمِ المطلوبِ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إلّاأن نُبيِّنَ أنّ الناقِلينَ إذا كانوا لَم يَنقُلوا عمّا شاهَدوه بنُفوسِهم، بَل عن طبقاتٍ كَثيرةٍ، إلىٰ أن يَتَّصِلَ‌</w:t>
      </w:r>
      <w:r>
        <w:rPr>
          <w:rStyle w:val="FootnoteAnchor"/>
          <w:rtl w:val="true"/>
        </w:rPr>
        <w:footnoteReference w:id="377"/>
      </w:r>
      <w:r>
        <w:rPr>
          <w:rFonts w:ascii="Amiri" w:hAnsi="Amiri" w:eastAsia="Amiri" w:cs="Amiri"/>
          <w:color w:val="111111"/>
          <w:sz w:val="28"/>
          <w:sz w:val="28"/>
          <w:szCs w:val="28"/>
          <w:rtl w:val="true"/>
          <w:lang w:bidi="ar-SA"/>
        </w:rPr>
        <w:t>بالمنقولِ عنه؛ كَيفَ السبيلُ إلَى العِلمِ بأنّ الطبقاتِ كُلَّها في الكَثرةِ و امتناعِ الكَذِبِ عليها كالطبَقةِ الأُولَى التي شاهَدناها؟</w:t>
      </w:r>
    </w:p>
    <w:p>
      <w:pPr>
        <w:pStyle w:val="BookText"/>
        <w:rPr/>
      </w:pPr>
      <w:r>
        <w:rPr>
          <w:rFonts w:ascii="Amiri" w:hAnsi="Amiri" w:eastAsia="Amiri" w:cs="Amiri"/>
          <w:color w:val="111111"/>
          <w:sz w:val="28"/>
          <w:sz w:val="28"/>
          <w:szCs w:val="28"/>
          <w:rtl w:val="true"/>
          <w:lang w:bidi="ar-SA"/>
        </w:rPr>
        <w:t xml:space="preserve">و قد كانَ أصحابُنا يَستَدِلّونَ علىٰ ذلكَ بطَريقةٍ قد بيّنّا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و غيرِه أنّها غيرُ مَرضيّةٍ، و طَعَنّا فيها؛ و هي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أخبَرَنا مَن يَلينا مِن الطبقاتِ بأنّهم نَقَلوا الخبرَ عمّن هو علىٰ مِثلِ صفتِهم في الكَثرةِ، عَلِمنا أنّ الصفاتِ مُتَّفِقةٌ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بصَحيحٍ؛ لأنّه يَجوزُ أن يُخبِرَنا مَن يَلينا بذلكَ إن لَم يَكونوا صادقينَ؛ لأنّ الكَذِبَ في مِثلِ ذلكَ يَجوزُ علَى الجَماعاتِ؛ لأنّه قد يَجوزُ أن يَدعُوَهم إليه داعٍ واحدٌ مِن غيرِ أن يَتَواطَؤُوا عليه</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يُقبَلُ خبرُ الجَماعةِ إذا كانَ عَمّا لا يَجوزُ أن يَجتَمِعوا علَى الإخبارِ به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w:t>
      </w:r>
      <w:r>
        <w:rPr>
          <w:rStyle w:val="FootnoteAnchor"/>
          <w:rtl w:val="true"/>
        </w:rPr>
        <w:footnoteReference w:id="380"/>
      </w:r>
      <w:r>
        <w:rPr>
          <w:rFonts w:ascii="Amiri" w:hAnsi="Amiri" w:eastAsia="Amiri" w:cs="Amiri"/>
          <w:color w:val="111111"/>
          <w:sz w:val="28"/>
          <w:sz w:val="28"/>
          <w:szCs w:val="28"/>
          <w:rtl w:val="true"/>
          <w:lang w:bidi="ar-SA"/>
        </w:rPr>
        <w:t>للتواطؤِ</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عَلِمنا فَسادَه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لِكَونِه صِدقاً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الجَماعاتِ الكَثيرةَ لَو نَقَلَت أنّ النبيَّ عليه السلامُ استَخلَفَ‌</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أميرَ المؤمنينَ عليه السلامُ، أو نَصَّ عليه بالإمامةِ، مِن غيرِ تعيينٍ علىٰ خبرٍ بعَينِه، أو ألفاظٍ</w:t>
      </w:r>
      <w:r>
        <w:rPr>
          <w:rStyle w:val="FootnoteAnchor"/>
          <w:rtl w:val="true"/>
        </w:rPr>
        <w:footnoteReference w:id="384"/>
      </w:r>
      <w:r>
        <w:rPr>
          <w:rFonts w:ascii="Amiri" w:hAnsi="Amiri" w:eastAsia="Amiri" w:cs="Amiri"/>
          <w:color w:val="111111"/>
          <w:sz w:val="28"/>
          <w:sz w:val="28"/>
          <w:szCs w:val="28"/>
          <w:rtl w:val="true"/>
          <w:lang w:bidi="ar-SA"/>
        </w:rPr>
        <w:t>لها صُوَرٌ</w:t>
      </w:r>
      <w:r>
        <w:rPr>
          <w:rStyle w:val="FootnoteAnchor"/>
          <w:rtl w:val="true"/>
        </w:rPr>
        <w:footnoteReference w:id="385"/>
      </w:r>
      <w:r>
        <w:rPr>
          <w:rFonts w:ascii="Amiri" w:hAnsi="Amiri" w:eastAsia="Amiri" w:cs="Amiri"/>
          <w:color w:val="111111"/>
          <w:sz w:val="28"/>
          <w:sz w:val="28"/>
          <w:szCs w:val="28"/>
          <w:rtl w:val="true"/>
          <w:lang w:bidi="ar-SA"/>
        </w:rPr>
        <w:t xml:space="preserve">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حَصَلَ التواتُرُ المُفيدُ للعِلمِ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و غيرِه أنّ الطريقَ إلَى العِلمِ باتّفاقِ الطبقاتِ في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لَو لَم يَكُن علىٰ ذلكَ، و كانَ‌</w:t>
      </w:r>
      <w:r>
        <w:rPr>
          <w:rStyle w:val="FootnoteAnchor"/>
          <w:rtl w:val="true"/>
        </w:rPr>
        <w:footnoteReference w:id="387"/>
      </w:r>
      <w:r>
        <w:rPr>
          <w:rFonts w:ascii="Amiri" w:hAnsi="Amiri" w:eastAsia="Amiri" w:cs="Amiri"/>
          <w:color w:val="111111"/>
          <w:sz w:val="28"/>
          <w:sz w:val="28"/>
          <w:szCs w:val="28"/>
          <w:rtl w:val="true"/>
          <w:lang w:bidi="ar-SA"/>
        </w:rPr>
        <w:t>هذا الخبرُ ممّا حَدَثَ و انتَشَرَ بَعدَ فَقدٍ، أو قَويَ بَعدَ ضَعفٍ، أو كَثُرَ</w:t>
      </w:r>
      <w:r>
        <w:rPr>
          <w:rStyle w:val="FootnoteAnchor"/>
          <w:rtl w:val="true"/>
        </w:rPr>
        <w:footnoteReference w:id="388"/>
      </w:r>
      <w:r>
        <w:rPr>
          <w:rFonts w:ascii="Amiri" w:hAnsi="Amiri" w:eastAsia="Amiri" w:cs="Amiri"/>
          <w:color w:val="111111"/>
          <w:sz w:val="28"/>
          <w:sz w:val="28"/>
          <w:szCs w:val="28"/>
          <w:rtl w:val="true"/>
          <w:lang w:bidi="ar-SA"/>
        </w:rPr>
        <w:t>رُواتُه</w:t>
      </w:r>
      <w:r>
        <w:rPr>
          <w:rStyle w:val="FootnoteAnchor"/>
          <w:rtl w:val="true"/>
        </w:rPr>
        <w:footnoteReference w:id="389"/>
      </w:r>
      <w:r>
        <w:rPr>
          <w:rFonts w:ascii="Amiri" w:hAnsi="Amiri" w:eastAsia="Amiri" w:cs="Amiri"/>
          <w:color w:val="111111"/>
          <w:sz w:val="28"/>
          <w:sz w:val="28"/>
          <w:szCs w:val="28"/>
          <w:rtl w:val="true"/>
          <w:lang w:bidi="ar-SA"/>
        </w:rPr>
        <w:t>بَعدَ قِلّةٍ؛ لَوَجَبَ‌</w:t>
      </w:r>
      <w:r>
        <w:rPr>
          <w:rStyle w:val="FootnoteAnchor"/>
          <w:rtl w:val="true"/>
        </w:rPr>
        <w:footnoteReference w:id="390"/>
      </w:r>
      <w:r>
        <w:rPr>
          <w:rFonts w:ascii="Amiri" w:hAnsi="Amiri" w:eastAsia="Amiri" w:cs="Amiri"/>
          <w:color w:val="111111"/>
          <w:sz w:val="28"/>
          <w:sz w:val="28"/>
          <w:szCs w:val="28"/>
          <w:rtl w:val="true"/>
          <w:lang w:bidi="ar-SA"/>
        </w:rPr>
        <w:t>أن يَعلَمَ المُخالِطونَ لِرُواتِه</w:t>
      </w:r>
      <w:r>
        <w:rPr>
          <w:rStyle w:val="FootnoteAnchor"/>
          <w:rtl w:val="true"/>
        </w:rPr>
        <w:footnoteReference w:id="391"/>
      </w:r>
      <w:r>
        <w:rPr>
          <w:rFonts w:ascii="Amiri" w:hAnsi="Amiri" w:eastAsia="Amiri" w:cs="Amiri"/>
          <w:color w:val="111111"/>
          <w:sz w:val="28"/>
          <w:sz w:val="28"/>
          <w:szCs w:val="28"/>
          <w:rtl w:val="true"/>
          <w:lang w:bidi="ar-SA"/>
        </w:rPr>
        <w:t>ذلكَ مِن حالِهم، و يُميِّزوه</w:t>
      </w:r>
      <w:r>
        <w:rPr>
          <w:rStyle w:val="FootnoteAnchor"/>
          <w:rtl w:val="true"/>
        </w:rPr>
        <w:footnoteReference w:id="392"/>
      </w:r>
      <w:r>
        <w:rPr>
          <w:rFonts w:ascii="Amiri" w:hAnsi="Amiri" w:eastAsia="Amiri" w:cs="Amiri"/>
          <w:color w:val="111111"/>
          <w:sz w:val="28"/>
          <w:sz w:val="28"/>
          <w:szCs w:val="28"/>
          <w:rtl w:val="true"/>
          <w:lang w:bidi="ar-SA"/>
        </w:rPr>
        <w:t>و يَتعيَّنَ لهم زمانُ حُدوثِه بعَينِه، و يُفرِّقوا بَينَه و بَينَ ما تَقدَّمَه مِن الأزمِنةِ؛ لأنّ العاداتِ تَقضي بوجوبِ العِلمِ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كُلَّ مَذهبٍ نَشَأَ و</w:t>
      </w:r>
      <w:r>
        <w:rPr>
          <w:rStyle w:val="FootnoteAnchor"/>
          <w:rtl w:val="true"/>
        </w:rPr>
        <w:footnoteReference w:id="393"/>
      </w:r>
      <w:r>
        <w:rPr>
          <w:rFonts w:ascii="Amiri" w:hAnsi="Amiri" w:eastAsia="Amiri" w:cs="Amiri"/>
          <w:color w:val="111111"/>
          <w:sz w:val="28"/>
          <w:sz w:val="28"/>
          <w:szCs w:val="28"/>
          <w:rtl w:val="true"/>
          <w:lang w:bidi="ar-SA"/>
        </w:rPr>
        <w:t>حَدَثَ بَعدَ فَقدٍ، يُعلَمُ ضَرورةً مِن حالِه، و يُفرَّقُ بَينَ زمانِ حُدوثِه و بَينَ ما تَقدَّمَه؟</w:t>
      </w:r>
    </w:p>
    <w:p>
      <w:pPr>
        <w:pStyle w:val="BookText"/>
        <w:rPr/>
      </w:pPr>
      <w:r>
        <w:rPr>
          <w:rFonts w:ascii="Amiri" w:hAnsi="Amiri" w:eastAsia="Amiri" w:cs="Amiri"/>
          <w:color w:val="111111"/>
          <w:sz w:val="28"/>
          <w:sz w:val="28"/>
          <w:szCs w:val="28"/>
          <w:rtl w:val="true"/>
          <w:lang w:bidi="ar-SA"/>
        </w:rPr>
        <w:t>فإذا فَقَدنا في أهلِ التواتُرِ العِلمَ بما ذَكَرناه، عَلِمنا أنّ صفةَ الطبقاتِ في نَقلِ هذا الخبرِ واحدةٌ، و فَرَّعنا هذه الجُملةَ تفريعاً يُزيلُ الشُّبهةَ بها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القَدرِ الذي ذَكَرناه هاهُنا كفايةٌ</w:t>
      </w:r>
      <w:r>
        <w:rPr>
          <w:rFonts w:eastAsia="Amiri" w:cs="Amiri" w:ascii="Amiri" w:hAnsi="Amiri"/>
          <w:color w:val="111111"/>
          <w:sz w:val="28"/>
          <w:szCs w:val="28"/>
          <w:rtl w:val="true"/>
          <w:lang w:bidi="ar-SA"/>
        </w:rPr>
        <w:t xml:space="preserve">. </w:t>
      </w:r>
      <w:bookmarkStart w:id="71" w:name="pg16437_172419"/>
    </w:p>
    <w:p>
      <w:pPr>
        <w:pStyle w:val="Heading5"/>
        <w:numPr>
          <w:ilvl w:val="4"/>
          <w:numId w:val="1"/>
        </w:numPr>
        <w:rPr/>
      </w:pPr>
      <w:bookmarkStart w:id="72" w:name="__RefHeading___Toc8039501_1280447820"/>
      <w:bookmarkStart w:id="73" w:name="_Toc25"/>
      <w:bookmarkEnd w:id="71"/>
      <w:bookmarkEnd w:id="72"/>
      <w:r>
        <w:rPr>
          <w:rtl w:val="true"/>
        </w:rPr>
        <w:t>فَصلٌ</w:t>
      </w:r>
      <w:r>
        <w:rPr>
          <w:rtl w:val="true"/>
        </w:rPr>
        <w:t xml:space="preserve">: </w:t>
      </w:r>
      <w:r>
        <w:rPr>
          <w:rtl w:val="true"/>
        </w:rPr>
        <w:t>فيه سِتُّ مَسائلَ تَتعلَّقُ بالنيّاتِ في العباداتِ‌</w:t>
      </w:r>
      <w:bookmarkEnd w:id="73"/>
    </w:p>
    <w:p>
      <w:pPr>
        <w:pStyle w:val="Heading6"/>
        <w:numPr>
          <w:ilvl w:val="5"/>
          <w:numId w:val="1"/>
        </w:numPr>
        <w:rPr/>
      </w:pPr>
      <w:bookmarkStart w:id="74" w:name="__RefHeading___Toc8039503_1280447820"/>
      <w:bookmarkStart w:id="75" w:name="_Toc26"/>
      <w:bookmarkEnd w:id="74"/>
      <w:r>
        <w:rPr>
          <w:rtl w:val="true"/>
        </w:rPr>
        <w:t>المَسألةُ الأُولىٰ‌</w:t>
      </w:r>
      <w:bookmarkEnd w:id="75"/>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سِتُّ مَسائلَ‌</w:t>
      </w:r>
      <w:r>
        <w:rPr>
          <w:rStyle w:val="FootnoteAnchor"/>
          <w:rtl w:val="true"/>
        </w:rPr>
        <w:footnoteReference w:id="394"/>
      </w:r>
      <w:r>
        <w:rPr>
          <w:rFonts w:ascii="Amiri" w:hAnsi="Amiri" w:eastAsia="Amiri" w:cs="Amiri"/>
          <w:color w:val="111111"/>
          <w:sz w:val="28"/>
          <w:sz w:val="28"/>
          <w:szCs w:val="28"/>
          <w:rtl w:val="true"/>
          <w:lang w:bidi="ar-SA"/>
        </w:rPr>
        <w:t>تَتعلَّقُ بالنيّاتِ في العباداتِ</w:t>
      </w:r>
    </w:p>
    <w:p>
      <w:pPr>
        <w:pStyle w:val="BookText"/>
        <w:rPr/>
      </w:pPr>
      <w:r>
        <w:rPr>
          <w:rFonts w:ascii="Amiri" w:hAnsi="Amiri" w:eastAsia="Amiri" w:cs="Amiri"/>
          <w:color w:val="111111"/>
          <w:sz w:val="28"/>
          <w:sz w:val="28"/>
          <w:szCs w:val="28"/>
          <w:rtl w:val="true"/>
          <w:lang w:bidi="ar-SA"/>
        </w:rPr>
        <w:t>المَسألةُ الأُولىٰ‌</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إذا كانَ‌</w:t>
      </w:r>
      <w:r>
        <w:rPr>
          <w:rStyle w:val="FootnoteAnchor"/>
          <w:rtl w:val="true"/>
        </w:rPr>
        <w:footnoteReference w:id="396"/>
      </w:r>
      <w:r>
        <w:rPr>
          <w:rFonts w:ascii="Amiri" w:hAnsi="Amiri" w:eastAsia="Amiri" w:cs="Amiri"/>
          <w:color w:val="111111"/>
          <w:sz w:val="28"/>
          <w:sz w:val="28"/>
          <w:szCs w:val="28"/>
          <w:rtl w:val="true"/>
          <w:lang w:bidi="ar-SA"/>
        </w:rPr>
        <w:t xml:space="preserve">صِحّةُ العبادةِ تَفتَقِرُ إلىٰ نيّةِ التعيينِ، و إلىٰ إيقاعِها للوجهِ الذي شُرِّعَت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أو 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القُربةِ بها إلَى اللّٰهِ تَعالىٰ و الإخلاصِ له في حالِ ابتدائها، و اتَّفَقَ العلماءُ بالشرعِ علىٰ وجوبِ المُضيِّ فيما له هذه الصفةُ مِن العباداتِ بَعدَ الدخولِ فيها، و قُبحِ إعادتِها إذا وَقَعَت مُجزِئةً؛ لِكَونِ ذلكَ ابتداءَ عبادةٍ لا دليلَ عليها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الوجهُ فيما اتَّفَقَت الطائفةُ الإماميّةُ علَى الفَتوىٰ به؛ مِن نَقلِ نِيّةِ مَن ابتَدأَ بصَلاةٍ حاضِرةٍ في أوّلِ وقتِها إلَى الفائتةِ حينَ الذِّكرِ لها و إن كانَ قد صَلّىٰ بعضَ الحاضِرةِ؟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ما حَصَلَ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المُضيِّ في الصلاةِ بَعدَ الدخولِ فيها؛ بالنيّةِ لها، و عَقدِها بتكبيرةِ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 لوجوبِ تعيينِ جُملةِ العبادةِ بالنيّةِ؛ و مُقتَضٍ‌</w:t>
      </w:r>
      <w:r>
        <w:rPr>
          <w:rStyle w:val="FootnoteAnchor"/>
          <w:rtl w:val="true"/>
        </w:rPr>
        <w:footnoteReference w:id="397"/>
      </w:r>
      <w:r>
        <w:rPr>
          <w:rFonts w:ascii="Amiri" w:hAnsi="Amiri" w:eastAsia="Amiri" w:cs="Amiri"/>
          <w:color w:val="111111"/>
          <w:sz w:val="28"/>
          <w:sz w:val="28"/>
          <w:szCs w:val="28"/>
          <w:rtl w:val="true"/>
          <w:lang w:bidi="ar-SA"/>
        </w:rPr>
        <w:t>لِكَونِ صَلاةِ رَكعَتينِ مِن فَريضةِ الظُّهرِ</w:t>
      </w:r>
      <w:r>
        <w:rPr>
          <w:rStyle w:val="FootnoteAnchor"/>
          <w:rtl w:val="true"/>
        </w:rPr>
        <w:footnoteReference w:id="398"/>
      </w:r>
      <w:r>
        <w:rPr>
          <w:rFonts w:ascii="Amiri" w:hAnsi="Amiri" w:eastAsia="Amiri" w:cs="Amiri"/>
          <w:color w:val="111111"/>
          <w:sz w:val="28"/>
          <w:sz w:val="28"/>
          <w:szCs w:val="28"/>
          <w:rtl w:val="true"/>
          <w:lang w:bidi="ar-SA"/>
        </w:rPr>
        <w:t xml:space="preserve">الحاضِرةِ المُعيَّنةِ </w:t>
      </w:r>
      <w:bookmarkStart w:id="76" w:name="pg16437_172420"/>
    </w:p>
    <w:p>
      <w:pPr>
        <w:pStyle w:val="BookText"/>
        <w:rPr/>
      </w:pPr>
      <w:bookmarkEnd w:id="76"/>
      <w:r>
        <w:rPr>
          <w:rFonts w:ascii="Amiri" w:hAnsi="Amiri" w:eastAsia="Amiri" w:cs="Amiri"/>
          <w:color w:val="111111"/>
          <w:sz w:val="28"/>
          <w:sz w:val="28"/>
          <w:szCs w:val="28"/>
          <w:rtl w:val="true"/>
          <w:lang w:bidi="ar-SA"/>
        </w:rPr>
        <w:t>بالنيّةِ لها، مُجزِئةً عن صَلاةِ الغَداةِ الفائتةِ مِن غيرِ تَقدُّمِ نِيّةٍ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عَظيمٌ جِدّاً</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8039505_1280447820"/>
      <w:bookmarkStart w:id="78" w:name="_Toc27"/>
      <w:bookmarkEnd w:id="77"/>
      <w:r>
        <w:rPr>
          <w:rtl w:val="true"/>
        </w:rPr>
        <w:t>المَسألةُ الثانيةُ‌</w:t>
      </w:r>
      <w:bookmarkEnd w:id="78"/>
    </w:p>
    <w:p>
      <w:pPr>
        <w:pStyle w:val="BookText"/>
        <w:rPr/>
      </w:pPr>
      <w:r>
        <w:rPr>
          <w:rFonts w:ascii="Amiri" w:hAnsi="Amiri" w:eastAsia="Amiri" w:cs="Amiri"/>
          <w:color w:val="111111"/>
          <w:sz w:val="28"/>
          <w:sz w:val="28"/>
          <w:szCs w:val="28"/>
          <w:rtl w:val="true"/>
          <w:lang w:bidi="ar-SA"/>
        </w:rPr>
        <w:t>المَسألةُ الثانيةُ‌</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ما الوجهُ فيما اتَّفَقوا عليه؛ مِن جوازِ</w:t>
      </w:r>
      <w:r>
        <w:rPr>
          <w:rStyle w:val="FootnoteAnchor"/>
          <w:rtl w:val="true"/>
        </w:rPr>
        <w:footnoteReference w:id="400"/>
      </w:r>
      <w:r>
        <w:rPr>
          <w:rFonts w:ascii="Amiri" w:hAnsi="Amiri" w:eastAsia="Amiri" w:cs="Amiri"/>
          <w:color w:val="111111"/>
          <w:sz w:val="28"/>
          <w:sz w:val="28"/>
          <w:szCs w:val="28"/>
          <w:rtl w:val="true"/>
          <w:lang w:bidi="ar-SA"/>
        </w:rPr>
        <w:t>خبرِ تَكريرِ الصلاةِ الواحدةِ في آخِرِ الوقتِ، رَغبةً في فَضلِ الجَماعةِ، بَعدَ فِعلِها في أوّلِه؟ و فيه إجازةُ‌</w:t>
      </w:r>
      <w:r>
        <w:rPr>
          <w:rStyle w:val="FootnoteAnchor"/>
          <w:rtl w:val="true"/>
        </w:rPr>
        <w:footnoteReference w:id="401"/>
      </w:r>
      <w:r>
        <w:rPr>
          <w:rFonts w:ascii="Amiri" w:hAnsi="Amiri" w:eastAsia="Amiri" w:cs="Amiri"/>
          <w:color w:val="111111"/>
          <w:sz w:val="28"/>
          <w:sz w:val="28"/>
          <w:szCs w:val="28"/>
          <w:rtl w:val="true"/>
          <w:lang w:bidi="ar-SA"/>
        </w:rPr>
        <w:t>فِعلِ الظُّهرِ مَرَّتَينِ؛ لأنّ فِعلَ الثانيةِ لا بُدَّ أن يَكونَ لوَجهِ الوجوبِ أو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للوجوبِ، فذلكَ باطلٌ؛ لأنّه بَريءُ الذمّةِ مِن الظُّهرِ بفِعلِ الأُولىٰ، و لا وجهَ لوجوبِ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ذلكَ‌</w:t>
      </w:r>
      <w:r>
        <w:rPr>
          <w:rStyle w:val="FootnoteAnchor"/>
          <w:rtl w:val="true"/>
        </w:rPr>
        <w:footnoteReference w:id="402"/>
      </w:r>
      <w:r>
        <w:rPr>
          <w:rFonts w:ascii="Amiri" w:hAnsi="Amiri" w:eastAsia="Amiri" w:cs="Amiri"/>
          <w:color w:val="111111"/>
          <w:sz w:val="28"/>
          <w:sz w:val="28"/>
          <w:szCs w:val="28"/>
          <w:rtl w:val="true"/>
          <w:lang w:bidi="ar-SA"/>
        </w:rPr>
        <w:t>مُقتَضٍ لِكَونِ الخَمسِ صَلَواتٍ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عَظيمٌ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للنَّدبِ، فهو</w:t>
      </w:r>
      <w:r>
        <w:rPr>
          <w:rStyle w:val="FootnoteAnchor"/>
          <w:rtl w:val="true"/>
        </w:rPr>
        <w:footnoteReference w:id="403"/>
      </w:r>
      <w:r>
        <w:rPr>
          <w:rFonts w:ascii="Amiri" w:hAnsi="Amiri" w:eastAsia="Amiri" w:cs="Amiri"/>
          <w:color w:val="111111"/>
          <w:sz w:val="28"/>
          <w:sz w:val="28"/>
          <w:szCs w:val="28"/>
          <w:rtl w:val="true"/>
          <w:lang w:bidi="ar-SA"/>
        </w:rPr>
        <w:t>مُخالِفٌ لظاهرِ الفُتيا و الروايَةِ‌</w:t>
      </w:r>
      <w:r>
        <w:rPr>
          <w:rStyle w:val="FootnoteAnchor"/>
          <w:rtl w:val="true"/>
        </w:rPr>
        <w:footnoteReference w:id="404"/>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لنَفسِكَ، و صَلِّ معهم و بِهم</w:t>
      </w:r>
      <w:r>
        <w:rPr>
          <w:rStyle w:val="FootnoteAnchor"/>
          <w:rtl w:val="true"/>
        </w:rPr>
        <w:footnoteReference w:id="405"/>
      </w:r>
      <w:r>
        <w:rPr>
          <w:rFonts w:ascii="Amiri" w:hAnsi="Amiri" w:eastAsia="Amiri" w:cs="Amiri"/>
          <w:color w:val="111111"/>
          <w:sz w:val="28"/>
          <w:sz w:val="28"/>
          <w:szCs w:val="28"/>
          <w:rtl w:val="true"/>
          <w:lang w:bidi="ar-SA"/>
        </w:rPr>
        <w:t>فإن قُبِلَت الأُولىٰ، و إلّاقُبِلَت الثانيةُ</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يَنوي بها النَّدبَ و هو إمامٌ لقَومٍ يَقتَدونَ به، و صَلاةُ المأمومِ مُعلَّقةٌ بصَلاةِ الإمامِ؟ و هَل عَزمُه علىٰ صَلاةِ جَماعتِهم و فَرضِهم بأنّها مَندوبةٌ‌</w:t>
      </w:r>
      <w:r>
        <w:rPr>
          <w:rStyle w:val="FootnoteAnchor"/>
          <w:rtl w:val="true"/>
        </w:rPr>
        <w:footnoteReference w:id="407"/>
      </w:r>
      <w:r>
        <w:rPr>
          <w:rFonts w:ascii="Amiri" w:hAnsi="Amiri" w:eastAsia="Amiri" w:cs="Amiri"/>
          <w:color w:val="111111"/>
          <w:sz w:val="28"/>
          <w:sz w:val="28"/>
          <w:szCs w:val="28"/>
          <w:rtl w:val="true"/>
          <w:lang w:bidi="ar-SA"/>
        </w:rPr>
        <w:t>، إلّا كعَزمِه</w:t>
      </w:r>
      <w:r>
        <w:rPr>
          <w:rStyle w:val="FootnoteAnchor"/>
          <w:rtl w:val="true"/>
        </w:rPr>
        <w:footnoteReference w:id="408"/>
      </w:r>
      <w:r>
        <w:rPr>
          <w:rFonts w:ascii="Amiri" w:hAnsi="Amiri" w:eastAsia="Amiri" w:cs="Amiri"/>
          <w:color w:val="111111"/>
          <w:sz w:val="28"/>
          <w:sz w:val="28"/>
          <w:szCs w:val="28"/>
          <w:rtl w:val="true"/>
          <w:lang w:bidi="ar-SA"/>
        </w:rPr>
        <w:t xml:space="preserve">علىٰ إفسادِها في نفسِه؟ </w:t>
      </w:r>
      <w:bookmarkStart w:id="79" w:name="pg16437_172421"/>
    </w:p>
    <w:p>
      <w:pPr>
        <w:pStyle w:val="Heading6"/>
        <w:numPr>
          <w:ilvl w:val="5"/>
          <w:numId w:val="1"/>
        </w:numPr>
        <w:rPr/>
      </w:pPr>
      <w:bookmarkStart w:id="80" w:name="__RefHeading___Toc8039507_1280447820"/>
      <w:bookmarkStart w:id="81" w:name="_Toc28"/>
      <w:bookmarkEnd w:id="79"/>
      <w:bookmarkEnd w:id="80"/>
      <w:r>
        <w:rPr>
          <w:rtl w:val="true"/>
        </w:rPr>
        <w:t>المَسألةُ الثالثةُ‌</w:t>
      </w:r>
      <w:bookmarkEnd w:id="81"/>
    </w:p>
    <w:p>
      <w:pPr>
        <w:pStyle w:val="BookText"/>
        <w:rPr/>
      </w:pPr>
      <w:r>
        <w:rPr>
          <w:rFonts w:ascii="Amiri" w:hAnsi="Amiri" w:eastAsia="Amiri" w:cs="Amiri"/>
          <w:color w:val="111111"/>
          <w:sz w:val="28"/>
          <w:sz w:val="28"/>
          <w:szCs w:val="28"/>
          <w:rtl w:val="true"/>
          <w:lang w:bidi="ar-SA"/>
        </w:rPr>
        <w:t>المَسألةُ الثالثةُ‌</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 ما الوجهُ فيما اتَّفَقوا عليه مِن الفُتيا بصَلاةِ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عليه صَلاةٌ واحدةٌ فائتةٌ غيرُ مُتعيِّنةٍ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صَلَواتٍ غيرِ مُتميِّزاتٍ‌</w:t>
      </w:r>
      <w:r>
        <w:rPr>
          <w:rStyle w:val="FootnoteAnchor"/>
          <w:rtl w:val="true"/>
        </w:rPr>
        <w:footnoteReference w:id="410"/>
      </w:r>
      <w:r>
        <w:rPr>
          <w:rFonts w:ascii="Amiri" w:hAnsi="Amiri" w:eastAsia="Amiri" w:cs="Amiri"/>
          <w:color w:val="111111"/>
          <w:sz w:val="28"/>
          <w:sz w:val="28"/>
          <w:szCs w:val="28"/>
          <w:rtl w:val="true"/>
          <w:lang w:bidi="ar-SA"/>
        </w:rPr>
        <w:t>ثَلاثاً و أربَعاً و اثنَتَينِ، و أنّ الثلاثَ قضاءٌ للمَغرِبِ إن كانَت، و الأربَعَ قَضاءٌ للظُّهرِ أو العَصرِ أو العِشاءِ‌</w:t>
      </w:r>
      <w:r>
        <w:rPr>
          <w:rStyle w:val="FootnoteAnchor"/>
          <w:rtl w:val="true"/>
        </w:rPr>
        <w:footnoteReference w:id="411"/>
      </w:r>
      <w:r>
        <w:rPr>
          <w:rFonts w:ascii="Amiri" w:hAnsi="Amiri" w:eastAsia="Amiri" w:cs="Amiri"/>
          <w:color w:val="111111"/>
          <w:sz w:val="28"/>
          <w:sz w:val="28"/>
          <w:szCs w:val="28"/>
          <w:rtl w:val="true"/>
          <w:lang w:bidi="ar-SA"/>
        </w:rPr>
        <w:t>الآخِرةِ، و الرَّكعَتانِ للغَداةِ؟</w:t>
      </w:r>
    </w:p>
    <w:p>
      <w:pPr>
        <w:pStyle w:val="BookText"/>
        <w:rPr/>
      </w:pPr>
      <w:r>
        <w:rPr>
          <w:rFonts w:ascii="Amiri" w:hAnsi="Amiri" w:eastAsia="Amiri" w:cs="Amiri"/>
          <w:color w:val="111111"/>
          <w:sz w:val="28"/>
          <w:sz w:val="28"/>
          <w:szCs w:val="28"/>
          <w:rtl w:val="true"/>
          <w:lang w:bidi="ar-SA"/>
        </w:rPr>
        <w:t xml:space="preserve">أ وَ لَيسَ هذا يُناقِضُ الاتّفاقَ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تعيينِ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بَقاءِ صَلاةِ الظُّهرِ في ذِمّةِ مَن صَلّىٰ أربَعاً، لا يَنويها</w:t>
      </w:r>
      <w:r>
        <w:rPr>
          <w:rStyle w:val="FootnoteAnchor"/>
          <w:rtl w:val="true"/>
        </w:rPr>
        <w:footnoteReference w:id="412"/>
      </w:r>
      <w:r>
        <w:rPr>
          <w:rFonts w:ascii="Amiri" w:hAnsi="Amiri" w:eastAsia="Amiri" w:cs="Amiri"/>
          <w:color w:val="111111"/>
          <w:sz w:val="28"/>
          <w:sz w:val="28"/>
          <w:szCs w:val="28"/>
          <w:rtl w:val="true"/>
          <w:lang w:bidi="ar-SA"/>
        </w:rPr>
        <w:t>ظُهراً، بَل يَنويها</w:t>
      </w:r>
      <w:r>
        <w:rPr>
          <w:rStyle w:val="FootnoteAnchor"/>
          <w:rtl w:val="true"/>
        </w:rPr>
        <w:footnoteReference w:id="413"/>
      </w:r>
      <w:r>
        <w:rPr>
          <w:rFonts w:ascii="Amiri" w:hAnsi="Amiri" w:eastAsia="Amiri" w:cs="Amiri"/>
          <w:color w:val="111111"/>
          <w:sz w:val="28"/>
          <w:sz w:val="28"/>
          <w:szCs w:val="28"/>
          <w:rtl w:val="true"/>
          <w:lang w:bidi="ar-SA"/>
        </w:rPr>
        <w:t>مَندوبةً، أو مُباحةً غيرَ مُعيَّنةٍ، أو مُعيَّنةً بالعَصرِ، أو العِشاءِ‌</w:t>
      </w:r>
      <w:r>
        <w:rPr>
          <w:rStyle w:val="FootnoteAnchor"/>
          <w:rtl w:val="true"/>
        </w:rPr>
        <w:footnoteReference w:id="414"/>
      </w:r>
      <w:r>
        <w:rPr>
          <w:rFonts w:ascii="Amiri" w:hAnsi="Amiri" w:eastAsia="Amiri" w:cs="Amiri"/>
          <w:color w:val="111111"/>
          <w:sz w:val="28"/>
          <w:sz w:val="28"/>
          <w:szCs w:val="28"/>
          <w:rtl w:val="true"/>
          <w:lang w:bidi="ar-SA"/>
        </w:rPr>
        <w:t>، أو القَضاءِ، أو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لأنّه لا بُدَّ أن يَنويَ بالرُّباعيّةِ المفعولةِ علىٰ جِهةِ القَضاءِ للفائتِ‌</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مُعيَّنةً، أو الثلاثَ المُتَغايِراتِ، أو لا يَنويَ بها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نَوىٰ صَلاةً مُعيَّنةً‌</w:t>
      </w:r>
      <w:r>
        <w:rPr>
          <w:rStyle w:val="FootnoteAnchor"/>
          <w:rtl w:val="true"/>
        </w:rPr>
        <w:footnoteReference w:id="416"/>
      </w:r>
      <w:r>
        <w:rPr>
          <w:rFonts w:ascii="Amiri" w:hAnsi="Amiri" w:eastAsia="Amiri" w:cs="Amiri"/>
          <w:color w:val="111111"/>
          <w:sz w:val="28"/>
          <w:sz w:val="28"/>
          <w:szCs w:val="28"/>
          <w:rtl w:val="true"/>
          <w:lang w:bidi="ar-SA"/>
        </w:rPr>
        <w:t>، لَم تُجزِ</w:t>
      </w:r>
      <w:r>
        <w:rPr>
          <w:rStyle w:val="FootnoteAnchor"/>
          <w:rtl w:val="true"/>
        </w:rPr>
        <w:footnoteReference w:id="417"/>
      </w:r>
      <w:r>
        <w:rPr>
          <w:rFonts w:ascii="Amiri" w:hAnsi="Amiri" w:eastAsia="Amiri" w:cs="Amiri"/>
          <w:color w:val="111111"/>
          <w:sz w:val="28"/>
          <w:sz w:val="28"/>
          <w:szCs w:val="28"/>
          <w:rtl w:val="true"/>
          <w:lang w:bidi="ar-SA"/>
        </w:rPr>
        <w:t>عن غيرِها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نَوىٰ بها الثلاثَ المُتَغايِراتِ، فتلكَ نيّةٌ فاسِدةٌ‌</w:t>
      </w:r>
      <w:r>
        <w:rPr>
          <w:rStyle w:val="FootnoteAnchor"/>
          <w:rtl w:val="true"/>
        </w:rPr>
        <w:footnoteReference w:id="418"/>
      </w:r>
      <w:r>
        <w:rPr>
          <w:rFonts w:ascii="Amiri" w:hAnsi="Amiri" w:eastAsia="Amiri" w:cs="Amiri"/>
          <w:color w:val="111111"/>
          <w:sz w:val="28"/>
          <w:sz w:val="28"/>
          <w:szCs w:val="28"/>
          <w:rtl w:val="true"/>
          <w:lang w:bidi="ar-SA"/>
        </w:rPr>
        <w:t>لأنّ صَلاةً واحدةً لا تَكونُ ثَلاثاً، و لا قَضاءً لِثَلاثٍ‌</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نيّةٌ واحدةٌ بأيِّ شَيءٍ‌</w:t>
      </w:r>
      <w:r>
        <w:rPr>
          <w:rStyle w:val="FootnoteAnchor"/>
          <w:rtl w:val="true"/>
        </w:rPr>
        <w:footnoteReference w:id="420"/>
      </w:r>
      <w:r>
        <w:rPr>
          <w:rFonts w:ascii="Amiri" w:hAnsi="Amiri" w:eastAsia="Amiri" w:cs="Amiri"/>
          <w:color w:val="111111"/>
          <w:sz w:val="28"/>
          <w:sz w:val="28"/>
          <w:szCs w:val="28"/>
          <w:rtl w:val="true"/>
          <w:lang w:bidi="ar-SA"/>
        </w:rPr>
        <w:t>في الشريعةِ لا تَتناوَلُ‌</w:t>
      </w:r>
      <w:r>
        <w:rPr>
          <w:rStyle w:val="FootnoteAnchor"/>
          <w:rtl w:val="true"/>
        </w:rPr>
        <w:footnoteReference w:id="421"/>
      </w:r>
      <w:bookmarkStart w:id="82" w:name="pg16437_172422"/>
    </w:p>
    <w:p>
      <w:pPr>
        <w:pStyle w:val="BookText"/>
        <w:rPr/>
      </w:pPr>
      <w:bookmarkEnd w:id="82"/>
      <w:r>
        <w:rPr>
          <w:rFonts w:ascii="Amiri" w:hAnsi="Amiri" w:eastAsia="Amiri" w:cs="Amiri"/>
          <w:color w:val="111111"/>
          <w:sz w:val="28"/>
          <w:sz w:val="28"/>
          <w:szCs w:val="28"/>
          <w:rtl w:val="true"/>
          <w:lang w:bidi="ar-SA"/>
        </w:rPr>
        <w:t>ثَلاثَ عباداتٍ مُتَغايِراتٍ؛ مِن حَيثُ كانَ أحَدُ شُروطِها تَعلُّقَها بما هي نيّةٌ له علىٰ جِهةِ التعيينِ‌</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يَنوِ بها شَيئاً، لَم تَكُن</w:t>
      </w:r>
      <w:r>
        <w:rPr>
          <w:rStyle w:val="FootnoteAnchor"/>
          <w:rtl w:val="true"/>
        </w:rPr>
        <w:footnoteReference w:id="423"/>
      </w:r>
      <w:r>
        <w:rPr>
          <w:rFonts w:ascii="Amiri" w:hAnsi="Amiri" w:eastAsia="Amiri" w:cs="Amiri"/>
          <w:color w:val="111111"/>
          <w:sz w:val="28"/>
          <w:sz w:val="28"/>
          <w:szCs w:val="28"/>
          <w:rtl w:val="true"/>
          <w:lang w:bidi="ar-SA"/>
        </w:rPr>
        <w:t>قَضاءً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الفَرقُ بَينَ الفائتِ المُتعيِّنِ و المُبهَمِ في وجوبِ تعيينِ النيّةِ لقَضاءِ المُتعيِّنِ دونَ المُبهَمِ علىٰ تقديرِ هذه الفُتيا، و الإبهامُ‌</w:t>
      </w:r>
      <w:r>
        <w:rPr>
          <w:rStyle w:val="FootnoteAnchor"/>
          <w:rtl w:val="true"/>
        </w:rPr>
        <w:footnoteReference w:id="424"/>
      </w:r>
      <w:r>
        <w:rPr>
          <w:rFonts w:ascii="Amiri" w:hAnsi="Amiri" w:eastAsia="Amiri" w:cs="Amiri"/>
          <w:color w:val="111111"/>
          <w:sz w:val="28"/>
          <w:sz w:val="28"/>
          <w:szCs w:val="28"/>
          <w:rtl w:val="true"/>
          <w:lang w:bidi="ar-SA"/>
        </w:rPr>
        <w:t>مُختَصٌّ بتَعذُّرِ</w:t>
      </w:r>
      <w:r>
        <w:rPr>
          <w:rStyle w:val="FootnoteAnchor"/>
          <w:rtl w:val="true"/>
        </w:rPr>
        <w:footnoteReference w:id="425"/>
      </w:r>
      <w:r>
        <w:rPr>
          <w:rFonts w:ascii="Amiri" w:hAnsi="Amiri" w:eastAsia="Amiri" w:cs="Amiri"/>
          <w:color w:val="111111"/>
          <w:sz w:val="28"/>
          <w:sz w:val="28"/>
          <w:szCs w:val="28"/>
          <w:rtl w:val="true"/>
          <w:lang w:bidi="ar-SA"/>
        </w:rPr>
        <w:t>انحصارِ العَدَدِ، دونَ تَغايُرِه؟</w:t>
      </w:r>
    </w:p>
    <w:p>
      <w:pPr>
        <w:pStyle w:val="BookText"/>
        <w:rPr/>
      </w:pPr>
      <w:r>
        <w:rPr>
          <w:rFonts w:ascii="Amiri" w:hAnsi="Amiri" w:eastAsia="Amiri" w:cs="Amiri"/>
          <w:color w:val="111111"/>
          <w:sz w:val="28"/>
          <w:sz w:val="28"/>
          <w:szCs w:val="28"/>
          <w:rtl w:val="true"/>
          <w:lang w:bidi="ar-SA"/>
        </w:rPr>
        <w:t>و إذا كانَ لَو فاتَته</w:t>
      </w:r>
      <w:r>
        <w:rPr>
          <w:rStyle w:val="FootnoteAnchor"/>
          <w:rtl w:val="true"/>
        </w:rPr>
        <w:footnoteReference w:id="426"/>
      </w:r>
      <w:r>
        <w:rPr>
          <w:rFonts w:ascii="Amiri" w:hAnsi="Amiri" w:eastAsia="Amiri" w:cs="Amiri"/>
          <w:color w:val="111111"/>
          <w:sz w:val="28"/>
          <w:sz w:val="28"/>
          <w:szCs w:val="28"/>
          <w:rtl w:val="true"/>
          <w:lang w:bidi="ar-SA"/>
        </w:rPr>
        <w:t>ظُهرٌ مُتعيِّنٌ، لَوَجَبَ أن يَقضيَ ظُهراً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عليه صَلَواتٍ؛ منها ظُهرٌ، و منها عَصرٌ، و منها عِشاءٌ، و مَغرِبٌ، و 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w:t>
      </w:r>
      <w:r>
        <w:rPr>
          <w:rStyle w:val="FootnoteAnchor"/>
          <w:rtl w:val="true"/>
        </w:rPr>
        <w:footnoteReference w:id="427"/>
      </w:r>
      <w:r>
        <w:rPr>
          <w:rFonts w:ascii="Amiri" w:hAnsi="Amiri" w:eastAsia="Amiri" w:cs="Amiri"/>
          <w:color w:val="111111"/>
          <w:sz w:val="28"/>
          <w:sz w:val="28"/>
          <w:szCs w:val="28"/>
          <w:rtl w:val="true"/>
          <w:lang w:bidi="ar-SA"/>
        </w:rPr>
        <w:t>ظُهراً و عَصراً و مَغرِباً و عِشاءً و غَداةً، و يُكرِّرَ ذلكَ حتّىٰ يَغلِبَ علىٰ‌</w:t>
      </w:r>
      <w:r>
        <w:rPr>
          <w:rStyle w:val="FootnoteAnchor"/>
          <w:rtl w:val="true"/>
        </w:rPr>
        <w:footnoteReference w:id="428"/>
      </w:r>
      <w:r>
        <w:rPr>
          <w:rFonts w:ascii="Amiri" w:hAnsi="Amiri" w:eastAsia="Amiri" w:cs="Amiri"/>
          <w:color w:val="111111"/>
          <w:sz w:val="28"/>
          <w:sz w:val="28"/>
          <w:szCs w:val="28"/>
          <w:rtl w:val="true"/>
          <w:lang w:bidi="ar-SA"/>
        </w:rPr>
        <w:t>ظَنِّه بَراءةُ ذِمّتِه</w:t>
      </w:r>
      <w:r>
        <w:rPr>
          <w:rStyle w:val="FootnoteAnchor"/>
          <w:rtl w:val="true"/>
        </w:rPr>
        <w:footnoteReference w:id="429"/>
      </w:r>
      <w:r>
        <w:rPr>
          <w:rFonts w:ascii="Amiri" w:hAnsi="Amiri" w:eastAsia="Amiri" w:cs="Amiri"/>
          <w:color w:val="111111"/>
          <w:sz w:val="28"/>
          <w:sz w:val="28"/>
          <w:szCs w:val="28"/>
          <w:rtl w:val="true"/>
          <w:lang w:bidi="ar-SA"/>
        </w:rPr>
        <w:t>كما يَفعَلُ في قَضاءِ ما تَعيَّنَ‌</w:t>
      </w:r>
      <w:r>
        <w:rPr>
          <w:rStyle w:val="FootnoteAnchor"/>
          <w:rtl w:val="true"/>
        </w:rPr>
        <w:footnoteReference w:id="430"/>
      </w:r>
      <w:r>
        <w:rPr>
          <w:rFonts w:ascii="Amiri" w:hAnsi="Amiri" w:eastAsia="Amiri" w:cs="Amiri"/>
          <w:color w:val="111111"/>
          <w:sz w:val="28"/>
          <w:sz w:val="28"/>
          <w:szCs w:val="28"/>
          <w:rtl w:val="true"/>
          <w:lang w:bidi="ar-SA"/>
        </w:rPr>
        <w:t>بالعَدَدِ؟ و هذا خِلافُ الفُتيا المُقَرَّرةِ</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8039509_1280447820"/>
      <w:bookmarkStart w:id="84" w:name="_Toc29"/>
      <w:bookmarkEnd w:id="83"/>
      <w:r>
        <w:rPr>
          <w:rtl w:val="true"/>
        </w:rPr>
        <w:t>المَسألةُ الرابعةُ‌</w:t>
      </w:r>
      <w:bookmarkEnd w:id="84"/>
    </w:p>
    <w:p>
      <w:pPr>
        <w:pStyle w:val="BookText"/>
        <w:rPr/>
      </w:pPr>
      <w:r>
        <w:rPr>
          <w:rFonts w:ascii="Amiri" w:hAnsi="Amiri" w:eastAsia="Amiri" w:cs="Amiri"/>
          <w:color w:val="111111"/>
          <w:sz w:val="28"/>
          <w:sz w:val="28"/>
          <w:szCs w:val="28"/>
          <w:rtl w:val="true"/>
          <w:lang w:bidi="ar-SA"/>
        </w:rPr>
        <w:t>المَسألةُ الرابعةُ‌</w:t>
      </w:r>
      <w:r>
        <w:rPr>
          <w:rStyle w:val="FootnoteAnchor"/>
          <w:rtl w:val="true"/>
        </w:rPr>
        <w:footnoteReference w:id="43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الوجهُ في الفُتيا بمُضيِّ صَلاةِ مَن فَعَلَها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الجَهلِ به أو السهوِ </w:t>
      </w:r>
      <w:bookmarkStart w:id="85" w:name="pg16437_172423"/>
    </w:p>
    <w:p>
      <w:pPr>
        <w:pStyle w:val="BookText"/>
        <w:rPr/>
      </w:pPr>
      <w:bookmarkEnd w:id="85"/>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دخولِ الوقتِ و هو في شَيءٍ منها؟ و الأُمّةُ مُتَّفِقةٌ علىٰ أنّ ما</w:t>
      </w:r>
      <w:r>
        <w:rPr>
          <w:rStyle w:val="FootnoteAnchor"/>
          <w:rtl w:val="true"/>
        </w:rPr>
        <w:footnoteReference w:id="432"/>
      </w:r>
      <w:r>
        <w:rPr>
          <w:rFonts w:ascii="Amiri" w:hAnsi="Amiri" w:eastAsia="Amiri" w:cs="Amiri"/>
          <w:color w:val="111111"/>
          <w:sz w:val="28"/>
          <w:sz w:val="28"/>
          <w:szCs w:val="28"/>
          <w:rtl w:val="true"/>
          <w:lang w:bidi="ar-SA"/>
        </w:rPr>
        <w:t>فُعِلَ مِن الرَّكَعاتِ قَبلَ الزَّوالِ و الغُروبِ و طُلوعِ الفَجرِ، فلَيسَ بظُهرٍ و لا مَغرِبٍ و لا 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هذا بغَيرِ تَنازُعٍ، فكَيفَ يَكونُ ما فُعِلَ قَبلَ تَعلُّقِ وجوبِه بالذمّةِ مُجزياً عمّا يَتعلَّقُ بها في المُستَقبَلِ؟ و كَيفَ تَكونُ‌</w:t>
      </w:r>
      <w:r>
        <w:rPr>
          <w:rStyle w:val="FootnoteAnchor"/>
          <w:rtl w:val="true"/>
        </w:rPr>
        <w:footnoteReference w:id="433"/>
      </w:r>
      <w:r>
        <w:rPr>
          <w:rFonts w:ascii="Amiri" w:hAnsi="Amiri" w:eastAsia="Amiri" w:cs="Amiri"/>
          <w:color w:val="111111"/>
          <w:sz w:val="28"/>
          <w:sz w:val="28"/>
          <w:szCs w:val="28"/>
          <w:rtl w:val="true"/>
          <w:lang w:bidi="ar-SA"/>
        </w:rPr>
        <w:t>صَلاتُه ظُهراً مُجزيةً‌</w:t>
      </w:r>
      <w:r>
        <w:rPr>
          <w:rStyle w:val="FootnoteAnchor"/>
          <w:rtl w:val="true"/>
        </w:rPr>
        <w:footnoteReference w:id="434"/>
      </w:r>
      <w:r>
        <w:rPr>
          <w:rFonts w:ascii="Amiri" w:hAnsi="Amiri" w:eastAsia="Amiri" w:cs="Amiri"/>
          <w:color w:val="111111"/>
          <w:sz w:val="28"/>
          <w:sz w:val="28"/>
          <w:szCs w:val="28"/>
          <w:rtl w:val="true"/>
          <w:lang w:bidi="ar-SA"/>
        </w:rPr>
        <w:t xml:space="preserve">، و بعضُها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غيرُ واجبٍ؟ و كَيفَ يَكونُ ما</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قُصِدَ إليه لَكانَ قَبيحاً يُستَحقُّ به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فِعلِها قَبلَ الوقتِ، مُجزياً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قُصِدَ إليه لَكانَ واجباً يُستَحقُّ به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فِعلِها في الوقتِ‌</w:t>
      </w:r>
      <w:r>
        <w:rPr>
          <w:rStyle w:val="FootnoteAnchor"/>
          <w:rtl w:val="true"/>
        </w:rPr>
        <w:footnoteReference w:id="436"/>
      </w:r>
      <w:r>
        <w:rPr>
          <w:rFonts w:ascii="IRNazanin" w:hAnsi="IRNazanin" w:eastAsia="IRNazanin"/>
          <w:color w:val="111111"/>
          <w:sz w:val="28"/>
          <w:sz w:val="28"/>
          <w:szCs w:val="28"/>
          <w:rtl w:val="true"/>
          <w:lang w:bidi="fa-IR"/>
        </w:rPr>
        <w:t>؟</w:t>
      </w:r>
    </w:p>
    <w:p>
      <w:pPr>
        <w:pStyle w:val="Heading6"/>
        <w:numPr>
          <w:ilvl w:val="5"/>
          <w:numId w:val="1"/>
        </w:numPr>
        <w:rPr/>
      </w:pPr>
      <w:bookmarkStart w:id="86" w:name="__RefHeading___Toc8039511_1280447820"/>
      <w:bookmarkStart w:id="87" w:name="_Toc30"/>
      <w:bookmarkEnd w:id="86"/>
      <w:r>
        <w:rPr>
          <w:rtl w:val="true"/>
        </w:rPr>
        <w:t>المَسألةُ الخامِسةُ‌</w:t>
      </w:r>
      <w:bookmarkEnd w:id="87"/>
    </w:p>
    <w:p>
      <w:pPr>
        <w:pStyle w:val="BookText"/>
        <w:rPr/>
      </w:pPr>
      <w:r>
        <w:rPr>
          <w:rFonts w:ascii="Amiri" w:hAnsi="Amiri" w:eastAsia="Amiri" w:cs="Amiri"/>
          <w:color w:val="111111"/>
          <w:sz w:val="28"/>
          <w:sz w:val="28"/>
          <w:szCs w:val="28"/>
          <w:rtl w:val="true"/>
          <w:lang w:bidi="ar-SA"/>
        </w:rPr>
        <w:t>المَسألةُ الخامِسةُ‌</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ما الوجهُ في الفُتيا بإجزاءِ‌</w:t>
      </w:r>
      <w:r>
        <w:rPr>
          <w:rStyle w:val="FootnoteAnchor"/>
          <w:rtl w:val="true"/>
        </w:rPr>
        <w:footnoteReference w:id="438"/>
      </w:r>
      <w:r>
        <w:rPr>
          <w:rFonts w:ascii="Amiri" w:hAnsi="Amiri" w:eastAsia="Amiri" w:cs="Amiri"/>
          <w:color w:val="111111"/>
          <w:sz w:val="28"/>
          <w:sz w:val="28"/>
          <w:szCs w:val="28"/>
          <w:rtl w:val="true"/>
          <w:lang w:bidi="ar-SA"/>
        </w:rPr>
        <w:t xml:space="preserve">يَومِ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تَقدُّمِ العَزمِ علىٰ صَومِه مِن شَعبانَ علىٰ جِهةِ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يَومٍ مِن شَهرِ رَمَضانَ إذا اتَّفَقَ كَونُه منه؟ و هَبْ نيّةَ التعيينِ لا يُفتَقَرُ إليها في أيّامِ شَهرِ رَمَضانَ؛ لِكَونِ يَومٍ مِن</w:t>
      </w:r>
      <w:r>
        <w:rPr>
          <w:rStyle w:val="FootnoteAnchor"/>
          <w:rtl w:val="true"/>
        </w:rPr>
        <w:footnoteReference w:id="439"/>
      </w:r>
      <w:r>
        <w:rPr>
          <w:rFonts w:ascii="Amiri" w:hAnsi="Amiri" w:eastAsia="Amiri" w:cs="Amiri"/>
          <w:color w:val="111111"/>
          <w:sz w:val="28"/>
          <w:sz w:val="28"/>
          <w:szCs w:val="28"/>
          <w:rtl w:val="true"/>
          <w:lang w:bidi="ar-SA"/>
        </w:rPr>
        <w:t xml:space="preserve">شَهرِ رَمَضانَ لا يُمكِنُ أن يَكونَ مِن غيرِه، كَيفَ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أُوقِعَ‌</w:t>
      </w:r>
      <w:r>
        <w:rPr>
          <w:rStyle w:val="FootnoteAnchor"/>
          <w:rtl w:val="true"/>
        </w:rPr>
        <w:footnoteReference w:id="440"/>
      </w:r>
      <w:r>
        <w:rPr>
          <w:rFonts w:ascii="Amiri" w:hAnsi="Amiri" w:eastAsia="Amiri" w:cs="Amiri"/>
          <w:color w:val="111111"/>
          <w:sz w:val="28"/>
          <w:sz w:val="28"/>
          <w:szCs w:val="28"/>
          <w:rtl w:val="true"/>
          <w:lang w:bidi="ar-SA"/>
        </w:rPr>
        <w:t>مِن الفِعلِ بنيّةِ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نائباً مَنابَ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إيقاعُه</w:t>
      </w:r>
      <w:r>
        <w:rPr>
          <w:rStyle w:val="FootnoteAnchor"/>
          <w:rtl w:val="true"/>
        </w:rPr>
        <w:footnoteReference w:id="441"/>
      </w:r>
      <w:r>
        <w:rPr>
          <w:rFonts w:ascii="Amiri" w:hAnsi="Amiri" w:eastAsia="Amiri" w:cs="Amiri"/>
          <w:color w:val="111111"/>
          <w:sz w:val="28"/>
          <w:sz w:val="28"/>
          <w:szCs w:val="28"/>
          <w:rtl w:val="true"/>
          <w:lang w:bidi="ar-SA"/>
        </w:rPr>
        <w:t>لوَجهِ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هذا إلّامُخالِفٌ للأُصولِ الشرعيّةِ مِن افتقارِ صِحّةِ العبادةِ إلىٰ إيقاعِها علَى </w:t>
      </w:r>
      <w:bookmarkStart w:id="88" w:name="pg16437_172424"/>
    </w:p>
    <w:p>
      <w:pPr>
        <w:pStyle w:val="BookText"/>
        <w:rPr/>
      </w:pPr>
      <w:bookmarkEnd w:id="88"/>
      <w:r>
        <w:rPr>
          <w:rFonts w:ascii="Amiri" w:hAnsi="Amiri" w:eastAsia="Amiri" w:cs="Amiri"/>
          <w:color w:val="111111"/>
          <w:sz w:val="28"/>
          <w:sz w:val="28"/>
          <w:szCs w:val="28"/>
          <w:rtl w:val="true"/>
          <w:lang w:bidi="ar-SA"/>
        </w:rPr>
        <w:t>الوجهِ الذي له شُرِّعَت، و أنّ إيقاعَها لغَيرِه مُخرِجٌ لها عن</w:t>
      </w:r>
      <w:r>
        <w:rPr>
          <w:rStyle w:val="FootnoteAnchor"/>
          <w:rtl w:val="true"/>
        </w:rPr>
        <w:footnoteReference w:id="442"/>
      </w:r>
      <w:r>
        <w:rPr>
          <w:rFonts w:ascii="Amiri" w:hAnsi="Amiri" w:eastAsia="Amiri" w:cs="Amiri"/>
          <w:color w:val="111111"/>
          <w:sz w:val="28"/>
          <w:sz w:val="28"/>
          <w:szCs w:val="28"/>
          <w:rtl w:val="true"/>
          <w:lang w:bidi="ar-SA"/>
        </w:rPr>
        <w:t>جِهةِ التعَبُّدِ و مُخِلٌّ باستحقاقِ الثوابِ؟ و علىٰ هذا التقديرِ مِن الحُكمِ يَجِبُ أن يَكونَ إيقاعُ العبادةِ لوَجهِ التطَوُّعِ لا يَنوبُ مَنابَ إيقاعِها لوَجهِ الوجوبِ علىٰ حالٍ</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8039513_1280447820"/>
      <w:bookmarkStart w:id="90" w:name="_Toc31"/>
      <w:bookmarkEnd w:id="89"/>
      <w:r>
        <w:rPr>
          <w:rtl w:val="true"/>
        </w:rPr>
        <w:t>المَسألةُ السادسةُ‌</w:t>
      </w:r>
      <w:bookmarkEnd w:id="90"/>
    </w:p>
    <w:p>
      <w:pPr>
        <w:pStyle w:val="BookText"/>
        <w:rPr/>
      </w:pPr>
      <w:r>
        <w:rPr>
          <w:rFonts w:ascii="Amiri" w:hAnsi="Amiri" w:eastAsia="Amiri" w:cs="Amiri"/>
          <w:color w:val="111111"/>
          <w:sz w:val="28"/>
          <w:sz w:val="28"/>
          <w:szCs w:val="28"/>
          <w:rtl w:val="true"/>
          <w:lang w:bidi="ar-SA"/>
        </w:rPr>
        <w:t>المَسألةُ السادسةُ‌</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 ما الوجهُ في الفُتيا بأنّ عَزمَ المُكلَّفِ علىٰ صَومِ جميعِ شَهرِ رَمَضانَ قَبلَ فَجرِ أوّلِ يَومٍ منه يُغني عن تَكرارِ النيّةِ لِكُلِّ يَومٍ بعَينِه؟ مع عِلمِنا بأنّ العبادةَ الواحدةَ تَفتَقِرُ إلىٰ نيّةِ التعيينِ في حالِ ابتدائها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تَقدَّمَها أو تَراخىٰ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الصومَ الشرعيَّ العَزمُ علىٰ أن لا يَفعَلَ مُكلَّفُه أُموراً مخصوصةً في زمانٍ مخصوصٍ لوجوبِ ذلكَ، علىٰ جِهةِ القُربةِ به و الإخلاصِ، كسائرِ العباداتِ المُفتَقِرةِ صِحّتُها إلَى الوجوهِ التي لها</w:t>
      </w:r>
      <w:r>
        <w:rPr>
          <w:rStyle w:val="FootnoteAnchor"/>
          <w:rtl w:val="true"/>
        </w:rPr>
        <w:footnoteReference w:id="444"/>
      </w:r>
      <w:r>
        <w:rPr>
          <w:rFonts w:ascii="Amiri" w:hAnsi="Amiri" w:eastAsia="Amiri" w:cs="Amiri"/>
          <w:color w:val="111111"/>
          <w:sz w:val="28"/>
          <w:sz w:val="28"/>
          <w:szCs w:val="28"/>
          <w:rtl w:val="true"/>
          <w:lang w:bidi="ar-SA"/>
        </w:rPr>
        <w:t>شُرِّعَت؛ و اتّفاقِنا علىٰ أنّ اختلالَ شَرطٍ مِن هذه يُخرِجُ المُكلَّفَ عن كَونِه صائماً في الشريعةِ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يُمكِنُ‌</w:t>
      </w:r>
      <w:r>
        <w:rPr>
          <w:rStyle w:val="FootnoteAnchor"/>
          <w:rtl w:val="true"/>
        </w:rPr>
        <w:footnoteReference w:id="445"/>
      </w:r>
      <w:r>
        <w:rPr>
          <w:rFonts w:ascii="Amiri" w:hAnsi="Amiri" w:eastAsia="Amiri" w:cs="Amiri"/>
          <w:color w:val="111111"/>
          <w:sz w:val="28"/>
          <w:sz w:val="28"/>
          <w:szCs w:val="28"/>
          <w:rtl w:val="true"/>
          <w:lang w:bidi="ar-SA"/>
        </w:rPr>
        <w:t>مع هذا أن تَكونَ‌</w:t>
      </w:r>
      <w:r>
        <w:rPr>
          <w:rStyle w:val="FootnoteAnchor"/>
          <w:rtl w:val="true"/>
        </w:rPr>
        <w:footnoteReference w:id="446"/>
      </w:r>
      <w:r>
        <w:rPr>
          <w:rFonts w:ascii="Amiri" w:hAnsi="Amiri" w:eastAsia="Amiri" w:cs="Amiri"/>
          <w:color w:val="111111"/>
          <w:sz w:val="28"/>
          <w:sz w:val="28"/>
          <w:szCs w:val="28"/>
          <w:rtl w:val="true"/>
          <w:lang w:bidi="ar-SA"/>
        </w:rPr>
        <w:t>النيّةُ المفعولةُ‌</w:t>
      </w:r>
      <w:r>
        <w:rPr>
          <w:rStyle w:val="FootnoteAnchor"/>
          <w:rtl w:val="true"/>
        </w:rPr>
        <w:footnoteReference w:id="447"/>
      </w:r>
      <w:r>
        <w:rPr>
          <w:rFonts w:ascii="Amiri" w:hAnsi="Amiri" w:eastAsia="Amiri" w:cs="Amiri"/>
          <w:color w:val="111111"/>
          <w:sz w:val="28"/>
          <w:sz w:val="28"/>
          <w:szCs w:val="28"/>
          <w:rtl w:val="true"/>
          <w:lang w:bidi="ar-SA"/>
        </w:rPr>
        <w:t>علىٰ هذا الوجهِ، في أوّلِ يَومٍ مِن الشهرِ، نائبةً‌</w:t>
      </w:r>
      <w:r>
        <w:rPr>
          <w:rStyle w:val="FootnoteAnchor"/>
          <w:rtl w:val="true"/>
        </w:rPr>
        <w:footnoteReference w:id="448"/>
      </w:r>
      <w:r>
        <w:rPr>
          <w:rFonts w:ascii="Amiri" w:hAnsi="Amiri" w:eastAsia="Amiri" w:cs="Amiri"/>
          <w:color w:val="111111"/>
          <w:sz w:val="28"/>
          <w:sz w:val="28"/>
          <w:szCs w:val="28"/>
          <w:rtl w:val="true"/>
          <w:lang w:bidi="ar-SA"/>
        </w:rPr>
        <w:t>عن نيّةِ كُلِّ يَومٍ مُستَقبَلٍ منه؟ و هل ذلكَ إلّامُقتَضٍ‌</w:t>
      </w:r>
      <w:r>
        <w:rPr>
          <w:rStyle w:val="FootnoteAnchor"/>
          <w:rtl w:val="true"/>
        </w:rPr>
        <w:footnoteReference w:id="449"/>
      </w:r>
      <w:r>
        <w:rPr>
          <w:rFonts w:ascii="Amiri" w:hAnsi="Amiri" w:eastAsia="Amiri" w:cs="Amiri"/>
          <w:color w:val="111111"/>
          <w:sz w:val="28"/>
          <w:sz w:val="28"/>
          <w:szCs w:val="28"/>
          <w:rtl w:val="true"/>
          <w:lang w:bidi="ar-SA"/>
        </w:rPr>
        <w:t xml:space="preserve">لصِحّةِ صَومِ </w:t>
      </w:r>
    </w:p>
    <w:p>
      <w:pPr>
        <w:pStyle w:val="BookText"/>
        <w:rPr/>
      </w:pPr>
      <w:r>
        <w:rPr>
          <w:rFonts w:ascii="Amiri" w:hAnsi="Amiri" w:eastAsia="Amiri" w:cs="Amiri"/>
          <w:color w:val="111111"/>
          <w:sz w:val="28"/>
          <w:sz w:val="28"/>
          <w:szCs w:val="28"/>
          <w:rtl w:val="true"/>
          <w:lang w:bidi="ar-SA"/>
        </w:rPr>
        <w:t xml:space="preserve">مَن تَقدَّمَت منه هذه النيّةُ، مع كَونِه غيرَ عازِمٍ في كُلِّ يَومٍ مُستَقبَلٍ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يَفعَلَ ما يَجِبُ عليه اجتنابُه في زمانِ الصومِ، و لا فِعلِه</w:t>
      </w:r>
      <w:r>
        <w:rPr>
          <w:rStyle w:val="FootnoteAnchor"/>
          <w:rtl w:val="true"/>
        </w:rPr>
        <w:footnoteReference w:id="451"/>
      </w:r>
      <w:r>
        <w:rPr>
          <w:rFonts w:ascii="Amiri" w:hAnsi="Amiri" w:eastAsia="Amiri" w:cs="Amiri"/>
          <w:color w:val="111111"/>
          <w:sz w:val="28"/>
          <w:sz w:val="28"/>
          <w:szCs w:val="28"/>
          <w:rtl w:val="true"/>
          <w:lang w:bidi="ar-SA"/>
        </w:rPr>
        <w:t>للوجهِ الذي له شُرِّعَ الصومُ، و لا القُربةِ‌</w:t>
      </w:r>
      <w:r>
        <w:rPr>
          <w:rStyle w:val="FootnoteAnchor"/>
          <w:rtl w:val="true"/>
        </w:rPr>
        <w:footnoteReference w:id="452"/>
      </w:r>
      <w:r>
        <w:rPr>
          <w:rFonts w:ascii="IRNazanin" w:hAnsi="IRNazanin" w:eastAsia="IRNazanin"/>
          <w:color w:val="111111"/>
          <w:sz w:val="28"/>
          <w:sz w:val="28"/>
          <w:szCs w:val="28"/>
          <w:rtl w:val="true"/>
          <w:lang w:bidi="fa-IR"/>
        </w:rPr>
        <w:t>؟ و هذا ما لا</w:t>
      </w:r>
      <w:r>
        <w:rPr>
          <w:rStyle w:val="FootnoteAnchor"/>
          <w:rtl w:val="true"/>
        </w:rPr>
        <w:footnoteReference w:id="453"/>
      </w:r>
      <w:r>
        <w:rPr>
          <w:rFonts w:ascii="Amiri" w:hAnsi="Amiri" w:eastAsia="Amiri" w:cs="Amiri"/>
          <w:color w:val="111111"/>
          <w:sz w:val="28"/>
          <w:sz w:val="28"/>
          <w:szCs w:val="28"/>
          <w:rtl w:val="true"/>
          <w:lang w:bidi="ar-SA"/>
        </w:rPr>
        <w:t>يَجوزُ المَصيرُ إليه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اتّفاقُنا علىٰ وجوبِ هذه الأُمورِ في كُلِّ يَومٍ و إلّالَم يَكُنِ المَرءُ صائماً</w:t>
      </w:r>
      <w:r>
        <w:rPr>
          <w:rStyle w:val="FootnoteAnchor"/>
          <w:rtl w:val="true"/>
        </w:rPr>
        <w:footnoteReference w:id="454"/>
      </w:r>
      <w:r>
        <w:rPr>
          <w:rFonts w:ascii="Amiri" w:hAnsi="Amiri" w:eastAsia="Amiri" w:cs="Amiri"/>
          <w:color w:val="111111"/>
          <w:sz w:val="28"/>
          <w:sz w:val="28"/>
          <w:szCs w:val="28"/>
          <w:rtl w:val="true"/>
          <w:lang w:bidi="ar-SA"/>
        </w:rPr>
        <w:t>، يَمنَعُ مِن الفُتيا التي حَكَيناها، مع حُصولِ الإجماعِ عليها، أو يَكونُ لها وَجهٌ تَمُنُّ‌</w:t>
      </w:r>
      <w:r>
        <w:rPr>
          <w:rStyle w:val="FootnoteAnchor"/>
          <w:rtl w:val="true"/>
        </w:rPr>
        <w:footnoteReference w:id="455"/>
      </w:r>
      <w:r>
        <w:rPr>
          <w:rFonts w:ascii="Amiri" w:hAnsi="Amiri" w:eastAsia="Amiri" w:cs="Amiri"/>
          <w:color w:val="111111"/>
          <w:sz w:val="28"/>
          <w:sz w:val="28"/>
          <w:szCs w:val="28"/>
          <w:rtl w:val="true"/>
          <w:lang w:bidi="ar-SA"/>
        </w:rPr>
        <w:t>بِذِكرِه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91" w:name="pg16437_172426"/>
    </w:p>
    <w:p>
      <w:pPr>
        <w:pStyle w:val="Heading4"/>
        <w:numPr>
          <w:ilvl w:val="3"/>
          <w:numId w:val="1"/>
        </w:numPr>
        <w:rPr/>
      </w:pPr>
      <w:bookmarkStart w:id="92" w:name="__RefHeading___Toc8039515_1280447820"/>
      <w:bookmarkStart w:id="93" w:name="_Toc32"/>
      <w:bookmarkEnd w:id="91"/>
      <w:bookmarkEnd w:id="92"/>
      <w:r>
        <w:rPr>
          <w:rtl w:val="true"/>
        </w:rPr>
        <w:t>جوابُ المسائلِ الستِّ المتعلِّقةِ بالنيّاتِ‌</w:t>
      </w:r>
      <w:bookmarkEnd w:id="93"/>
    </w:p>
    <w:p>
      <w:pPr>
        <w:pStyle w:val="Heading5"/>
        <w:numPr>
          <w:ilvl w:val="4"/>
          <w:numId w:val="1"/>
        </w:numPr>
        <w:rPr/>
      </w:pPr>
      <w:bookmarkStart w:id="94" w:name="__RefHeading___Toc8039517_1280447820"/>
      <w:bookmarkStart w:id="95" w:name="_Toc33"/>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8039519_1280447820"/>
      <w:bookmarkStart w:id="97" w:name="_Toc34"/>
      <w:bookmarkEnd w:id="96"/>
      <w:r>
        <w:rPr>
          <w:rtl w:val="true"/>
        </w:rPr>
        <w:t>جوازُ نَقلِ نيّةِ الصلاةِ من الحاضرةِ إلَى الفائتةِ‌</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المسألةُ الأُولىٰ</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مؤثِّرةٍ في العباداتِ الشرعيّةِ‌</w:t>
      </w:r>
      <w:r>
        <w:rPr>
          <w:rStyle w:val="FootnoteAnchor"/>
          <w:rtl w:val="true"/>
        </w:rPr>
        <w:footnoteReference w:id="460"/>
      </w:r>
      <w:r>
        <w:rPr>
          <w:rFonts w:ascii="Amiri" w:hAnsi="Amiri" w:eastAsia="Amiri" w:cs="Amiri"/>
          <w:color w:val="111111"/>
          <w:sz w:val="28"/>
          <w:sz w:val="28"/>
          <w:szCs w:val="28"/>
          <w:rtl w:val="true"/>
          <w:lang w:bidi="ar-SA"/>
        </w:rPr>
        <w:t xml:space="preserve">صفاتٍ تَحصُلُ عنها، كما نَقولُه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مؤثِّرةٍ في كَونِ‌</w:t>
      </w:r>
      <w:r>
        <w:rPr>
          <w:rStyle w:val="FootnoteAnchor"/>
          <w:rtl w:val="true"/>
        </w:rPr>
        <w:footnoteReference w:id="461"/>
      </w:r>
      <w:r>
        <w:rPr>
          <w:rFonts w:ascii="Amiri" w:hAnsi="Amiri" w:eastAsia="Amiri" w:cs="Amiri"/>
          <w:color w:val="111111"/>
          <w:sz w:val="28"/>
          <w:sz w:val="28"/>
          <w:szCs w:val="28"/>
          <w:rtl w:val="true"/>
          <w:lang w:bidi="ar-SA"/>
        </w:rPr>
        <w:t>الخبرِ خبراً و كَونِ‌</w:t>
      </w:r>
      <w:r>
        <w:rPr>
          <w:rStyle w:val="FootnoteAnchor"/>
          <w:rtl w:val="true"/>
        </w:rPr>
        <w:footnoteReference w:id="462"/>
      </w:r>
      <w:r>
        <w:rPr>
          <w:rFonts w:ascii="Amiri" w:hAnsi="Amiri" w:eastAsia="Amiri" w:cs="Amiri"/>
          <w:color w:val="111111"/>
          <w:sz w:val="28"/>
          <w:sz w:val="28"/>
          <w:szCs w:val="28"/>
          <w:rtl w:val="true"/>
          <w:lang w:bidi="ar-SA"/>
        </w:rPr>
        <w:t>المُريدِ مُريداً</w:t>
      </w:r>
      <w:r>
        <w:rPr>
          <w:rStyle w:val="FootnoteAnchor"/>
          <w:rtl w:val="true"/>
        </w:rPr>
        <w:footnoteReference w:id="463"/>
      </w:r>
      <w:r>
        <w:rPr>
          <w:rFonts w:ascii="Amiri" w:hAnsi="Amiri" w:eastAsia="Amiri" w:cs="Amiri"/>
          <w:color w:val="111111"/>
          <w:sz w:val="28"/>
          <w:sz w:val="28"/>
          <w:szCs w:val="28"/>
          <w:rtl w:val="true"/>
          <w:lang w:bidi="ar-SA"/>
        </w:rPr>
        <w:t>، و هو الصحيحُ علىٰ ما بيّنّاه في كُتُبِنا</w:t>
      </w:r>
      <w:r>
        <w:rPr>
          <w:rStyle w:val="FootnoteAnchor"/>
          <w:rtl w:val="true"/>
        </w:rPr>
        <w:footnoteReference w:id="464"/>
      </w:r>
      <w:r>
        <w:rPr>
          <w:rFonts w:ascii="Amiri" w:hAnsi="Amiri" w:eastAsia="Amiri" w:cs="Amiri"/>
          <w:color w:val="111111"/>
          <w:sz w:val="28"/>
          <w:sz w:val="28"/>
          <w:szCs w:val="28"/>
          <w:rtl w:val="true"/>
          <w:lang w:bidi="ar-SA"/>
        </w:rPr>
        <w:t>لأنّ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تَعلُّقاً بَينَ الخِطابِ </w:t>
      </w:r>
    </w:p>
    <w:p>
      <w:pPr>
        <w:pStyle w:val="BookText"/>
        <w:rPr/>
      </w:pPr>
      <w:r>
        <w:rPr>
          <w:rFonts w:ascii="Amiri" w:hAnsi="Amiri" w:eastAsia="Amiri" w:cs="Amiri"/>
          <w:color w:val="111111"/>
          <w:sz w:val="28"/>
          <w:sz w:val="28"/>
          <w:szCs w:val="28"/>
          <w:rtl w:val="true"/>
          <w:lang w:bidi="ar-SA"/>
        </w:rPr>
        <w:t>و بَينَ ما هو خبرٌ عنه، و ذلكَ التعلُّقُ‌</w:t>
      </w:r>
      <w:r>
        <w:rPr>
          <w:rStyle w:val="FootnoteAnchor"/>
          <w:rtl w:val="true"/>
        </w:rPr>
        <w:footnoteReference w:id="465"/>
      </w:r>
      <w:r>
        <w:rPr>
          <w:rFonts w:ascii="Amiri" w:hAnsi="Amiri" w:eastAsia="Amiri" w:cs="Amiri"/>
          <w:color w:val="111111"/>
          <w:sz w:val="28"/>
          <w:sz w:val="28"/>
          <w:szCs w:val="28"/>
          <w:rtl w:val="true"/>
          <w:lang w:bidi="ar-SA"/>
        </w:rPr>
        <w:t>لا بُدَّ مِن كَونِه مُستَنِداً إلىٰ صفةٍ‌</w:t>
      </w:r>
      <w:r>
        <w:rPr>
          <w:rStyle w:val="FootnoteAnchor"/>
          <w:rtl w:val="true"/>
        </w:rPr>
        <w:footnoteReference w:id="466"/>
      </w:r>
      <w:r>
        <w:rPr>
          <w:rFonts w:ascii="Amiri" w:hAnsi="Amiri" w:eastAsia="Amiri" w:cs="Amiri"/>
          <w:color w:val="111111"/>
          <w:sz w:val="28"/>
          <w:sz w:val="28"/>
          <w:szCs w:val="28"/>
          <w:rtl w:val="true"/>
          <w:lang w:bidi="ar-SA"/>
        </w:rPr>
        <w:t>تَقتضيهِ‌</w:t>
      </w:r>
      <w:r>
        <w:rPr>
          <w:rStyle w:val="FootnoteAnchor"/>
          <w:rtl w:val="true"/>
        </w:rPr>
        <w:footnoteReference w:id="467"/>
      </w:r>
      <w:r>
        <w:rPr>
          <w:rFonts w:ascii="Amiri" w:hAnsi="Amiri" w:eastAsia="Amiri" w:cs="Amiri"/>
          <w:color w:val="111111"/>
          <w:sz w:val="28"/>
          <w:sz w:val="28"/>
          <w:szCs w:val="28"/>
          <w:rtl w:val="true"/>
          <w:lang w:bidi="ar-SA"/>
        </w:rPr>
        <w:t>اقتضاءَ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دَلَّلنا علىٰ ما أغفَلَ المُتكلِّمونَ إيرادَه في كُتُبِهم و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الدَّلالةِ علىٰ أنّ كَونَ الخبرِ خبراً</w:t>
      </w:r>
      <w:r>
        <w:rPr>
          <w:rStyle w:val="FootnoteAnchor"/>
          <w:rtl w:val="true"/>
        </w:rPr>
        <w:footnoteReference w:id="468"/>
      </w:r>
      <w:r>
        <w:rPr>
          <w:rFonts w:ascii="Amiri" w:hAnsi="Amiri" w:eastAsia="Amiri" w:cs="Amiri"/>
          <w:color w:val="111111"/>
          <w:sz w:val="28"/>
          <w:sz w:val="28"/>
          <w:szCs w:val="28"/>
          <w:rtl w:val="true"/>
          <w:lang w:bidi="ar-SA"/>
        </w:rPr>
        <w:t>يَقتَضي تَعلُّقاً بالمُخبَرِ عنه، و أنّ المَرجِعَ بذلكَ لا يَجوزُ أن يَكونَ إلىٰ مُجرَّدِ كَونِ‌</w:t>
      </w:r>
      <w:r>
        <w:rPr>
          <w:rStyle w:val="FootnoteAnchor"/>
          <w:rtl w:val="true"/>
        </w:rPr>
        <w:footnoteReference w:id="469"/>
      </w:r>
      <w:r>
        <w:rPr>
          <w:rFonts w:ascii="Amiri" w:hAnsi="Amiri" w:eastAsia="Amiri" w:cs="Amiri"/>
          <w:color w:val="111111"/>
          <w:sz w:val="28"/>
          <w:sz w:val="28"/>
          <w:szCs w:val="28"/>
          <w:rtl w:val="true"/>
          <w:lang w:bidi="ar-SA"/>
        </w:rPr>
        <w:t xml:space="preserve">المُريدِ مُريداً لِكَونِه خبراً؛ بَل لا بُدَّ مِن تَعلُّقٍ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مُفرَدةٍ أملَيناها، تَختَصُّ هذا</w:t>
      </w:r>
      <w:r>
        <w:rPr>
          <w:rStyle w:val="FootnoteAnchor"/>
          <w:rtl w:val="true"/>
        </w:rPr>
        <w:footnoteReference w:id="470"/>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دلَّلنا فيها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لَو لَم يَكُن مُتعلِّقاً علَى الحقيقةِ بالمُخبَرِ عنه، و علىٰ صفةٍ اقتَضَت هذا التَعلُّقَ، لَم يَكُن في الإخبارِ صدقٌ و لا كَذِبٌ؛ لأنّ كَونَه صِدقاً يُفيدُ تَعلُّقاً مخصوصاً، و كَونَه كَذِباً</w:t>
      </w:r>
      <w:r>
        <w:rPr>
          <w:rStyle w:val="FootnoteAnchor"/>
          <w:rtl w:val="true"/>
        </w:rPr>
        <w:footnoteReference w:id="472"/>
      </w:r>
      <w:r>
        <w:rPr>
          <w:rFonts w:ascii="Amiri" w:hAnsi="Amiri" w:eastAsia="Amiri" w:cs="Amiri"/>
          <w:color w:val="111111"/>
          <w:sz w:val="28"/>
          <w:sz w:val="28"/>
          <w:szCs w:val="28"/>
          <w:rtl w:val="true"/>
          <w:lang w:bidi="ar-SA"/>
        </w:rPr>
        <w:t>يَقتَضي نَقيضَ‌</w:t>
      </w:r>
      <w:r>
        <w:rPr>
          <w:rStyle w:val="FootnoteAnchor"/>
          <w:rtl w:val="true"/>
        </w:rPr>
        <w:footnoteReference w:id="473"/>
      </w:r>
      <w:r>
        <w:rPr>
          <w:rFonts w:ascii="Amiri" w:hAnsi="Amiri" w:eastAsia="Amiri" w:cs="Amiri"/>
          <w:color w:val="111111"/>
          <w:sz w:val="28"/>
          <w:sz w:val="28"/>
          <w:szCs w:val="28"/>
          <w:rtl w:val="true"/>
          <w:lang w:bidi="ar-SA"/>
        </w:rPr>
        <w:t>ذلكَ التعلُّقِ، فلَو لَم يَكُن هُناك تَعلُّقٌ حقيقيٌّ لَما انقَسَمَ الخبرُ إلى الصدقِ و الكَذِبِ، و قد عَلِمنا انقسامَه إليهما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العباداتِ الشرعيّةِ كُلِّها ما يَحصُلُ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إرادةٌ مخصوصةٌ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صفةٍ، و إنّما تَتعيَّنُ‌</w:t>
      </w:r>
      <w:r>
        <w:rPr>
          <w:rStyle w:val="FootnoteAnchor"/>
          <w:rtl w:val="true"/>
        </w:rPr>
        <w:footnoteReference w:id="475"/>
      </w:r>
      <w:r>
        <w:rPr>
          <w:rFonts w:ascii="Amiri" w:hAnsi="Amiri" w:eastAsia="Amiri" w:cs="Amiri"/>
          <w:color w:val="111111"/>
          <w:sz w:val="28"/>
          <w:sz w:val="28"/>
          <w:szCs w:val="28"/>
          <w:rtl w:val="true"/>
          <w:lang w:bidi="ar-SA"/>
        </w:rPr>
        <w:t>بالنيّةِ‌</w:t>
      </w:r>
      <w:r>
        <w:rPr>
          <w:rStyle w:val="FootnoteAnchor"/>
          <w:rtl w:val="true"/>
        </w:rPr>
        <w:footnoteReference w:id="476"/>
      </w:r>
      <w:r>
        <w:rPr>
          <w:rFonts w:ascii="Amiri" w:hAnsi="Amiri" w:eastAsia="Amiri" w:cs="Amiri"/>
          <w:color w:val="111111"/>
          <w:sz w:val="28"/>
          <w:sz w:val="28"/>
          <w:szCs w:val="28"/>
          <w:rtl w:val="true"/>
          <w:lang w:bidi="ar-SA"/>
        </w:rPr>
        <w:t>أحكامُ هذه العباداتِ‌</w:t>
      </w:r>
      <w:r>
        <w:rPr>
          <w:rStyle w:val="FootnoteAnchor"/>
          <w:rtl w:val="true"/>
        </w:rPr>
        <w:footnoteReference w:id="477"/>
      </w:r>
      <w:r>
        <w:rPr>
          <w:rFonts w:ascii="Amiri" w:hAnsi="Amiri" w:eastAsia="Amiri" w:cs="Amiri"/>
          <w:color w:val="111111"/>
          <w:sz w:val="28"/>
          <w:sz w:val="28"/>
          <w:szCs w:val="28"/>
          <w:rtl w:val="true"/>
          <w:lang w:bidi="ar-SA"/>
        </w:rPr>
        <w:t>، و يَسقُطُ بها عن الذمّةِ ما كانَ غيرَ ساقطٍ، و يُجزي ما كانَ لَولاها لا يُجزي</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إشارةٌ مِنّا إلىٰ أحكامٍ مخصوصةٍ، لا إلىٰ صفاتٍ حَصَلَت لهذه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النيّةَ تُعيِّنُ صفاتِ‌</w:t>
      </w:r>
      <w:r>
        <w:rPr>
          <w:rStyle w:val="FootnoteAnchor"/>
          <w:rtl w:val="true"/>
        </w:rPr>
        <w:footnoteReference w:id="479"/>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يُشيرُ</w:t>
      </w:r>
      <w:r>
        <w:rPr>
          <w:rStyle w:val="FootnoteAnchor"/>
          <w:rtl w:val="true"/>
        </w:rPr>
        <w:footnoteReference w:id="480"/>
      </w:r>
      <w:r>
        <w:rPr>
          <w:rFonts w:ascii="Amiri" w:hAnsi="Amiri" w:eastAsia="Amiri" w:cs="Amiri"/>
          <w:color w:val="111111"/>
          <w:sz w:val="28"/>
          <w:sz w:val="28"/>
          <w:szCs w:val="28"/>
          <w:rtl w:val="true"/>
          <w:lang w:bidi="ar-SA"/>
        </w:rPr>
        <w:t>إلىٰ هذه الأحكامِ التي ذَكَرناها؛ لأنّكَ لَو استَفسَرتَه عن</w:t>
      </w:r>
      <w:r>
        <w:rPr>
          <w:rStyle w:val="FootnoteAnchor"/>
          <w:rtl w:val="true"/>
        </w:rPr>
        <w:footnoteReference w:id="481"/>
      </w:r>
      <w:r>
        <w:rPr>
          <w:rFonts w:ascii="Amiri" w:hAnsi="Amiri" w:eastAsia="Amiri" w:cs="Amiri"/>
          <w:color w:val="111111"/>
          <w:sz w:val="28"/>
          <w:sz w:val="28"/>
          <w:szCs w:val="28"/>
          <w:rtl w:val="true"/>
          <w:lang w:bidi="ar-SA"/>
        </w:rPr>
        <w:t>مُرادِه، لَما</w:t>
      </w:r>
      <w:r>
        <w:rPr>
          <w:rStyle w:val="FootnoteAnchor"/>
          <w:rtl w:val="true"/>
        </w:rPr>
        <w:footnoteReference w:id="482"/>
      </w:r>
      <w:r>
        <w:rPr>
          <w:rFonts w:ascii="Amiri" w:hAnsi="Amiri" w:eastAsia="Amiri" w:cs="Amiri"/>
          <w:color w:val="111111"/>
          <w:sz w:val="28"/>
          <w:sz w:val="28"/>
          <w:szCs w:val="28"/>
          <w:rtl w:val="true"/>
          <w:lang w:bidi="ar-SA"/>
        </w:rPr>
        <w:t>فَسَّرَ إلّابذِكرِ هذه الأحكامِ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يُبيِّنُ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لَو أثَّرَتٰ في العباداتِ صفةً مُقتَضاةً عنها</w:t>
      </w:r>
      <w:r>
        <w:rPr>
          <w:rStyle w:val="FootnoteAnchor"/>
          <w:rtl w:val="true"/>
        </w:rPr>
        <w:footnoteReference w:id="483"/>
      </w:r>
      <w:r>
        <w:rPr>
          <w:rFonts w:ascii="Amiri" w:hAnsi="Amiri" w:eastAsia="Amiri" w:cs="Amiri"/>
          <w:color w:val="111111"/>
          <w:sz w:val="28"/>
          <w:sz w:val="28"/>
          <w:szCs w:val="28"/>
          <w:rtl w:val="true"/>
          <w:lang w:bidi="ar-SA"/>
        </w:rPr>
        <w:t>، لَوَجَبَ أن تؤثِّرَ ذلكَ قَبلَ العبادةِ بهذه الشرعيّاتِ‌</w:t>
      </w:r>
      <w:r>
        <w:rPr>
          <w:rStyle w:val="FootnoteAnchor"/>
          <w:rtl w:val="true"/>
        </w:rPr>
        <w:footnoteReference w:id="484"/>
      </w:r>
      <w:r>
        <w:rPr>
          <w:rFonts w:ascii="Amiri" w:hAnsi="Amiri" w:eastAsia="Amiri" w:cs="Amiri"/>
          <w:color w:val="111111"/>
          <w:sz w:val="28"/>
          <w:sz w:val="28"/>
          <w:szCs w:val="28"/>
          <w:rtl w:val="true"/>
          <w:lang w:bidi="ar-SA"/>
        </w:rPr>
        <w:t>لأنّ المؤثِّرَ في نفسِه لا يَتغيَّرُ تأثيرُه، و قد عَلِمنا أنّ مُصاحَبةَ هذه النيّةِ للعبادةِ قَبلَ الشرائعِ‌</w:t>
      </w:r>
      <w:r>
        <w:rPr>
          <w:rStyle w:val="FootnoteAnchor"/>
          <w:rtl w:val="true"/>
        </w:rPr>
        <w:footnoteReference w:id="485"/>
      </w:r>
      <w:r>
        <w:rPr>
          <w:rFonts w:ascii="Amiri" w:hAnsi="Amiri" w:eastAsia="Amiri" w:cs="Amiri"/>
          <w:color w:val="111111"/>
          <w:sz w:val="28"/>
          <w:sz w:val="28"/>
          <w:szCs w:val="28"/>
          <w:rtl w:val="true"/>
          <w:lang w:bidi="ar-SA"/>
        </w:rPr>
        <w:t>لا حُكمَ لها</w:t>
      </w:r>
      <w:r>
        <w:rPr>
          <w:rStyle w:val="FootnoteAnchor"/>
          <w:rtl w:val="true"/>
        </w:rPr>
        <w:footnoteReference w:id="486"/>
      </w:r>
      <w:r>
        <w:rPr>
          <w:rFonts w:ascii="IRNazanin" w:hAnsi="IRNazanin" w:eastAsia="IRNazanin"/>
          <w:color w:val="111111"/>
          <w:sz w:val="28"/>
          <w:sz w:val="28"/>
          <w:szCs w:val="28"/>
          <w:rtl w:val="true"/>
          <w:lang w:bidi="fa-IR"/>
        </w:rPr>
        <w:t>و لا</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تأثيرَ؛ فصَحَّ ما نَبَّهْنا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صَحَّت هذه الجُملةُ التي عَقَدناها، زالَ التعجُّبُ مِن نَقلِ النيّةِ عن أداءِ الصلاةِ الحاضِرِ</w:t>
      </w:r>
      <w:r>
        <w:rPr>
          <w:rStyle w:val="FootnoteAnchor"/>
          <w:rtl w:val="true"/>
        </w:rPr>
        <w:footnoteReference w:id="488"/>
      </w:r>
      <w:r>
        <w:rPr>
          <w:rFonts w:ascii="Amiri" w:hAnsi="Amiri" w:eastAsia="Amiri" w:cs="Amiri"/>
          <w:color w:val="111111"/>
          <w:sz w:val="28"/>
          <w:sz w:val="28"/>
          <w:szCs w:val="28"/>
          <w:rtl w:val="true"/>
          <w:lang w:bidi="ar-SA"/>
        </w:rPr>
        <w:t>وقتُها إلىٰ قَضاءِ الفائتةِ؛ لأنّ ما صَلّاه بنيِّةِ الأداءِ لَم يَحصُلْ‌</w:t>
      </w:r>
      <w:r>
        <w:rPr>
          <w:rStyle w:val="FootnoteAnchor"/>
          <w:rtl w:val="true"/>
        </w:rPr>
        <w:footnoteReference w:id="489"/>
      </w:r>
      <w:r>
        <w:rPr>
          <w:rFonts w:ascii="Amiri" w:hAnsi="Amiri" w:eastAsia="Amiri" w:cs="Amiri"/>
          <w:color w:val="111111"/>
          <w:sz w:val="28"/>
          <w:sz w:val="28"/>
          <w:szCs w:val="28"/>
          <w:rtl w:val="true"/>
          <w:lang w:bidi="ar-SA"/>
        </w:rPr>
        <w:t>علىٰ صفةٍ لا يَجوزُ انقلا بُه عنها، و إنّما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في</w:t>
      </w:r>
      <w:r>
        <w:rPr>
          <w:rStyle w:val="FootnoteAnchor"/>
          <w:rtl w:val="true"/>
        </w:rPr>
        <w:footnoteReference w:id="490"/>
      </w:r>
      <w:r>
        <w:rPr>
          <w:rFonts w:ascii="Amiri" w:hAnsi="Amiri" w:eastAsia="Amiri" w:cs="Amiri"/>
          <w:color w:val="111111"/>
          <w:sz w:val="28"/>
          <w:sz w:val="28"/>
          <w:szCs w:val="28"/>
          <w:rtl w:val="true"/>
          <w:lang w:bidi="ar-SA"/>
        </w:rPr>
        <w:t>صَلاةٍ حَضَرَ وقتُها، فانوِ أداءَها، و استَمِرَّ علىٰ ذلكَ إلىٰ آخِرِها، ما لَم تَذكُرْ أنّ عليكَ فائتةً، فإن ذَكَرتَ فائتةً فانقُلْ نيّتَكَ إلىٰ قَضاءِ الفائتةِ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w:t>
      </w:r>
      <w:r>
        <w:rPr>
          <w:rStyle w:val="FootnoteAnchor"/>
          <w:rtl w:val="true"/>
        </w:rPr>
        <w:footnoteReference w:id="491"/>
      </w:r>
      <w:r>
        <w:rPr>
          <w:rFonts w:ascii="Amiri" w:hAnsi="Amiri" w:eastAsia="Amiri" w:cs="Amiri"/>
          <w:color w:val="111111"/>
          <w:sz w:val="28"/>
          <w:sz w:val="28"/>
          <w:szCs w:val="28"/>
          <w:rtl w:val="true"/>
          <w:lang w:bidi="ar-SA"/>
        </w:rPr>
        <w:t>إذا كانَ في بقيّةٍ مِن صَلاتِه يُمكِنُه الِاستدراكُ؛ لأنّ الصلاةَ إنّما يَثبُتُ حُكمُها بالفَراغِ مِن جميعِها، لأنّ بعضَها معقودُ ببعضٍ، فهو إذا نَقَلَ نيّتَه إلىٰ قَضاءِ الفائتةِ صارَت الصلاةُ كُلُّها قَضاءً للفائتةِ، لا أداءً للحاضِرةِ‌</w:t>
      </w:r>
      <w:r>
        <w:rPr>
          <w:rStyle w:val="FootnoteAnchor"/>
          <w:rtl w:val="true"/>
        </w:rPr>
        <w:footnoteReference w:id="492"/>
      </w:r>
      <w:r>
        <w:rPr>
          <w:rFonts w:ascii="Amiri" w:hAnsi="Amiri" w:eastAsia="Amiri" w:cs="Amiri"/>
          <w:color w:val="111111"/>
          <w:sz w:val="28"/>
          <w:sz w:val="28"/>
          <w:szCs w:val="28"/>
          <w:rtl w:val="true"/>
          <w:lang w:bidi="ar-SA"/>
        </w:rPr>
        <w:t>لأنّ هذه أحكامٌ شَرعيّةٌ يَجِبُ إثباتُها بحَسَبِ أدلّةِ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ما رَتَّبناه هو المشروعَ الذي أجمَعت الفِرقةُ المُحِقّةُ عليه، وَجَبَ العملُ به</w:t>
      </w:r>
      <w:r>
        <w:rPr>
          <w:rStyle w:val="FootnoteAnchor"/>
          <w:rtl w:val="true"/>
        </w:rPr>
        <w:footnoteReference w:id="493"/>
      </w:r>
      <w:r>
        <w:rPr>
          <w:rFonts w:ascii="Amiri" w:hAnsi="Amiri" w:eastAsia="Amiri" w:cs="Amiri"/>
          <w:color w:val="111111"/>
          <w:sz w:val="28"/>
          <w:sz w:val="28"/>
          <w:szCs w:val="28"/>
          <w:rtl w:val="true"/>
          <w:lang w:bidi="ar-SA"/>
        </w:rPr>
        <w:t>و اطِّراحُ ما سِواه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مُسَلَّمٍ ما مَضىٰ في أثناءِ الكلامِ مِن حُصولِ الِاتّفاقِ علىٰ وجوبِ المُضيِّ في الصلاةِ بعد الدخولِ فيها بالنيّةِ؛ لأنّا نُقسِّمُ ذلكَ علىٰ ما فَصَّلناه، و لا نوجِبُ‌</w:t>
      </w:r>
      <w:r>
        <w:rPr>
          <w:rStyle w:val="FootnoteAnchor"/>
          <w:rtl w:val="true"/>
        </w:rPr>
        <w:footnoteReference w:id="494"/>
      </w:r>
      <w:r>
        <w:rPr>
          <w:rFonts w:ascii="Amiri" w:hAnsi="Amiri" w:eastAsia="Amiri" w:cs="Amiri"/>
          <w:color w:val="111111"/>
          <w:sz w:val="28"/>
          <w:sz w:val="28"/>
          <w:szCs w:val="28"/>
          <w:rtl w:val="true"/>
          <w:lang w:bidi="ar-SA"/>
        </w:rPr>
        <w:t>المُضيَّ في الصلاةِ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غيرُ مُسَلَّمٍ أيضاً أنّ الرَّكعتَينِ اللتَينِ دَخَلَ فيهما و نَوىٰ أداءَ‌</w:t>
      </w:r>
      <w:r>
        <w:rPr>
          <w:rStyle w:val="FootnoteAnchor"/>
          <w:rtl w:val="true"/>
        </w:rPr>
        <w:footnoteReference w:id="495"/>
      </w:r>
      <w:r>
        <w:rPr>
          <w:rFonts w:ascii="Amiri" w:hAnsi="Amiri" w:eastAsia="Amiri" w:cs="Amiri"/>
          <w:color w:val="111111"/>
          <w:sz w:val="28"/>
          <w:sz w:val="28"/>
          <w:szCs w:val="28"/>
          <w:rtl w:val="true"/>
          <w:lang w:bidi="ar-SA"/>
        </w:rPr>
        <w:t>الظُّهرِ، ثُمَّ نَقَلَ نيّتَه قَبلَ الفَراغِ منهما إلىٰ قَضاءِ‌</w:t>
      </w:r>
      <w:r>
        <w:rPr>
          <w:rStyle w:val="FootnoteAnchor"/>
          <w:rtl w:val="true"/>
        </w:rPr>
        <w:footnoteReference w:id="496"/>
      </w:r>
      <w:r>
        <w:rPr>
          <w:rFonts w:ascii="Amiri" w:hAnsi="Amiri" w:eastAsia="Amiri" w:cs="Amiri"/>
          <w:color w:val="111111"/>
          <w:sz w:val="28"/>
          <w:sz w:val="28"/>
          <w:szCs w:val="28"/>
          <w:rtl w:val="true"/>
          <w:lang w:bidi="ar-SA"/>
        </w:rPr>
        <w:t>الفائتةِ مِن</w:t>
      </w:r>
      <w:r>
        <w:rPr>
          <w:rStyle w:val="FootnoteAnchor"/>
          <w:rtl w:val="true"/>
        </w:rPr>
        <w:footnoteReference w:id="497"/>
      </w:r>
      <w:r>
        <w:rPr>
          <w:rFonts w:ascii="Amiri" w:hAnsi="Amiri" w:eastAsia="Amiri" w:cs="Amiri"/>
          <w:color w:val="111111"/>
          <w:sz w:val="28"/>
          <w:sz w:val="28"/>
          <w:szCs w:val="28"/>
          <w:rtl w:val="true"/>
          <w:lang w:bidi="ar-SA"/>
        </w:rPr>
        <w:t>صَلاةِ الفَجرِ لمّا ذَكَرَها</w:t>
      </w:r>
      <w:r>
        <w:rPr>
          <w:rStyle w:val="FootnoteAnchor"/>
          <w:rtl w:val="true"/>
        </w:rPr>
        <w:footnoteReference w:id="498"/>
      </w:r>
      <w:r>
        <w:rPr>
          <w:rFonts w:ascii="Amiri" w:hAnsi="Amiri" w:eastAsia="Amiri" w:cs="Amiri"/>
          <w:color w:val="111111"/>
          <w:sz w:val="28"/>
          <w:sz w:val="28"/>
          <w:szCs w:val="28"/>
          <w:rtl w:val="true"/>
          <w:lang w:bidi="ar-SA"/>
        </w:rPr>
        <w:t>، أنّ الرَّكعتَينِ تَكونانِ‌</w:t>
      </w:r>
      <w:r>
        <w:rPr>
          <w:rStyle w:val="FootnoteAnchor"/>
          <w:rtl w:val="true"/>
        </w:rPr>
        <w:footnoteReference w:id="499"/>
      </w:r>
      <w:r>
        <w:rPr>
          <w:rFonts w:ascii="Amiri" w:hAnsi="Amiri" w:eastAsia="Amiri" w:cs="Amiri"/>
          <w:color w:val="111111"/>
          <w:sz w:val="28"/>
          <w:sz w:val="28"/>
          <w:szCs w:val="28"/>
          <w:rtl w:val="true"/>
          <w:lang w:bidi="ar-SA"/>
        </w:rPr>
        <w:t>مِن الظُّهرِ؛ بَل إنّما تَكونانِ‌</w:t>
      </w:r>
      <w:r>
        <w:rPr>
          <w:rStyle w:val="FootnoteAnchor"/>
          <w:rtl w:val="true"/>
        </w:rPr>
        <w:footnoteReference w:id="500"/>
      </w:r>
      <w:r>
        <w:rPr>
          <w:rFonts w:ascii="Amiri" w:hAnsi="Amiri" w:eastAsia="Amiri" w:cs="Amiri"/>
          <w:color w:val="111111"/>
          <w:sz w:val="28"/>
          <w:sz w:val="28"/>
          <w:szCs w:val="28"/>
          <w:rtl w:val="true"/>
          <w:lang w:bidi="ar-SA"/>
        </w:rPr>
        <w:t>مِن الظُّهرِ إذا لَم تَتغيَّرِ</w:t>
      </w:r>
      <w:r>
        <w:rPr>
          <w:rStyle w:val="FootnoteAnchor"/>
          <w:rtl w:val="true"/>
        </w:rPr>
        <w:footnoteReference w:id="501"/>
      </w:r>
      <w:r>
        <w:rPr>
          <w:rFonts w:ascii="Amiri" w:hAnsi="Amiri" w:eastAsia="Amiri" w:cs="Amiri"/>
          <w:color w:val="111111"/>
          <w:sz w:val="28"/>
          <w:sz w:val="28"/>
          <w:szCs w:val="28"/>
          <w:rtl w:val="true"/>
          <w:lang w:bidi="ar-SA"/>
        </w:rPr>
        <w:t>النيّةُ و استَمرَّت علَى الحالةِ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عَجَبَ مِن أن تَقَعَ‌</w:t>
      </w:r>
      <w:r>
        <w:rPr>
          <w:rStyle w:val="FootnoteAnchor"/>
          <w:rtl w:val="true"/>
        </w:rPr>
        <w:footnoteReference w:id="502"/>
      </w:r>
      <w:r>
        <w:rPr>
          <w:rFonts w:ascii="Amiri" w:hAnsi="Amiri" w:eastAsia="Amiri" w:cs="Amiri"/>
          <w:color w:val="111111"/>
          <w:sz w:val="28"/>
          <w:sz w:val="28"/>
          <w:szCs w:val="28"/>
          <w:rtl w:val="true"/>
          <w:lang w:bidi="ar-SA"/>
        </w:rPr>
        <w:t>هاتانِ الرَّكعتانِ عن</w:t>
      </w:r>
      <w:r>
        <w:rPr>
          <w:rStyle w:val="FootnoteAnchor"/>
          <w:rtl w:val="true"/>
        </w:rPr>
        <w:footnoteReference w:id="503"/>
      </w:r>
      <w:r>
        <w:rPr>
          <w:rFonts w:ascii="Amiri" w:hAnsi="Amiri" w:eastAsia="Amiri" w:cs="Amiri"/>
          <w:color w:val="111111"/>
          <w:sz w:val="28"/>
          <w:sz w:val="28"/>
          <w:szCs w:val="28"/>
          <w:rtl w:val="true"/>
          <w:lang w:bidi="ar-SA"/>
        </w:rPr>
        <w:t>قَضاءِ الفَجرِ لمّا نَقَلَ نيّتَه</w:t>
      </w:r>
      <w:r>
        <w:rPr>
          <w:rStyle w:val="FootnoteAnchor"/>
          <w:rtl w:val="true"/>
        </w:rPr>
        <w:footnoteReference w:id="504"/>
      </w:r>
      <w:r>
        <w:rPr>
          <w:rFonts w:ascii="Amiri" w:hAnsi="Amiri" w:eastAsia="Amiri" w:cs="Amiri"/>
          <w:color w:val="111111"/>
          <w:sz w:val="28"/>
          <w:sz w:val="28"/>
          <w:szCs w:val="28"/>
          <w:rtl w:val="true"/>
          <w:lang w:bidi="ar-SA"/>
        </w:rPr>
        <w:t>إلىٰ ذلكَ، و إن كانَت النيّةُ لَم تَتقدَّمْ في افتتاحِ الصلاةِ؛ لأنّها و إن تأخَّرَت فهي مؤثِّرةٌ في كَونِ تلكَ الصلاةِ قَضاءً و إخراجِها</w:t>
      </w:r>
      <w:r>
        <w:rPr>
          <w:rStyle w:val="FootnoteAnchor"/>
          <w:rtl w:val="true"/>
        </w:rPr>
        <w:footnoteReference w:id="505"/>
      </w:r>
      <w:r>
        <w:rPr>
          <w:rFonts w:ascii="Amiri" w:hAnsi="Amiri" w:eastAsia="Amiri" w:cs="Amiri"/>
          <w:color w:val="111111"/>
          <w:sz w:val="28"/>
          <w:sz w:val="28"/>
          <w:szCs w:val="28"/>
          <w:rtl w:val="true"/>
          <w:lang w:bidi="ar-SA"/>
        </w:rPr>
        <w:t>مِن أن تَكونَ‌</w:t>
      </w:r>
      <w:r>
        <w:rPr>
          <w:rStyle w:val="FootnoteAnchor"/>
          <w:rtl w:val="true"/>
        </w:rPr>
        <w:footnoteReference w:id="506"/>
      </w:r>
      <w:r>
        <w:rPr>
          <w:rFonts w:ascii="Amiri" w:hAnsi="Amiri" w:eastAsia="Amiri" w:cs="Amiri"/>
          <w:color w:val="111111"/>
          <w:sz w:val="28"/>
          <w:sz w:val="28"/>
          <w:szCs w:val="28"/>
          <w:rtl w:val="true"/>
          <w:lang w:bidi="ar-SA"/>
        </w:rPr>
        <w:t>أداءً؛ لأنّا قد بيّنّا أن ذلكَ إشارةٌ إلىٰ أحكامٍ شَرعيّةٍ، يَجِبُ إثباتُها و نفيُها بحَسَبِ الأدلّةِ الشرعيّةِ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يَجِبُ أن يَعجَبَ مُخالِفونا</w:t>
      </w:r>
      <w:r>
        <w:rPr>
          <w:rStyle w:val="FootnoteAnchor"/>
          <w:rtl w:val="true"/>
        </w:rPr>
        <w:footnoteReference w:id="507"/>
      </w:r>
      <w:r>
        <w:rPr>
          <w:rFonts w:ascii="Amiri" w:hAnsi="Amiri" w:eastAsia="Amiri" w:cs="Amiri"/>
          <w:color w:val="111111"/>
          <w:sz w:val="28"/>
          <w:sz w:val="28"/>
          <w:szCs w:val="28"/>
          <w:rtl w:val="true"/>
          <w:lang w:bidi="ar-SA"/>
        </w:rPr>
        <w:t>مِن مَذهبِنا هذا، و هَم يَروونَ عن النبيِّ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صَلاةً ثُمَّ ذَكَرَها، فليُصَلِّها وقتَ ذِكرِه</w:t>
      </w:r>
      <w:r>
        <w:rPr>
          <w:rStyle w:val="FootnoteAnchor"/>
          <w:rtl w:val="true"/>
        </w:rPr>
        <w:footnoteReference w:id="508"/>
      </w:r>
      <w:r>
        <w:rPr>
          <w:rFonts w:ascii="Amiri" w:hAnsi="Amiri" w:eastAsia="Amiri" w:cs="Amiri"/>
          <w:color w:val="111111"/>
          <w:sz w:val="28"/>
          <w:sz w:val="28"/>
          <w:szCs w:val="28"/>
          <w:rtl w:val="true"/>
          <w:lang w:bidi="ar-SA"/>
        </w:rPr>
        <w:t xml:space="preserve">لها؛ فذلكَ </w:t>
      </w:r>
    </w:p>
    <w:p>
      <w:pPr>
        <w:pStyle w:val="BookText"/>
        <w:rPr/>
      </w:pPr>
      <w:r>
        <w:rPr>
          <w:rFonts w:ascii="Amiri" w:hAnsi="Amiri" w:eastAsia="Amiri" w:cs="Amiri"/>
          <w:color w:val="111111"/>
          <w:sz w:val="28"/>
          <w:sz w:val="28"/>
          <w:szCs w:val="28"/>
          <w:rtl w:val="true"/>
          <w:lang w:bidi="ar-SA"/>
        </w:rPr>
        <w:t>وقتُها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0"/>
      </w:r>
      <w:r>
        <w:rPr>
          <w:rFonts w:ascii="IRNazanin" w:hAnsi="IRNazanin" w:eastAsia="IRNazanin"/>
          <w:color w:val="111111"/>
          <w:sz w:val="28"/>
          <w:sz w:val="28"/>
          <w:szCs w:val="28"/>
          <w:rtl w:val="true"/>
          <w:lang w:bidi="fa-IR"/>
        </w:rPr>
        <w:t>و إذا</w:t>
      </w:r>
      <w:r>
        <w:rPr>
          <w:rStyle w:val="FootnoteAnchor"/>
          <w:rtl w:val="true"/>
        </w:rPr>
        <w:footnoteReference w:id="511"/>
      </w:r>
      <w:r>
        <w:rPr>
          <w:rFonts w:ascii="Amiri" w:hAnsi="Amiri" w:eastAsia="Amiri" w:cs="Amiri"/>
          <w:color w:val="111111"/>
          <w:sz w:val="28"/>
          <w:sz w:val="28"/>
          <w:szCs w:val="28"/>
          <w:rtl w:val="true"/>
          <w:lang w:bidi="ar-SA"/>
        </w:rPr>
        <w:t>كان وقتُ الذِّكرِ مُتعيِّناً</w:t>
      </w:r>
      <w:r>
        <w:rPr>
          <w:rStyle w:val="FootnoteAnchor"/>
          <w:rtl w:val="true"/>
        </w:rPr>
        <w:footnoteReference w:id="512"/>
      </w:r>
      <w:r>
        <w:rPr>
          <w:rFonts w:ascii="Amiri" w:hAnsi="Amiri" w:eastAsia="Amiri" w:cs="Amiri"/>
          <w:color w:val="111111"/>
          <w:sz w:val="28"/>
          <w:sz w:val="28"/>
          <w:szCs w:val="28"/>
          <w:rtl w:val="true"/>
          <w:lang w:bidi="ar-SA"/>
        </w:rPr>
        <w:t>لقَضاءِ الفائتةِ، فكَيفَ تُصلّىٰ فيه صَلاةٌ أُخرىٰ في غيرِ وقتِها؟</w:t>
      </w:r>
    </w:p>
    <w:p>
      <w:pPr>
        <w:pStyle w:val="BookText"/>
        <w:rPr/>
      </w:pPr>
      <w:r>
        <w:rPr>
          <w:rFonts w:ascii="Amiri" w:hAnsi="Amiri" w:eastAsia="Amiri" w:cs="Amiri"/>
          <w:color w:val="111111"/>
          <w:sz w:val="28"/>
          <w:sz w:val="28"/>
          <w:szCs w:val="28"/>
          <w:rtl w:val="true"/>
          <w:lang w:bidi="ar-SA"/>
        </w:rPr>
        <w:t>و الوقتُ‌</w:t>
      </w:r>
      <w:r>
        <w:rPr>
          <w:rStyle w:val="FootnoteAnchor"/>
          <w:rtl w:val="true"/>
        </w:rPr>
        <w:footnoteReference w:id="513"/>
      </w:r>
      <w:r>
        <w:rPr>
          <w:rFonts w:ascii="Amiri" w:hAnsi="Amiri" w:eastAsia="Amiri" w:cs="Amiri"/>
          <w:color w:val="111111"/>
          <w:sz w:val="28"/>
          <w:sz w:val="28"/>
          <w:szCs w:val="28"/>
          <w:rtl w:val="true"/>
          <w:lang w:bidi="ar-SA"/>
        </w:rPr>
        <w:t>المضروبُ لصَلاةِ الظُّهرِ و إن كانَ واسعاً، فإنّه إذا ذُكِرَ في أوّلِه و قَبلَ‌</w:t>
      </w:r>
      <w:r>
        <w:rPr>
          <w:rStyle w:val="FootnoteAnchor"/>
          <w:rtl w:val="true"/>
        </w:rPr>
        <w:footnoteReference w:id="514"/>
      </w:r>
      <w:r>
        <w:rPr>
          <w:rFonts w:ascii="Amiri" w:hAnsi="Amiri" w:eastAsia="Amiri" w:cs="Amiri"/>
          <w:color w:val="111111"/>
          <w:sz w:val="28"/>
          <w:sz w:val="28"/>
          <w:szCs w:val="28"/>
          <w:rtl w:val="true"/>
          <w:lang w:bidi="ar-SA"/>
        </w:rPr>
        <w:t>تَضيُّقِه فَوتُ صَلاةٍ قَبلَها، خَرَجَ ذلكَ الوقتُ عندَ الذِّكرِ مِن أن يَكونَ وقتاً للظُّهرِ، و خَلَصَ لِقَضاءِ‌</w:t>
      </w:r>
      <w:r>
        <w:rPr>
          <w:rStyle w:val="FootnoteAnchor"/>
          <w:rtl w:val="true"/>
        </w:rPr>
        <w:footnoteReference w:id="515"/>
      </w:r>
      <w:r>
        <w:rPr>
          <w:rFonts w:ascii="Amiri" w:hAnsi="Amiri" w:eastAsia="Amiri" w:cs="Amiri"/>
          <w:color w:val="111111"/>
          <w:sz w:val="28"/>
          <w:sz w:val="28"/>
          <w:szCs w:val="28"/>
          <w:rtl w:val="true"/>
          <w:lang w:bidi="ar-SA"/>
        </w:rPr>
        <w:t>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تَضيَّقَ وقتُ الصلاةِ الحاضِرةِ، و لَم يَتَّسِعْ إلّالأدائها، لَم يَجُز له أن يَقضيَ فيه الفائتةَ، و خَلَصَ لأداءِ الحاضِرةِ؛ لئلّا تَفوتَ‌</w:t>
      </w:r>
      <w:r>
        <w:rPr>
          <w:rStyle w:val="FootnoteAnchor"/>
          <w:rtl w:val="true"/>
        </w:rPr>
        <w:footnoteReference w:id="516"/>
      </w:r>
      <w:r>
        <w:rPr>
          <w:rFonts w:ascii="Amiri" w:hAnsi="Amiri" w:eastAsia="Amiri" w:cs="Amiri"/>
          <w:color w:val="111111"/>
          <w:sz w:val="28"/>
          <w:sz w:val="28"/>
          <w:szCs w:val="28"/>
          <w:rtl w:val="true"/>
          <w:lang w:bidi="ar-SA"/>
        </w:rPr>
        <w:t>الحاضِرةُ و تَلحَقَ بالماضِيةِ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مالكٌ‌</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حِراسةً لترتيبِ‌</w:t>
      </w:r>
      <w:r>
        <w:rPr>
          <w:rStyle w:val="FootnoteAnchor"/>
          <w:rtl w:val="true"/>
        </w:rPr>
        <w:footnoteReference w:id="518"/>
      </w:r>
      <w:r>
        <w:rPr>
          <w:rFonts w:ascii="Amiri" w:hAnsi="Amiri" w:eastAsia="Amiri" w:cs="Amiri"/>
          <w:color w:val="111111"/>
          <w:sz w:val="28"/>
          <w:sz w:val="28"/>
          <w:szCs w:val="28"/>
          <w:rtl w:val="true"/>
          <w:lang w:bidi="ar-SA"/>
        </w:rPr>
        <w:t>الصلاةِ الفائتةِ علَى الحاضِرةِ‌</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إلىٰ </w:t>
      </w:r>
      <w:bookmarkStart w:id="98" w:name="pg16437_172432"/>
    </w:p>
    <w:p>
      <w:pPr>
        <w:pStyle w:val="BookText"/>
        <w:rPr/>
      </w:pPr>
      <w:bookmarkEnd w:id="98"/>
      <w:r>
        <w:rPr>
          <w:rFonts w:ascii="Amiri" w:hAnsi="Amiri" w:eastAsia="Amiri" w:cs="Amiri"/>
          <w:color w:val="111111"/>
          <w:sz w:val="28"/>
          <w:sz w:val="28"/>
          <w:szCs w:val="28"/>
          <w:rtl w:val="true"/>
          <w:lang w:bidi="ar-SA"/>
        </w:rPr>
        <w:t>أنّه متىٰ ذَكَرَ في آخِرِ وقتِ صَلاةٍ حاضِرةٍ أنّه قد فاتَته أُخرىٰ قَبلَها، بَدأَ بقَضاءِ الفائتةِ، و إن فاتَته الحاضِرةُ</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و خالَفَ باقي الفقهاءِ في ذلكَ</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فإن كانَ عَجَبٌ‌</w:t>
      </w:r>
      <w:r>
        <w:rPr>
          <w:rStyle w:val="FootnoteAnchor"/>
          <w:rtl w:val="true"/>
        </w:rPr>
        <w:footnoteReference w:id="522"/>
      </w:r>
      <w:r>
        <w:rPr>
          <w:rFonts w:ascii="Amiri" w:hAnsi="Amiri" w:eastAsia="Amiri" w:cs="Amiri"/>
          <w:color w:val="111111"/>
          <w:sz w:val="28"/>
          <w:sz w:val="28"/>
          <w:szCs w:val="28"/>
          <w:rtl w:val="true"/>
          <w:lang w:bidi="ar-SA"/>
        </w:rPr>
        <w:t>، فليَكُن</w:t>
      </w:r>
      <w:r>
        <w:rPr>
          <w:rStyle w:val="FootnoteAnchor"/>
          <w:rtl w:val="true"/>
        </w:rPr>
        <w:footnoteReference w:id="523"/>
      </w:r>
      <w:r>
        <w:rPr>
          <w:rFonts w:ascii="Amiri" w:hAnsi="Amiri" w:eastAsia="Amiri" w:cs="Amiri"/>
          <w:color w:val="111111"/>
          <w:sz w:val="28"/>
          <w:sz w:val="28"/>
          <w:szCs w:val="28"/>
          <w:rtl w:val="true"/>
          <w:lang w:bidi="ar-SA"/>
        </w:rPr>
        <w:t xml:space="preserve">مِن مالكٍ؛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w:t>
      </w:r>
      <w:r>
        <w:rPr>
          <w:rStyle w:val="FootnoteAnchor"/>
          <w:rtl w:val="true"/>
        </w:rPr>
        <w:footnoteReference w:id="524"/>
      </w:r>
      <w:r>
        <w:rPr>
          <w:rFonts w:ascii="Amiri" w:hAnsi="Amiri" w:eastAsia="Amiri" w:cs="Amiri"/>
          <w:color w:val="111111"/>
          <w:sz w:val="28"/>
          <w:sz w:val="28"/>
          <w:szCs w:val="28"/>
          <w:rtl w:val="true"/>
          <w:lang w:bidi="ar-SA"/>
        </w:rPr>
        <w:t xml:space="preserve">للترتيبِ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قَضاءَ الماضيةِ‌</w:t>
      </w:r>
      <w:r>
        <w:rPr>
          <w:rStyle w:val="FootnoteAnchor"/>
          <w:rtl w:val="true"/>
        </w:rPr>
        <w:footnoteReference w:id="525"/>
      </w:r>
      <w:r>
        <w:rPr>
          <w:rFonts w:ascii="Amiri" w:hAnsi="Amiri" w:eastAsia="Amiri" w:cs="Amiri"/>
          <w:color w:val="111111"/>
          <w:sz w:val="28"/>
          <w:sz w:val="28"/>
          <w:szCs w:val="28"/>
          <w:rtl w:val="true"/>
          <w:lang w:bidi="ar-SA"/>
        </w:rPr>
        <w:t>و إن فاتَت الحاضرةُ</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8039521_1280447820"/>
      <w:bookmarkStart w:id="100" w:name="_Toc35"/>
      <w:bookmarkEnd w:id="99"/>
      <w:r>
        <w:rPr>
          <w:rtl w:val="true"/>
        </w:rPr>
        <w:t>استحبابُ إعادةِ المُنفَرِدِ صَلاتَه جَماعةً‌</w:t>
      </w:r>
      <w:bookmarkEnd w:id="100"/>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526"/>
      </w:r>
      <w:r>
        <w:rPr>
          <w:rFonts w:ascii="Amiri" w:hAnsi="Amiri" w:eastAsia="Amiri" w:cs="Amiri"/>
          <w:color w:val="111111"/>
          <w:sz w:val="28"/>
          <w:sz w:val="28"/>
          <w:szCs w:val="28"/>
          <w:rtl w:val="true"/>
          <w:lang w:bidi="ar-SA"/>
        </w:rPr>
        <w:t>المسألةُ الثانيةُ‌</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استحبابُ إعادةِ مَن صَلّىٰ مُنفَرِداً بعضَ الصلَواتِ، بأن يُصلّيَها جَماعةً؛ رغبةً في فَضلِ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نَقولُه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المَذهبَ لَيسَ ممّا يَنفَرِدُ به الإماميّةُ، بَل بَينَ فقهاءِ العامّةِ فيه خِلافٌ معروفٌ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مالكاً و الأَوزاعيَّ‌</w:t>
      </w:r>
      <w:r>
        <w:rPr>
          <w:rStyle w:val="FootnoteAnchor"/>
          <w:rtl w:val="true"/>
        </w:rPr>
        <w:footnoteReference w:id="528"/>
      </w:r>
      <w:r>
        <w:rPr>
          <w:rFonts w:ascii="Amiri" w:hAnsi="Amiri" w:eastAsia="Amiri" w:cs="Amiri"/>
          <w:color w:val="111111"/>
          <w:sz w:val="28"/>
          <w:sz w:val="28"/>
          <w:szCs w:val="28"/>
          <w:rtl w:val="true"/>
          <w:lang w:bidi="ar-SA"/>
        </w:rPr>
        <w:t xml:space="preserve">يَستَحِبّانِ لِمَن ذَكَرنا حالَه أن يُعيدَ في الجَماعةِ كُلَّ </w:t>
      </w:r>
    </w:p>
    <w:p>
      <w:pPr>
        <w:pStyle w:val="BookText"/>
        <w:rPr/>
      </w:pPr>
      <w:r>
        <w:rPr>
          <w:rFonts w:ascii="Amiri" w:hAnsi="Amiri" w:eastAsia="Amiri" w:cs="Amiri"/>
          <w:color w:val="111111"/>
          <w:sz w:val="28"/>
          <w:sz w:val="28"/>
          <w:szCs w:val="28"/>
          <w:rtl w:val="true"/>
          <w:lang w:bidi="ar-SA"/>
        </w:rPr>
        <w:t>الصلَواتِ، إلّاالمَغرِبَ‌</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النَّخَعيُّ‌</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كُلَّها، إلّاالصُّبحَ و المَغرِبَ</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قال الحَسَنُ‌</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كُلَّها، إلّاالصُبحَ و العَصرَ</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قالَ أَبو حنيفةَ‌</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كُلَّها، إلّاالصُّبحَ و المَغرِبَ</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قال الشافعيُّ‌</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جميعَ الصلَواتِ، و لَم يَستَثنِ شَيئاً منها</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هذا هو مَذهبُ الإماميّةِ بعَينِه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التعجُّبُ مِن جوازِ تَكريرِ الصلاةِ رغبةً في فَضلِ الجماعةِ، إنّما هو إنكارٌ لِما أجمَعَ عليه جميعُ الفقهاءِ؛ لأنّهم لَم يَختَلِفوا في استحبابِ الإعادةِ؛ فبعضُهم عَمَّ </w:t>
      </w:r>
    </w:p>
    <w:p>
      <w:pPr>
        <w:pStyle w:val="BookText"/>
        <w:rPr/>
      </w:pPr>
      <w:r>
        <w:rPr>
          <w:rFonts w:ascii="Amiri" w:hAnsi="Amiri" w:eastAsia="Amiri" w:cs="Amiri"/>
          <w:color w:val="111111"/>
          <w:sz w:val="28"/>
          <w:sz w:val="28"/>
          <w:szCs w:val="28"/>
          <w:rtl w:val="true"/>
          <w:lang w:bidi="ar-SA"/>
        </w:rPr>
        <w:t xml:space="preserve">جميعَ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الشافعيُّ‌</w:t>
      </w:r>
      <w:r>
        <w:rPr>
          <w:rStyle w:val="FootnoteAnchor"/>
          <w:rtl w:val="true"/>
        </w:rPr>
        <w:footnoteReference w:id="538"/>
      </w:r>
      <w:r>
        <w:rPr>
          <w:rFonts w:ascii="Amiri" w:hAnsi="Amiri" w:eastAsia="Amiri" w:cs="Amiri"/>
          <w:color w:val="111111"/>
          <w:sz w:val="28"/>
          <w:sz w:val="28"/>
          <w:szCs w:val="28"/>
          <w:rtl w:val="true"/>
          <w:lang w:bidi="ar-SA"/>
        </w:rPr>
        <w:t xml:space="preserve">الذي يُوافِقُنا مُوافَقَةً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الباقونَ استَثنَوا بعضَ الصلَواتِ، و استَحَبّوا الإعادةَ فيما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دليلُنا علىٰ صِحّةِ ما ذَهبنا إليه هو إجماعُ الطائفةِ، الذي بيّنّا في غيرِ مَوضِعٍ أنّه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الموافِقونَ لنا في هذه المَسألةِ مِن العامّةِ يُعوِّلونَ علىٰ خبرٍ يَروونَه عن النبيِّ عليه السلامُ يَتضمَّنُ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أحَدُكم ثُمَّ أدرَكَ قَوماً يُصَلّونَ فيُصلّي معهم؛ تَكونُ‌</w:t>
      </w:r>
      <w:r>
        <w:rPr>
          <w:rStyle w:val="FootnoteAnchor"/>
          <w:rtl w:val="true"/>
        </w:rPr>
        <w:footnoteReference w:id="539"/>
      </w:r>
      <w:r>
        <w:rPr>
          <w:rFonts w:ascii="Amiri" w:hAnsi="Amiri" w:eastAsia="Amiri" w:cs="Amiri"/>
          <w:color w:val="111111"/>
          <w:sz w:val="28"/>
          <w:sz w:val="28"/>
          <w:szCs w:val="28"/>
          <w:rtl w:val="true"/>
          <w:lang w:bidi="ar-SA"/>
        </w:rPr>
        <w:t>الأُولىٰ صَلاتَه، و التي صَلّاها معهم تَطوُّعاً</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و يُعوِّلونَ‌</w:t>
      </w:r>
      <w:r>
        <w:rPr>
          <w:rStyle w:val="FootnoteAnchor"/>
          <w:rtl w:val="true"/>
        </w:rPr>
        <w:footnoteReference w:id="541"/>
      </w:r>
      <w:r>
        <w:rPr>
          <w:rFonts w:ascii="Amiri" w:hAnsi="Amiri" w:eastAsia="Amiri" w:cs="Amiri"/>
          <w:color w:val="111111"/>
          <w:sz w:val="28"/>
          <w:sz w:val="28"/>
          <w:szCs w:val="28"/>
          <w:rtl w:val="true"/>
          <w:lang w:bidi="ar-SA"/>
        </w:rPr>
        <w:t>علىٰ عمومِ اللفظِ لسائرِ الصلَواتِ، فلا معنىٰ لاستثناءِ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542"/>
      </w:r>
      <w:r>
        <w:rPr>
          <w:rFonts w:ascii="Amiri" w:hAnsi="Amiri" w:eastAsia="Amiri" w:cs="Amiri"/>
          <w:color w:val="111111"/>
          <w:sz w:val="28"/>
          <w:sz w:val="28"/>
          <w:szCs w:val="28"/>
          <w:rtl w:val="true"/>
          <w:lang w:bidi="ar-SA"/>
        </w:rPr>
        <w:t>الصلاةُ الثانيةُ المفعولةُ جماعةً بَعدَ فِعلِها علىٰ سَبيلِ الانفرادِ، فالصحيحُ أنّها نَدبٌ‌</w:t>
      </w:r>
      <w:r>
        <w:rPr>
          <w:rStyle w:val="FootnoteAnchor"/>
          <w:rtl w:val="true"/>
        </w:rPr>
        <w:footnoteReference w:id="543"/>
      </w:r>
      <w:r>
        <w:rPr>
          <w:rFonts w:ascii="Amiri" w:hAnsi="Amiri" w:eastAsia="Amiri" w:cs="Amiri"/>
          <w:color w:val="111111"/>
          <w:sz w:val="28"/>
          <w:sz w:val="28"/>
          <w:szCs w:val="28"/>
          <w:rtl w:val="true"/>
          <w:lang w:bidi="ar-SA"/>
        </w:rPr>
        <w:t>و الفَرضُ هي الأُولىٰ؛ و هو مَذهبُ الشافعيِّ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الشَّعبيُّ‌</w:t>
      </w:r>
      <w:r>
        <w:rPr>
          <w:rStyle w:val="FootnoteAnchor"/>
          <w:rtl w:val="true"/>
        </w:rPr>
        <w:footnoteReference w:id="544"/>
      </w:r>
      <w:r>
        <w:rPr>
          <w:rFonts w:ascii="Amiri" w:hAnsi="Amiri" w:eastAsia="Amiri" w:cs="Amiri"/>
          <w:color w:val="111111"/>
          <w:sz w:val="28"/>
          <w:sz w:val="28"/>
          <w:szCs w:val="28"/>
          <w:rtl w:val="true"/>
          <w:lang w:bidi="ar-SA"/>
        </w:rPr>
        <w:t>و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 الثانيةُ</w:t>
      </w:r>
      <w:r>
        <w:rPr>
          <w:rFonts w:eastAsia="Amiri" w:cs="Amiri" w:ascii="Amiri" w:hAnsi="Amiri"/>
          <w:color w:val="111111"/>
          <w:sz w:val="28"/>
          <w:szCs w:val="28"/>
          <w:rtl w:val="true"/>
          <w:lang w:bidi="ar-SA"/>
        </w:rPr>
        <w:t>.</w:t>
      </w:r>
      <w:r>
        <w:rPr>
          <w:rStyle w:val="FootnoteAnchor"/>
          <w:rtl w:val="true"/>
        </w:rPr>
        <w:footnoteReference w:id="54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جوازُ أن يَنويَ هذا المُعيدُ</w:t>
      </w:r>
      <w:r>
        <w:rPr>
          <w:rStyle w:val="FootnoteAnchor"/>
          <w:rtl w:val="true"/>
        </w:rPr>
        <w:footnoteReference w:id="546"/>
      </w:r>
      <w:r>
        <w:rPr>
          <w:rFonts w:ascii="Amiri" w:hAnsi="Amiri" w:eastAsia="Amiri" w:cs="Amiri"/>
          <w:color w:val="111111"/>
          <w:sz w:val="28"/>
          <w:sz w:val="28"/>
          <w:szCs w:val="28"/>
          <w:rtl w:val="true"/>
          <w:lang w:bidi="ar-SA"/>
        </w:rPr>
        <w:t xml:space="preserve">لهذه الصلاةِ النَّفلَ و إن كانَ إمامُه يَنوي أداءَ </w:t>
      </w:r>
    </w:p>
    <w:p>
      <w:pPr>
        <w:pStyle w:val="BookText"/>
        <w:rPr/>
      </w:pPr>
      <w:r>
        <w:rPr>
          <w:rFonts w:ascii="Amiri" w:hAnsi="Amiri" w:eastAsia="Amiri" w:cs="Amiri"/>
          <w:color w:val="111111"/>
          <w:sz w:val="28"/>
          <w:sz w:val="28"/>
          <w:szCs w:val="28"/>
          <w:rtl w:val="true"/>
          <w:lang w:bidi="ar-SA"/>
        </w:rPr>
        <w:t>الفَرضِ، فلا خِلافَ بَينَ الفقهاءِ فيه؛ لأنّ اقتداءَ المُتنفِّلِ بالمُفتَرِضِ لا يَختَلِفونَ فيه، و إنّما يَختَلِفونَ في اقتداءِ‌</w:t>
      </w:r>
      <w:r>
        <w:rPr>
          <w:rStyle w:val="FootnoteAnchor"/>
          <w:rtl w:val="true"/>
        </w:rPr>
        <w:footnoteReference w:id="547"/>
      </w:r>
      <w:r>
        <w:rPr>
          <w:rFonts w:ascii="Amiri" w:hAnsi="Amiri" w:eastAsia="Amiri" w:cs="Amiri"/>
          <w:color w:val="111111"/>
          <w:sz w:val="28"/>
          <w:sz w:val="28"/>
          <w:szCs w:val="28"/>
          <w:rtl w:val="true"/>
          <w:lang w:bidi="ar-SA"/>
        </w:rPr>
        <w:t>المُفتَرِضِ بالمُتنفِّلِ، فعندَ أبي حَنيفةَ أنّه لا يَجوزُ أن يَقتَديَ مُفتَرِضٌ بمُتنفِّلٍ‌</w:t>
      </w:r>
      <w:r>
        <w:rPr>
          <w:rStyle w:val="FootnoteAnchor"/>
          <w:rtl w:val="true"/>
        </w:rPr>
        <w:footnoteReference w:id="548"/>
      </w:r>
      <w:r>
        <w:rPr>
          <w:rFonts w:ascii="Amiri" w:hAnsi="Amiri" w:eastAsia="Amiri" w:cs="Amiri"/>
          <w:color w:val="111111"/>
          <w:sz w:val="28"/>
          <w:sz w:val="28"/>
          <w:szCs w:val="28"/>
          <w:rtl w:val="true"/>
          <w:lang w:bidi="ar-SA"/>
        </w:rPr>
        <w:t>، و كَرِهَه مالكٌ و الثَّوريُّ‌</w:t>
      </w:r>
      <w:r>
        <w:rPr>
          <w:rStyle w:val="FootnoteAnchor"/>
          <w:rtl w:val="true"/>
        </w:rPr>
        <w:footnoteReference w:id="549"/>
      </w:r>
      <w:r>
        <w:rPr>
          <w:rFonts w:ascii="Amiri" w:hAnsi="Amiri" w:eastAsia="Amiri" w:cs="Amiri"/>
          <w:color w:val="111111"/>
          <w:sz w:val="28"/>
          <w:sz w:val="28"/>
          <w:szCs w:val="28"/>
          <w:rtl w:val="true"/>
          <w:lang w:bidi="ar-SA"/>
        </w:rPr>
        <w:t>،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جائزٌ</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و هو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دليلُنا علىٰ صِحّتِه هو إجماعُ الفِرقةِ عليه</w:t>
      </w:r>
      <w:r>
        <w:rPr>
          <w:rStyle w:val="FootnoteAnchor"/>
          <w:rtl w:val="true"/>
        </w:rPr>
        <w:footnoteReference w:id="551"/>
      </w:r>
      <w:r>
        <w:rPr>
          <w:rFonts w:ascii="Amiri" w:hAnsi="Amiri" w:eastAsia="Amiri" w:cs="Amiri"/>
          <w:color w:val="111111"/>
          <w:sz w:val="28"/>
          <w:sz w:val="28"/>
          <w:szCs w:val="28"/>
          <w:rtl w:val="true"/>
          <w:lang w:bidi="ar-SA"/>
        </w:rPr>
        <w:t>لأنّهم لا يَختَلِفونَ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أيضاً عندَ الشافعيِّ أن يَأتَمَّ المُفتَرِضُ بالمُفتَرِضِ و إنِ اختَلَفَ فَرضُهما؛ فكانَ أحَدُهما ظُهراً، و الآخَرُ عَصراً</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و هو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حَنيفةَ لَم يُجوِّز أن يأتَمَّ المُفتَرِضُ بالمُفتَرِضِ إلّاو فَرضاهُما مُتَّفِقٌ‌</w:t>
      </w:r>
      <w:r>
        <w:rPr>
          <w:rStyle w:val="FootnoteAnchor"/>
          <w:rtl w:val="true"/>
        </w:rPr>
        <w:footnoteReference w:id="553"/>
      </w:r>
      <w:r>
        <w:rPr>
          <w:rFonts w:ascii="Amiri" w:hAnsi="Amiri" w:eastAsia="Amiri" w:cs="Amiri"/>
          <w:color w:val="111111"/>
          <w:sz w:val="28"/>
          <w:sz w:val="28"/>
          <w:szCs w:val="28"/>
          <w:rtl w:val="true"/>
          <w:lang w:bidi="ar-SA"/>
        </w:rPr>
        <w:t>غيرُ مُختَلِفٍ</w:t>
      </w:r>
      <w:r>
        <w:rPr>
          <w:rFonts w:eastAsia="Amiri" w:cs="Amiri" w:ascii="Amiri" w:hAnsi="Amiri"/>
          <w:color w:val="111111"/>
          <w:sz w:val="28"/>
          <w:szCs w:val="28"/>
          <w:rtl w:val="true"/>
          <w:lang w:bidi="ar-SA"/>
        </w:rPr>
        <w:t>.</w:t>
      </w:r>
      <w:r>
        <w:rPr>
          <w:rStyle w:val="FootnoteAnchor"/>
          <w:rtl w:val="true"/>
        </w:rPr>
        <w:footnoteReference w:id="55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مضىٰ في خِلالِ الكلامِ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للنَّدبِ‌</w:t>
      </w:r>
      <w:r>
        <w:rPr>
          <w:rStyle w:val="FootnoteAnchor"/>
          <w:rtl w:val="true"/>
        </w:rPr>
        <w:footnoteReference w:id="555"/>
      </w:r>
      <w:r>
        <w:rPr>
          <w:rFonts w:ascii="Amiri" w:hAnsi="Amiri" w:eastAsia="Amiri" w:cs="Amiri"/>
          <w:color w:val="111111"/>
          <w:sz w:val="28"/>
          <w:sz w:val="28"/>
          <w:szCs w:val="28"/>
          <w:rtl w:val="true"/>
          <w:lang w:bidi="ar-SA"/>
        </w:rPr>
        <w:t>فهو مُخالِفٌ لظاهرِ الفُتيا و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w:t>
      </w:r>
      <w:r>
        <w:rPr>
          <w:rStyle w:val="FootnoteAnchor"/>
          <w:rtl w:val="true"/>
        </w:rPr>
        <w:footnoteReference w:id="556"/>
      </w:r>
      <w:r>
        <w:rPr>
          <w:rFonts w:ascii="Amiri" w:hAnsi="Amiri" w:eastAsia="Amiri" w:cs="Amiri"/>
          <w:color w:val="111111"/>
          <w:sz w:val="28"/>
          <w:sz w:val="28"/>
          <w:szCs w:val="28"/>
          <w:rtl w:val="true"/>
          <w:lang w:bidi="ar-SA"/>
        </w:rPr>
        <w:t xml:space="preserve">الأمرُ علىٰ ذلكَ؛ لأنّا لا نُفتي إلّابأنّ الثانيةَ نَدبٌ و طَلَبٌ </w:t>
      </w:r>
      <w:bookmarkStart w:id="101" w:name="pg16437_172436"/>
    </w:p>
    <w:p>
      <w:pPr>
        <w:pStyle w:val="BookText"/>
        <w:rPr/>
      </w:pPr>
      <w:bookmarkEnd w:id="101"/>
      <w:r>
        <w:rPr>
          <w:rFonts w:ascii="Amiri" w:hAnsi="Amiri" w:eastAsia="Amiri" w:cs="Amiri"/>
          <w:color w:val="111111"/>
          <w:sz w:val="28"/>
          <w:sz w:val="28"/>
          <w:szCs w:val="28"/>
          <w:rtl w:val="true"/>
          <w:lang w:bidi="ar-SA"/>
        </w:rPr>
        <w:t>لفَضلِ‌</w:t>
      </w:r>
      <w:r>
        <w:rPr>
          <w:rStyle w:val="FootnoteAnchor"/>
          <w:rtl w:val="true"/>
        </w:rPr>
        <w:footnoteReference w:id="557"/>
      </w:r>
      <w:r>
        <w:rPr>
          <w:rFonts w:ascii="Amiri" w:hAnsi="Amiri" w:eastAsia="Amiri" w:cs="Amiri"/>
          <w:color w:val="111111"/>
          <w:sz w:val="28"/>
          <w:sz w:val="28"/>
          <w:szCs w:val="28"/>
          <w:rtl w:val="true"/>
          <w:lang w:bidi="ar-SA"/>
        </w:rPr>
        <w:t>الجَماعةِ‌</w:t>
      </w:r>
      <w:r>
        <w:rPr>
          <w:rStyle w:val="FootnoteAnchor"/>
          <w:rtl w:val="true"/>
        </w:rPr>
        <w:footnoteReference w:id="558"/>
      </w:r>
      <w:r>
        <w:rPr>
          <w:rFonts w:ascii="Amiri" w:hAnsi="Amiri" w:eastAsia="Amiri" w:cs="Amiri"/>
          <w:color w:val="111111"/>
          <w:sz w:val="28"/>
          <w:sz w:val="28"/>
          <w:szCs w:val="28"/>
          <w:rtl w:val="true"/>
          <w:lang w:bidi="ar-SA"/>
        </w:rPr>
        <w:t>، و لَو كانَت</w:t>
      </w:r>
      <w:r>
        <w:rPr>
          <w:rStyle w:val="FootnoteAnchor"/>
          <w:rtl w:val="true"/>
        </w:rPr>
        <w:footnoteReference w:id="559"/>
      </w:r>
      <w:r>
        <w:rPr>
          <w:rFonts w:ascii="Amiri" w:hAnsi="Amiri" w:eastAsia="Amiri" w:cs="Amiri"/>
          <w:color w:val="111111"/>
          <w:sz w:val="28"/>
          <w:sz w:val="28"/>
          <w:szCs w:val="28"/>
          <w:rtl w:val="true"/>
          <w:lang w:bidi="ar-SA"/>
        </w:rPr>
        <w:t>واجبةً لَكانَ يُذَمُّ مَن لَم يُصَلِّ هذه الصلاةَ، و قد عَلِمنا أنّه غيرُ مذمومٍ إن تَرَكَها، و إنّما تَرَكَ فَضلاً و نَفلاً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يُخالِفِ القائلُ بذلكَ للرِّوايةِ‌</w:t>
      </w:r>
      <w:r>
        <w:rPr>
          <w:rStyle w:val="FootnoteAnchor"/>
          <w:rtl w:val="true"/>
        </w:rPr>
        <w:footnoteReference w:id="561"/>
      </w:r>
      <w:r>
        <w:rPr>
          <w:rFonts w:ascii="Amiri" w:hAnsi="Amiri" w:eastAsia="Amiri" w:cs="Amiri"/>
          <w:color w:val="111111"/>
          <w:sz w:val="28"/>
          <w:sz w:val="28"/>
          <w:szCs w:val="28"/>
          <w:rtl w:val="true"/>
          <w:lang w:bidi="ar-SA"/>
        </w:rPr>
        <w:t>أيضاً؛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لِنفسِكَ، و صَلِّ معهم و بِهم؛ فإن قُبِلَت الأُولىٰ، و إلّاقُبِلَت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يَدُلُّ علىٰ أنّ الثانيةَ واجبةٌ؛ لأنّ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استحقاقُ الثوابِ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النَّدبِ كما يَكونُ في الواجبِ، و رُبَّما لم يَكُنِ الواجبُ مقبولاً و مُستَحَقّاً به الثوابُ لِعارِضٍ يَعرِضُ فيه و يَكونُ النَّدبُ</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فإن قالوا</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تُخالِفَ‌</w:t>
      </w:r>
      <w:r>
        <w:rPr>
          <w:rStyle w:val="FootnoteAnchor"/>
          <w:rtl w:val="true"/>
        </w:rPr>
        <w:footnoteReference w:id="564"/>
      </w:r>
      <w:r>
        <w:rPr>
          <w:rFonts w:ascii="Amiri" w:hAnsi="Amiri" w:eastAsia="Amiri" w:cs="Amiri"/>
          <w:color w:val="111111"/>
          <w:sz w:val="28"/>
          <w:sz w:val="28"/>
          <w:szCs w:val="28"/>
          <w:rtl w:val="true"/>
          <w:lang w:bidi="ar-SA"/>
        </w:rPr>
        <w:t>نيّةُ المأمومِ نيّةَ الإمامِ‌</w:t>
      </w:r>
      <w:r>
        <w:rPr>
          <w:rStyle w:val="FootnoteAnchor"/>
          <w:rtl w:val="true"/>
        </w:rPr>
        <w:footnoteReference w:id="5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في جوازِ هذا الحُكمِ؛ لأنّ عندَ جميعِهم أنّه يَجوزُ أن يَقتَديَ بالمُفتَرضِ المُتنفِّلُ</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8039523_1280447820"/>
      <w:bookmarkStart w:id="103" w:name="_Toc36"/>
      <w:bookmarkEnd w:id="102"/>
      <w:r>
        <w:rPr>
          <w:rtl w:val="true"/>
        </w:rPr>
        <w:t>حُكمُ مَن فاتَته صَلاةٌ غيرُ مُتعيِّنةٍ‌</w:t>
      </w:r>
      <w:bookmarkEnd w:id="10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Style w:val="FootnoteAnchor"/>
          <w:rtl w:val="true"/>
        </w:rPr>
        <w:footnoteReference w:id="567"/>
      </w:r>
      <w:r>
        <w:rPr>
          <w:rFonts w:ascii="Amiri" w:hAnsi="Amiri" w:eastAsia="Amiri" w:cs="Amiri"/>
          <w:color w:val="111111"/>
          <w:sz w:val="28"/>
          <w:sz w:val="28"/>
          <w:szCs w:val="28"/>
          <w:rtl w:val="true"/>
          <w:lang w:bidi="ar-SA"/>
        </w:rPr>
        <w:t>المسألةُ الثالثةُ‌</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يُفتي فيها أصحابُنا بأنّ مَن فاتَته فَريضةٌ غيرُ مُتعيِّنةٍ‌</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لا مُتميِّزةٍ، صَلّىٰ ثَلاثاً و أربَعاً و اثنَتَينِ؛ و نَوىٰ بالثَّلاثِ قَضاءَ المَغرِبِ، و بالأربَعِ‌</w:t>
      </w:r>
      <w:r>
        <w:rPr>
          <w:rStyle w:val="FootnoteAnchor"/>
          <w:rtl w:val="true"/>
        </w:rPr>
        <w:footnoteReference w:id="570"/>
      </w:r>
      <w:r>
        <w:rPr>
          <w:rFonts w:ascii="Amiri" w:hAnsi="Amiri" w:eastAsia="Amiri" w:cs="Amiri"/>
          <w:color w:val="111111"/>
          <w:sz w:val="28"/>
          <w:sz w:val="28"/>
          <w:szCs w:val="28"/>
          <w:rtl w:val="true"/>
          <w:lang w:bidi="ar-SA"/>
        </w:rPr>
        <w:t>قَضاءَ الظُّهرِ أو العَصرِ أو العِشاءِ‌</w:t>
      </w:r>
      <w:r>
        <w:rPr>
          <w:rStyle w:val="FootnoteAnchor"/>
          <w:rtl w:val="true"/>
        </w:rPr>
        <w:footnoteReference w:id="571"/>
      </w:r>
      <w:r>
        <w:rPr>
          <w:rFonts w:ascii="Amiri" w:hAnsi="Amiri" w:eastAsia="Amiri" w:cs="Amiri"/>
          <w:color w:val="111111"/>
          <w:sz w:val="28"/>
          <w:sz w:val="28"/>
          <w:szCs w:val="28"/>
          <w:rtl w:val="true"/>
          <w:lang w:bidi="ar-SA"/>
        </w:rPr>
        <w:t>الآخِرةِ‌</w:t>
      </w:r>
      <w:r>
        <w:rPr>
          <w:rStyle w:val="FootnoteAnchor"/>
          <w:rtl w:val="true"/>
        </w:rPr>
        <w:footnoteReference w:id="572"/>
      </w:r>
      <w:r>
        <w:rPr>
          <w:rFonts w:ascii="Amiri" w:hAnsi="Amiri" w:eastAsia="Amiri" w:cs="Amiri"/>
          <w:color w:val="111111"/>
          <w:sz w:val="28"/>
          <w:sz w:val="28"/>
          <w:szCs w:val="28"/>
          <w:rtl w:val="true"/>
          <w:lang w:bidi="ar-SA"/>
        </w:rPr>
        <w:t>، و بالِاثنَتَينِ الغَداةَ‌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فأوّلُ ما نَقولُه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الأَولىٰ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حالُه أن يُصلّيَ ظُهراً و عَصراً و مَغرِباً و عِشاءً و 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رُخِّصَ له في الروايةِ الواردةِ بذلكَ أن يَجعَلَ مكانَ الظُّهرِ و العَصرِ و العِشاءِ‌</w:t>
      </w:r>
      <w:r>
        <w:rPr>
          <w:rStyle w:val="FootnoteAnchor"/>
          <w:rtl w:val="true"/>
        </w:rPr>
        <w:footnoteReference w:id="574"/>
      </w:r>
      <w:r>
        <w:rPr>
          <w:rFonts w:ascii="Amiri" w:hAnsi="Amiri" w:eastAsia="Amiri" w:cs="Amiri"/>
          <w:color w:val="111111"/>
          <w:sz w:val="28"/>
          <w:sz w:val="28"/>
          <w:szCs w:val="28"/>
          <w:rtl w:val="true"/>
          <w:lang w:bidi="ar-SA"/>
        </w:rPr>
        <w:t>الآخِرةِ أربَعَ رَكَعاتٍ، و يَنويَ بها قَضاءَ ما فاتَه مِن إحدىٰ هذه الصلَواتِ،</w:t>
      </w:r>
      <w:r>
        <w:rPr>
          <w:rStyle w:val="FootnoteAnchor"/>
          <w:rtl w:val="true"/>
        </w:rPr>
        <w:footnoteReference w:id="575"/>
      </w:r>
      <w:r>
        <w:rPr>
          <w:rFonts w:ascii="Amiri" w:hAnsi="Amiri" w:eastAsia="Amiri" w:cs="Amiri"/>
          <w:color w:val="111111"/>
          <w:sz w:val="28"/>
          <w:sz w:val="28"/>
          <w:szCs w:val="28"/>
          <w:rtl w:val="true"/>
          <w:lang w:bidi="ar-SA"/>
        </w:rPr>
        <w:t>تَرفيهاً</w:t>
      </w:r>
      <w:r>
        <w:rPr>
          <w:rStyle w:val="FootnoteAnchor"/>
          <w:rtl w:val="true"/>
        </w:rPr>
        <w:footnoteReference w:id="576"/>
      </w:r>
      <w:r>
        <w:rPr>
          <w:rFonts w:ascii="Amiri" w:hAnsi="Amiri" w:eastAsia="Amiri" w:cs="Amiri"/>
          <w:color w:val="111111"/>
          <w:sz w:val="28"/>
          <w:sz w:val="28"/>
          <w:szCs w:val="28"/>
          <w:rtl w:val="true"/>
          <w:lang w:bidi="ar-SA"/>
        </w:rPr>
        <w:t>و تخفيفاً؛ لأنّه يَشُقُّ عليه أن يأتيَ‌</w:t>
      </w:r>
      <w:r>
        <w:rPr>
          <w:rStyle w:val="FootnoteAnchor"/>
          <w:rtl w:val="true"/>
        </w:rPr>
        <w:footnoteReference w:id="577"/>
      </w:r>
      <w:r>
        <w:rPr>
          <w:rFonts w:ascii="Amiri" w:hAnsi="Amiri" w:eastAsia="Amiri" w:cs="Amiri"/>
          <w:color w:val="111111"/>
          <w:sz w:val="28"/>
          <w:sz w:val="28"/>
          <w:szCs w:val="28"/>
          <w:rtl w:val="true"/>
          <w:lang w:bidi="ar-SA"/>
        </w:rPr>
        <w:t>بهذه الصلَواتِ الرُّباعيّةِ دَفَعاتٍ مُتكرِّرةً، فخُفِّفَ عنه</w:t>
      </w:r>
      <w:r>
        <w:rPr>
          <w:rStyle w:val="FootnoteAnchor"/>
          <w:rtl w:val="true"/>
        </w:rPr>
        <w:footnoteReference w:id="578"/>
      </w:r>
      <w:r>
        <w:rPr>
          <w:rFonts w:ascii="Amiri" w:hAnsi="Amiri" w:eastAsia="Amiri" w:cs="Amiri"/>
          <w:color w:val="111111"/>
          <w:sz w:val="28"/>
          <w:sz w:val="28"/>
          <w:szCs w:val="28"/>
          <w:rtl w:val="true"/>
          <w:lang w:bidi="ar-SA"/>
        </w:rPr>
        <w:t>بأن يأتيَ بأربَعٍ يَنوي بها ما فاتَه مِن إحدى هذه الصلَواتِ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 إن كانَت له غيرَ مُتعيِّنةٍ‌</w:t>
      </w:r>
      <w:r>
        <w:rPr>
          <w:rStyle w:val="FootnoteAnchor"/>
          <w:rtl w:val="true"/>
        </w:rPr>
        <w:footnoteReference w:id="579"/>
      </w:r>
      <w:r>
        <w:rPr>
          <w:rFonts w:ascii="Amiri" w:hAnsi="Amiri" w:eastAsia="Amiri" w:cs="Amiri"/>
          <w:color w:val="111111"/>
          <w:sz w:val="28"/>
          <w:sz w:val="28"/>
          <w:szCs w:val="28"/>
          <w:rtl w:val="true"/>
          <w:lang w:bidi="ar-SA"/>
        </w:rPr>
        <w:t>، فاللّٰهُ تَعالىٰ يَعلَمُها علىٰ سَبيلِ التفصيلِ؛ فكأنّه يَنوي</w:t>
      </w:r>
      <w:r>
        <w:rPr>
          <w:rStyle w:val="FootnoteAnchor"/>
          <w:rtl w:val="true"/>
        </w:rPr>
        <w:footnoteReference w:id="580"/>
      </w:r>
      <w:r>
        <w:rPr>
          <w:rFonts w:ascii="Amiri" w:hAnsi="Amiri" w:eastAsia="Amiri" w:cs="Amiri"/>
          <w:color w:val="111111"/>
          <w:sz w:val="28"/>
          <w:sz w:val="28"/>
          <w:szCs w:val="28"/>
          <w:rtl w:val="true"/>
          <w:lang w:bidi="ar-SA"/>
        </w:rPr>
        <w:t>ما فاتَه في عِلمِ‌</w:t>
      </w:r>
      <w:r>
        <w:rPr>
          <w:rStyle w:val="FootnoteAnchor"/>
          <w:rtl w:val="true"/>
        </w:rPr>
        <w:footnoteReference w:id="581"/>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يَنبَغي أن يَقَعَ تَعجُّبٌ مِن حُكمٍ شَرعيٍّ إذا دَلَّت الأدِلّةُ الصحيحةُ عليه؛ </w:t>
      </w:r>
      <w:bookmarkStart w:id="104" w:name="pg16437_172438"/>
    </w:p>
    <w:p>
      <w:pPr>
        <w:pStyle w:val="BookText"/>
        <w:rPr/>
      </w:pPr>
      <w:bookmarkEnd w:id="104"/>
      <w:r>
        <w:rPr>
          <w:rFonts w:ascii="Amiri" w:hAnsi="Amiri" w:eastAsia="Amiri" w:cs="Amiri"/>
          <w:color w:val="111111"/>
          <w:sz w:val="28"/>
          <w:sz w:val="28"/>
          <w:szCs w:val="28"/>
          <w:rtl w:val="true"/>
          <w:lang w:bidi="ar-SA"/>
        </w:rPr>
        <w:t>فإنّ الأحكامَ الشرعيّةَ مَبنيّةٌ‌</w:t>
      </w:r>
      <w:r>
        <w:rPr>
          <w:rStyle w:val="FootnoteAnchor"/>
          <w:rtl w:val="true"/>
        </w:rPr>
        <w:footnoteReference w:id="582"/>
      </w:r>
      <w:r>
        <w:rPr>
          <w:rFonts w:ascii="Amiri" w:hAnsi="Amiri" w:eastAsia="Amiri" w:cs="Amiri"/>
          <w:color w:val="111111"/>
          <w:sz w:val="28"/>
          <w:sz w:val="28"/>
          <w:szCs w:val="28"/>
          <w:rtl w:val="true"/>
          <w:lang w:bidi="ar-SA"/>
        </w:rPr>
        <w:t>علَى المَصالِحِ المعلومةِ للّٰهِ تَعالىٰ، و وجوهُ هذه المَصالحِ مُغيَّبةٌ عَنّا، و إنّما نَعلَمُها علَى الجُملةِ دونَ التفصيلِ</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8039525_1280447820"/>
      <w:bookmarkStart w:id="106" w:name="_Toc37"/>
      <w:bookmarkEnd w:id="105"/>
      <w:r>
        <w:rPr>
          <w:rtl w:val="true"/>
        </w:rPr>
        <w:t>حُكمُ الواقعِ بعضُ صَلاتهِ قَبلَ الوقتِ‌</w:t>
      </w:r>
      <w:bookmarkEnd w:id="106"/>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583"/>
      </w:r>
      <w:r>
        <w:rPr>
          <w:rFonts w:ascii="Amiri" w:hAnsi="Amiri" w:eastAsia="Amiri" w:cs="Amiri"/>
          <w:color w:val="111111"/>
          <w:sz w:val="28"/>
          <w:sz w:val="28"/>
          <w:szCs w:val="28"/>
          <w:rtl w:val="true"/>
          <w:lang w:bidi="ar-SA"/>
        </w:rPr>
        <w:t>المَسألةُ الرابعةُ‌</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الصلاةَ الواقعَ‌</w:t>
      </w:r>
      <w:r>
        <w:rPr>
          <w:rStyle w:val="FootnoteAnchor"/>
          <w:rtl w:val="true"/>
        </w:rPr>
        <w:footnoteReference w:id="585"/>
      </w:r>
      <w:r>
        <w:rPr>
          <w:rFonts w:ascii="Amiri" w:hAnsi="Amiri" w:eastAsia="Amiri" w:cs="Amiri"/>
          <w:color w:val="111111"/>
          <w:sz w:val="28"/>
          <w:sz w:val="28"/>
          <w:szCs w:val="28"/>
          <w:rtl w:val="true"/>
          <w:lang w:bidi="ar-SA"/>
        </w:rPr>
        <w:t xml:space="preserve">بعضُها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في الوقتِ مُجزيةٌ 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عندي أنّ هذه الصلاةَ غيرُ مُجزيةٍ و لا ماضيةٍ، و لا بُدَّ مِن أن تَكونَ‌</w:t>
      </w:r>
      <w:r>
        <w:rPr>
          <w:rStyle w:val="FootnoteAnchor"/>
          <w:rtl w:val="true"/>
        </w:rPr>
        <w:footnoteReference w:id="586"/>
      </w:r>
      <w:r>
        <w:rPr>
          <w:rFonts w:ascii="Amiri" w:hAnsi="Amiri" w:eastAsia="Amiri" w:cs="Amiri"/>
          <w:color w:val="111111"/>
          <w:sz w:val="28"/>
          <w:sz w:val="28"/>
          <w:szCs w:val="28"/>
          <w:rtl w:val="true"/>
          <w:lang w:bidi="ar-SA"/>
        </w:rPr>
        <w:t>جميعُ الصلاةِ‌</w:t>
      </w:r>
      <w:r>
        <w:rPr>
          <w:rStyle w:val="FootnoteAnchor"/>
          <w:rtl w:val="true"/>
        </w:rPr>
        <w:footnoteReference w:id="587"/>
      </w:r>
      <w:r>
        <w:rPr>
          <w:rFonts w:ascii="Amiri" w:hAnsi="Amiri" w:eastAsia="Amiri" w:cs="Amiri"/>
          <w:color w:val="111111"/>
          <w:sz w:val="28"/>
          <w:sz w:val="28"/>
          <w:szCs w:val="28"/>
          <w:rtl w:val="true"/>
          <w:lang w:bidi="ar-SA"/>
        </w:rPr>
        <w:t>واقعةً‌</w:t>
      </w:r>
      <w:r>
        <w:rPr>
          <w:rStyle w:val="FootnoteAnchor"/>
          <w:rtl w:val="true"/>
        </w:rPr>
        <w:footnoteReference w:id="588"/>
      </w:r>
      <w:r>
        <w:rPr>
          <w:rFonts w:ascii="Amiri" w:hAnsi="Amiri" w:eastAsia="Amiri" w:cs="Amiri"/>
          <w:color w:val="111111"/>
          <w:sz w:val="28"/>
          <w:sz w:val="28"/>
          <w:szCs w:val="28"/>
          <w:rtl w:val="true"/>
          <w:lang w:bidi="ar-SA"/>
        </w:rPr>
        <w:t>في الوقتِ المضروبِ لها، فإن صادَفَ شَيءٌ مِن أجزائها ما هو خارجُ الوقتِ لَم تَكُن مُجزيةً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يُفتي مُحصِّلو أصحابِنا و مُحقِّقوهم، و قد وَرَدَت رِواياتٌ به</w:t>
      </w:r>
      <w:r>
        <w:rPr>
          <w:rStyle w:val="FootnoteAnchor"/>
          <w:rtl w:val="true"/>
        </w:rPr>
        <w:footnoteReference w:id="589"/>
      </w:r>
      <w:r>
        <w:rPr>
          <w:rFonts w:ascii="Amiri" w:hAnsi="Amiri" w:eastAsia="Amiri" w:cs="Amiri"/>
          <w:color w:val="111111"/>
          <w:sz w:val="28"/>
          <w:sz w:val="28"/>
          <w:szCs w:val="28"/>
          <w:rtl w:val="true"/>
          <w:lang w:bidi="ar-SA"/>
        </w:rPr>
        <w:t>و إن كانَ في بعضِ كُتُبِ أصحابِنا</w:t>
      </w:r>
      <w:r>
        <w:rPr>
          <w:rStyle w:val="FootnoteAnchor"/>
          <w:rtl w:val="true"/>
        </w:rPr>
        <w:footnoteReference w:id="590"/>
      </w:r>
      <w:r>
        <w:rPr>
          <w:rFonts w:ascii="Amiri" w:hAnsi="Amiri" w:eastAsia="Amiri" w:cs="Amiri"/>
          <w:color w:val="111111"/>
          <w:sz w:val="28"/>
          <w:sz w:val="28"/>
          <w:szCs w:val="28"/>
          <w:rtl w:val="true"/>
          <w:lang w:bidi="ar-SA"/>
        </w:rPr>
        <w:t>ما يُخالِفُ ذلكَ مِن الروايةِ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كُنّا لا نَذهَبُ إلىٰ ما يُعجَبُ‌</w:t>
      </w:r>
      <w:r>
        <w:rPr>
          <w:rStyle w:val="FootnoteAnchor"/>
          <w:rtl w:val="true"/>
        </w:rPr>
        <w:footnoteReference w:id="591"/>
      </w:r>
      <w:r>
        <w:rPr>
          <w:rFonts w:ascii="IRNazanin" w:hAnsi="IRNazanin" w:eastAsia="IRNazanin"/>
          <w:color w:val="111111"/>
          <w:sz w:val="28"/>
          <w:sz w:val="28"/>
          <w:szCs w:val="28"/>
          <w:rtl w:val="true"/>
          <w:lang w:bidi="fa-IR"/>
        </w:rPr>
        <w:t>منه، فلا سؤالَ‌</w:t>
      </w:r>
      <w:r>
        <w:rPr>
          <w:rStyle w:val="FootnoteAnchor"/>
          <w:rtl w:val="true"/>
        </w:rPr>
        <w:footnoteReference w:id="592"/>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الوجهُ في صِحّةِ القولِ بأنّ مَن صَلّىٰ بعضَ‌</w:t>
      </w:r>
      <w:r>
        <w:rPr>
          <w:rStyle w:val="FootnoteAnchor"/>
          <w:rtl w:val="true"/>
        </w:rPr>
        <w:footnoteReference w:id="593"/>
      </w:r>
      <w:r>
        <w:rPr>
          <w:rFonts w:ascii="Amiri" w:hAnsi="Amiri" w:eastAsia="Amiri" w:cs="Amiri"/>
          <w:color w:val="111111"/>
          <w:sz w:val="28"/>
          <w:sz w:val="28"/>
          <w:szCs w:val="28"/>
          <w:rtl w:val="true"/>
          <w:lang w:bidi="ar-SA"/>
        </w:rPr>
        <w:t>صلاتِه أو جميعَها قَبلَ دخولِ وقتِها يَلزَمُه</w:t>
      </w:r>
      <w:r>
        <w:rPr>
          <w:rStyle w:val="FootnoteAnchor"/>
          <w:rtl w:val="true"/>
        </w:rPr>
        <w:footnoteReference w:id="594"/>
      </w:r>
      <w:r>
        <w:rPr>
          <w:rFonts w:ascii="Amiri" w:hAnsi="Amiri" w:eastAsia="Amiri" w:cs="Amiri"/>
          <w:color w:val="111111"/>
          <w:sz w:val="28"/>
          <w:sz w:val="28"/>
          <w:szCs w:val="28"/>
          <w:rtl w:val="true"/>
          <w:lang w:bidi="ar-SA"/>
        </w:rPr>
        <w:t>الإعادةُ، و أنّ صَلاتَه غيرُ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ضَربِ الوقتِ للعبادةِ هو التنبيهُ على أنّها لا تُجزي إلّافيه، و لا تَتعلَّقُ إلّابه</w:t>
      </w:r>
      <w:r>
        <w:rPr>
          <w:rStyle w:val="FootnoteAnchor"/>
          <w:rtl w:val="true"/>
        </w:rPr>
        <w:footnoteReference w:id="595"/>
      </w:r>
      <w:r>
        <w:rPr>
          <w:rFonts w:ascii="Amiri" w:hAnsi="Amiri" w:eastAsia="Amiri" w:cs="Amiri"/>
          <w:color w:val="111111"/>
          <w:sz w:val="28"/>
          <w:sz w:val="28"/>
          <w:szCs w:val="28"/>
          <w:rtl w:val="true"/>
          <w:lang w:bidi="ar-SA"/>
        </w:rPr>
        <w:t>و إذا كانَ مَن صَلّىٰ قَبلَ الوقتِ مُخالِفاً للمشروعِ له</w:t>
      </w:r>
      <w:r>
        <w:rPr>
          <w:rStyle w:val="FootnoteAnchor"/>
          <w:rtl w:val="true"/>
        </w:rPr>
        <w:footnoteReference w:id="596"/>
      </w:r>
      <w:r>
        <w:rPr>
          <w:rFonts w:ascii="Amiri" w:hAnsi="Amiri" w:eastAsia="Amiri" w:cs="Amiri"/>
          <w:color w:val="111111"/>
          <w:sz w:val="28"/>
          <w:sz w:val="28"/>
          <w:szCs w:val="28"/>
          <w:rtl w:val="true"/>
          <w:lang w:bidi="ar-SA"/>
        </w:rPr>
        <w:t>، و مُخالَفةُ الشرعِ‌</w:t>
      </w:r>
      <w:r>
        <w:rPr>
          <w:rStyle w:val="FootnoteAnchor"/>
          <w:rtl w:val="true"/>
        </w:rPr>
        <w:footnoteReference w:id="597"/>
      </w:r>
      <w:r>
        <w:rPr>
          <w:rFonts w:ascii="Amiri" w:hAnsi="Amiri" w:eastAsia="Amiri" w:cs="Amiri"/>
          <w:color w:val="111111"/>
          <w:sz w:val="28"/>
          <w:sz w:val="28"/>
          <w:szCs w:val="28"/>
          <w:rtl w:val="true"/>
          <w:lang w:bidi="ar-SA"/>
        </w:rPr>
        <w:t>و تَعدّيهِ‌</w:t>
      </w:r>
      <w:r>
        <w:rPr>
          <w:rStyle w:val="FootnoteAnchor"/>
          <w:rtl w:val="true"/>
        </w:rPr>
        <w:footnoteReference w:id="598"/>
      </w:r>
      <w:r>
        <w:rPr>
          <w:rFonts w:ascii="Amiri" w:hAnsi="Amiri" w:eastAsia="Amiri" w:cs="Amiri"/>
          <w:color w:val="111111"/>
          <w:sz w:val="28"/>
          <w:sz w:val="28"/>
          <w:szCs w:val="28"/>
          <w:rtl w:val="true"/>
          <w:lang w:bidi="ar-SA"/>
        </w:rPr>
        <w:t>يَقتَضي فَسادَ العبادةِ، فيَجِبُ القضاءُ بتَركِ الِاعتدادِ بما وَقَعَ مِن الصلاةِ في غيرِ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الصلاةَ بدخولِ الوقتِ تَلزَمُه</w:t>
      </w:r>
      <w:r>
        <w:rPr>
          <w:rStyle w:val="FootnoteAnchor"/>
          <w:rtl w:val="true"/>
        </w:rPr>
        <w:footnoteReference w:id="599"/>
      </w:r>
      <w:r>
        <w:rPr>
          <w:rFonts w:ascii="Amiri" w:hAnsi="Amiri" w:eastAsia="Amiri" w:cs="Amiri"/>
          <w:color w:val="111111"/>
          <w:sz w:val="28"/>
          <w:sz w:val="28"/>
          <w:szCs w:val="28"/>
          <w:rtl w:val="true"/>
          <w:lang w:bidi="ar-SA"/>
        </w:rPr>
        <w:t>لا مَحالةَ؛ و قد عَلِمنا أنّ ما يَفعَلُه منها في الوقتِ يُسقِطُ عن ذِمّتِه وجوبَها بالإجماعِ، و لَم يُعلَمْ‌</w:t>
      </w:r>
      <w:r>
        <w:rPr>
          <w:rStyle w:val="FootnoteAnchor"/>
          <w:rtl w:val="true"/>
        </w:rPr>
        <w:footnoteReference w:id="600"/>
      </w:r>
      <w:r>
        <w:rPr>
          <w:rFonts w:ascii="Amiri" w:hAnsi="Amiri" w:eastAsia="Amiri" w:cs="Amiri"/>
          <w:color w:val="111111"/>
          <w:sz w:val="28"/>
          <w:sz w:val="28"/>
          <w:szCs w:val="28"/>
          <w:rtl w:val="true"/>
          <w:lang w:bidi="ar-SA"/>
        </w:rPr>
        <w:t>أنّ ما فَعَلَه قَبلَ دخولِ الوقتِ مُسقِطٌ</w:t>
      </w:r>
      <w:r>
        <w:rPr>
          <w:rStyle w:val="FootnoteAnchor"/>
          <w:rtl w:val="true"/>
        </w:rPr>
        <w:footnoteReference w:id="601"/>
      </w:r>
      <w:r>
        <w:rPr>
          <w:rFonts w:ascii="Amiri" w:hAnsi="Amiri" w:eastAsia="Amiri" w:cs="Amiri"/>
          <w:color w:val="111111"/>
          <w:sz w:val="28"/>
          <w:sz w:val="28"/>
          <w:szCs w:val="28"/>
          <w:rtl w:val="true"/>
          <w:lang w:bidi="ar-SA"/>
        </w:rPr>
        <w:t>عن ذِمّتِه ما شَغَلَها</w:t>
      </w:r>
      <w:r>
        <w:rPr>
          <w:rStyle w:val="FootnoteAnchor"/>
          <w:rtl w:val="true"/>
        </w:rPr>
        <w:footnoteReference w:id="602"/>
      </w:r>
      <w:r>
        <w:rPr>
          <w:rFonts w:ascii="Amiri" w:hAnsi="Amiri" w:eastAsia="Amiri" w:cs="Amiri"/>
          <w:color w:val="111111"/>
          <w:sz w:val="28"/>
          <w:sz w:val="28"/>
          <w:szCs w:val="28"/>
          <w:rtl w:val="true"/>
          <w:lang w:bidi="ar-SA"/>
        </w:rPr>
        <w:t>فيَجِبُ عليه أن يَفعَلَ مِن</w:t>
      </w:r>
      <w:r>
        <w:rPr>
          <w:rStyle w:val="FootnoteAnchor"/>
          <w:rtl w:val="true"/>
        </w:rPr>
        <w:footnoteReference w:id="603"/>
      </w:r>
      <w:r>
        <w:rPr>
          <w:rFonts w:ascii="Amiri" w:hAnsi="Amiri" w:eastAsia="Amiri" w:cs="Amiri"/>
          <w:color w:val="111111"/>
          <w:sz w:val="28"/>
          <w:sz w:val="28"/>
          <w:szCs w:val="28"/>
          <w:rtl w:val="true"/>
          <w:lang w:bidi="ar-SA"/>
        </w:rPr>
        <w:t>الصلاةِ في وقتِها ما يُعلَمُ به بَراءةُ ذِمّتِه مِن وجوبِها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يَرويهِ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يُخالِفُ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الآحادِ لا يُعتَدُّ</w:t>
      </w:r>
      <w:r>
        <w:rPr>
          <w:rStyle w:val="FootnoteAnchor"/>
          <w:rtl w:val="true"/>
        </w:rPr>
        <w:footnoteReference w:id="604"/>
      </w:r>
      <w:r>
        <w:rPr>
          <w:rFonts w:ascii="Amiri" w:hAnsi="Amiri" w:eastAsia="Amiri" w:cs="Amiri"/>
          <w:color w:val="111111"/>
          <w:sz w:val="28"/>
          <w:sz w:val="28"/>
          <w:szCs w:val="28"/>
          <w:rtl w:val="true"/>
          <w:lang w:bidi="ar-SA"/>
        </w:rPr>
        <w:t>به؛ لأنّه لَيسَ بحُجّةٍ، و لا موجِبٍ عِلماً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قامَت دَلالةٌ علىٰ أنّ مَن صَلّىٰ بعضَ الصلاةِ أو كُلَّها قَبلَ دخولِ الوقتِ أَجزَأَته</w:t>
      </w:r>
      <w:r>
        <w:rPr>
          <w:rStyle w:val="FootnoteAnchor"/>
          <w:rtl w:val="true"/>
        </w:rPr>
        <w:footnoteReference w:id="605"/>
      </w:r>
      <w:r>
        <w:rPr>
          <w:rFonts w:ascii="Amiri" w:hAnsi="Amiri" w:eastAsia="Amiri" w:cs="Amiri"/>
          <w:color w:val="111111"/>
          <w:sz w:val="28"/>
          <w:sz w:val="28"/>
          <w:szCs w:val="28"/>
          <w:rtl w:val="true"/>
          <w:lang w:bidi="ar-SA"/>
        </w:rPr>
        <w:t>، و لَم تَجِبْ‌</w:t>
      </w:r>
      <w:r>
        <w:rPr>
          <w:rStyle w:val="FootnoteAnchor"/>
          <w:rtl w:val="true"/>
        </w:rPr>
        <w:footnoteReference w:id="606"/>
      </w:r>
      <w:r>
        <w:rPr>
          <w:rFonts w:ascii="Amiri" w:hAnsi="Amiri" w:eastAsia="Amiri" w:cs="Amiri"/>
          <w:color w:val="111111"/>
          <w:sz w:val="28"/>
          <w:sz w:val="28"/>
          <w:szCs w:val="28"/>
          <w:rtl w:val="true"/>
          <w:lang w:bidi="ar-SA"/>
        </w:rPr>
        <w:t>عليه الإعادةُ، لَجازَ ذلكَ عندَنا، و لَم يَكُ‌</w:t>
      </w:r>
      <w:r>
        <w:rPr>
          <w:rStyle w:val="FootnoteAnchor"/>
          <w:rtl w:val="true"/>
        </w:rPr>
        <w:footnoteReference w:id="607"/>
      </w:r>
      <w:r>
        <w:rPr>
          <w:rFonts w:ascii="Amiri" w:hAnsi="Amiri" w:eastAsia="Amiri" w:cs="Amiri"/>
          <w:color w:val="111111"/>
          <w:sz w:val="28"/>
          <w:sz w:val="28"/>
          <w:szCs w:val="28"/>
          <w:rtl w:val="true"/>
          <w:lang w:bidi="ar-SA"/>
        </w:rPr>
        <w:t>مُخالِفاً لقانونِ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خِلافَ بَينَ أصحابِنا في أنّ مَن اجتَهَدَ في جِهةِ القِبلةِ و صَلّىٰ، ثُمَّ تَبيَّنَ له بَعدَ خروجِ الوقتِ أنّه أخطَأَها و صَلّىٰ إلى غيرِها، فإنّه لا إعادةَ عليه، و أنّ صَلاتَه الماضيةَ مُجزيةٌ عنه إذا كانَ ما استَدبَرَ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 و مالكٌ، و هو أحَدُ قولَي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إعادةَ عليه علىٰ كُلِّ حالٍ، و لَم يُفرِّقوا بَينَ الخَطإ بالاستدبارِ أو اليَمينِ أو اليَسارِ</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فما هذا التعَجُّبُ مِن الروايةِ الواردةِ بإجزاءِ هذه الصلاةِ؟ و نَحنُ كُلُّنا و فقهاءُ العامّةِ نَقولُ في جِهةِ القبلةِ مِثلَ ذلكَ بعَينِه، و نحنُ نَعلَمُ أنّ القِبلةَ شَرطٌ في الصلاةِ كالوقتِ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جازَ أن يَقومَ الخَطأُ مع الِاجتهادِ في القِبلةِ مَقامَ الصوابِ،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فَرضَه إذا</w:t>
      </w:r>
      <w:r>
        <w:rPr>
          <w:rStyle w:val="FootnoteAnchor"/>
          <w:rtl w:val="true"/>
        </w:rPr>
        <w:footnoteReference w:id="609"/>
      </w:r>
      <w:r>
        <w:rPr>
          <w:rFonts w:ascii="Amiri" w:hAnsi="Amiri" w:eastAsia="Amiri" w:cs="Amiri"/>
          <w:color w:val="111111"/>
          <w:sz w:val="28"/>
          <w:sz w:val="28"/>
          <w:szCs w:val="28"/>
          <w:rtl w:val="true"/>
          <w:lang w:bidi="ar-SA"/>
        </w:rPr>
        <w:t>أدّاه اجتهادُه إلىٰ سَمتٍ بعَينِه، هو ذلكَ السَّمتُ دونَ غيرِه؛ فلِمَ لا جازَ</w:t>
      </w:r>
      <w:r>
        <w:rPr>
          <w:rStyle w:val="FootnoteAnchor"/>
          <w:rtl w:val="true"/>
        </w:rPr>
        <w:footnoteReference w:id="610"/>
      </w:r>
      <w:r>
        <w:rPr>
          <w:rFonts w:ascii="Amiri" w:hAnsi="Amiri" w:eastAsia="Amiri" w:cs="Amiri"/>
          <w:color w:val="111111"/>
          <w:sz w:val="28"/>
          <w:sz w:val="28"/>
          <w:szCs w:val="28"/>
          <w:rtl w:val="true"/>
          <w:lang w:bidi="ar-SA"/>
        </w:rPr>
        <w:t>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فَرضَه إذا اجتَهَدَ فأدّاه اجتهادُه إلىٰ دخولِ الوقتِ هو إيقاعُ الصلاةِ فيه؟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فَعَلَ إلّاما هو فَرضُه في الحالِ، و إن ظَهَرَ له في المُستَقبَلِ خِلافُه، كَما لَو ظَهَرَ له في جِهةِ القِبلةِ خِلافُ اجتهادِه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نَقُلْ ذلكَ نُصرةً لهذا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بيّنّا أنّه</w:t>
      </w:r>
      <w:r>
        <w:rPr>
          <w:rStyle w:val="FootnoteAnchor"/>
          <w:rtl w:val="true"/>
        </w:rPr>
        <w:footnoteReference w:id="611"/>
      </w:r>
      <w:r>
        <w:rPr>
          <w:rFonts w:ascii="Amiri" w:hAnsi="Amiri" w:eastAsia="Amiri" w:cs="Amiri"/>
          <w:color w:val="111111"/>
          <w:sz w:val="28"/>
          <w:sz w:val="28"/>
          <w:szCs w:val="28"/>
          <w:rtl w:val="true"/>
          <w:lang w:bidi="ar-SA"/>
        </w:rPr>
        <w:t xml:space="preserve">عندَنا باطلٌ، و أنّ الصحيحَ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قابَلْنا</w:t>
      </w:r>
      <w:r>
        <w:rPr>
          <w:rStyle w:val="FootnoteAnchor"/>
          <w:rtl w:val="true"/>
        </w:rPr>
        <w:footnoteReference w:id="612"/>
      </w:r>
      <w:r>
        <w:rPr>
          <w:rFonts w:ascii="Amiri" w:hAnsi="Amiri" w:eastAsia="Amiri" w:cs="Amiri"/>
          <w:color w:val="111111"/>
          <w:sz w:val="28"/>
          <w:sz w:val="28"/>
          <w:szCs w:val="28"/>
          <w:rtl w:val="true"/>
          <w:lang w:bidi="ar-SA"/>
        </w:rPr>
        <w:t>بذلكَ الِاستبعادَ له و الشَّناعةَ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مضىٰ في أثناءِ السؤالِ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يَكونُ ما فَعَلَه قَبلَ تَعلُّقِ وجوبِه بالذمّةِ مُجزياً عمّا يَتعلَّقُ بها في المُستَقبَلِ؟ و كَيفَ‌</w:t>
      </w:r>
      <w:r>
        <w:rPr>
          <w:rStyle w:val="FootnoteAnchor"/>
          <w:rtl w:val="true"/>
        </w:rPr>
        <w:footnoteReference w:id="614"/>
      </w:r>
      <w:r>
        <w:rPr>
          <w:rFonts w:ascii="Amiri" w:hAnsi="Amiri" w:eastAsia="Amiri" w:cs="Amiri"/>
          <w:color w:val="111111"/>
          <w:sz w:val="28"/>
          <w:sz w:val="28"/>
          <w:szCs w:val="28"/>
          <w:rtl w:val="true"/>
          <w:lang w:bidi="ar-SA"/>
        </w:rPr>
        <w:t xml:space="preserve">تَكونُ صَلاتُه مُجزيةً، و بعضُها واجبٌ و بعضُها غيرُ واجبٍ؟ و كَيفَ يَكونُ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قُصِدَ إليه</w:t>
      </w:r>
      <w:r>
        <w:rPr>
          <w:rStyle w:val="FootnoteAnchor"/>
          <w:rtl w:val="true"/>
        </w:rPr>
        <w:footnoteReference w:id="615"/>
      </w:r>
      <w:r>
        <w:rPr>
          <w:rFonts w:ascii="Amiri" w:hAnsi="Amiri" w:eastAsia="Amiri" w:cs="Amiri"/>
          <w:color w:val="111111"/>
          <w:sz w:val="28"/>
          <w:sz w:val="28"/>
          <w:szCs w:val="28"/>
          <w:rtl w:val="true"/>
          <w:lang w:bidi="ar-SA"/>
        </w:rPr>
        <w:t>لَكانَ قَبيحاً يُستَحقُّ به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فِعلِها قَبلَ الوقتِ، مُجزياً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قُصِدَ إليه لَكانَ واجباً يُستَحقُّ به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616"/>
      </w:r>
      <w:r>
        <w:rPr>
          <w:rFonts w:ascii="Amiri" w:hAnsi="Amiri" w:eastAsia="Amiri" w:cs="Amiri"/>
          <w:color w:val="111111"/>
          <w:sz w:val="28"/>
          <w:sz w:val="28"/>
          <w:szCs w:val="28"/>
          <w:rtl w:val="true"/>
          <w:lang w:bidi="ar-SA"/>
        </w:rPr>
        <w:t>فِعلِها في الوقتِ؟</w:t>
      </w:r>
    </w:p>
    <w:p>
      <w:pPr>
        <w:pStyle w:val="BookText"/>
        <w:rPr/>
      </w:pPr>
      <w:r>
        <w:rPr>
          <w:rFonts w:ascii="Amiri" w:hAnsi="Amiri" w:eastAsia="Amiri" w:cs="Amiri"/>
          <w:color w:val="111111"/>
          <w:sz w:val="28"/>
          <w:sz w:val="28"/>
          <w:szCs w:val="28"/>
          <w:rtl w:val="true"/>
          <w:lang w:bidi="ar-SA"/>
        </w:rPr>
        <w:t>فممّا لا يَقدَحُ في المَذهبِ الذي قُصِدَ إلَى القَدحِ فيه؛ لأنّ لِمَن ذَهَبَ إليه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أُسلِّمُ أنّ وجوبَ الصلاةِ ما</w:t>
      </w:r>
      <w:r>
        <w:rPr>
          <w:rStyle w:val="FootnoteAnchor"/>
          <w:rtl w:val="true"/>
        </w:rPr>
        <w:footnoteReference w:id="617"/>
      </w:r>
      <w:r>
        <w:rPr>
          <w:rFonts w:ascii="Amiri" w:hAnsi="Amiri" w:eastAsia="Amiri" w:cs="Amiri"/>
          <w:color w:val="111111"/>
          <w:sz w:val="28"/>
          <w:sz w:val="28"/>
          <w:szCs w:val="28"/>
          <w:rtl w:val="true"/>
          <w:lang w:bidi="ar-SA"/>
        </w:rPr>
        <w:t>تَعلَّقَ بالذمّةِ مع غلبةِ ظَنِّه بدخولِ الوقتِ، و لا أنّ أوّلَ صَلاتِه غيرُ واجبٍ، و غالبُ ظَنِّه أنّ الوقتَ قد دَخَلَ، و لدُخولِه في ظَنِّه تَجِبُ‌</w:t>
      </w:r>
      <w:r>
        <w:rPr>
          <w:rStyle w:val="FootnoteAnchor"/>
          <w:rtl w:val="true"/>
        </w:rPr>
        <w:footnoteReference w:id="618"/>
      </w:r>
      <w:r>
        <w:rPr>
          <w:rFonts w:ascii="Amiri" w:hAnsi="Amiri" w:eastAsia="Amiri" w:cs="Amiri"/>
          <w:color w:val="111111"/>
          <w:sz w:val="28"/>
          <w:sz w:val="28"/>
          <w:szCs w:val="28"/>
          <w:rtl w:val="true"/>
          <w:lang w:bidi="ar-SA"/>
        </w:rPr>
        <w:t>عليه الصلاةُ‌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يَمتَنِعُ أن يَكونَ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قُصِدَ إليه أن يَكونَ‌</w:t>
      </w:r>
      <w:r>
        <w:rPr>
          <w:rStyle w:val="FootnoteAnchor"/>
          <w:rtl w:val="true"/>
        </w:rPr>
        <w:footnoteReference w:id="620"/>
      </w:r>
      <w:r>
        <w:rPr>
          <w:rFonts w:ascii="Amiri" w:hAnsi="Amiri" w:eastAsia="Amiri" w:cs="Amiri"/>
          <w:color w:val="111111"/>
          <w:sz w:val="28"/>
          <w:sz w:val="28"/>
          <w:szCs w:val="28"/>
          <w:rtl w:val="true"/>
          <w:lang w:bidi="ar-SA"/>
        </w:rPr>
        <w:t>قَبيحاً يُستَحقُّ به العِقابُ</w:t>
      </w:r>
      <w:r>
        <w:rPr>
          <w:rFonts w:eastAsia="Amiri" w:cs="Amiri" w:ascii="Amiri" w:hAnsi="Amiri"/>
          <w:color w:val="111111"/>
          <w:sz w:val="28"/>
          <w:szCs w:val="28"/>
          <w:rtl w:val="true"/>
          <w:lang w:bidi="ar-SA"/>
        </w:rPr>
        <w:t xml:space="preserve">» </w:t>
      </w:r>
      <w:bookmarkStart w:id="107" w:name="pg16437_172442"/>
    </w:p>
    <w:p>
      <w:pPr>
        <w:pStyle w:val="BookText"/>
        <w:rPr/>
      </w:pPr>
      <w:bookmarkEnd w:id="107"/>
      <w:r>
        <w:rPr>
          <w:rFonts w:ascii="Amiri" w:hAnsi="Amiri" w:eastAsia="Amiri" w:cs="Amiri"/>
          <w:color w:val="111111"/>
          <w:sz w:val="28"/>
          <w:sz w:val="28"/>
          <w:szCs w:val="28"/>
          <w:rtl w:val="true"/>
          <w:lang w:bidi="ar-SA"/>
        </w:rPr>
        <w:t>يُجزيهِ‌</w:t>
      </w:r>
      <w:r>
        <w:rPr>
          <w:rStyle w:val="FootnoteAnchor"/>
          <w:rtl w:val="true"/>
        </w:rPr>
        <w:footnoteReference w:id="621"/>
      </w:r>
      <w:r>
        <w:rPr>
          <w:rFonts w:ascii="Amiri" w:hAnsi="Amiri" w:eastAsia="Amiri" w:cs="Amiri"/>
          <w:color w:val="111111"/>
          <w:sz w:val="28"/>
          <w:sz w:val="28"/>
          <w:szCs w:val="28"/>
          <w:rtl w:val="true"/>
          <w:lang w:bidi="ar-SA"/>
        </w:rPr>
        <w:t>بَل هو فَرضُه في وقتِه</w:t>
      </w:r>
      <w:r>
        <w:rPr>
          <w:rStyle w:val="FootnoteAnchor"/>
          <w:rtl w:val="true"/>
        </w:rPr>
        <w:footnoteReference w:id="622"/>
      </w:r>
      <w:r>
        <w:rPr>
          <w:rFonts w:ascii="Amiri" w:hAnsi="Amiri" w:eastAsia="Amiri" w:cs="Amiri"/>
          <w:color w:val="111111"/>
          <w:sz w:val="28"/>
          <w:sz w:val="28"/>
          <w:szCs w:val="28"/>
          <w:rtl w:val="true"/>
          <w:lang w:bidi="ar-SA"/>
        </w:rPr>
        <w:t>مع غلبةِ الظنِّ المؤدّي إليها</w:t>
      </w:r>
      <w:r>
        <w:rPr>
          <w:rStyle w:val="FootnoteAnchor"/>
          <w:rtl w:val="true"/>
        </w:rPr>
        <w:footnoteReference w:id="623"/>
      </w:r>
      <w:r>
        <w:rPr>
          <w:rFonts w:ascii="Amiri" w:hAnsi="Amiri" w:eastAsia="Amiri" w:cs="Amiri"/>
          <w:color w:val="111111"/>
          <w:sz w:val="28"/>
          <w:sz w:val="28"/>
          <w:szCs w:val="28"/>
          <w:rtl w:val="true"/>
          <w:lang w:bidi="ar-SA"/>
        </w:rPr>
        <w:t>اجتهادُه؛ ألا تَرىٰ أنّه لَو قَصَدَ إلى</w:t>
      </w:r>
      <w:r>
        <w:rPr>
          <w:rStyle w:val="FootnoteAnchor"/>
          <w:rtl w:val="true"/>
        </w:rPr>
        <w:footnoteReference w:id="624"/>
      </w:r>
      <w:r>
        <w:rPr>
          <w:rFonts w:ascii="Amiri" w:hAnsi="Amiri" w:eastAsia="Amiri" w:cs="Amiri"/>
          <w:color w:val="111111"/>
          <w:sz w:val="28"/>
          <w:sz w:val="28"/>
          <w:szCs w:val="28"/>
          <w:rtl w:val="true"/>
          <w:lang w:bidi="ar-SA"/>
        </w:rPr>
        <w:t>أن يُصلّيَ إلى غيرِ جِهةِ القِبلةِ لَكانَ ذلكَ منه قَبيحاً يَستَحِقُّ به العقابَ، و مع ذلكَ فإذا أدّاه اجتهادُه إلىٰ تلكَ الجِهةِ أَجزأَته</w:t>
      </w:r>
      <w:r>
        <w:rPr>
          <w:rStyle w:val="FootnoteAnchor"/>
          <w:rtl w:val="true"/>
        </w:rPr>
        <w:footnoteReference w:id="625"/>
      </w:r>
      <w:r>
        <w:rPr>
          <w:rFonts w:ascii="Amiri" w:hAnsi="Amiri" w:eastAsia="Amiri" w:cs="Amiri"/>
          <w:color w:val="111111"/>
          <w:sz w:val="28"/>
          <w:sz w:val="28"/>
          <w:szCs w:val="28"/>
          <w:rtl w:val="true"/>
          <w:lang w:bidi="ar-SA"/>
        </w:rPr>
        <w:t>صَلاتُه، و لَم يَلزَمْه</w:t>
      </w:r>
      <w:r>
        <w:rPr>
          <w:rStyle w:val="FootnoteAnchor"/>
          <w:rtl w:val="true"/>
        </w:rPr>
        <w:footnoteReference w:id="626"/>
      </w:r>
      <w:r>
        <w:rPr>
          <w:rFonts w:ascii="Amiri" w:hAnsi="Amiri" w:eastAsia="Amiri" w:cs="Amiri"/>
          <w:color w:val="111111"/>
          <w:sz w:val="28"/>
          <w:sz w:val="28"/>
          <w:szCs w:val="28"/>
          <w:rtl w:val="true"/>
          <w:lang w:bidi="ar-SA"/>
        </w:rPr>
        <w:t>الإعادةُ و إن تَبيَّنَ الخَطأُ؟ فلا وجهَ لِاستبعادِ هذا المَذهبِ إلّامِن حَيثُ‌</w:t>
      </w:r>
      <w:r>
        <w:rPr>
          <w:rStyle w:val="FootnoteAnchor"/>
          <w:rtl w:val="true"/>
        </w:rPr>
        <w:footnoteReference w:id="627"/>
      </w:r>
      <w:r>
        <w:rPr>
          <w:rFonts w:ascii="Amiri" w:hAnsi="Amiri" w:eastAsia="Amiri" w:cs="Amiri"/>
          <w:color w:val="111111"/>
          <w:sz w:val="28"/>
          <w:sz w:val="28"/>
          <w:szCs w:val="28"/>
          <w:rtl w:val="true"/>
          <w:lang w:bidi="ar-SA"/>
        </w:rPr>
        <w:t>ذَكَرناه</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8039527_1280447820"/>
      <w:bookmarkStart w:id="109" w:name="_Toc38"/>
      <w:bookmarkEnd w:id="108"/>
      <w:r>
        <w:rPr>
          <w:rtl w:val="true"/>
        </w:rPr>
        <w:t>حُكمُ صيامِ يَومِ الشكِّ‌</w:t>
      </w:r>
      <w:bookmarkEnd w:id="109"/>
    </w:p>
    <w:p>
      <w:pPr>
        <w:pStyle w:val="BookText"/>
        <w:rPr/>
      </w:pPr>
      <w:r>
        <w:rPr>
          <w:rFonts w:ascii="Amiri" w:hAnsi="Amiri" w:eastAsia="Amiri" w:cs="Amiri"/>
          <w:color w:val="111111"/>
          <w:sz w:val="28"/>
          <w:sz w:val="28"/>
          <w:szCs w:val="28"/>
          <w:rtl w:val="true"/>
          <w:lang w:bidi="ar-SA"/>
        </w:rPr>
        <w:t>و أمّا المَسألةُ الخامسةُ‌</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إجزاءِ يَومِ‌</w:t>
      </w:r>
      <w:r>
        <w:rPr>
          <w:rStyle w:val="FootnoteAnchor"/>
          <w:rtl w:val="true"/>
        </w:rPr>
        <w:footnoteReference w:id="629"/>
      </w:r>
      <w:r>
        <w:rPr>
          <w:rFonts w:ascii="Amiri" w:hAnsi="Amiri" w:eastAsia="Amiri" w:cs="Amiri"/>
          <w:color w:val="111111"/>
          <w:sz w:val="28"/>
          <w:sz w:val="28"/>
          <w:szCs w:val="28"/>
          <w:rtl w:val="true"/>
          <w:lang w:bidi="ar-SA"/>
        </w:rPr>
        <w:t>الشكِّ إذا صامَه بنِيّةِ التطوُّعِ، عن فَرضِه إذا ظَهَرَ له أنّه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مَذهبٌ لا خِلافَ بَينَ الإماميّةِ فيه، و لا رَوىٰ بعضُهم ما يُخالِفُه؛ علىٰ وجهٍ و لا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التعجُّبُ ممّا تَقومُ‌</w:t>
      </w:r>
      <w:r>
        <w:rPr>
          <w:rStyle w:val="FootnoteAnchor"/>
          <w:rtl w:val="true"/>
        </w:rPr>
        <w:footnoteReference w:id="630"/>
      </w:r>
      <w:r>
        <w:rPr>
          <w:rFonts w:ascii="Amiri" w:hAnsi="Amiri" w:eastAsia="Amiri" w:cs="Amiri"/>
          <w:color w:val="111111"/>
          <w:sz w:val="28"/>
          <w:sz w:val="28"/>
          <w:szCs w:val="28"/>
          <w:rtl w:val="true"/>
          <w:lang w:bidi="ar-SA"/>
        </w:rPr>
        <w:t>الحُجّةُ عليه لا معنىٰ 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في صَدرِ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النيّةِ في العبادةِ و تَعيُّنَها و إجمالَها و مُقارَنتَها و انفصالَها</w:t>
      </w:r>
      <w:r>
        <w:rPr>
          <w:rStyle w:val="FootnoteAnchor"/>
          <w:rtl w:val="true"/>
        </w:rPr>
        <w:footnoteReference w:id="631"/>
      </w:r>
      <w:r>
        <w:rPr>
          <w:rFonts w:ascii="Amiri" w:hAnsi="Amiri" w:eastAsia="Amiri" w:cs="Amiri"/>
          <w:color w:val="111111"/>
          <w:sz w:val="28"/>
          <w:sz w:val="28"/>
          <w:szCs w:val="28"/>
          <w:rtl w:val="true"/>
          <w:lang w:bidi="ar-SA"/>
        </w:rPr>
        <w:t>إنّما هو أحكامٌ شَرعيّةٌ يَجِبُ‌</w:t>
      </w:r>
      <w:r>
        <w:rPr>
          <w:rStyle w:val="FootnoteAnchor"/>
          <w:rtl w:val="true"/>
        </w:rPr>
        <w:footnoteReference w:id="632"/>
      </w:r>
      <w:r>
        <w:rPr>
          <w:rFonts w:ascii="Amiri" w:hAnsi="Amiri" w:eastAsia="Amiri" w:cs="Amiri"/>
          <w:color w:val="111111"/>
          <w:sz w:val="28"/>
          <w:sz w:val="28"/>
          <w:szCs w:val="28"/>
          <w:rtl w:val="true"/>
          <w:lang w:bidi="ar-SA"/>
        </w:rPr>
        <w:t>الرجوعُ فيها إلىٰ أدِلّةِ الشرعِ؛ فمَهما دَلَّت عليه أثبَتناه</w:t>
      </w:r>
      <w:r>
        <w:rPr>
          <w:rStyle w:val="FootnoteAnchor"/>
          <w:rtl w:val="true"/>
        </w:rPr>
        <w:footnoteReference w:id="633"/>
      </w:r>
      <w:r>
        <w:rPr>
          <w:rFonts w:ascii="Amiri" w:hAnsi="Amiri" w:eastAsia="Amiri" w:cs="Amiri"/>
          <w:color w:val="111111"/>
          <w:sz w:val="28"/>
          <w:sz w:val="28"/>
          <w:szCs w:val="28"/>
          <w:rtl w:val="true"/>
          <w:lang w:bidi="ar-SA"/>
        </w:rPr>
        <w:t>و اعتَمَدناه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كانَت نيّةُ الصومِ الواجبِ يُعتَبَرُ فيها تعيينُ النيّةِ علىٰ كُلِّ حالٍ، لَما أجمَعَت الإماميّةُ علىٰ إجزاءِ صَومِ يَومِ الشكِّ بِنيّةِ التطوُّعِ، إذا ظهَرَ أنّه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أجمَعوا علىٰ أنّه لَو</w:t>
      </w:r>
      <w:r>
        <w:rPr>
          <w:rStyle w:val="FootnoteAnchor"/>
          <w:rtl w:val="true"/>
        </w:rPr>
        <w:footnoteReference w:id="634"/>
      </w:r>
      <w:r>
        <w:rPr>
          <w:rFonts w:ascii="Amiri" w:hAnsi="Amiri" w:eastAsia="Amiri" w:cs="Amiri"/>
          <w:color w:val="111111"/>
          <w:sz w:val="28"/>
          <w:sz w:val="28"/>
          <w:szCs w:val="28"/>
          <w:rtl w:val="true"/>
          <w:lang w:bidi="ar-SA"/>
        </w:rPr>
        <w:t>صامَ شَهراً بنيّةِ التطوُّعِ علىٰ أنّه شَعبانُ، و كانَ مأسوراً أو محبوساً بحَيثُ لا يَعلَمُ أحوالَ الشُّهورِ</w:t>
      </w:r>
      <w:r>
        <w:rPr>
          <w:rStyle w:val="FootnoteAnchor"/>
          <w:rtl w:val="true"/>
        </w:rPr>
        <w:footnoteReference w:id="635"/>
      </w:r>
      <w:r>
        <w:rPr>
          <w:rFonts w:ascii="Amiri" w:hAnsi="Amiri" w:eastAsia="Amiri" w:cs="Amiri"/>
          <w:color w:val="111111"/>
          <w:sz w:val="28"/>
          <w:sz w:val="28"/>
          <w:szCs w:val="28"/>
          <w:rtl w:val="true"/>
          <w:lang w:bidi="ar-SA"/>
        </w:rPr>
        <w:t>، لَكانَ ذلكَ الصومُ يُجزيهِ عن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تَفتَقِرُ العبادةُ إلى نيّةِ إيقاعِها علَى الوجهِ المُعيَّنِ في المَوضِعِ الذي يَتمكَّنُ المُكلَّفُ مِن العِلمِ‌</w:t>
      </w:r>
      <w:r>
        <w:rPr>
          <w:rStyle w:val="FootnoteAnchor"/>
          <w:rtl w:val="true"/>
        </w:rPr>
        <w:footnoteReference w:id="636"/>
      </w:r>
      <w:r>
        <w:rPr>
          <w:rFonts w:ascii="Amiri" w:hAnsi="Amiri" w:eastAsia="Amiri" w:cs="Amiri"/>
          <w:color w:val="111111"/>
          <w:sz w:val="28"/>
          <w:sz w:val="28"/>
          <w:szCs w:val="28"/>
          <w:rtl w:val="true"/>
          <w:lang w:bidi="ar-SA"/>
        </w:rPr>
        <w:t>بالتعيينِ، و في يَومِ الشكِّ لا يُمكِنُه أن يَعلَمَ أنّه مِن شَهرِ رَمَضانَ في الحالِ، فلا يَجوزُ أن يَصومَه إلّابِنيّةِ التطوُّعِ؛ لأنّ التعيينَ لا سَبيلَ له إليه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مُمتَنِعٍ أن يَقومَ الدليلُ علىٰ أنّه إن صامَه بهذه النيّةِ، و ظَهَرَ أنّه مِن شَهرِ رَمَضانَ، أجزأَه</w:t>
      </w:r>
      <w:r>
        <w:rPr>
          <w:rStyle w:val="FootnoteAnchor"/>
          <w:rtl w:val="true"/>
        </w:rPr>
        <w:footnoteReference w:id="637"/>
      </w:r>
      <w:r>
        <w:rPr>
          <w:rFonts w:ascii="Amiri" w:hAnsi="Amiri" w:eastAsia="Amiri" w:cs="Amiri"/>
          <w:color w:val="111111"/>
          <w:sz w:val="28"/>
          <w:sz w:val="28"/>
          <w:szCs w:val="28"/>
          <w:rtl w:val="true"/>
          <w:lang w:bidi="ar-SA"/>
        </w:rPr>
        <w:t>عن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حَنيفةَ يُوافِقُنا في هذه المَسألةِ، و يَذهَبُ‌</w:t>
      </w:r>
      <w:r>
        <w:rPr>
          <w:rStyle w:val="FootnoteAnchor"/>
          <w:rtl w:val="true"/>
        </w:rPr>
        <w:footnoteReference w:id="638"/>
      </w:r>
      <w:r>
        <w:rPr>
          <w:rFonts w:ascii="Amiri" w:hAnsi="Amiri" w:eastAsia="Amiri" w:cs="Amiri"/>
          <w:color w:val="111111"/>
          <w:sz w:val="28"/>
          <w:sz w:val="28"/>
          <w:szCs w:val="28"/>
          <w:rtl w:val="true"/>
          <w:lang w:bidi="ar-SA"/>
        </w:rPr>
        <w:t>إلىٰ أنّه إن صامَ يَوماً بِنيّةِ التطوُّعِ، و ظَهَرَ أنّه مِن شَهرِ رَمَضانَ، أَجزأَه ذلكَ عن فَرضِه، و لَم تَجِبْ‌</w:t>
      </w:r>
      <w:r>
        <w:rPr>
          <w:rStyle w:val="FootnoteAnchor"/>
          <w:rtl w:val="true"/>
        </w:rPr>
        <w:footnoteReference w:id="639"/>
      </w:r>
      <w:r>
        <w:rPr>
          <w:rFonts w:ascii="Amiri" w:hAnsi="Amiri" w:eastAsia="Amiri" w:cs="Amiri"/>
          <w:color w:val="111111"/>
          <w:sz w:val="28"/>
          <w:sz w:val="28"/>
          <w:szCs w:val="28"/>
          <w:rtl w:val="true"/>
          <w:lang w:bidi="ar-SA"/>
        </w:rPr>
        <w:t>عليه الإعادةُ</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و يُعوِّلُ‌</w:t>
      </w:r>
      <w:r>
        <w:rPr>
          <w:rStyle w:val="FootnoteAnchor"/>
          <w:rtl w:val="true"/>
        </w:rPr>
        <w:footnoteReference w:id="641"/>
      </w:r>
      <w:r>
        <w:rPr>
          <w:rFonts w:ascii="Amiri" w:hAnsi="Amiri" w:eastAsia="Amiri" w:cs="Amiri"/>
          <w:color w:val="111111"/>
          <w:sz w:val="28"/>
          <w:sz w:val="28"/>
          <w:szCs w:val="28"/>
          <w:rtl w:val="true"/>
          <w:lang w:bidi="ar-SA"/>
        </w:rPr>
        <w:t>في الِاستدلالِ علىٰ صِحّةِ قولِه علىٰ أشياءَ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 فأمَرَ بصَومٍ شَرعيٍّ، </w:t>
      </w:r>
    </w:p>
    <w:p>
      <w:pPr>
        <w:pStyle w:val="BookText"/>
        <w:rPr/>
      </w:pPr>
      <w:r>
        <w:rPr>
          <w:rFonts w:ascii="Amiri" w:hAnsi="Amiri" w:eastAsia="Amiri" w:cs="Amiri"/>
          <w:color w:val="111111"/>
          <w:sz w:val="28"/>
          <w:sz w:val="28"/>
          <w:szCs w:val="28"/>
          <w:rtl w:val="true"/>
          <w:lang w:bidi="ar-SA"/>
        </w:rPr>
        <w:t>و لا خِلافَ في أنّ الصومَ بِنيّةِ التطوُّعِ صَومٌ شَرعيٌّ، فإنّه لَو صامَ في غيرِ شَهرِ رَمَضانَ يَوماً بِنيّةِ التطوُّعِ لَوُصِفَ‌</w:t>
      </w:r>
      <w:r>
        <w:rPr>
          <w:rStyle w:val="FootnoteAnchor"/>
          <w:rtl w:val="true"/>
        </w:rPr>
        <w:footnoteReference w:id="643"/>
      </w:r>
      <w:r>
        <w:rPr>
          <w:rFonts w:ascii="Amiri" w:hAnsi="Amiri" w:eastAsia="Amiri" w:cs="Amiri"/>
          <w:color w:val="111111"/>
          <w:sz w:val="28"/>
          <w:sz w:val="28"/>
          <w:szCs w:val="28"/>
          <w:rtl w:val="true"/>
          <w:lang w:bidi="ar-SA"/>
        </w:rPr>
        <w:t>في الشرعِ بأنّه صَومٌ مُطلَقٌ، فعُمومُ الآيةِ يَقتَضي فِعلَ ما هو صَومٌ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صَومَ شَهرِ رَمَضانَ مُستَحَقُّ العَينِ علَى المُقيمِ، فعَلىٰ أيِّ وجهٍ فَعَلَه وَقَعَ عن</w:t>
      </w:r>
      <w:r>
        <w:rPr>
          <w:rStyle w:val="FootnoteAnchor"/>
          <w:rtl w:val="true"/>
        </w:rPr>
        <w:footnoteReference w:id="644"/>
      </w:r>
      <w:r>
        <w:rPr>
          <w:rFonts w:ascii="Amiri" w:hAnsi="Amiri" w:eastAsia="Amiri" w:cs="Amiri"/>
          <w:color w:val="111111"/>
          <w:sz w:val="28"/>
          <w:sz w:val="28"/>
          <w:szCs w:val="28"/>
          <w:rtl w:val="true"/>
          <w:lang w:bidi="ar-SA"/>
        </w:rPr>
        <w:t>المُستَحَقِّ؛ كطَوافِ الزيارةِ، و رَدِّ العاريةِ و الوَديعةِ و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التعيينِ يُحتاجُ إليها للتمييزِ بَينَ الفَرضِ و غيرِه، و التمييزُ</w:t>
      </w:r>
      <w:r>
        <w:rPr>
          <w:rStyle w:val="FootnoteAnchor"/>
          <w:rtl w:val="true"/>
        </w:rPr>
        <w:footnoteReference w:id="645"/>
      </w:r>
      <w:r>
        <w:rPr>
          <w:rFonts w:ascii="Amiri" w:hAnsi="Amiri" w:eastAsia="Amiri" w:cs="Amiri"/>
          <w:color w:val="111111"/>
          <w:sz w:val="28"/>
          <w:sz w:val="28"/>
          <w:szCs w:val="28"/>
          <w:rtl w:val="true"/>
          <w:lang w:bidi="ar-SA"/>
        </w:rPr>
        <w:t>إنّما يُحتاجُ إليه في الوقتِ الذي يَصِحُّ‌</w:t>
      </w:r>
      <w:r>
        <w:rPr>
          <w:rStyle w:val="FootnoteAnchor"/>
          <w:rtl w:val="true"/>
        </w:rPr>
        <w:footnoteReference w:id="646"/>
      </w:r>
      <w:r>
        <w:rPr>
          <w:rFonts w:ascii="Amiri" w:hAnsi="Amiri" w:eastAsia="Amiri" w:cs="Amiri"/>
          <w:color w:val="111111"/>
          <w:sz w:val="28"/>
          <w:sz w:val="28"/>
          <w:szCs w:val="28"/>
          <w:rtl w:val="true"/>
          <w:lang w:bidi="ar-SA"/>
        </w:rPr>
        <w:t>وقوعُ الشيءِ و خِلافِه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لَم يَصِحَّ منه في الحالِ إلّا</w:t>
      </w:r>
      <w:r>
        <w:rPr>
          <w:rStyle w:val="FootnoteAnchor"/>
          <w:rtl w:val="true"/>
        </w:rPr>
        <w:footnoteReference w:id="647"/>
      </w:r>
      <w:r>
        <w:rPr>
          <w:rFonts w:ascii="Amiri" w:hAnsi="Amiri" w:eastAsia="Amiri" w:cs="Amiri"/>
          <w:color w:val="111111"/>
          <w:sz w:val="28"/>
          <w:sz w:val="28"/>
          <w:szCs w:val="28"/>
          <w:rtl w:val="true"/>
          <w:lang w:bidi="ar-SA"/>
        </w:rPr>
        <w:t>الفَرضُ، لَم يُحتَجْ إلىٰ نيّةِ التعيينِ، ألا تَرىٰ أنّ قَضاءَ الدَّينِ لَمّا صَحَّ أن تَكونَ هذه العَطيّةُ بعَينِها تارةً هِبةً و علىٰ وجوهٍ مُختَلِفةٍ، كَما يَصِحُّ أن تَكونَ‌</w:t>
      </w:r>
      <w:r>
        <w:rPr>
          <w:rStyle w:val="FootnoteAnchor"/>
          <w:rtl w:val="true"/>
        </w:rPr>
        <w:footnoteReference w:id="648"/>
      </w:r>
      <w:r>
        <w:rPr>
          <w:rFonts w:ascii="Amiri" w:hAnsi="Amiri" w:eastAsia="Amiri" w:cs="Amiri"/>
          <w:color w:val="111111"/>
          <w:sz w:val="28"/>
          <w:sz w:val="28"/>
          <w:szCs w:val="28"/>
          <w:rtl w:val="true"/>
          <w:lang w:bidi="ar-SA"/>
        </w:rPr>
        <w:t>قَضاءَ الدَّينِ، اِحتيجَ فيها إلىٰ نيّةِ التعيينِ‌</w:t>
      </w:r>
      <w:r>
        <w:rPr>
          <w:rStyle w:val="FootnoteAnchor"/>
          <w:rtl w:val="true"/>
        </w:rPr>
        <w:footnoteReference w:id="649"/>
      </w:r>
      <w:r>
        <w:rPr>
          <w:rFonts w:ascii="Amiri" w:hAnsi="Amiri" w:eastAsia="Amiri" w:cs="Amiri"/>
          <w:color w:val="111111"/>
          <w:sz w:val="28"/>
          <w:sz w:val="28"/>
          <w:szCs w:val="28"/>
          <w:rtl w:val="true"/>
          <w:lang w:bidi="ar-SA"/>
        </w:rPr>
        <w:t>، و لمّا لَم تَكُنِ‌</w:t>
      </w:r>
      <w:r>
        <w:rPr>
          <w:rStyle w:val="FootnoteAnchor"/>
          <w:rtl w:val="true"/>
        </w:rPr>
        <w:footnoteReference w:id="650"/>
      </w:r>
      <w:r>
        <w:rPr>
          <w:rFonts w:ascii="Amiri" w:hAnsi="Amiri" w:eastAsia="Amiri" w:cs="Amiri"/>
          <w:color w:val="111111"/>
          <w:sz w:val="28"/>
          <w:sz w:val="28"/>
          <w:szCs w:val="28"/>
          <w:rtl w:val="true"/>
          <w:lang w:bidi="ar-SA"/>
        </w:rPr>
        <w:t>الوديعةُ و العاريةُ بهذه الصفةِ لَم تَفتقِرْ</w:t>
      </w:r>
      <w:r>
        <w:rPr>
          <w:rStyle w:val="FootnoteAnchor"/>
          <w:rtl w:val="true"/>
        </w:rPr>
        <w:footnoteReference w:id="651"/>
      </w:r>
      <w:r>
        <w:rPr>
          <w:rFonts w:ascii="Amiri" w:hAnsi="Amiri" w:eastAsia="Amiri" w:cs="Amiri"/>
          <w:color w:val="111111"/>
          <w:sz w:val="28"/>
          <w:sz w:val="28"/>
          <w:szCs w:val="28"/>
          <w:rtl w:val="true"/>
          <w:lang w:bidi="ar-SA"/>
        </w:rPr>
        <w:t>إلىٰ نيّةِ التعيينِ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قيلَ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w:t>
      </w:r>
      <w:r>
        <w:rPr>
          <w:rStyle w:val="FootnoteAnchor"/>
          <w:rtl w:val="true"/>
        </w:rPr>
        <w:footnoteReference w:id="652"/>
      </w:r>
      <w:r>
        <w:rPr>
          <w:rFonts w:ascii="Amiri" w:hAnsi="Amiri" w:eastAsia="Amiri" w:cs="Amiri"/>
          <w:color w:val="111111"/>
          <w:sz w:val="28"/>
          <w:sz w:val="28"/>
          <w:szCs w:val="28"/>
          <w:rtl w:val="true"/>
          <w:lang w:bidi="ar-SA"/>
        </w:rPr>
        <w:t>أجَزتَ صَومَ‌</w:t>
      </w:r>
      <w:r>
        <w:rPr>
          <w:rStyle w:val="FootnoteAnchor"/>
          <w:rtl w:val="true"/>
        </w:rPr>
        <w:footnoteReference w:id="653"/>
      </w:r>
      <w:r>
        <w:rPr>
          <w:rFonts w:ascii="Amiri" w:hAnsi="Amiri" w:eastAsia="Amiri" w:cs="Amiri"/>
          <w:color w:val="111111"/>
          <w:sz w:val="28"/>
          <w:sz w:val="28"/>
          <w:szCs w:val="28"/>
          <w:rtl w:val="true"/>
          <w:lang w:bidi="ar-SA"/>
        </w:rPr>
        <w:t>هذا الزمانِ المُتَعيِّنِ‌</w:t>
      </w:r>
      <w:r>
        <w:rPr>
          <w:rStyle w:val="FootnoteAnchor"/>
          <w:rtl w:val="true"/>
        </w:rPr>
        <w:footnoteReference w:id="654"/>
      </w:r>
      <w:r>
        <w:rPr>
          <w:rFonts w:ascii="Amiri" w:hAnsi="Amiri" w:eastAsia="Amiri" w:cs="Amiri"/>
          <w:color w:val="111111"/>
          <w:sz w:val="28"/>
          <w:sz w:val="28"/>
          <w:szCs w:val="28"/>
          <w:rtl w:val="true"/>
          <w:lang w:bidi="ar-SA"/>
        </w:rPr>
        <w:t xml:space="preserve">بغَيرِ نيّةٍ أصلاً، </w:t>
      </w:r>
    </w:p>
    <w:p>
      <w:pPr>
        <w:pStyle w:val="BookText"/>
        <w:rPr/>
      </w:pPr>
      <w:r>
        <w:rPr>
          <w:rFonts w:ascii="Amiri" w:hAnsi="Amiri" w:eastAsia="Amiri" w:cs="Amiri"/>
          <w:color w:val="111111"/>
          <w:sz w:val="28"/>
          <w:sz w:val="28"/>
          <w:szCs w:val="28"/>
          <w:rtl w:val="true"/>
          <w:lang w:bidi="ar-SA"/>
        </w:rPr>
        <w:t>كَما جازَ رَدُّ الوَديعةِ و العاريةِ‌</w:t>
      </w:r>
      <w:r>
        <w:rPr>
          <w:rStyle w:val="FootnoteAnchor"/>
          <w:rtl w:val="true"/>
        </w:rPr>
        <w:footnoteReference w:id="655"/>
      </w:r>
      <w:r>
        <w:rPr>
          <w:rFonts w:ascii="Amiri" w:hAnsi="Amiri" w:eastAsia="Amiri" w:cs="Amiri"/>
          <w:color w:val="111111"/>
          <w:sz w:val="28"/>
          <w:sz w:val="28"/>
          <w:szCs w:val="28"/>
          <w:rtl w:val="true"/>
          <w:lang w:bidi="ar-SA"/>
        </w:rPr>
        <w:t>بغَيرِ نيّةٍ، كَما يَقولُه</w:t>
      </w:r>
      <w:r>
        <w:rPr>
          <w:rStyle w:val="FootnoteAnchor"/>
          <w:rtl w:val="true"/>
        </w:rPr>
        <w:footnoteReference w:id="656"/>
      </w:r>
      <w:r>
        <w:rPr>
          <w:rFonts w:ascii="Amiri" w:hAnsi="Amiri" w:eastAsia="Amiri" w:cs="Amiri"/>
          <w:color w:val="111111"/>
          <w:sz w:val="28"/>
          <w:sz w:val="28"/>
          <w:szCs w:val="28"/>
          <w:rtl w:val="true"/>
          <w:lang w:bidi="ar-SA"/>
        </w:rPr>
        <w:t>زُفَرُ</w:t>
      </w:r>
      <w:r>
        <w:rPr>
          <w:rStyle w:val="FootnoteAnchor"/>
          <w:rtl w:val="true"/>
        </w:rPr>
        <w:footnoteReference w:id="657"/>
      </w:r>
      <w:r>
        <w:rPr>
          <w:rFonts w:ascii="Amiri" w:hAnsi="Amiri" w:eastAsia="Amiri" w:cs="Amiri"/>
          <w:color w:val="111111"/>
          <w:sz w:val="28"/>
          <w:sz w:val="28"/>
          <w:szCs w:val="28"/>
          <w:rtl w:val="true"/>
          <w:lang w:bidi="ar-SA"/>
        </w:rPr>
        <w:t>و عَطاءٌ‌</w:t>
      </w:r>
      <w:r>
        <w:rPr>
          <w:rStyle w:val="FootnoteAnchor"/>
          <w:rtl w:val="true"/>
        </w:rPr>
        <w:footnoteReference w:id="6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فَرَّقَ‌</w:t>
      </w:r>
      <w:r>
        <w:rPr>
          <w:rStyle w:val="FootnoteAnchor"/>
          <w:rtl w:val="true"/>
        </w:rPr>
        <w:footnoteReference w:id="659"/>
      </w:r>
      <w:r>
        <w:rPr>
          <w:rFonts w:ascii="Amiri" w:hAnsi="Amiri" w:eastAsia="Amiri" w:cs="Amiri"/>
          <w:color w:val="111111"/>
          <w:sz w:val="28"/>
          <w:sz w:val="28"/>
          <w:szCs w:val="28"/>
          <w:rtl w:val="true"/>
          <w:lang w:bidi="ar-SA"/>
        </w:rPr>
        <w:t>بَينَ الأمرَينِ؛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مُستَحَقَّ العَينِ إنّما يَكونُ عِلّةً في سُقوطِ نيّةِ التعيينِ، و لا يَكونُ عِلّةً في سُقوطِ النيّةِ علىٰ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كطوافِ الزيارةِ؛ تَسقُطُ فيهِ نيّةُ التعيينِ‌</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طافَ بنِيّةِ التطوُّعِ أَجزأَه عن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تَسقُطُ</w:t>
      </w:r>
      <w:r>
        <w:rPr>
          <w:rStyle w:val="FootnoteAnchor"/>
          <w:rtl w:val="true"/>
        </w:rPr>
        <w:footnoteReference w:id="661"/>
      </w:r>
      <w:r>
        <w:rPr>
          <w:rFonts w:ascii="Amiri" w:hAnsi="Amiri" w:eastAsia="Amiri" w:cs="Amiri"/>
          <w:color w:val="111111"/>
          <w:sz w:val="28"/>
          <w:sz w:val="28"/>
          <w:szCs w:val="28"/>
          <w:rtl w:val="true"/>
          <w:lang w:bidi="ar-SA"/>
        </w:rPr>
        <w:t>فيه النيّةُ علَى الجُملةِ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أجوَدُ ممّا ذَكَرَه أبو حَنيفةَ مِن الفَرقِ‌</w:t>
      </w:r>
      <w:r>
        <w:rPr>
          <w:rStyle w:val="FootnoteAnchor"/>
          <w:rtl w:val="true"/>
        </w:rPr>
        <w:footnoteReference w:id="662"/>
      </w:r>
      <w:r>
        <w:rPr>
          <w:rFonts w:ascii="Amiri" w:hAnsi="Amiri" w:eastAsia="Amiri" w:cs="Amiri"/>
          <w:color w:val="111111"/>
          <w:sz w:val="28"/>
          <w:sz w:val="28"/>
          <w:szCs w:val="28"/>
          <w:rtl w:val="true"/>
          <w:lang w:bidi="ar-SA"/>
        </w:rPr>
        <w:t>، أن نَقولَ‌</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في الشريعةِ لا بُدَّ مِن كَونِه قُربةً و عبادةً، بِلا خِلافٍ بَينَ المُسلِمينَ، فإذا تَعيَّنَ في زمانٍ بعَينِه سَقَطَ وجوبُ نيّةِ التعيينِ؛ و نيّةُ القُربةِ و العبادةِ لا بُدَّ منها، و إلّافلا يَكونُ صَوماً شَرعيّاً؛ و لَيسَ كذلك رَدُّ الوَديعةِ و العاريةِ</w:t>
      </w:r>
      <w:r>
        <w:rPr>
          <w:rFonts w:eastAsia="Amiri" w:cs="Amiri" w:ascii="Amiri" w:hAnsi="Amiri"/>
          <w:color w:val="111111"/>
          <w:sz w:val="28"/>
          <w:szCs w:val="28"/>
          <w:rtl w:val="true"/>
          <w:lang w:bidi="ar-SA"/>
        </w:rPr>
        <w:t xml:space="preserve">. </w:t>
      </w:r>
      <w:bookmarkStart w:id="110" w:name="pg16437_172446"/>
    </w:p>
    <w:p>
      <w:pPr>
        <w:pStyle w:val="BookText"/>
        <w:rPr/>
      </w:pPr>
      <w:bookmarkEnd w:id="110"/>
      <w:r>
        <w:rPr>
          <w:rFonts w:ascii="Amiri" w:hAnsi="Amiri" w:eastAsia="Amiri" w:cs="Amiri"/>
          <w:color w:val="111111"/>
          <w:sz w:val="28"/>
          <w:sz w:val="28"/>
          <w:szCs w:val="28"/>
          <w:rtl w:val="true"/>
          <w:lang w:bidi="ar-SA"/>
        </w:rPr>
        <w:t xml:space="preserve">و رُبَّما طَعَنَ الشافعيُّ علىٰ أبي حَنيفةَ في هذا الكلامِ الذي حَكَيناه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تَعيَّنَ‌</w:t>
      </w:r>
      <w:r>
        <w:rPr>
          <w:rStyle w:val="FootnoteAnchor"/>
          <w:rtl w:val="true"/>
        </w:rPr>
        <w:footnoteReference w:id="664"/>
      </w:r>
      <w:r>
        <w:rPr>
          <w:rFonts w:ascii="Amiri" w:hAnsi="Amiri" w:eastAsia="Amiri" w:cs="Amiri"/>
          <w:color w:val="111111"/>
          <w:sz w:val="28"/>
          <w:sz w:val="28"/>
          <w:szCs w:val="28"/>
          <w:rtl w:val="true"/>
          <w:lang w:bidi="ar-SA"/>
        </w:rPr>
        <w:t>زمانُه مِن العباداتِ لا يَحتاجُ‌</w:t>
      </w:r>
      <w:r>
        <w:rPr>
          <w:rStyle w:val="FootnoteAnchor"/>
          <w:rtl w:val="true"/>
        </w:rPr>
        <w:footnoteReference w:id="665"/>
      </w:r>
      <w:r>
        <w:rPr>
          <w:rFonts w:ascii="Amiri" w:hAnsi="Amiri" w:eastAsia="Amiri" w:cs="Amiri"/>
          <w:color w:val="111111"/>
          <w:sz w:val="28"/>
          <w:sz w:val="28"/>
          <w:szCs w:val="28"/>
          <w:rtl w:val="true"/>
          <w:lang w:bidi="ar-SA"/>
        </w:rPr>
        <w:t xml:space="preserve">إلىٰ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في آخِرِ الوقتِ و عندَ تَضيُّقِه</w:t>
      </w:r>
      <w:r>
        <w:rPr>
          <w:rStyle w:val="FootnoteAnchor"/>
          <w:rtl w:val="true"/>
        </w:rPr>
        <w:footnoteReference w:id="666"/>
      </w:r>
      <w:r>
        <w:rPr>
          <w:rFonts w:ascii="Amiri" w:hAnsi="Amiri" w:eastAsia="Amiri" w:cs="Amiri"/>
          <w:color w:val="111111"/>
          <w:sz w:val="28"/>
          <w:sz w:val="28"/>
          <w:szCs w:val="28"/>
          <w:rtl w:val="true"/>
          <w:lang w:bidi="ar-SA"/>
        </w:rPr>
        <w:t>تَفتَقِرُ</w:t>
      </w:r>
      <w:r>
        <w:rPr>
          <w:rStyle w:val="FootnoteAnchor"/>
          <w:rtl w:val="true"/>
        </w:rPr>
        <w:footnoteReference w:id="667"/>
      </w:r>
      <w:r>
        <w:rPr>
          <w:rFonts w:ascii="Amiri" w:hAnsi="Amiri" w:eastAsia="Amiri" w:cs="Amiri"/>
          <w:color w:val="111111"/>
          <w:sz w:val="28"/>
          <w:sz w:val="28"/>
          <w:szCs w:val="28"/>
          <w:rtl w:val="true"/>
          <w:lang w:bidi="ar-SA"/>
        </w:rPr>
        <w:t>إلىٰ نيّةِ التعيينِ بِلا خِلافٍ؛ و مع هذا فإنّ هذا</w:t>
      </w:r>
      <w:r>
        <w:rPr>
          <w:rStyle w:val="FootnoteAnchor"/>
          <w:rtl w:val="true"/>
        </w:rPr>
        <w:footnoteReference w:id="668"/>
      </w:r>
      <w:r>
        <w:rPr>
          <w:rFonts w:ascii="Amiri" w:hAnsi="Amiri" w:eastAsia="Amiri" w:cs="Amiri"/>
          <w:color w:val="111111"/>
          <w:sz w:val="28"/>
          <w:sz w:val="28"/>
          <w:szCs w:val="28"/>
          <w:rtl w:val="true"/>
          <w:lang w:bidi="ar-SA"/>
        </w:rPr>
        <w:t>الزمانَ قد تعيَّنَ في أدائها، و لا</w:t>
      </w:r>
      <w:r>
        <w:rPr>
          <w:rStyle w:val="FootnoteAnchor"/>
          <w:rtl w:val="true"/>
        </w:rPr>
        <w:footnoteReference w:id="669"/>
      </w:r>
      <w:r>
        <w:rPr>
          <w:rFonts w:ascii="Amiri" w:hAnsi="Amiri" w:eastAsia="Amiri" w:cs="Amiri"/>
          <w:color w:val="111111"/>
          <w:sz w:val="28"/>
          <w:sz w:val="28"/>
          <w:szCs w:val="28"/>
          <w:rtl w:val="true"/>
          <w:lang w:bidi="ar-SA"/>
        </w:rPr>
        <w:t>يُمكِنُ أن يَقَعَ فيه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أبا حَنيفَةَ‌</w:t>
      </w:r>
      <w:r>
        <w:rPr>
          <w:rStyle w:val="FootnoteAnchor"/>
          <w:rtl w:val="true"/>
        </w:rPr>
        <w:footnoteReference w:id="670"/>
      </w:r>
      <w:r>
        <w:rPr>
          <w:rFonts w:ascii="Amiri" w:hAnsi="Amiri" w:eastAsia="Amiri" w:cs="Amiri"/>
          <w:color w:val="111111"/>
          <w:sz w:val="28"/>
          <w:sz w:val="28"/>
          <w:szCs w:val="28"/>
          <w:rtl w:val="true"/>
          <w:lang w:bidi="ar-SA"/>
        </w:rPr>
        <w:t>أن يُجيبَ عن ذلكَ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الزمانُ بعَينِه</w:t>
      </w:r>
      <w:r>
        <w:rPr>
          <w:rStyle w:val="FootnoteAnchor"/>
          <w:rtl w:val="true"/>
        </w:rPr>
        <w:footnoteReference w:id="671"/>
      </w:r>
      <w:r>
        <w:rPr>
          <w:rFonts w:ascii="Amiri" w:hAnsi="Amiri" w:eastAsia="Amiri" w:cs="Amiri"/>
          <w:color w:val="111111"/>
          <w:sz w:val="28"/>
          <w:sz w:val="28"/>
          <w:szCs w:val="28"/>
          <w:rtl w:val="true"/>
          <w:lang w:bidi="ar-SA"/>
        </w:rPr>
        <w:t>يُمكِنُ أن لا يَتعيَّنَ‌</w:t>
      </w:r>
      <w:r>
        <w:rPr>
          <w:rStyle w:val="FootnoteAnchor"/>
          <w:rtl w:val="true"/>
        </w:rPr>
        <w:footnoteReference w:id="672"/>
      </w:r>
      <w:r>
        <w:rPr>
          <w:rFonts w:ascii="Amiri" w:hAnsi="Amiri" w:eastAsia="Amiri" w:cs="Amiri"/>
          <w:color w:val="111111"/>
          <w:sz w:val="28"/>
          <w:sz w:val="28"/>
          <w:szCs w:val="28"/>
          <w:rtl w:val="true"/>
          <w:lang w:bidi="ar-SA"/>
        </w:rPr>
        <w:t>فيه أداءُ هذه الفَريضةِ‌</w:t>
      </w:r>
      <w:r>
        <w:rPr>
          <w:rStyle w:val="FootnoteAnchor"/>
          <w:rtl w:val="true"/>
        </w:rPr>
        <w:footnoteReference w:id="673"/>
      </w:r>
      <w:r>
        <w:rPr>
          <w:rFonts w:ascii="Amiri" w:hAnsi="Amiri" w:eastAsia="Amiri" w:cs="Amiri"/>
          <w:color w:val="111111"/>
          <w:sz w:val="28"/>
          <w:sz w:val="28"/>
          <w:szCs w:val="28"/>
          <w:rtl w:val="true"/>
          <w:lang w:bidi="ar-SA"/>
        </w:rPr>
        <w:t>بأن يَكونَ قد</w:t>
      </w:r>
      <w:r>
        <w:rPr>
          <w:rStyle w:val="FootnoteAnchor"/>
          <w:rtl w:val="true"/>
        </w:rPr>
        <w:footnoteReference w:id="674"/>
      </w:r>
      <w:r>
        <w:rPr>
          <w:rFonts w:ascii="Amiri" w:hAnsi="Amiri" w:eastAsia="Amiri" w:cs="Amiri"/>
          <w:color w:val="111111"/>
          <w:sz w:val="28"/>
          <w:sz w:val="28"/>
          <w:szCs w:val="28"/>
          <w:rtl w:val="true"/>
          <w:lang w:bidi="ar-SA"/>
        </w:rPr>
        <w:t>قَدَّمَها عليه و ما أخَّرَها إليه، فقَد صارَت هذه العبادةُ فيه غيرَ مُتعيِّنةٍ، و ليسَ كذلك صومُ شَهرِ رَمَضانَ؛ لأنّه زمانٌ‌</w:t>
      </w:r>
      <w:r>
        <w:rPr>
          <w:rStyle w:val="FootnoteAnchor"/>
          <w:rtl w:val="true"/>
        </w:rPr>
        <w:footnoteReference w:id="675"/>
      </w:r>
      <w:r>
        <w:rPr>
          <w:rFonts w:ascii="Amiri" w:hAnsi="Amiri" w:eastAsia="Amiri" w:cs="Amiri"/>
          <w:color w:val="111111"/>
          <w:sz w:val="28"/>
          <w:sz w:val="28"/>
          <w:szCs w:val="28"/>
          <w:rtl w:val="true"/>
          <w:lang w:bidi="ar-SA"/>
        </w:rPr>
        <w:t>لا يُمكِنُ أن يَقَعَ فيه مِن جنسِ هذا الصومِ سِواه، فقَد تَعيَّنَ له خاصّةً، و فارَقَ بذلكَ الصلاةَ في آخِرِ الوقتِ</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8039529_1280447820"/>
      <w:bookmarkStart w:id="112" w:name="_Toc39"/>
      <w:bookmarkEnd w:id="111"/>
      <w:r>
        <w:rPr>
          <w:rtl w:val="true"/>
        </w:rPr>
        <w:t>حُكمُ نيّةِ صَومِ الشهرِ كُلِّه في أوّلِه</w:t>
      </w:r>
      <w:bookmarkEnd w:id="112"/>
    </w:p>
    <w:p>
      <w:pPr>
        <w:pStyle w:val="BookText"/>
        <w:rPr/>
      </w:pPr>
      <w:r>
        <w:rPr>
          <w:rFonts w:ascii="Amiri" w:hAnsi="Amiri" w:eastAsia="Amiri" w:cs="Amiri"/>
          <w:color w:val="111111"/>
          <w:sz w:val="28"/>
          <w:sz w:val="28"/>
          <w:szCs w:val="28"/>
          <w:rtl w:val="true"/>
          <w:lang w:bidi="ar-SA"/>
        </w:rPr>
        <w:t>و أمّا المَسألةُ السادسةُ‌</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النيّةَ الواقعةَ في ابتداءِ شَهرِ</w:t>
      </w:r>
      <w:r>
        <w:rPr>
          <w:rStyle w:val="FootnoteAnchor"/>
          <w:rtl w:val="true"/>
        </w:rPr>
        <w:footnoteReference w:id="677"/>
      </w:r>
      <w:r>
        <w:rPr>
          <w:rFonts w:ascii="Amiri" w:hAnsi="Amiri" w:eastAsia="Amiri" w:cs="Amiri"/>
          <w:color w:val="111111"/>
          <w:sz w:val="28"/>
          <w:sz w:val="28"/>
          <w:szCs w:val="28"/>
          <w:rtl w:val="true"/>
          <w:lang w:bidi="ar-SA"/>
        </w:rPr>
        <w:t>رَمَضانَ لصَومِ الشهرِ كُلِّه، مُغنيةٌ عن تجديدِها في كُلِّ ليلةٍ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المَذهبُ الصحيحُ الذي عليه إجماعُ الإماميّةِ، و لا خِلافَ بَينَهم فيه، و لا </w:t>
      </w:r>
    </w:p>
    <w:p>
      <w:pPr>
        <w:pStyle w:val="BookText"/>
        <w:rPr/>
      </w:pPr>
      <w:r>
        <w:rPr>
          <w:rFonts w:ascii="Amiri" w:hAnsi="Amiri" w:eastAsia="Amiri" w:cs="Amiri"/>
          <w:color w:val="111111"/>
          <w:sz w:val="28"/>
          <w:sz w:val="28"/>
          <w:szCs w:val="28"/>
          <w:rtl w:val="true"/>
          <w:lang w:bidi="ar-SA"/>
        </w:rPr>
        <w:t>رَوَوا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w:t>
      </w:r>
      <w:r>
        <w:rPr>
          <w:rStyle w:val="FootnoteAnchor"/>
          <w:rtl w:val="true"/>
        </w:rPr>
        <w:footnoteReference w:id="678"/>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لكِنّا نَقولُ‌</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تَكرارَ النيّةِ و إنْ‌</w:t>
      </w:r>
      <w:r>
        <w:rPr>
          <w:rStyle w:val="FootnoteAnchor"/>
          <w:rtl w:val="true"/>
        </w:rPr>
        <w:footnoteReference w:id="681"/>
      </w:r>
      <w:r>
        <w:rPr>
          <w:rFonts w:ascii="Amiri" w:hAnsi="Amiri" w:eastAsia="Amiri" w:cs="Amiri"/>
          <w:color w:val="111111"/>
          <w:sz w:val="28"/>
          <w:sz w:val="28"/>
          <w:szCs w:val="28"/>
          <w:rtl w:val="true"/>
          <w:lang w:bidi="ar-SA"/>
        </w:rPr>
        <w:t>لَم يَكُن واجباً، فإنّه إن جَدَّدَها</w:t>
      </w:r>
      <w:r>
        <w:rPr>
          <w:rStyle w:val="FootnoteAnchor"/>
          <w:rtl w:val="true"/>
        </w:rPr>
        <w:footnoteReference w:id="682"/>
      </w:r>
      <w:r>
        <w:rPr>
          <w:rFonts w:ascii="Amiri" w:hAnsi="Amiri" w:eastAsia="Amiri" w:cs="Amiri"/>
          <w:color w:val="111111"/>
          <w:sz w:val="28"/>
          <w:sz w:val="28"/>
          <w:szCs w:val="28"/>
          <w:rtl w:val="true"/>
          <w:lang w:bidi="ar-SA"/>
        </w:rPr>
        <w:t>لكُلِّ يَومٍ إلىٰ آخِرِ الشهرِ، كانَ أفضَلَ له</w:t>
      </w:r>
      <w:r>
        <w:rPr>
          <w:rStyle w:val="FootnoteAnchor"/>
          <w:rtl w:val="true"/>
        </w:rPr>
        <w:footnoteReference w:id="683"/>
      </w:r>
      <w:r>
        <w:rPr>
          <w:rFonts w:ascii="Amiri" w:hAnsi="Amiri" w:eastAsia="Amiri" w:cs="Amiri"/>
          <w:color w:val="111111"/>
          <w:sz w:val="28"/>
          <w:sz w:val="28"/>
          <w:szCs w:val="28"/>
          <w:rtl w:val="true"/>
          <w:lang w:bidi="ar-SA"/>
        </w:rPr>
        <w:t>و أَوفَرَ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تَعجُّبَ مِن الأحكامِ الشرعيّةِ إذا قامَت عليها الأدِلّةُ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تؤثِّرُ</w:t>
      </w:r>
      <w:r>
        <w:rPr>
          <w:rStyle w:val="FootnoteAnchor"/>
          <w:rtl w:val="true"/>
        </w:rPr>
        <w:footnoteReference w:id="684"/>
      </w:r>
      <w:r>
        <w:rPr>
          <w:rFonts w:ascii="Amiri" w:hAnsi="Amiri" w:eastAsia="Amiri" w:cs="Amiri"/>
          <w:color w:val="111111"/>
          <w:sz w:val="28"/>
          <w:sz w:val="28"/>
          <w:szCs w:val="28"/>
          <w:rtl w:val="true"/>
          <w:lang w:bidi="ar-SA"/>
        </w:rPr>
        <w:t>النيّةُ في صَومِ‌</w:t>
      </w:r>
      <w:r>
        <w:rPr>
          <w:rStyle w:val="FootnoteAnchor"/>
          <w:rtl w:val="true"/>
        </w:rPr>
        <w:footnoteReference w:id="685"/>
      </w:r>
      <w:r>
        <w:rPr>
          <w:rFonts w:ascii="Amiri" w:hAnsi="Amiri" w:eastAsia="Amiri" w:cs="Amiri"/>
          <w:color w:val="111111"/>
          <w:sz w:val="28"/>
          <w:sz w:val="28"/>
          <w:szCs w:val="28"/>
          <w:rtl w:val="true"/>
          <w:lang w:bidi="ar-SA"/>
        </w:rPr>
        <w:t>جميعِ الشهرِ، و هي مُتقدِّمةٌ‌</w:t>
      </w:r>
      <w:r>
        <w:rPr>
          <w:rStyle w:val="FootnoteAnchor"/>
          <w:rtl w:val="true"/>
        </w:rPr>
        <w:footnoteReference w:id="686"/>
      </w:r>
      <w:r>
        <w:rPr>
          <w:rFonts w:ascii="Amiri" w:hAnsi="Amiri" w:eastAsia="Amiri" w:cs="Amiri"/>
          <w:color w:val="111111"/>
          <w:sz w:val="28"/>
          <w:sz w:val="28"/>
          <w:szCs w:val="28"/>
          <w:rtl w:val="true"/>
          <w:lang w:bidi="ar-SA"/>
        </w:rPr>
        <w:t>أوّلَ ليلةٍ منه؟</w:t>
      </w:r>
    </w:p>
    <w:p>
      <w:pPr>
        <w:pStyle w:val="BookText"/>
        <w:rPr/>
      </w:pPr>
      <w:r>
        <w:rPr>
          <w:rFonts w:ascii="Amiri" w:hAnsi="Amiri" w:eastAsia="Amiri" w:cs="Amiri"/>
          <w:color w:val="111111"/>
          <w:sz w:val="28"/>
          <w:sz w:val="28"/>
          <w:szCs w:val="28"/>
          <w:rtl w:val="true"/>
          <w:lang w:bidi="ar-SA"/>
        </w:rPr>
        <w:t>قُلنا</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تؤثِّرُ</w:t>
      </w:r>
      <w:r>
        <w:rPr>
          <w:rStyle w:val="FootnoteAnchor"/>
          <w:rtl w:val="true"/>
        </w:rPr>
        <w:footnoteReference w:id="688"/>
      </w:r>
      <w:r>
        <w:rPr>
          <w:rFonts w:ascii="Amiri" w:hAnsi="Amiri" w:eastAsia="Amiri" w:cs="Amiri"/>
          <w:color w:val="111111"/>
          <w:sz w:val="28"/>
          <w:sz w:val="28"/>
          <w:szCs w:val="28"/>
          <w:rtl w:val="true"/>
          <w:lang w:bidi="ar-SA"/>
        </w:rPr>
        <w:t>عندَنا كُلِّنا هذه النيّةُ في صَومِ اليَومِ بأَسْرِه، و إن كانَت واقعةً في ابتداءِ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مقارَنةُ النيّةِ الصومَ‌</w:t>
      </w:r>
      <w:r>
        <w:rPr>
          <w:rStyle w:val="FootnoteAnchor"/>
          <w:rtl w:val="true"/>
        </w:rPr>
        <w:footnoteReference w:id="689"/>
      </w:r>
      <w:r>
        <w:rPr>
          <w:rFonts w:ascii="Amiri" w:hAnsi="Amiri" w:eastAsia="Amiri" w:cs="Amiri"/>
          <w:color w:val="111111"/>
          <w:sz w:val="28"/>
          <w:sz w:val="28"/>
          <w:szCs w:val="28"/>
          <w:rtl w:val="true"/>
          <w:lang w:bidi="ar-SA"/>
        </w:rPr>
        <w:t>لازمةً، لَما جازَ هذا الذي ذَكَرناه، و لا خِلافَ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اعتُبِرَ في تُروكِ‌</w:t>
      </w:r>
      <w:r>
        <w:rPr>
          <w:rStyle w:val="FootnoteAnchor"/>
          <w:rtl w:val="true"/>
        </w:rPr>
        <w:footnoteReference w:id="690"/>
      </w:r>
      <w:r>
        <w:rPr>
          <w:rFonts w:ascii="Amiri" w:hAnsi="Amiri" w:eastAsia="Amiri" w:cs="Amiri"/>
          <w:color w:val="111111"/>
          <w:sz w:val="28"/>
          <w:sz w:val="28"/>
          <w:szCs w:val="28"/>
          <w:rtl w:val="true"/>
          <w:lang w:bidi="ar-SA"/>
        </w:rPr>
        <w:t>الأفعالِ في زمانِ الصومِ كُلِّه</w:t>
      </w:r>
      <w:r>
        <w:rPr>
          <w:rStyle w:val="FootnoteAnchor"/>
          <w:rtl w:val="true"/>
        </w:rPr>
        <w:footnoteReference w:id="691"/>
      </w:r>
      <w:r>
        <w:rPr>
          <w:rFonts w:ascii="Amiri" w:hAnsi="Amiri" w:eastAsia="Amiri" w:cs="Amiri"/>
          <w:color w:val="111111"/>
          <w:sz w:val="28"/>
          <w:sz w:val="28"/>
          <w:szCs w:val="28"/>
          <w:rtl w:val="true"/>
          <w:lang w:bidi="ar-SA"/>
        </w:rPr>
        <w:t>مُقارَنةُ النيّةِ لها، لَوَجَبَ تَجديدُ النيّةِ في كُلِّ حالٍ مِن زمانِ كُلِّ يَومٍ مِن شَهرِ رَمَضانَ؛ لأنّه في هذه الأحوالِ كُلِّها تارِكٌ لِما يوجِبُ كَونَه مُفطِراً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عَلِمنا أنّ استمرارَ النيّةِ طولَ النهارِ غيرُ واجبٍ، و أنّ النيّةَ قَبلَ طُلوعِ الفَجرِ </w:t>
      </w:r>
    </w:p>
    <w:p>
      <w:pPr>
        <w:pStyle w:val="BookText"/>
        <w:rPr/>
      </w:pPr>
      <w:r>
        <w:rPr>
          <w:rFonts w:ascii="Amiri" w:hAnsi="Amiri" w:eastAsia="Amiri" w:cs="Amiri"/>
          <w:color w:val="111111"/>
          <w:sz w:val="28"/>
          <w:sz w:val="28"/>
          <w:szCs w:val="28"/>
          <w:rtl w:val="true"/>
          <w:lang w:bidi="ar-SA"/>
        </w:rPr>
        <w:t>كافيةٌ مؤثِّرةٌ في كَونِ تُروكِه المُستَمِرَّةِ طولَ النهارِ صَوماً؛ فَكذلكَ‌</w:t>
      </w:r>
      <w:r>
        <w:rPr>
          <w:rStyle w:val="FootnoteAnchor"/>
          <w:rtl w:val="true"/>
        </w:rPr>
        <w:footnoteReference w:id="692"/>
      </w:r>
      <w:r>
        <w:rPr>
          <w:rFonts w:ascii="Amiri" w:hAnsi="Amiri" w:eastAsia="Amiri" w:cs="Amiri"/>
          <w:color w:val="111111"/>
          <w:sz w:val="28"/>
          <w:sz w:val="28"/>
          <w:szCs w:val="28"/>
          <w:rtl w:val="true"/>
          <w:lang w:bidi="ar-SA"/>
        </w:rPr>
        <w:t>القولُ في النيّةِ الواحدةِ إذا فَرَضنا أنّها لجميعِ شَهرِ رَمَضانَ أنّها تؤثِّرُ شرعاً في صيامِ جميعِ أيّامِه و إن تَقدَّمَت، كما أثَّرَت النيّةُ الواقعةُ بالليلِ في صيامِ اليَومِ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693"/>
      </w:r>
      <w:r>
        <w:rPr>
          <w:rFonts w:ascii="Amiri" w:hAnsi="Amiri" w:eastAsia="Amiri" w:cs="Amiri"/>
          <w:color w:val="111111"/>
          <w:sz w:val="28"/>
          <w:sz w:val="28"/>
          <w:szCs w:val="28"/>
          <w:rtl w:val="true"/>
          <w:lang w:bidi="ar-SA"/>
        </w:rPr>
        <w:t>ما مضىٰ في خِلالِ الكلامِ، مِن أنّ ذلكَ يَقتَضي صِحّةَ صَومِ مَن تَقدَّمَت منه هذه النيّةُ مع كَونِه غيرَ عازمٍ في كُلِّ يَومٍ مُستَقبَلٍ علىٰ أن لا يَفعَلَ ما وَجَبَ عليه اجتنابُه في زمانِ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الفَصلِ؛ فكذلكَ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تجديدَ العَزمِ علىٰ جميعِ ما ذُكِرَ غيرُ واجبٍ في كُلِّ يَومٍ إذا كانَت قد تَقدَّمَت النيّةُ في أوّلِ الشهرِ علىٰ ذلكَ كُلِّه؛ فإنّ تَقدُّمَها يَقتَضي وقوعَ تُروكِه في زمانِ الصومِ كُلِّه علىٰ وجهِ القُربةِ و العبادةِ و الصّحةِ، كما اتَّفَقنا في أنّ تَقدُّمَ النيّةِ بالليلِ يَقتَضي وقوعَ كَفِّه في طولِ النهارِ عمّا يُفطِّرُ</w:t>
      </w:r>
      <w:r>
        <w:rPr>
          <w:rStyle w:val="FootnoteAnchor"/>
          <w:rtl w:val="true"/>
        </w:rPr>
        <w:footnoteReference w:id="694"/>
      </w:r>
      <w:r>
        <w:rPr>
          <w:rFonts w:ascii="Amiri" w:hAnsi="Amiri" w:eastAsia="Amiri" w:cs="Amiri"/>
          <w:color w:val="111111"/>
          <w:sz w:val="28"/>
          <w:sz w:val="28"/>
          <w:szCs w:val="28"/>
          <w:rtl w:val="true"/>
          <w:lang w:bidi="ar-SA"/>
        </w:rPr>
        <w:t>الصائمَ عبادةً و قُربةً و علَى الوجوهِ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أُريدَ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مجدِّدٍ لِلنيّةِ‌</w:t>
      </w:r>
      <w:r>
        <w:rPr>
          <w:rStyle w:val="FootnoteAnchor"/>
          <w:rtl w:val="true"/>
        </w:rPr>
        <w:footnoteReference w:id="695"/>
      </w:r>
      <w:r>
        <w:rPr>
          <w:rFonts w:ascii="Amiri" w:hAnsi="Amiri" w:eastAsia="Amiri" w:cs="Amiri"/>
          <w:color w:val="111111"/>
          <w:sz w:val="28"/>
          <w:sz w:val="28"/>
          <w:szCs w:val="28"/>
          <w:rtl w:val="true"/>
          <w:lang w:bidi="ar-SA"/>
        </w:rPr>
        <w:t>، فقَد مضَى القولُ فيه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بذلكَ أنّه يَكونُ عازماً علَى الأكلِ أو الشُّربِ أو الجِماعِ، فهذا</w:t>
      </w:r>
      <w:r>
        <w:rPr>
          <w:rStyle w:val="FootnoteAnchor"/>
          <w:rtl w:val="true"/>
        </w:rPr>
        <w:footnoteReference w:id="696"/>
      </w:r>
      <w:r>
        <w:rPr>
          <w:rFonts w:ascii="Amiri" w:hAnsi="Amiri" w:eastAsia="Amiri" w:cs="Amiri"/>
          <w:color w:val="111111"/>
          <w:sz w:val="28"/>
          <w:sz w:val="28"/>
          <w:szCs w:val="28"/>
          <w:rtl w:val="true"/>
          <w:lang w:bidi="ar-SA"/>
        </w:rPr>
        <w:t>يَنقُضُ‌</w:t>
      </w:r>
      <w:r>
        <w:rPr>
          <w:rStyle w:val="FootnoteAnchor"/>
          <w:rtl w:val="true"/>
        </w:rPr>
        <w:footnoteReference w:id="697"/>
      </w:r>
      <w:r>
        <w:rPr>
          <w:rFonts w:ascii="Amiri" w:hAnsi="Amiri" w:eastAsia="Amiri" w:cs="Amiri"/>
          <w:color w:val="111111"/>
          <w:sz w:val="28"/>
          <w:sz w:val="28"/>
          <w:szCs w:val="28"/>
          <w:rtl w:val="true"/>
          <w:lang w:bidi="ar-SA"/>
        </w:rPr>
        <w:t>النيّةَ المُتقدِّمةَ؛ ألا تَرىٰ أنّ مَن أَوجَبَ النيّةَ لكلِّ يَومٍ يَقولُ أنَّه</w:t>
      </w:r>
      <w:r>
        <w:rPr>
          <w:rStyle w:val="FootnoteAnchor"/>
          <w:rtl w:val="true"/>
        </w:rPr>
        <w:footnoteReference w:id="698"/>
      </w:r>
      <w:r>
        <w:rPr>
          <w:rFonts w:ascii="Amiri" w:hAnsi="Amiri" w:eastAsia="Amiri" w:cs="Amiri"/>
          <w:color w:val="111111"/>
          <w:sz w:val="28"/>
          <w:sz w:val="28"/>
          <w:szCs w:val="28"/>
          <w:rtl w:val="true"/>
          <w:lang w:bidi="ar-SA"/>
        </w:rPr>
        <w:t>لَو نَوىٰ بالليلِ و قَبلَ طُلوعِ الفَجرِ صيامَ يومٍ بعَينِه لَم يَجِبْ عليه تجديدُ النيّةِ و العَزمِ، لكِنّه متىٰ عَزَمَ علَى الأكلِ أو الشُّربِ‌</w:t>
      </w:r>
      <w:r>
        <w:rPr>
          <w:rStyle w:val="FootnoteAnchor"/>
          <w:rtl w:val="true"/>
        </w:rPr>
        <w:footnoteReference w:id="699"/>
      </w:r>
      <w:r>
        <w:rPr>
          <w:rFonts w:ascii="Amiri" w:hAnsi="Amiri" w:eastAsia="Amiri" w:cs="Amiri"/>
          <w:color w:val="111111"/>
          <w:sz w:val="28"/>
          <w:sz w:val="28"/>
          <w:szCs w:val="28"/>
          <w:rtl w:val="true"/>
          <w:lang w:bidi="ar-SA"/>
        </w:rPr>
        <w:t>أو الجِماعِ أفسَدَ صَومَه؟ و هذا بَيِّنٌ لِمَن تأمَّلَه</w:t>
      </w:r>
      <w:r>
        <w:rPr>
          <w:rFonts w:eastAsia="Amiri" w:cs="Amiri" w:ascii="Amiri" w:hAnsi="Amiri"/>
          <w:color w:val="111111"/>
          <w:sz w:val="28"/>
          <w:szCs w:val="28"/>
          <w:rtl w:val="true"/>
          <w:lang w:bidi="ar-SA"/>
        </w:rPr>
        <w:t xml:space="preserve">. </w:t>
      </w:r>
      <w:bookmarkStart w:id="113" w:name="pg16437_172449"/>
    </w:p>
    <w:p>
      <w:pPr>
        <w:pStyle w:val="Heading4"/>
        <w:numPr>
          <w:ilvl w:val="3"/>
          <w:numId w:val="1"/>
        </w:numPr>
        <w:rPr/>
      </w:pPr>
      <w:bookmarkStart w:id="114" w:name="__RefHeading___Toc8039531_1280447820"/>
      <w:bookmarkStart w:id="115" w:name="_Toc40"/>
      <w:bookmarkEnd w:id="113"/>
      <w:bookmarkEnd w:id="114"/>
      <w:r>
        <w:rPr>
          <w:rtl w:val="true"/>
        </w:rPr>
        <w:t>فَصلٌ يَتضمَّنُ مسألتَينِ تَتعلَّقُ أيضاً بأحكامِ النيّةِ في العبادةِ‌</w:t>
      </w:r>
      <w:bookmarkEnd w:id="115"/>
    </w:p>
    <w:p>
      <w:pPr>
        <w:pStyle w:val="Heading5"/>
        <w:numPr>
          <w:ilvl w:val="4"/>
          <w:numId w:val="1"/>
        </w:numPr>
        <w:rPr/>
      </w:pPr>
      <w:bookmarkStart w:id="116" w:name="__RefHeading___Toc8039533_1280447820"/>
      <w:bookmarkStart w:id="117" w:name="_Toc41"/>
      <w:bookmarkEnd w:id="116"/>
      <w:r>
        <w:rPr>
          <w:rtl w:val="true"/>
        </w:rPr>
        <w:t xml:space="preserve">المَسألةُ الأُولىٰ </w:t>
      </w:r>
      <w:r>
        <w:rPr>
          <w:rtl w:val="true"/>
        </w:rPr>
        <w:t>:</w:t>
      </w:r>
      <w:bookmarkEnd w:id="117"/>
    </w:p>
    <w:p>
      <w:pPr>
        <w:pStyle w:val="BookText"/>
        <w:rPr/>
      </w:pPr>
      <w:r>
        <w:rPr>
          <w:rFonts w:ascii="Amiri" w:hAnsi="Amiri" w:eastAsia="Amiri" w:cs="Amiri"/>
          <w:color w:val="111111"/>
          <w:sz w:val="28"/>
          <w:sz w:val="28"/>
          <w:szCs w:val="28"/>
          <w:rtl w:val="true"/>
          <w:lang w:bidi="ar-SA"/>
        </w:rPr>
        <w:t>فَصلٌ يَتضمَّنُ مسألتَينِ‌</w:t>
      </w:r>
      <w:r>
        <w:rPr>
          <w:rStyle w:val="FootnoteAnchor"/>
          <w:rtl w:val="true"/>
        </w:rPr>
        <w:footnoteReference w:id="700"/>
      </w:r>
      <w:r>
        <w:rPr>
          <w:rFonts w:ascii="Amiri" w:hAnsi="Amiri" w:eastAsia="Amiri" w:cs="Amiri"/>
          <w:color w:val="111111"/>
          <w:sz w:val="28"/>
          <w:sz w:val="28"/>
          <w:szCs w:val="28"/>
          <w:rtl w:val="true"/>
          <w:lang w:bidi="ar-SA"/>
        </w:rPr>
        <w:t>تَتعلَّقُ أيضاً بأحكامِ النيّةِ في العبادةِ</w:t>
      </w:r>
    </w:p>
    <w:p>
      <w:pPr>
        <w:pStyle w:val="BookText"/>
        <w:rPr/>
      </w:pPr>
      <w:r>
        <w:rPr>
          <w:rFonts w:ascii="Amiri" w:hAnsi="Amiri" w:eastAsia="Amiri" w:cs="Amiri"/>
          <w:color w:val="111111"/>
          <w:sz w:val="28"/>
          <w:sz w:val="28"/>
          <w:szCs w:val="28"/>
          <w:rtl w:val="true"/>
          <w:lang w:bidi="ar-SA"/>
        </w:rPr>
        <w:t>المَسألةُ الأُولىٰ‌</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الشروطُ المذكورةُ في صفةِ نيّةِ العبادةِ‌</w:t>
      </w:r>
      <w:r>
        <w:rPr>
          <w:rStyle w:val="FootnoteAnchor"/>
          <w:rtl w:val="true"/>
        </w:rPr>
        <w:footnoteReference w:id="702"/>
      </w:r>
      <w:r>
        <w:rPr>
          <w:rFonts w:ascii="Amiri" w:hAnsi="Amiri" w:eastAsia="Amiri" w:cs="Amiri"/>
          <w:color w:val="111111"/>
          <w:sz w:val="28"/>
          <w:sz w:val="28"/>
          <w:szCs w:val="28"/>
          <w:rtl w:val="true"/>
          <w:lang w:bidi="ar-SA"/>
        </w:rPr>
        <w:t>مُعتَبَرةً في صِحّتِها، فما حُكمُ مَن جَهِلَها مِن المُكلَّفينَ، فأَوقَعَ‌</w:t>
      </w:r>
      <w:r>
        <w:rPr>
          <w:rStyle w:val="FootnoteAnchor"/>
          <w:rtl w:val="true"/>
        </w:rPr>
        <w:footnoteReference w:id="703"/>
      </w:r>
      <w:r>
        <w:rPr>
          <w:rFonts w:ascii="Amiri" w:hAnsi="Amiri" w:eastAsia="Amiri" w:cs="Amiri"/>
          <w:color w:val="111111"/>
          <w:sz w:val="28"/>
          <w:sz w:val="28"/>
          <w:szCs w:val="28"/>
          <w:rtl w:val="true"/>
          <w:lang w:bidi="ar-SA"/>
        </w:rPr>
        <w:t>عبادتَه خاليةً مِنها</w:t>
      </w:r>
      <w:r>
        <w:rPr>
          <w:rStyle w:val="FootnoteAnchor"/>
          <w:rtl w:val="true"/>
        </w:rPr>
        <w:footnoteReference w:id="704"/>
      </w:r>
      <w:r>
        <w:rPr>
          <w:rFonts w:ascii="Amiri" w:hAnsi="Amiri" w:eastAsia="Amiri" w:cs="Amiri"/>
          <w:color w:val="111111"/>
          <w:sz w:val="28"/>
          <w:sz w:val="28"/>
          <w:szCs w:val="28"/>
          <w:rtl w:val="true"/>
          <w:lang w:bidi="ar-SA"/>
        </w:rPr>
        <w:t>أو مِن بعضِها؟ هَل يَجِبُ عليه إعادةُ ما مضىٰ مِن العباداتِ عاريةً‌</w:t>
      </w:r>
      <w:r>
        <w:rPr>
          <w:rStyle w:val="FootnoteAnchor"/>
          <w:rtl w:val="true"/>
        </w:rPr>
        <w:footnoteReference w:id="705"/>
      </w:r>
      <w:r>
        <w:rPr>
          <w:rFonts w:ascii="Amiri" w:hAnsi="Amiri" w:eastAsia="Amiri" w:cs="Amiri"/>
          <w:color w:val="111111"/>
          <w:sz w:val="28"/>
          <w:sz w:val="28"/>
          <w:szCs w:val="28"/>
          <w:rtl w:val="true"/>
          <w:lang w:bidi="ar-SA"/>
        </w:rPr>
        <w:t xml:space="preserve">مِن ذلكَ إذا عَرَفَ كَونَ هذه الشروطِ واجبةً؟ أم يُجزيهِ ما مضىٰ بغَيرِ نيّةٍ،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التعيينِ و القُربةِ خاصّةً؛ مِن غيرِ أن يَخطُرَ له الوجهُ الذي له</w:t>
      </w:r>
      <w:r>
        <w:rPr>
          <w:rStyle w:val="FootnoteAnchor"/>
          <w:rtl w:val="true"/>
        </w:rPr>
        <w:footnoteReference w:id="706"/>
      </w:r>
      <w:r>
        <w:rPr>
          <w:rFonts w:ascii="Amiri" w:hAnsi="Amiri" w:eastAsia="Amiri" w:cs="Amiri"/>
          <w:color w:val="111111"/>
          <w:sz w:val="28"/>
          <w:sz w:val="28"/>
          <w:szCs w:val="28"/>
          <w:rtl w:val="true"/>
          <w:lang w:bidi="ar-SA"/>
        </w:rPr>
        <w:t>وَجَبَت</w:t>
      </w:r>
      <w:r>
        <w:rPr>
          <w:rStyle w:val="FootnoteAnchor"/>
          <w:rtl w:val="true"/>
        </w:rPr>
        <w:footnoteReference w:id="707"/>
      </w:r>
      <w:r>
        <w:rPr>
          <w:rFonts w:ascii="Amiri" w:hAnsi="Amiri" w:eastAsia="Amiri" w:cs="Amiri"/>
          <w:color w:val="111111"/>
          <w:sz w:val="28"/>
          <w:sz w:val="28"/>
          <w:szCs w:val="28"/>
          <w:rtl w:val="true"/>
          <w:lang w:bidi="ar-SA"/>
        </w:rPr>
        <w:t>، و إنّما اعتَقَدَ وجوبَها علَى الجُملةِ؟</w:t>
      </w:r>
    </w:p>
    <w:p>
      <w:pPr>
        <w:pStyle w:val="Heading5"/>
        <w:numPr>
          <w:ilvl w:val="4"/>
          <w:numId w:val="1"/>
        </w:numPr>
        <w:rPr/>
      </w:pPr>
      <w:bookmarkStart w:id="118" w:name="__RefHeading___Toc8039535_1280447820"/>
      <w:bookmarkStart w:id="119" w:name="_Toc42"/>
      <w:bookmarkEnd w:id="118"/>
      <w:r>
        <w:rPr>
          <w:rtl w:val="true"/>
        </w:rPr>
        <w:t>المَسألةُ الثانيةُ</w:t>
      </w:r>
      <w:r>
        <w:rPr>
          <w:rtl w:val="true"/>
        </w:rPr>
        <w:t>:</w:t>
      </w:r>
      <w:bookmarkEnd w:id="119"/>
    </w:p>
    <w:p>
      <w:pPr>
        <w:pStyle w:val="BookText"/>
        <w:rPr/>
      </w:pPr>
      <w:r>
        <w:rPr>
          <w:rFonts w:ascii="Amiri" w:hAnsi="Amiri" w:eastAsia="Amiri" w:cs="Amiri"/>
          <w:color w:val="111111"/>
          <w:sz w:val="28"/>
          <w:sz w:val="28"/>
          <w:szCs w:val="28"/>
          <w:rtl w:val="true"/>
          <w:lang w:bidi="ar-SA"/>
        </w:rPr>
        <w:t>المَسألةُ الثانيةُ‌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حُكمُ العبادةِ‌</w:t>
      </w:r>
      <w:r>
        <w:rPr>
          <w:rStyle w:val="FootnoteAnchor"/>
          <w:rtl w:val="true"/>
        </w:rPr>
        <w:footnoteReference w:id="709"/>
      </w:r>
      <w:r>
        <w:rPr>
          <w:rFonts w:ascii="Amiri" w:hAnsi="Amiri" w:eastAsia="Amiri" w:cs="Amiri"/>
          <w:color w:val="111111"/>
          <w:sz w:val="28"/>
          <w:sz w:val="28"/>
          <w:szCs w:val="28"/>
          <w:rtl w:val="true"/>
          <w:lang w:bidi="ar-SA"/>
        </w:rPr>
        <w:t>ذاتِ الأحكامِ المُتَغايِرةِ، كالطهارةِ و الصلاةِ و الحَجِّ، هَل يَجِبُ علىٰ كُلِّ‌</w:t>
      </w:r>
      <w:r>
        <w:rPr>
          <w:rStyle w:val="FootnoteAnchor"/>
          <w:rtl w:val="true"/>
        </w:rPr>
        <w:footnoteReference w:id="710"/>
      </w:r>
      <w:r>
        <w:rPr>
          <w:rFonts w:ascii="Amiri" w:hAnsi="Amiri" w:eastAsia="Amiri" w:cs="Amiri"/>
          <w:color w:val="111111"/>
          <w:sz w:val="28"/>
          <w:sz w:val="28"/>
          <w:szCs w:val="28"/>
          <w:rtl w:val="true"/>
          <w:lang w:bidi="ar-SA"/>
        </w:rPr>
        <w:t xml:space="preserve">مُكلَّفٍ فِعلَها مَعرِفةُ أعيانِ أحكامِها و فَرقِ ما بَينَ واجبِها و مندوبِها؟ أم يُجزيهِ اعتقادُ وجوبِها علَى الجُملةِ، مِن غيرِ معرِفةٍ بتفصيلِ أحكامِها؟ </w:t>
      </w:r>
      <w:bookmarkStart w:id="120" w:name="pg16437_172450"/>
    </w:p>
    <w:p>
      <w:pPr>
        <w:pStyle w:val="BookText"/>
        <w:rPr/>
      </w:pPr>
      <w:bookmarkEnd w:id="120"/>
      <w:r>
        <w:rPr>
          <w:rFonts w:ascii="Amiri" w:hAnsi="Amiri" w:eastAsia="Amiri" w:cs="Amiri"/>
          <w:color w:val="111111"/>
          <w:sz w:val="28"/>
          <w:sz w:val="28"/>
          <w:szCs w:val="28"/>
          <w:rtl w:val="true"/>
          <w:lang w:bidi="ar-SA"/>
        </w:rPr>
        <w:t>فإن كانَ العِلمُ بتفصيلِها حينَ البَلوىٰ بها يَجِبُ كجُملتِها</w:t>
      </w:r>
      <w:r>
        <w:rPr>
          <w:rStyle w:val="FootnoteAnchor"/>
          <w:rtl w:val="true"/>
        </w:rPr>
        <w:footnoteReference w:id="711"/>
      </w:r>
      <w:r>
        <w:rPr>
          <w:rFonts w:ascii="Amiri" w:hAnsi="Amiri" w:eastAsia="Amiri" w:cs="Amiri"/>
          <w:color w:val="111111"/>
          <w:sz w:val="28"/>
          <w:sz w:val="28"/>
          <w:szCs w:val="28"/>
          <w:rtl w:val="true"/>
          <w:lang w:bidi="ar-SA"/>
        </w:rPr>
        <w:t>، فَهَل يَلزَمُ مُكلَّفَها أن يُفرِدَ لكُلِّ حُكمٍ مُفصَّلٍ نيّةً‌</w:t>
      </w:r>
      <w:r>
        <w:rPr>
          <w:rStyle w:val="FootnoteAnchor"/>
          <w:rtl w:val="true"/>
        </w:rPr>
        <w:footnoteReference w:id="712"/>
      </w:r>
      <w:r>
        <w:rPr>
          <w:rFonts w:ascii="Amiri" w:hAnsi="Amiri" w:eastAsia="Amiri" w:cs="Amiri"/>
          <w:color w:val="111111"/>
          <w:sz w:val="28"/>
          <w:sz w:val="28"/>
          <w:szCs w:val="28"/>
          <w:rtl w:val="true"/>
          <w:lang w:bidi="ar-SA"/>
        </w:rPr>
        <w:t>تَخُصُّه</w:t>
      </w:r>
      <w:r>
        <w:rPr>
          <w:rStyle w:val="FootnoteAnchor"/>
          <w:rtl w:val="true"/>
        </w:rPr>
        <w:footnoteReference w:id="713"/>
      </w:r>
      <w:r>
        <w:rPr>
          <w:rFonts w:ascii="Amiri" w:hAnsi="Amiri" w:eastAsia="Amiri" w:cs="Amiri"/>
          <w:color w:val="111111"/>
          <w:sz w:val="28"/>
          <w:sz w:val="28"/>
          <w:szCs w:val="28"/>
          <w:rtl w:val="true"/>
          <w:lang w:bidi="ar-SA"/>
        </w:rPr>
        <w:t>في حالِ فِعلِه، كغَسلِ الوجهِ، و مَسحِ الرأسِ، و الركوعِ، و السجودِ، و الطوافِ، و السعيِ، و أمثالِ ذلكَ؟ أم يُجزيهِ تعيينُ ذلكَ حينَ القَصدِ إلىٰ فِعلِ العبادةِ التي هذه الأحكامُ مِن تفصيلِه</w:t>
      </w:r>
      <w:r>
        <w:rPr>
          <w:rStyle w:val="FootnoteAnchor"/>
          <w:rtl w:val="true"/>
        </w:rPr>
        <w:footnoteReference w:id="714"/>
      </w:r>
      <w:r>
        <w:rPr>
          <w:rFonts w:ascii="Amiri" w:hAnsi="Amiri" w:eastAsia="Amiri" w:cs="Amiri"/>
          <w:color w:val="111111"/>
          <w:sz w:val="28"/>
          <w:sz w:val="28"/>
          <w:szCs w:val="28"/>
          <w:rtl w:val="true"/>
          <w:lang w:bidi="ar-SA"/>
        </w:rPr>
        <w:t>، و لا يَحتاجُ إلىٰ تكريرِ النيّةِ لكلِّ واجبٍ و نَدبٍ في حالِ فِعلِه؟ أم لا يَلزَمُه</w:t>
      </w:r>
      <w:r>
        <w:rPr>
          <w:rStyle w:val="FootnoteAnchor"/>
          <w:rtl w:val="true"/>
        </w:rPr>
        <w:footnoteReference w:id="715"/>
      </w:r>
      <w:r>
        <w:rPr>
          <w:rFonts w:ascii="Amiri" w:hAnsi="Amiri" w:eastAsia="Amiri" w:cs="Amiri"/>
          <w:color w:val="111111"/>
          <w:sz w:val="28"/>
          <w:sz w:val="28"/>
          <w:szCs w:val="28"/>
          <w:rtl w:val="true"/>
          <w:lang w:bidi="ar-SA"/>
        </w:rPr>
        <w:t>شَيءٌ مِن ذلكَ، بَل يَكفيهِ أن يَعزِمَ علىٰ صَلاةِ الظُّهرِ لوجوبِها في حالِ تكبيرةِ الإحرامِ، مِن غيرِ أن يَخطُرَ له شَيءٌ مِن تفصيلِ ذلكَ‌</w:t>
      </w:r>
      <w:r>
        <w:rPr>
          <w:rStyle w:val="FootnoteAnchor"/>
          <w:rtl w:val="true"/>
        </w:rPr>
        <w:footnoteReference w:id="7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العِلمُ بتفصيلِ أحكامِ العبادةِ و شُروطِها و أفعالِها و تُروكِها واجباً، فما حُكمُ ما مضىٰ مع الجهلِ بذلكَ مِن العباداتِ، أ يَجِبُ‌</w:t>
      </w:r>
      <w:r>
        <w:rPr>
          <w:rStyle w:val="FootnoteAnchor"/>
          <w:rtl w:val="true"/>
        </w:rPr>
        <w:footnoteReference w:id="717"/>
      </w:r>
      <w:r>
        <w:rPr>
          <w:rFonts w:ascii="IRNazanin" w:hAnsi="IRNazanin" w:eastAsia="IRNazanin"/>
          <w:color w:val="111111"/>
          <w:sz w:val="28"/>
          <w:sz w:val="28"/>
          <w:szCs w:val="28"/>
          <w:rtl w:val="true"/>
          <w:lang w:bidi="fa-IR"/>
        </w:rPr>
        <w:t>قضاؤه أم لا؟</w:t>
      </w:r>
    </w:p>
    <w:p>
      <w:pPr>
        <w:pStyle w:val="Heading4"/>
        <w:numPr>
          <w:ilvl w:val="3"/>
          <w:numId w:val="1"/>
        </w:numPr>
        <w:rPr/>
      </w:pPr>
      <w:bookmarkStart w:id="121" w:name="__RefHeading___Toc8039537_1280447820"/>
      <w:bookmarkStart w:id="122" w:name="_Toc43"/>
      <w:bookmarkEnd w:id="121"/>
      <w:r>
        <w:rPr>
          <w:rtl w:val="true"/>
        </w:rPr>
        <w:t>جواب المسألتين المتعلِّقتَين أيضاً بالنيّات</w:t>
      </w:r>
      <w:bookmarkEnd w:id="122"/>
    </w:p>
    <w:p>
      <w:pPr>
        <w:pStyle w:val="Heading5"/>
        <w:numPr>
          <w:ilvl w:val="4"/>
          <w:numId w:val="1"/>
        </w:numPr>
        <w:rPr/>
      </w:pPr>
      <w:bookmarkStart w:id="123" w:name="__RefHeading___Toc8039539_1280447820"/>
      <w:bookmarkStart w:id="124" w:name="_Toc44"/>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8039541_1280447820"/>
      <w:bookmarkStart w:id="126" w:name="_Toc45"/>
      <w:bookmarkEnd w:id="125"/>
      <w:r>
        <w:rPr>
          <w:rtl w:val="true"/>
        </w:rPr>
        <w:t>حُكمُ المُخِلِّ بالنيّةِ في العبادةِ‌</w:t>
      </w:r>
      <w:bookmarkEnd w:id="12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المَسألةُ الأُولىٰ‌</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العبادةَ إذا وَجَبَت بنِيّةٍ مخصوصةٍ، و كانَت النيّةُ شَرطاً في صِحّتِها، فكُلُّ مُخاطَبٍ بهذه العبادةِ لا بُدَّ أن يَكونَ مُخاطَباً بالنيّةِ التي </w:t>
      </w:r>
    </w:p>
    <w:p>
      <w:pPr>
        <w:pStyle w:val="BookText"/>
        <w:rPr/>
      </w:pPr>
      <w:r>
        <w:rPr>
          <w:rFonts w:ascii="Amiri" w:hAnsi="Amiri" w:eastAsia="Amiri" w:cs="Amiri"/>
          <w:color w:val="111111"/>
          <w:sz w:val="28"/>
          <w:sz w:val="28"/>
          <w:szCs w:val="28"/>
          <w:rtl w:val="true"/>
          <w:lang w:bidi="ar-SA"/>
        </w:rPr>
        <w:t>هي شَرطٌ في صِحّتِها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w:t>
      </w:r>
      <w:r>
        <w:rPr>
          <w:rStyle w:val="FootnoteAnchor"/>
          <w:rtl w:val="true"/>
        </w:rPr>
        <w:footnoteReference w:id="720"/>
      </w:r>
      <w:r>
        <w:rPr>
          <w:rFonts w:ascii="Amiri" w:hAnsi="Amiri" w:eastAsia="Amiri" w:cs="Amiri"/>
          <w:color w:val="111111"/>
          <w:sz w:val="28"/>
          <w:sz w:val="28"/>
          <w:szCs w:val="28"/>
          <w:rtl w:val="true"/>
          <w:lang w:bidi="ar-SA"/>
        </w:rPr>
        <w:t>أَوقَعَها بغَيرِ نيّةٍ، فالإعادةُ واجبةٌ عليه؛ لأنّه قد أخَلَّ بشَرطِ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فَرَضنا أنّه جَهِلَ وجوبَ هذه النيّةِ عليه، فأوقَعَها عاريةً منها، ثُمّ عَلِمَ بَعدَ ذلكَ وجوبَها، فالصحيحُ أنّه إن كان جَهِلَ وجوبَ هذه النيّةِ عليه في حالٍ يَصِحُّ فيها منه</w:t>
      </w:r>
      <w:r>
        <w:rPr>
          <w:rStyle w:val="FootnoteAnchor"/>
          <w:rtl w:val="true"/>
        </w:rPr>
        <w:footnoteReference w:id="721"/>
      </w:r>
      <w:r>
        <w:rPr>
          <w:rFonts w:ascii="Amiri" w:hAnsi="Amiri" w:eastAsia="Amiri" w:cs="Amiri"/>
          <w:color w:val="111111"/>
          <w:sz w:val="28"/>
          <w:sz w:val="28"/>
          <w:szCs w:val="28"/>
          <w:rtl w:val="true"/>
          <w:lang w:bidi="ar-SA"/>
        </w:rPr>
        <w:t>العِلمُ بوجوبِها، و إنّما جَهِلَها تفريطاً و إهمالاً، فالقَضاءُ واجبٌ عليه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لمّا جَهِلَ وجوبَها غيرَ مُتمكِّنٍ مِن العِلمِ بوجوبِ هذه النيّةِ، فمِن المُحالِ أن يَكونَ مُكلَّفاً بالعبادةِ‌</w:t>
      </w:r>
      <w:r>
        <w:rPr>
          <w:rStyle w:val="FootnoteAnchor"/>
          <w:rtl w:val="true"/>
        </w:rPr>
        <w:footnoteReference w:id="722"/>
      </w:r>
      <w:r>
        <w:rPr>
          <w:rFonts w:ascii="Amiri" w:hAnsi="Amiri" w:eastAsia="Amiri" w:cs="Amiri"/>
          <w:color w:val="111111"/>
          <w:sz w:val="28"/>
          <w:sz w:val="28"/>
          <w:szCs w:val="28"/>
          <w:rtl w:val="true"/>
          <w:lang w:bidi="ar-SA"/>
        </w:rPr>
        <w:t>و هو غيرُ مُتمكِّنٍ مِن العِلمِ‌</w:t>
      </w:r>
      <w:r>
        <w:rPr>
          <w:rStyle w:val="FootnoteAnchor"/>
          <w:rtl w:val="true"/>
        </w:rPr>
        <w:footnoteReference w:id="723"/>
      </w:r>
      <w:r>
        <w:rPr>
          <w:rFonts w:ascii="Amiri" w:hAnsi="Amiri" w:eastAsia="Amiri" w:cs="Amiri"/>
          <w:color w:val="111111"/>
          <w:sz w:val="28"/>
          <w:sz w:val="28"/>
          <w:szCs w:val="28"/>
          <w:rtl w:val="true"/>
          <w:lang w:bidi="ar-SA"/>
        </w:rPr>
        <w:t>بوجوبِها و وجوبِ ما يُفتَقَرُ في صِحّتِها إليه، و مَن لَم يَتمكَّنْ مِن العِلمِ بوجوبِ الفِعلِ و شَرائطِه فهو غيرُ مكلَّفٍ به</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يَجِبُ عليه الإعادةُ؛ لأنّ هذه العبادةَ في الوقتِ الذي فَعَلَها عاريةً مِن النيّةِ لَم تَكُن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الوجهُ الذي له وَجَبَت</w:t>
      </w:r>
      <w:r>
        <w:rPr>
          <w:rStyle w:val="FootnoteAnchor"/>
          <w:rtl w:val="true"/>
        </w:rPr>
        <w:footnoteReference w:id="725"/>
      </w:r>
      <w:r>
        <w:rPr>
          <w:rFonts w:ascii="Amiri" w:hAnsi="Amiri" w:eastAsia="Amiri" w:cs="Amiri"/>
          <w:color w:val="111111"/>
          <w:sz w:val="28"/>
          <w:sz w:val="28"/>
          <w:szCs w:val="28"/>
          <w:rtl w:val="true"/>
          <w:lang w:bidi="ar-SA"/>
        </w:rPr>
        <w:t xml:space="preserve">العبادةُ، فإن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ظُهراً أو عَصراً، فلَعَمري إنّه لا بُدَّ مِن أن يَنويَ بأدائها كَونَها ظُهراً أو عَصراً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بوَجهِ الوجوبِ الوجهُ‌</w:t>
      </w:r>
      <w:r>
        <w:rPr>
          <w:rStyle w:val="FootnoteAnchor"/>
          <w:rtl w:val="true"/>
        </w:rPr>
        <w:footnoteReference w:id="726"/>
      </w:r>
      <w:r>
        <w:rPr>
          <w:rFonts w:ascii="Amiri" w:hAnsi="Amiri" w:eastAsia="Amiri" w:cs="Amiri"/>
          <w:color w:val="111111"/>
          <w:sz w:val="28"/>
          <w:sz w:val="28"/>
          <w:szCs w:val="28"/>
          <w:rtl w:val="true"/>
          <w:lang w:bidi="ar-SA"/>
        </w:rPr>
        <w:t>الذي منه كانَت مَصلَحةً، و داعيةً إلىٰ فِعلِ الواجبِ العقليِّ و صارفةً عن القَبيحِ العقليِّ، فذلكَ ممّا لا يَجِبُ عِلمُه علىٰ سَبيلِ التفصيلِ، و العِلمُ به علىٰ وجهِ الجُملةِ كافٍ</w:t>
      </w:r>
      <w:r>
        <w:rPr>
          <w:rFonts w:eastAsia="Amiri" w:cs="Amiri" w:ascii="Amiri" w:hAnsi="Amiri"/>
          <w:color w:val="111111"/>
          <w:sz w:val="28"/>
          <w:szCs w:val="28"/>
          <w:rtl w:val="true"/>
          <w:lang w:bidi="ar-SA"/>
        </w:rPr>
        <w:t xml:space="preserve">. </w:t>
      </w:r>
      <w:bookmarkStart w:id="127" w:name="pg16437_172452"/>
    </w:p>
    <w:p>
      <w:pPr>
        <w:pStyle w:val="Heading5"/>
        <w:numPr>
          <w:ilvl w:val="4"/>
          <w:numId w:val="1"/>
        </w:numPr>
        <w:rPr/>
      </w:pPr>
      <w:bookmarkStart w:id="128" w:name="__RefHeading___Toc8039543_1280447820"/>
      <w:bookmarkStart w:id="129" w:name="_Toc46"/>
      <w:bookmarkEnd w:id="127"/>
      <w:bookmarkEnd w:id="128"/>
      <w:r>
        <w:rPr>
          <w:rtl w:val="true"/>
        </w:rPr>
        <w:t>حُكمُ نيّةِ العبادةِ المُشتَمِلةِ علىٰ أفعالٍ كَثيرةٍ‌</w:t>
      </w:r>
      <w:bookmarkEnd w:id="129"/>
    </w:p>
    <w:p>
      <w:pPr>
        <w:pStyle w:val="BookText"/>
        <w:rPr/>
      </w:pPr>
      <w:r>
        <w:rPr>
          <w:rFonts w:ascii="Amiri" w:hAnsi="Amiri" w:eastAsia="Amiri" w:cs="Amiri"/>
          <w:color w:val="111111"/>
          <w:sz w:val="28"/>
          <w:sz w:val="28"/>
          <w:szCs w:val="28"/>
          <w:rtl w:val="true"/>
          <w:lang w:bidi="ar-SA"/>
        </w:rPr>
        <w:t>فأمّا المَسألةُ الثانيةُ‌</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عبادةٍ اشتَمَلَت علىٰ أفعالٍ كَثيرةٍ، و إن كانَ لها اسمٌ تَتعرَّفُ‌</w:t>
      </w:r>
      <w:r>
        <w:rPr>
          <w:rStyle w:val="FootnoteAnchor"/>
          <w:rtl w:val="true"/>
        </w:rPr>
        <w:footnoteReference w:id="728"/>
      </w:r>
      <w:r>
        <w:rPr>
          <w:rFonts w:ascii="Amiri" w:hAnsi="Amiri" w:eastAsia="Amiri" w:cs="Amiri"/>
          <w:color w:val="111111"/>
          <w:sz w:val="28"/>
          <w:sz w:val="28"/>
          <w:szCs w:val="28"/>
          <w:rtl w:val="true"/>
          <w:lang w:bidi="ar-SA"/>
        </w:rPr>
        <w:t xml:space="preserve">به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و الصلاةِ، 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كُلِّ مُكلَّفٍ بها</w:t>
      </w:r>
      <w:r>
        <w:rPr>
          <w:rStyle w:val="FootnoteAnchor"/>
          <w:rtl w:val="true"/>
        </w:rPr>
        <w:footnoteReference w:id="729"/>
      </w:r>
      <w:r>
        <w:rPr>
          <w:rFonts w:ascii="Amiri" w:hAnsi="Amiri" w:eastAsia="Amiri" w:cs="Amiri"/>
          <w:color w:val="111111"/>
          <w:sz w:val="28"/>
          <w:sz w:val="28"/>
          <w:szCs w:val="28"/>
          <w:rtl w:val="true"/>
          <w:lang w:bidi="ar-SA"/>
        </w:rPr>
        <w:t>مِن أن يَكونَ له طريقٌ إلىٰ مَعرِفةِ وجوبِ ما هو واجِبٌ منها بالتمييزِ بَينَه و بَينَ ما هو نَدبٌ و 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نَوىٰ في ابتداءِ الدخولِ في هذه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لها أبعاضٌ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يَفعَلَها، و نَوىٰ‌</w:t>
      </w:r>
      <w:r>
        <w:rPr>
          <w:rStyle w:val="FootnoteAnchor"/>
          <w:rtl w:val="true"/>
        </w:rPr>
        <w:footnoteReference w:id="730"/>
      </w:r>
      <w:r>
        <w:rPr>
          <w:rFonts w:ascii="Amiri" w:hAnsi="Amiri" w:eastAsia="Amiri" w:cs="Amiri"/>
          <w:color w:val="111111"/>
          <w:sz w:val="28"/>
          <w:sz w:val="28"/>
          <w:szCs w:val="28"/>
          <w:rtl w:val="true"/>
          <w:lang w:bidi="ar-SA"/>
        </w:rPr>
        <w:t>إيقاعَ ما هو واجبٌ منها علىٰ جِهةِ الوجوبِ، و إيقاعَ النَّدبِ منها علىٰ هذا الوجهِ، كَفاه ذلكَ، و لم يَفتَقِرْ إلىٰ تجديدِ النيّةِ عندَ كُلِّ بعضٍ مِن أبعاضِ هذه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بفِعلِ الطهارةِ إزالةَ الحَدَثِ في ابتدائها، فلَيسَ يَلزَمُه تجديدُ هذه النيّةِ عندَ تطهيرِ كُلِّ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نَوىٰ عندَ الدخولِ في الصلاةِ إيقاعَ‌</w:t>
      </w:r>
      <w:r>
        <w:rPr>
          <w:rStyle w:val="FootnoteAnchor"/>
          <w:rtl w:val="true"/>
        </w:rPr>
        <w:footnoteReference w:id="731"/>
      </w:r>
      <w:r>
        <w:rPr>
          <w:rFonts w:ascii="Amiri" w:hAnsi="Amiri" w:eastAsia="Amiri" w:cs="Amiri"/>
          <w:color w:val="111111"/>
          <w:sz w:val="28"/>
          <w:sz w:val="28"/>
          <w:szCs w:val="28"/>
          <w:rtl w:val="true"/>
          <w:lang w:bidi="ar-SA"/>
        </w:rPr>
        <w:t>الواجبِ منها واجباً و الندبِ نَدباً، لَم يَحتَج إلىٰ تجديدِ النيّةِ عندَ كُلِّ فِعلٍ‌</w:t>
      </w:r>
      <w:r>
        <w:rPr>
          <w:rStyle w:val="FootnoteAnchor"/>
          <w:rtl w:val="true"/>
        </w:rPr>
        <w:footnoteReference w:id="732"/>
      </w:r>
      <w:r>
        <w:rPr>
          <w:rFonts w:ascii="Amiri" w:hAnsi="Amiri" w:eastAsia="Amiri" w:cs="Amiri"/>
          <w:color w:val="111111"/>
          <w:sz w:val="28"/>
          <w:sz w:val="28"/>
          <w:szCs w:val="28"/>
          <w:rtl w:val="true"/>
          <w:lang w:bidi="ar-SA"/>
        </w:rPr>
        <w:t>مِن أفعالِها، كالركوعِ و السجودِ و غيرِهما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الجُملةُ مُقنِعةٌ</w:t>
      </w:r>
      <w:r>
        <w:rPr>
          <w:rFonts w:eastAsia="Amiri" w:cs="Amiri" w:ascii="Amiri" w:hAnsi="Amiri"/>
          <w:color w:val="111111"/>
          <w:sz w:val="28"/>
          <w:szCs w:val="28"/>
          <w:rtl w:val="true"/>
          <w:lang w:bidi="ar-SA"/>
        </w:rPr>
        <w:t xml:space="preserve">. </w:t>
      </w:r>
      <w:bookmarkStart w:id="130" w:name="pg16437_172453"/>
    </w:p>
    <w:p>
      <w:pPr>
        <w:pStyle w:val="Heading4"/>
        <w:numPr>
          <w:ilvl w:val="3"/>
          <w:numId w:val="1"/>
        </w:numPr>
        <w:rPr/>
      </w:pPr>
      <w:bookmarkStart w:id="131" w:name="__RefHeading___Toc8039545_1280447820"/>
      <w:bookmarkStart w:id="132" w:name="_Toc47"/>
      <w:bookmarkEnd w:id="130"/>
      <w:bookmarkEnd w:id="131"/>
      <w:r>
        <w:rPr>
          <w:rtl w:val="true"/>
        </w:rPr>
        <w:t>المسألةُ السادسةَ عَشْرةَ نيّةُ النيابةِ في العباداتِ و ثوابُها</w:t>
      </w:r>
      <w:bookmarkEnd w:id="132"/>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733"/>
      </w:r>
      <w:r>
        <w:rPr>
          <w:rFonts w:ascii="Amiri" w:hAnsi="Amiri" w:eastAsia="Amiri" w:cs="Amiri"/>
          <w:color w:val="111111"/>
          <w:sz w:val="28"/>
          <w:sz w:val="28"/>
          <w:szCs w:val="28"/>
          <w:rtl w:val="true"/>
          <w:lang w:bidi="ar-SA"/>
        </w:rPr>
        <w:t>صفةُ نيّةِ النائبِ عن غيرِه في حَجٍّ أو جِهادٍ، هَل يَعزِمُ علىٰ أداءِ ذلكَ لوجوبِه عليه، أم</w:t>
      </w:r>
      <w:r>
        <w:rPr>
          <w:rStyle w:val="FootnoteAnchor"/>
          <w:rtl w:val="true"/>
        </w:rPr>
        <w:footnoteReference w:id="734"/>
      </w:r>
      <w:r>
        <w:rPr>
          <w:rFonts w:ascii="Amiri" w:hAnsi="Amiri" w:eastAsia="Amiri" w:cs="Amiri"/>
          <w:color w:val="111111"/>
          <w:sz w:val="28"/>
          <w:sz w:val="28"/>
          <w:szCs w:val="28"/>
          <w:rtl w:val="true"/>
          <w:lang w:bidi="ar-SA"/>
        </w:rPr>
        <w:t>علىٰ مُستَنيبِه؟</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فإن كانَ يَفعَلُ ذلكَ لوجوبِه عليه، فلِوَجهٍ غيرِ صحيحٍ؛ لأنّه لَم يَجِبْ عليه شَيءٌ، و إنّما هو نائبٌ‌</w:t>
      </w:r>
      <w:r>
        <w:rPr>
          <w:rStyle w:val="FootnoteAnchor"/>
          <w:rtl w:val="true"/>
        </w:rPr>
        <w:footnoteReference w:id="736"/>
      </w:r>
      <w:r>
        <w:rPr>
          <w:rFonts w:ascii="Amiri" w:hAnsi="Amiri" w:eastAsia="Amiri" w:cs="Amiri"/>
          <w:color w:val="111111"/>
          <w:sz w:val="28"/>
          <w:sz w:val="28"/>
          <w:szCs w:val="28"/>
          <w:rtl w:val="true"/>
          <w:lang w:bidi="ar-SA"/>
        </w:rPr>
        <w:t>في فِعلٍ واجبٍ علىٰ غيرِه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يَكونُ نائباً عن غيرِه بفِعلٍ واجبٍ عليه في نفسِه؟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فَعَلَه لوجوبِه علىٰ غيرِه، فكَيفَ يَصِحُّ أن يَعبُدَ اللّٰهَ تَعالىٰ‌</w:t>
      </w:r>
      <w:r>
        <w:rPr>
          <w:rStyle w:val="FootnoteAnchor"/>
          <w:rtl w:val="true"/>
        </w:rPr>
        <w:footnoteReference w:id="737"/>
      </w:r>
      <w:r>
        <w:rPr>
          <w:rFonts w:ascii="Amiri" w:hAnsi="Amiri" w:eastAsia="Amiri" w:cs="Amiri"/>
          <w:color w:val="111111"/>
          <w:sz w:val="28"/>
          <w:sz w:val="28"/>
          <w:szCs w:val="28"/>
          <w:rtl w:val="true"/>
          <w:lang w:bidi="ar-SA"/>
        </w:rPr>
        <w:t>زَيدٌ عبادةً واجبةً جِهةُ وجوبِها مُختَصٌّ بعَمرٍو؟ و كَيفَ تَبرأُ</w:t>
      </w:r>
      <w:r>
        <w:rPr>
          <w:rStyle w:val="FootnoteAnchor"/>
          <w:rtl w:val="true"/>
        </w:rPr>
        <w:footnoteReference w:id="738"/>
      </w:r>
      <w:r>
        <w:rPr>
          <w:rFonts w:ascii="Amiri" w:hAnsi="Amiri" w:eastAsia="Amiri" w:cs="Amiri"/>
          <w:color w:val="111111"/>
          <w:sz w:val="28"/>
          <w:sz w:val="28"/>
          <w:szCs w:val="28"/>
          <w:rtl w:val="true"/>
          <w:lang w:bidi="ar-SA"/>
        </w:rPr>
        <w:t>ذِمّةُ عَمرٍو ممّا وَجَبَ عليه بفِعلِ زَيدٍ؟ و كَيفَ يَستَحِقُّ الثوابَ عَمرٌو عمّا وَجَبَ عليه بفِعلِ زيدٍ</w:t>
      </w:r>
      <w:r>
        <w:rPr>
          <w:rStyle w:val="FootnoteAnchor"/>
          <w:rtl w:val="true"/>
        </w:rPr>
        <w:footnoteReference w:id="739"/>
      </w:r>
      <w:r>
        <w:rPr>
          <w:rFonts w:ascii="Amiri" w:hAnsi="Amiri" w:eastAsia="Amiri" w:cs="Amiri"/>
          <w:color w:val="111111"/>
          <w:sz w:val="28"/>
          <w:sz w:val="28"/>
          <w:szCs w:val="28"/>
          <w:rtl w:val="true"/>
          <w:lang w:bidi="ar-SA"/>
        </w:rPr>
        <w:t>مع تَقرُّرِ الحُكمِ العقليِّ علىٰ‌</w:t>
      </w:r>
      <w:r>
        <w:rPr>
          <w:rStyle w:val="FootnoteAnchor"/>
          <w:rtl w:val="true"/>
        </w:rPr>
        <w:footnoteReference w:id="740"/>
      </w:r>
      <w:r>
        <w:rPr>
          <w:rFonts w:ascii="Amiri" w:hAnsi="Amiri" w:eastAsia="Amiri" w:cs="Amiri"/>
          <w:color w:val="111111"/>
          <w:sz w:val="28"/>
          <w:sz w:val="28"/>
          <w:szCs w:val="28"/>
          <w:rtl w:val="true"/>
          <w:lang w:bidi="ar-SA"/>
        </w:rPr>
        <w:t>خِلافِه، و ورودِ السمعِ بما يُطابِقُه،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 و أمثالِ ذلكَ؟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النائبَ عن</w:t>
      </w:r>
      <w:r>
        <w:rPr>
          <w:rStyle w:val="FootnoteAnchor"/>
          <w:rtl w:val="true"/>
        </w:rPr>
        <w:footnoteReference w:id="744"/>
      </w:r>
      <w:r>
        <w:rPr>
          <w:rFonts w:ascii="Amiri" w:hAnsi="Amiri" w:eastAsia="Amiri" w:cs="Amiri"/>
          <w:color w:val="111111"/>
          <w:sz w:val="28"/>
          <w:sz w:val="28"/>
          <w:szCs w:val="28"/>
          <w:rtl w:val="true"/>
          <w:lang w:bidi="ar-SA"/>
        </w:rPr>
        <w:t>غيرِه في الحَجِّ يَجِبُ أن تَكونَ‌</w:t>
      </w:r>
      <w:r>
        <w:rPr>
          <w:rStyle w:val="FootnoteAnchor"/>
          <w:rtl w:val="true"/>
        </w:rPr>
        <w:footnoteReference w:id="745"/>
      </w:r>
      <w:r>
        <w:rPr>
          <w:rFonts w:ascii="Amiri" w:hAnsi="Amiri" w:eastAsia="Amiri" w:cs="Amiri"/>
          <w:color w:val="111111"/>
          <w:sz w:val="28"/>
          <w:sz w:val="28"/>
          <w:szCs w:val="28"/>
          <w:rtl w:val="true"/>
          <w:lang w:bidi="ar-SA"/>
        </w:rPr>
        <w:t>نيّتُه مُتوجِّهةً‌</w:t>
      </w:r>
      <w:r>
        <w:rPr>
          <w:rStyle w:val="FootnoteAnchor"/>
          <w:rtl w:val="true"/>
        </w:rPr>
        <w:footnoteReference w:id="746"/>
      </w:r>
      <w:r>
        <w:rPr>
          <w:rFonts w:ascii="Amiri" w:hAnsi="Amiri" w:eastAsia="Amiri" w:cs="Amiri"/>
          <w:color w:val="111111"/>
          <w:sz w:val="28"/>
          <w:sz w:val="28"/>
          <w:szCs w:val="28"/>
          <w:rtl w:val="true"/>
          <w:lang w:bidi="ar-SA"/>
        </w:rPr>
        <w:t>إلَى الوجهِ الذي قَصَدَه بالحَجّةِ، فإن حَجَّها</w:t>
      </w:r>
      <w:r>
        <w:rPr>
          <w:rStyle w:val="FootnoteAnchor"/>
          <w:rtl w:val="true"/>
        </w:rPr>
        <w:footnoteReference w:id="747"/>
      </w:r>
      <w:r>
        <w:rPr>
          <w:rFonts w:ascii="Amiri" w:hAnsi="Amiri" w:eastAsia="Amiri" w:cs="Amiri"/>
          <w:color w:val="111111"/>
          <w:sz w:val="28"/>
          <w:sz w:val="28"/>
          <w:szCs w:val="28"/>
          <w:rtl w:val="true"/>
          <w:lang w:bidi="ar-SA"/>
        </w:rPr>
        <w:t>عمّن وَجَبَ عليه الحَجُّ، فيَجِبُ أن تَكونَ‌</w:t>
      </w:r>
      <w:r>
        <w:rPr>
          <w:rStyle w:val="FootnoteAnchor"/>
          <w:rtl w:val="true"/>
        </w:rPr>
        <w:footnoteReference w:id="748"/>
      </w:r>
      <w:r>
        <w:rPr>
          <w:rFonts w:ascii="Amiri" w:hAnsi="Amiri" w:eastAsia="Amiri" w:cs="Amiri"/>
          <w:color w:val="111111"/>
          <w:sz w:val="28"/>
          <w:sz w:val="28"/>
          <w:szCs w:val="28"/>
          <w:rtl w:val="true"/>
          <w:lang w:bidi="ar-SA"/>
        </w:rPr>
        <w:t>نيّتُه</w:t>
      </w:r>
      <w:r>
        <w:rPr>
          <w:rStyle w:val="FootnoteAnchor"/>
          <w:rtl w:val="true"/>
        </w:rPr>
        <w:footnoteReference w:id="749"/>
      </w:r>
      <w:r>
        <w:rPr>
          <w:rFonts w:ascii="Amiri" w:hAnsi="Amiri" w:eastAsia="Amiri" w:cs="Amiri"/>
          <w:color w:val="111111"/>
          <w:sz w:val="28"/>
          <w:sz w:val="28"/>
          <w:szCs w:val="28"/>
          <w:rtl w:val="true"/>
          <w:lang w:bidi="ar-SA"/>
        </w:rPr>
        <w:t>مُنصَرفةً إلىٰ هذا الوجهِ بعَينِه،</w:t>
      </w:r>
      <w:r>
        <w:rPr>
          <w:rStyle w:val="FootnoteAnchor"/>
          <w:rtl w:val="true"/>
        </w:rPr>
        <w:footnoteReference w:id="750"/>
      </w:r>
      <w:r>
        <w:rPr>
          <w:rFonts w:ascii="Amiri" w:hAnsi="Amiri" w:eastAsia="Amiri" w:cs="Amiri"/>
          <w:color w:val="111111"/>
          <w:sz w:val="28"/>
          <w:sz w:val="28"/>
          <w:szCs w:val="28"/>
          <w:rtl w:val="true"/>
          <w:lang w:bidi="ar-SA"/>
        </w:rPr>
        <w:t>و كذلكَ إن كانَت</w:t>
      </w:r>
      <w:r>
        <w:rPr>
          <w:rStyle w:val="FootnoteAnchor"/>
          <w:rtl w:val="true"/>
        </w:rPr>
        <w:footnoteReference w:id="751"/>
      </w:r>
      <w:r>
        <w:rPr>
          <w:rFonts w:ascii="Amiri" w:hAnsi="Amiri" w:eastAsia="Amiri" w:cs="Amiri"/>
          <w:color w:val="111111"/>
          <w:sz w:val="28"/>
          <w:sz w:val="28"/>
          <w:szCs w:val="28"/>
          <w:rtl w:val="true"/>
          <w:lang w:bidi="ar-SA"/>
        </w:rPr>
        <w:t>تَطوُّعاً عن غيرِه، نَوىٰ بها التطوُّعَ عن ذلكَ الغَيرِ، و لذلكَ يَجِبُ أن يُسمّيَ مَن أحرَمَ عنه في تلبيَتِه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لَيسَت هذه الحَجّةُ بواجبةٍ علَى المُستَنابِ‌</w:t>
      </w:r>
      <w:r>
        <w:rPr>
          <w:rStyle w:val="FootnoteAnchor"/>
          <w:rtl w:val="true"/>
        </w:rPr>
        <w:footnoteReference w:id="753"/>
      </w:r>
      <w:r>
        <w:rPr>
          <w:rFonts w:ascii="Amiri" w:hAnsi="Amiri" w:eastAsia="Amiri" w:cs="Amiri"/>
          <w:color w:val="111111"/>
          <w:sz w:val="28"/>
          <w:sz w:val="28"/>
          <w:szCs w:val="28"/>
          <w:rtl w:val="true"/>
          <w:lang w:bidi="ar-SA"/>
        </w:rPr>
        <w:t>،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w:t>
      </w:r>
      <w:r>
        <w:rPr>
          <w:rStyle w:val="FootnoteAnchor"/>
          <w:rtl w:val="true"/>
        </w:rPr>
        <w:footnoteReference w:id="754"/>
      </w:r>
      <w:r>
        <w:rPr>
          <w:rFonts w:ascii="Amiri" w:hAnsi="Amiri" w:eastAsia="Amiri" w:cs="Amiri"/>
          <w:color w:val="111111"/>
          <w:sz w:val="28"/>
          <w:sz w:val="28"/>
          <w:szCs w:val="28"/>
          <w:rtl w:val="true"/>
          <w:lang w:bidi="ar-SA"/>
        </w:rPr>
        <w:t>نائباً عن غيرِه بفِعلٍ واجبٍ عليه في نفسِه؟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يُفرَضَ أنّه وليٌّ لميّتٍ‌</w:t>
      </w:r>
      <w:r>
        <w:rPr>
          <w:rStyle w:val="FootnoteAnchor"/>
          <w:rtl w:val="true"/>
        </w:rPr>
        <w:footnoteReference w:id="755"/>
      </w:r>
      <w:r>
        <w:rPr>
          <w:rFonts w:ascii="Amiri" w:hAnsi="Amiri" w:eastAsia="Amiri" w:cs="Amiri"/>
          <w:color w:val="111111"/>
          <w:sz w:val="28"/>
          <w:sz w:val="28"/>
          <w:szCs w:val="28"/>
          <w:rtl w:val="true"/>
          <w:lang w:bidi="ar-SA"/>
        </w:rPr>
        <w:t>وَجَبَ عليه الحَجُّ فلَم</w:t>
      </w:r>
      <w:r>
        <w:rPr>
          <w:rStyle w:val="FootnoteAnchor"/>
          <w:rtl w:val="true"/>
        </w:rPr>
        <w:footnoteReference w:id="756"/>
      </w:r>
      <w:r>
        <w:rPr>
          <w:rFonts w:ascii="Amiri" w:hAnsi="Amiri" w:eastAsia="Amiri" w:cs="Amiri"/>
          <w:color w:val="111111"/>
          <w:sz w:val="28"/>
          <w:sz w:val="28"/>
          <w:szCs w:val="28"/>
          <w:rtl w:val="true"/>
          <w:lang w:bidi="ar-SA"/>
        </w:rPr>
        <w:t>يَحِجَّ، فإنّ الوليَّ يَجِبُ عليه عندَنا أن يَحِجَّ عنه، و يَنويَ بهذه الحَجّةِ أداءَ‌</w:t>
      </w:r>
      <w:r>
        <w:rPr>
          <w:rStyle w:val="FootnoteAnchor"/>
          <w:rtl w:val="true"/>
        </w:rPr>
        <w:footnoteReference w:id="757"/>
      </w:r>
      <w:r>
        <w:rPr>
          <w:rFonts w:ascii="Amiri" w:hAnsi="Amiri" w:eastAsia="Amiri" w:cs="Amiri"/>
          <w:color w:val="111111"/>
          <w:sz w:val="28"/>
          <w:sz w:val="28"/>
          <w:szCs w:val="28"/>
          <w:rtl w:val="true"/>
          <w:lang w:bidi="ar-SA"/>
        </w:rPr>
        <w:t xml:space="preserve">ما كان واجباً علَى </w:t>
      </w:r>
    </w:p>
    <w:p>
      <w:pPr>
        <w:pStyle w:val="BookText"/>
        <w:rPr/>
      </w:pP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المَوضِعُ الذي تَتعيَّنُ‌</w:t>
      </w:r>
      <w:r>
        <w:rPr>
          <w:rStyle w:val="FootnoteAnchor"/>
          <w:rtl w:val="true"/>
        </w:rPr>
        <w:footnoteReference w:id="758"/>
      </w:r>
      <w:r>
        <w:rPr>
          <w:rFonts w:ascii="Amiri" w:hAnsi="Amiri" w:eastAsia="Amiri" w:cs="Amiri"/>
          <w:color w:val="111111"/>
          <w:sz w:val="28"/>
          <w:sz w:val="28"/>
          <w:szCs w:val="28"/>
          <w:rtl w:val="true"/>
          <w:lang w:bidi="ar-SA"/>
        </w:rPr>
        <w:t>فيه النيابةُ يَكونُ الحَجُّ واجباً علَى النائبِ، و يَنوي بالحَجّةِ إيقاعَها عن الميِّتِ و إسقاطَ حَقِّ النيابةِ عن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w:t>
      </w:r>
      <w:r>
        <w:rPr>
          <w:rStyle w:val="FootnoteAnchor"/>
          <w:rtl w:val="true"/>
        </w:rPr>
        <w:footnoteReference w:id="759"/>
      </w:r>
      <w:r>
        <w:rPr>
          <w:rFonts w:ascii="Amiri" w:hAnsi="Amiri" w:eastAsia="Amiri" w:cs="Amiri"/>
          <w:color w:val="111111"/>
          <w:sz w:val="28"/>
          <w:sz w:val="28"/>
          <w:szCs w:val="28"/>
          <w:rtl w:val="true"/>
          <w:lang w:bidi="ar-SA"/>
        </w:rPr>
        <w:t>علىٰ زَيدٍ و إن لَم تَكُن</w:t>
      </w:r>
      <w:r>
        <w:rPr>
          <w:rStyle w:val="FootnoteAnchor"/>
          <w:rtl w:val="true"/>
        </w:rPr>
        <w:footnoteReference w:id="760"/>
      </w:r>
      <w:r>
        <w:rPr>
          <w:rFonts w:ascii="Amiri" w:hAnsi="Amiri" w:eastAsia="Amiri" w:cs="Amiri"/>
          <w:color w:val="111111"/>
          <w:sz w:val="28"/>
          <w:sz w:val="28"/>
          <w:szCs w:val="28"/>
          <w:rtl w:val="true"/>
          <w:lang w:bidi="ar-SA"/>
        </w:rPr>
        <w:t>جهةُ وجوبِه مُختَصّةً بعَمرٍو، فإنّه غيرُ مُمتَنِعٍ أن يَجِبَ علىٰ زَيدٍ ما تَكونُ‌</w:t>
      </w:r>
      <w:r>
        <w:rPr>
          <w:rStyle w:val="FootnoteAnchor"/>
          <w:rtl w:val="true"/>
        </w:rPr>
        <w:footnoteReference w:id="761"/>
      </w:r>
      <w:r>
        <w:rPr>
          <w:rFonts w:ascii="Amiri" w:hAnsi="Amiri" w:eastAsia="Amiri" w:cs="Amiri"/>
          <w:color w:val="111111"/>
          <w:sz w:val="28"/>
          <w:sz w:val="28"/>
          <w:szCs w:val="28"/>
          <w:rtl w:val="true"/>
          <w:lang w:bidi="ar-SA"/>
        </w:rPr>
        <w:t>جِهةُ وجوبِه</w:t>
      </w:r>
      <w:r>
        <w:rPr>
          <w:rStyle w:val="FootnoteAnchor"/>
          <w:rtl w:val="true"/>
        </w:rPr>
        <w:footnoteReference w:id="762"/>
      </w:r>
      <w:r>
        <w:rPr>
          <w:rFonts w:ascii="Amiri" w:hAnsi="Amiri" w:eastAsia="Amiri" w:cs="Amiri"/>
          <w:color w:val="111111"/>
          <w:sz w:val="28"/>
          <w:sz w:val="28"/>
          <w:szCs w:val="28"/>
          <w:rtl w:val="true"/>
          <w:lang w:bidi="ar-SA"/>
        </w:rPr>
        <w:t>لها تَعلُّقٌ بعَمرٍو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قيلَ لهذا الوليِّ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إذا ماتَ مَن أنتَ وليُّه</w:t>
      </w:r>
      <w:r>
        <w:rPr>
          <w:rStyle w:val="FootnoteAnchor"/>
          <w:rtl w:val="true"/>
        </w:rPr>
        <w:footnoteReference w:id="763"/>
      </w:r>
      <w:r>
        <w:rPr>
          <w:rFonts w:ascii="Amiri" w:hAnsi="Amiri" w:eastAsia="Amiri" w:cs="Amiri"/>
          <w:color w:val="111111"/>
          <w:sz w:val="28"/>
          <w:sz w:val="28"/>
          <w:szCs w:val="28"/>
          <w:rtl w:val="true"/>
          <w:lang w:bidi="ar-SA"/>
        </w:rPr>
        <w:t>و عليه</w:t>
      </w:r>
      <w:r>
        <w:rPr>
          <w:rStyle w:val="FootnoteAnchor"/>
          <w:rtl w:val="true"/>
        </w:rPr>
        <w:footnoteReference w:id="764"/>
      </w:r>
      <w:r>
        <w:rPr>
          <w:rFonts w:ascii="Amiri" w:hAnsi="Amiri" w:eastAsia="Amiri" w:cs="Amiri"/>
          <w:color w:val="111111"/>
          <w:sz w:val="28"/>
          <w:sz w:val="28"/>
          <w:szCs w:val="28"/>
          <w:rtl w:val="true"/>
          <w:lang w:bidi="ar-SA"/>
        </w:rPr>
        <w:t>حَجّةٌ، أن تَحُجَّ أنتَ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فجِهةُ الوجوبِ مُختَصّةٌ بالنائبِ، و لها تَعلُّقٌ بالمَيِّتِ، مِن حَيثُ كانَ تفريطُه في الحَجِّ‌</w:t>
      </w:r>
      <w:r>
        <w:rPr>
          <w:rStyle w:val="FootnoteAnchor"/>
          <w:rtl w:val="true"/>
        </w:rPr>
        <w:footnoteReference w:id="765"/>
      </w:r>
      <w:r>
        <w:rPr>
          <w:rFonts w:ascii="Amiri" w:hAnsi="Amiri" w:eastAsia="Amiri" w:cs="Amiri"/>
          <w:color w:val="111111"/>
          <w:sz w:val="28"/>
          <w:sz w:val="28"/>
          <w:szCs w:val="28"/>
          <w:rtl w:val="true"/>
          <w:lang w:bidi="ar-SA"/>
        </w:rPr>
        <w:t>سبباً لوجوبِ النيابةِ‌</w:t>
      </w:r>
      <w:r>
        <w:rPr>
          <w:rStyle w:val="FootnoteAnchor"/>
          <w:rtl w:val="true"/>
        </w:rPr>
        <w:footnoteReference w:id="766"/>
      </w:r>
      <w:r>
        <w:rPr>
          <w:rFonts w:ascii="Amiri" w:hAnsi="Amiri" w:eastAsia="Amiri" w:cs="Amiri"/>
          <w:color w:val="111111"/>
          <w:sz w:val="28"/>
          <w:sz w:val="28"/>
          <w:szCs w:val="28"/>
          <w:rtl w:val="true"/>
          <w:lang w:bidi="ar-SA"/>
        </w:rPr>
        <w:t>علىٰ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ثَوابُ هذه الحَجّةِ؛ فإن كانَ الميِّتُ وَصّىٰ بها و أمَرَ بأن يُحَجَّ عنه، كانَ الثوابُ مُنقَسِماً</w:t>
      </w:r>
      <w:r>
        <w:rPr>
          <w:rStyle w:val="FootnoteAnchor"/>
          <w:rtl w:val="true"/>
        </w:rPr>
        <w:footnoteReference w:id="767"/>
      </w:r>
      <w:r>
        <w:rPr>
          <w:rFonts w:ascii="Amiri" w:hAnsi="Amiri" w:eastAsia="Amiri" w:cs="Amiri"/>
          <w:color w:val="111111"/>
          <w:sz w:val="28"/>
          <w:sz w:val="28"/>
          <w:szCs w:val="28"/>
          <w:rtl w:val="true"/>
          <w:lang w:bidi="ar-SA"/>
        </w:rPr>
        <w:t>بَينَه و بَينَ النائبِ عنه</w:t>
      </w:r>
      <w:r>
        <w:rPr>
          <w:rStyle w:val="FootnoteAnchor"/>
          <w:rtl w:val="true"/>
        </w:rPr>
        <w:footnoteReference w:id="768"/>
      </w:r>
      <w:r>
        <w:rPr>
          <w:rFonts w:ascii="Amiri" w:hAnsi="Amiri" w:eastAsia="Amiri" w:cs="Amiri"/>
          <w:color w:val="111111"/>
          <w:sz w:val="28"/>
          <w:sz w:val="28"/>
          <w:szCs w:val="28"/>
          <w:rtl w:val="true"/>
          <w:lang w:bidi="ar-SA"/>
        </w:rPr>
        <w:t>و إن لَم يَكُن كذلكَ، فالثوابُ يَنفَرِدُ به الفاعلُ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نَخرُجْ‌</w:t>
      </w:r>
      <w:r>
        <w:rPr>
          <w:rStyle w:val="FootnoteAnchor"/>
          <w:rtl w:val="true"/>
        </w:rPr>
        <w:footnoteReference w:id="769"/>
      </w:r>
      <w:r>
        <w:rPr>
          <w:rFonts w:ascii="Amiri" w:hAnsi="Amiri" w:eastAsia="Amiri" w:cs="Amiri"/>
          <w:color w:val="111111"/>
          <w:sz w:val="28"/>
          <w:sz w:val="28"/>
          <w:szCs w:val="28"/>
          <w:rtl w:val="true"/>
          <w:lang w:bidi="ar-SA"/>
        </w:rPr>
        <w:t>بهذا التفصيلِ مِن الحُكمِ العقليِّ، و لا مِن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133" w:name="pg16437_172456"/>
    </w:p>
    <w:p>
      <w:pPr>
        <w:pStyle w:val="Heading4"/>
        <w:numPr>
          <w:ilvl w:val="3"/>
          <w:numId w:val="1"/>
        </w:numPr>
        <w:rPr/>
      </w:pPr>
      <w:bookmarkStart w:id="134" w:name="__RefHeading___Toc8039547_1280447820"/>
      <w:bookmarkStart w:id="135" w:name="_Toc48"/>
      <w:bookmarkEnd w:id="133"/>
      <w:bookmarkEnd w:id="134"/>
      <w:r>
        <w:rPr>
          <w:rtl w:val="true"/>
        </w:rPr>
        <w:t>المسألةُ السابعةَ عَشْرةَ‌حُكمُ الماءِ النجِسِ يُتمَّمُ كُرّاً</w:t>
      </w:r>
      <w:bookmarkEnd w:id="135"/>
    </w:p>
    <w:p>
      <w:pPr>
        <w:pStyle w:val="BookText"/>
        <w:rPr/>
      </w:pPr>
      <w:r>
        <w:rPr>
          <w:rFonts w:ascii="Amiri" w:hAnsi="Amiri" w:eastAsia="Amiri" w:cs="Amiri"/>
          <w:color w:val="111111"/>
          <w:sz w:val="28"/>
          <w:sz w:val="28"/>
          <w:szCs w:val="28"/>
          <w:rtl w:val="true"/>
          <w:lang w:bidi="ar-SA"/>
        </w:rPr>
        <w:t>المسألةُ السابعةَ عَشْرةَ‌</w:t>
      </w:r>
      <w:r>
        <w:rPr>
          <w:rStyle w:val="FootnoteAnchor"/>
          <w:rtl w:val="true"/>
        </w:rPr>
        <w:footnoteReference w:id="771"/>
      </w:r>
      <w:r>
        <w:rPr>
          <w:rFonts w:ascii="Amiri" w:hAnsi="Amiri" w:eastAsia="Amiri" w:cs="Amiri"/>
          <w:color w:val="111111"/>
          <w:sz w:val="28"/>
          <w:sz w:val="28"/>
          <w:szCs w:val="28"/>
          <w:rtl w:val="true"/>
          <w:lang w:bidi="ar-SA"/>
        </w:rPr>
        <w:t>حُكمُ الماءِ النجِسِ يُتمَّمُ كُرّاً</w:t>
      </w:r>
    </w:p>
    <w:p>
      <w:pPr>
        <w:pStyle w:val="BookText"/>
        <w:rPr/>
      </w:pPr>
      <w:r>
        <w:rPr>
          <w:rFonts w:ascii="Amiri" w:hAnsi="Amiri" w:eastAsia="Amiri" w:cs="Amiri"/>
          <w:color w:val="111111"/>
          <w:sz w:val="28"/>
          <w:sz w:val="28"/>
          <w:szCs w:val="28"/>
          <w:rtl w:val="true"/>
          <w:lang w:bidi="ar-SA"/>
        </w:rPr>
        <w:t>إذا كانَ المَذهبُ مُستَقِرّاً بأنّ ما بَلَغَ مِن المياهِ المحصورةِ كُرّاً لَم يُنجِّسْه شَيءٌ إلّا ما غَيَّرَ أحَدَ أوصافِه؛ فما القولُ في ماءَينِ نَجِسَينِ غيرِ مُتغيِّرَينِ ينقُصُ كُلُّ واحدٍ منهما عن الكُرِّ، خُلِطا فبَلَغا كُرّاً فما زادَ، أهُما نَجسانِ بَعدَ الخَلطِ أم طاهرانِ؟</w:t>
      </w:r>
    </w:p>
    <w:p>
      <w:pPr>
        <w:pStyle w:val="BookText"/>
        <w:rPr/>
      </w:pPr>
      <w:r>
        <w:rPr>
          <w:rFonts w:ascii="Amiri" w:hAnsi="Amiri" w:eastAsia="Amiri" w:cs="Amiri"/>
          <w:color w:val="111111"/>
          <w:sz w:val="28"/>
          <w:sz w:val="28"/>
          <w:szCs w:val="28"/>
          <w:rtl w:val="true"/>
          <w:lang w:bidi="ar-SA"/>
        </w:rPr>
        <w:t>فإن قُلتم بطَهارَتِهما</w:t>
      </w:r>
      <w:r>
        <w:rPr>
          <w:rStyle w:val="FootnoteAnchor"/>
          <w:rtl w:val="true"/>
        </w:rPr>
        <w:footnoteReference w:id="772"/>
      </w:r>
      <w:r>
        <w:rPr>
          <w:rFonts w:ascii="Amiri" w:hAnsi="Amiri" w:eastAsia="Amiri" w:cs="Amiri"/>
          <w:color w:val="111111"/>
          <w:sz w:val="28"/>
          <w:sz w:val="28"/>
          <w:szCs w:val="28"/>
          <w:rtl w:val="true"/>
          <w:lang w:bidi="ar-SA"/>
        </w:rPr>
        <w:t>، فمِن أينَ صارَ الخَلطُ مؤثِّراً الطهارةَ‌</w:t>
      </w:r>
      <w:r>
        <w:rPr>
          <w:rStyle w:val="FootnoteAnchor"/>
          <w:rtl w:val="true"/>
        </w:rPr>
        <w:footnoteReference w:id="7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قُلتم بنَجاسَتِهما، خالَفتم قولَكم بطَهارةِ ما بَلَغَ الكُرَّ مع عدمِ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الصحيحَ في هذه المَسألةِ هو القولُ بأنّ هذا الماءَ يَكونُ طاهراً بَعدَ اختلاطِه إذا كانَ يَبلُغُ كُرّاً؛ لأنّ بلوغَ الماءِ عندَنا هذا المَبلَغَ مُزيلٌ لحُكمِ النجاسةِ التي تَكونُ فيه، و هو مُستَهلِكٌ بكَثرتِه</w:t>
      </w:r>
      <w:r>
        <w:rPr>
          <w:rStyle w:val="FootnoteAnchor"/>
          <w:rtl w:val="true"/>
        </w:rPr>
        <w:footnoteReference w:id="775"/>
      </w:r>
      <w:r>
        <w:rPr>
          <w:rFonts w:ascii="Amiri" w:hAnsi="Amiri" w:eastAsia="Amiri" w:cs="Amiri"/>
          <w:color w:val="111111"/>
          <w:sz w:val="28"/>
          <w:sz w:val="28"/>
          <w:szCs w:val="28"/>
          <w:rtl w:val="true"/>
          <w:lang w:bidi="ar-SA"/>
        </w:rPr>
        <w:t>لها، فكأنّها بحُكمِ الشرعِ غيرُ موجودةٍ، إلّا أن تؤثِّرَ في صفاتِ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كانَ الماءُ بكَثرتِه</w:t>
      </w:r>
      <w:r>
        <w:rPr>
          <w:rStyle w:val="FootnoteAnchor"/>
          <w:rtl w:val="true"/>
        </w:rPr>
        <w:footnoteReference w:id="776"/>
      </w:r>
      <w:r>
        <w:rPr>
          <w:rFonts w:ascii="Amiri" w:hAnsi="Amiri" w:eastAsia="Amiri" w:cs="Amiri"/>
          <w:color w:val="111111"/>
          <w:sz w:val="28"/>
          <w:sz w:val="28"/>
          <w:szCs w:val="28"/>
          <w:rtl w:val="true"/>
          <w:lang w:bidi="ar-SA"/>
        </w:rPr>
        <w:t>و بلوغِه إلىٰ هذا الحَدِّ مُستَهلِكاً النَّجاسةَ‌</w:t>
      </w:r>
      <w:r>
        <w:rPr>
          <w:rStyle w:val="FootnoteAnchor"/>
          <w:rtl w:val="true"/>
        </w:rPr>
        <w:footnoteReference w:id="777"/>
      </w:r>
      <w:r>
        <w:rPr>
          <w:rFonts w:ascii="Amiri" w:hAnsi="Amiri" w:eastAsia="Amiri" w:cs="Amiri"/>
          <w:color w:val="111111"/>
          <w:sz w:val="28"/>
          <w:sz w:val="28"/>
          <w:szCs w:val="28"/>
          <w:rtl w:val="true"/>
          <w:lang w:bidi="ar-SA"/>
        </w:rPr>
        <w:t>الحاصلةَ فيه، فلا فَرقَ بَينَ وقوعِها فيه</w:t>
      </w:r>
      <w:r>
        <w:rPr>
          <w:rStyle w:val="FootnoteAnchor"/>
          <w:rtl w:val="true"/>
        </w:rPr>
        <w:footnoteReference w:id="778"/>
      </w:r>
      <w:r>
        <w:rPr>
          <w:rFonts w:ascii="Amiri" w:hAnsi="Amiri" w:eastAsia="Amiri" w:cs="Amiri"/>
          <w:color w:val="111111"/>
          <w:sz w:val="28"/>
          <w:sz w:val="28"/>
          <w:szCs w:val="28"/>
          <w:rtl w:val="true"/>
          <w:lang w:bidi="ar-SA"/>
        </w:rPr>
        <w:t>بَعدَ تَكامُلِ كَونِه كُرّاً و بَينَ حُصولِها في بعضِه قَبلَ التكامُلِ؛ لأنّ علَى الوجهَينِ معاً النجاسةُ في ماءٍ كَثيرٍ، فيَجِبُ أن لا</w:t>
      </w:r>
      <w:r>
        <w:rPr>
          <w:rStyle w:val="FootnoteAnchor"/>
          <w:rtl w:val="true"/>
        </w:rPr>
        <w:footnoteReference w:id="779"/>
      </w:r>
      <w:r>
        <w:rPr>
          <w:rFonts w:ascii="Amiri" w:hAnsi="Amiri" w:eastAsia="Amiri" w:cs="Amiri"/>
          <w:color w:val="111111"/>
          <w:sz w:val="28"/>
          <w:sz w:val="28"/>
          <w:szCs w:val="28"/>
          <w:rtl w:val="true"/>
          <w:lang w:bidi="ar-SA"/>
        </w:rPr>
        <w:t>يَكونَ لها تأثيرٌ فيه مع عَدَمِ‌</w:t>
      </w:r>
      <w:r>
        <w:rPr>
          <w:rStyle w:val="FootnoteAnchor"/>
          <w:rtl w:val="true"/>
        </w:rPr>
        <w:footnoteReference w:id="780"/>
      </w:r>
      <w:r>
        <w:rPr>
          <w:rFonts w:ascii="Amiri" w:hAnsi="Amiri" w:eastAsia="Amiri" w:cs="Amiri"/>
          <w:color w:val="111111"/>
          <w:sz w:val="28"/>
          <w:sz w:val="28"/>
          <w:szCs w:val="28"/>
          <w:rtl w:val="true"/>
          <w:lang w:bidi="ar-SA"/>
        </w:rPr>
        <w:t>تَغيُّرِ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يُبيِّنُ أنّ الأمرَ علىٰ ما أفتَينا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صادَفنا كُرّاً مِن ماءٍ فيه نَجاسةٌ لَم تُغيِّرْ شَيئاً مِن أَوصافِه، 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بَينَ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نَحكُمُ بطَهارتِه، و نُجيزُ التوَضّؤَ به، و نَحنُ لا نَعلَمُ هَل هذه النَّجاسةُ التي شاهَدناها وَقَعَت فيه قَبلَ تَكامُلِ كَونِه كُرّاً، أو بَعدَ تكامُلِه؟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بَينَ وقوعِها فيه قَبلَ التكامُلِ و بَينَ وقوعِها بَعدَ التكامُلِ فَرقٌ، لَوَجَبَ التوَقُّفُ عن استعمالِ كُلِّ ما نَجِدُ</w:t>
      </w:r>
      <w:r>
        <w:rPr>
          <w:rStyle w:val="FootnoteAnchor"/>
          <w:rtl w:val="true"/>
        </w:rPr>
        <w:footnoteReference w:id="781"/>
      </w:r>
      <w:r>
        <w:rPr>
          <w:rFonts w:ascii="Amiri" w:hAnsi="Amiri" w:eastAsia="Amiri" w:cs="Amiri"/>
          <w:color w:val="111111"/>
          <w:sz w:val="28"/>
          <w:sz w:val="28"/>
          <w:szCs w:val="28"/>
          <w:rtl w:val="true"/>
          <w:lang w:bidi="ar-SA"/>
        </w:rPr>
        <w:t>فيه نَجاسةً لَم تُغيِّرْ أوصافَه، و إن كانَ كَثيراً؛ لأنّا لا نَدري كَيفَ كانَ‌</w:t>
      </w:r>
      <w:r>
        <w:rPr>
          <w:rStyle w:val="FootnoteAnchor"/>
          <w:rtl w:val="true"/>
        </w:rPr>
        <w:footnoteReference w:id="782"/>
      </w:r>
      <w:r>
        <w:rPr>
          <w:rFonts w:ascii="Amiri" w:hAnsi="Amiri" w:eastAsia="Amiri" w:cs="Amiri"/>
          <w:color w:val="111111"/>
          <w:sz w:val="28"/>
          <w:sz w:val="28"/>
          <w:szCs w:val="28"/>
          <w:rtl w:val="true"/>
          <w:lang w:bidi="ar-SA"/>
        </w:rPr>
        <w:t>حُصولُ هذه النَّجاسةِ فيه؛ فلمّا لَم يَكُن بذلكَ اعتبارٌ، دَلَّ علىٰ أنّ الأمرَ علىٰ ما ذَكَرناه</w:t>
      </w:r>
      <w:r>
        <w:rPr>
          <w:rFonts w:eastAsia="Amiri" w:cs="Amiri" w:ascii="Amiri" w:hAnsi="Amiri"/>
          <w:color w:val="111111"/>
          <w:sz w:val="28"/>
          <w:szCs w:val="28"/>
          <w:rtl w:val="true"/>
          <w:lang w:bidi="ar-SA"/>
        </w:rPr>
        <w:t xml:space="preserve">. </w:t>
      </w:r>
      <w:bookmarkStart w:id="136" w:name="pg16437_172458"/>
    </w:p>
    <w:p>
      <w:pPr>
        <w:pStyle w:val="Heading4"/>
        <w:numPr>
          <w:ilvl w:val="3"/>
          <w:numId w:val="1"/>
        </w:numPr>
        <w:rPr/>
      </w:pPr>
      <w:bookmarkStart w:id="137" w:name="__RefHeading___Toc8039549_1280447820"/>
      <w:bookmarkStart w:id="138" w:name="_Toc49"/>
      <w:bookmarkEnd w:id="136"/>
      <w:bookmarkEnd w:id="137"/>
      <w:r>
        <w:rPr>
          <w:rtl w:val="true"/>
        </w:rPr>
        <w:t>المَسألةُ الثامنةَ عَشْرَةَ‌سَجدةُ قِراءةِ العَزائمِ في الصلاةِ تَجِبُ بَعدَ الفَراغِ مِن الصَلاةِ‌</w:t>
      </w:r>
      <w:bookmarkEnd w:id="138"/>
    </w:p>
    <w:p>
      <w:pPr>
        <w:pStyle w:val="BookText"/>
        <w:rPr/>
      </w:pPr>
      <w:r>
        <w:rPr>
          <w:rFonts w:ascii="Amiri" w:hAnsi="Amiri" w:eastAsia="Amiri" w:cs="Amiri"/>
          <w:color w:val="111111"/>
          <w:sz w:val="28"/>
          <w:sz w:val="28"/>
          <w:szCs w:val="28"/>
          <w:rtl w:val="true"/>
          <w:lang w:bidi="ar-SA"/>
        </w:rPr>
        <w:t>المَسألةُ الثامنةَ عَشْرَةَ‌</w:t>
      </w:r>
      <w:r>
        <w:rPr>
          <w:rStyle w:val="FootnoteAnchor"/>
          <w:rtl w:val="true"/>
        </w:rPr>
        <w:footnoteReference w:id="783"/>
      </w:r>
      <w:r>
        <w:rPr>
          <w:rFonts w:ascii="Amiri" w:hAnsi="Amiri" w:eastAsia="Amiri" w:cs="Amiri"/>
          <w:color w:val="111111"/>
          <w:sz w:val="28"/>
          <w:sz w:val="28"/>
          <w:szCs w:val="28"/>
          <w:rtl w:val="true"/>
          <w:lang w:bidi="ar-SA"/>
        </w:rPr>
        <w:t>سَجدةُ قِراءةِ العَزائمِ في الصلاةِ تَجِبُ بَعدَ الفَراغِ مِن الصَلاةِ</w:t>
      </w:r>
    </w:p>
    <w:p>
      <w:pPr>
        <w:pStyle w:val="BookText"/>
        <w:rPr/>
      </w:pPr>
      <w:r>
        <w:rPr>
          <w:rFonts w:ascii="Amiri" w:hAnsi="Amiri" w:eastAsia="Amiri" w:cs="Amiri"/>
          <w:color w:val="111111"/>
          <w:sz w:val="28"/>
          <w:sz w:val="28"/>
          <w:szCs w:val="28"/>
          <w:rtl w:val="true"/>
          <w:lang w:bidi="ar-SA"/>
        </w:rPr>
        <w:t>ما القولُ فيمَن سَها أو قَصَدَ، فقَرأَ في بعضِ فرائضِه سورةً مِن عَزائمِ السجودِ، فلَم يَذكُرْ حتّىٰ لَفَظَ بالآيةِ التي يَجِبُ لها السجودُ، أيَسجُدُ أم لا؟</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أَوجَبتم إفسادَ صَلاةٍ كانَ يَجِبُ عليه</w:t>
      </w:r>
      <w:r>
        <w:rPr>
          <w:rStyle w:val="FootnoteAnchor"/>
          <w:rtl w:val="true"/>
        </w:rPr>
        <w:footnoteReference w:id="784"/>
      </w:r>
      <w:r>
        <w:rPr>
          <w:rFonts w:ascii="Amiri" w:hAnsi="Amiri" w:eastAsia="Amiri" w:cs="Amiri"/>
          <w:color w:val="111111"/>
          <w:sz w:val="28"/>
          <w:sz w:val="28"/>
          <w:szCs w:val="28"/>
          <w:rtl w:val="true"/>
          <w:lang w:bidi="ar-SA"/>
        </w:rPr>
        <w:t>المُضيُّ فيها، بزيادةٍ فيها سَجدةً لَيسَت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أَبَحتم الإخلالَ بالواجبِ عليه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أمرانِ لا يُمكِنُ الجمعُ بَينَهما؛ أَبينوا</w:t>
      </w:r>
      <w:r>
        <w:rPr>
          <w:rStyle w:val="FootnoteAnchor"/>
          <w:rtl w:val="true"/>
        </w:rPr>
        <w:footnoteReference w:id="785"/>
      </w:r>
      <w:r>
        <w:rPr>
          <w:rFonts w:ascii="Amiri" w:hAnsi="Amiri" w:eastAsia="Amiri" w:cs="Amiri"/>
          <w:color w:val="111111"/>
          <w:sz w:val="28"/>
          <w:sz w:val="28"/>
          <w:szCs w:val="28"/>
          <w:rtl w:val="true"/>
          <w:lang w:bidi="ar-SA"/>
        </w:rPr>
        <w:t>عمّا يَصِحُّ الإخلالُ به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ذلكَ إذا اتَّفَقَ مِن غيرِ قَصدٍ إليه، فالأَولىٰ أن يَتوقَّفَ عن السجودِ و يَمضيَ في صَلاتِه، فإذا سَلَّمَ سَجَدَ حينَئذٍ؛ فتأخيرُه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وَجَبَ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علىٰ كُلِّ حالٍ مِن</w:t>
      </w:r>
      <w:r>
        <w:rPr>
          <w:rStyle w:val="FootnoteAnchor"/>
          <w:rtl w:val="true"/>
        </w:rPr>
        <w:footnoteReference w:id="787"/>
      </w:r>
      <w:r>
        <w:rPr>
          <w:rFonts w:ascii="Amiri" w:hAnsi="Amiri" w:eastAsia="Amiri" w:cs="Amiri"/>
          <w:color w:val="111111"/>
          <w:sz w:val="28"/>
          <w:sz w:val="28"/>
          <w:szCs w:val="28"/>
          <w:rtl w:val="true"/>
          <w:lang w:bidi="ar-SA"/>
        </w:rPr>
        <w:t>قَطعِ‌</w:t>
      </w:r>
      <w:r>
        <w:rPr>
          <w:rStyle w:val="FootnoteAnchor"/>
          <w:rtl w:val="true"/>
        </w:rPr>
        <w:footnoteReference w:id="788"/>
      </w:r>
      <w:r>
        <w:rPr>
          <w:rFonts w:ascii="Amiri" w:hAnsi="Amiri" w:eastAsia="Amiri" w:cs="Amiri"/>
          <w:color w:val="111111"/>
          <w:sz w:val="28"/>
          <w:sz w:val="28"/>
          <w:szCs w:val="28"/>
          <w:rtl w:val="true"/>
          <w:lang w:bidi="ar-SA"/>
        </w:rPr>
        <w:t>صَلاةٍ قد بَدأَ بها و تَعيَّنَ‌</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عليه الاستمرارُ عليها إلىٰ حينِ الفَراغِ منها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وجوبُ هذا السجودِ جارٍ مَجرىٰ وجوبِ المُضيِّ في الصلاةِ؛ لأنّ الشافعيَّ يَذهَبُ إلىٰ أنّ سُجودَ القُرآنِ لا يَجِبُ علىٰ كُلِّ حالٍ مِن الأحوالِ، في صَلاةٍ و لا غيرِها</w:t>
      </w:r>
      <w:r>
        <w:rPr>
          <w:rStyle w:val="FootnoteAnchor"/>
          <w:rtl w:val="true"/>
        </w:rPr>
        <w:footnoteReference w:id="790"/>
      </w:r>
      <w:r>
        <w:rPr>
          <w:rFonts w:ascii="Amiri" w:hAnsi="Amiri" w:eastAsia="Amiri" w:cs="Amiri"/>
          <w:color w:val="111111"/>
          <w:sz w:val="28"/>
          <w:sz w:val="28"/>
          <w:szCs w:val="28"/>
          <w:rtl w:val="true"/>
          <w:lang w:bidi="ar-SA"/>
        </w:rPr>
        <w:t>و وجوبُ المُضيِّ في صَلاتِه لا خِلافَ فيه</w:t>
      </w:r>
      <w:r>
        <w:rPr>
          <w:rFonts w:eastAsia="Amiri" w:cs="Amiri" w:ascii="Amiri" w:hAnsi="Amiri"/>
          <w:color w:val="111111"/>
          <w:sz w:val="28"/>
          <w:szCs w:val="28"/>
          <w:rtl w:val="true"/>
          <w:lang w:bidi="ar-SA"/>
        </w:rPr>
        <w:t xml:space="preserve">. </w:t>
      </w:r>
      <w:bookmarkStart w:id="139" w:name="pg16437_172460"/>
    </w:p>
    <w:p>
      <w:pPr>
        <w:pStyle w:val="Heading4"/>
        <w:numPr>
          <w:ilvl w:val="3"/>
          <w:numId w:val="1"/>
        </w:numPr>
        <w:rPr/>
      </w:pPr>
      <w:bookmarkStart w:id="140" w:name="__RefHeading___Toc8039551_1280447820"/>
      <w:bookmarkStart w:id="141" w:name="_Toc50"/>
      <w:bookmarkEnd w:id="139"/>
      <w:bookmarkEnd w:id="140"/>
      <w:r>
        <w:rPr>
          <w:rtl w:val="true"/>
        </w:rPr>
        <w:t>فَصلٌ يَتضمَّنُ مَسألتَينِ تَتعلَّقُ بقضاءِ الصلواتِ الفائتةِ‌</w:t>
      </w:r>
      <w:bookmarkEnd w:id="141"/>
    </w:p>
    <w:p>
      <w:pPr>
        <w:pStyle w:val="Heading4"/>
        <w:numPr>
          <w:ilvl w:val="3"/>
          <w:numId w:val="1"/>
        </w:numPr>
        <w:rPr/>
      </w:pPr>
      <w:bookmarkStart w:id="142" w:name="__RefHeading___Toc8039553_1280447820"/>
      <w:bookmarkStart w:id="143" w:name="_Toc51"/>
      <w:bookmarkEnd w:id="142"/>
      <w:r>
        <w:rPr>
          <w:rtl w:val="true"/>
        </w:rPr>
        <w:t>المَسألةُ التاسعةَ عَشْرةَ و العِشرونَ‌</w:t>
      </w:r>
      <w:bookmarkEnd w:id="143"/>
    </w:p>
    <w:p>
      <w:pPr>
        <w:pStyle w:val="BookText"/>
        <w:rPr/>
      </w:pPr>
      <w:r>
        <w:rPr>
          <w:rFonts w:ascii="Amiri" w:hAnsi="Amiri" w:eastAsia="Amiri" w:cs="Amiri"/>
          <w:color w:val="111111"/>
          <w:sz w:val="28"/>
          <w:sz w:val="28"/>
          <w:szCs w:val="28"/>
          <w:rtl w:val="true"/>
          <w:lang w:bidi="ar-SA"/>
        </w:rPr>
        <w:t>المَسألةُ التاسعةَ عَشْرةَ و العِشرونَ‌</w:t>
      </w:r>
      <w:r>
        <w:rPr>
          <w:rStyle w:val="FootnoteAnchor"/>
          <w:rtl w:val="true"/>
        </w:rPr>
        <w:footnoteReference w:id="7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إجماعُنا</w:t>
      </w:r>
      <w:r>
        <w:rPr>
          <w:rStyle w:val="FootnoteAnchor"/>
          <w:rtl w:val="true"/>
        </w:rPr>
        <w:footnoteReference w:id="793"/>
      </w:r>
      <w:r>
        <w:rPr>
          <w:rFonts w:ascii="Amiri" w:hAnsi="Amiri" w:eastAsia="Amiri" w:cs="Amiri"/>
          <w:color w:val="111111"/>
          <w:sz w:val="28"/>
          <w:sz w:val="28"/>
          <w:szCs w:val="28"/>
          <w:rtl w:val="true"/>
          <w:lang w:bidi="ar-SA"/>
        </w:rPr>
        <w:t>مُستَقِرّاً بوجوبِ تقديمِ الفائتِ مِن فَرائضِ الصلَواتِ‌</w:t>
      </w:r>
      <w:r>
        <w:rPr>
          <w:rStyle w:val="FootnoteAnchor"/>
          <w:rtl w:val="true"/>
        </w:rPr>
        <w:footnoteReference w:id="794"/>
      </w:r>
      <w:r>
        <w:rPr>
          <w:rFonts w:ascii="Amiri" w:hAnsi="Amiri" w:eastAsia="Amiri" w:cs="Amiri"/>
          <w:color w:val="111111"/>
          <w:sz w:val="28"/>
          <w:sz w:val="28"/>
          <w:szCs w:val="28"/>
          <w:rtl w:val="true"/>
          <w:lang w:bidi="ar-SA"/>
        </w:rPr>
        <w:t>علَى الحاضرِ منها إلىٰ أن يَبقىٰ مِن</w:t>
      </w:r>
      <w:r>
        <w:rPr>
          <w:rStyle w:val="FootnoteAnchor"/>
          <w:rtl w:val="true"/>
        </w:rPr>
        <w:footnoteReference w:id="795"/>
      </w:r>
      <w:r>
        <w:rPr>
          <w:rFonts w:ascii="Amiri" w:hAnsi="Amiri" w:eastAsia="Amiri" w:cs="Amiri"/>
          <w:color w:val="111111"/>
          <w:sz w:val="28"/>
          <w:sz w:val="28"/>
          <w:szCs w:val="28"/>
          <w:rtl w:val="true"/>
          <w:lang w:bidi="ar-SA"/>
        </w:rPr>
        <w:t>وقتِه مقدارُ فِعلِه، فما القولُ فيمن صَلّىٰ فَرضاً حاضِراً في أوّلِ وقتِه أو ثانيهِ‌</w:t>
      </w:r>
      <w:r>
        <w:rPr>
          <w:rStyle w:val="FootnoteAnchor"/>
          <w:rtl w:val="true"/>
        </w:rPr>
        <w:footnoteReference w:id="796"/>
      </w:r>
      <w:r>
        <w:rPr>
          <w:rFonts w:ascii="Amiri" w:hAnsi="Amiri" w:eastAsia="Amiri" w:cs="Amiri"/>
          <w:color w:val="111111"/>
          <w:sz w:val="28"/>
          <w:sz w:val="28"/>
          <w:szCs w:val="28"/>
          <w:rtl w:val="true"/>
          <w:lang w:bidi="ar-SA"/>
        </w:rPr>
        <w:t>، و عليه فائتٌ، أيُجزيهِ ذلكَ‌</w:t>
      </w:r>
      <w:r>
        <w:rPr>
          <w:rStyle w:val="FootnoteAnchor"/>
          <w:rtl w:val="true"/>
        </w:rPr>
        <w:footnoteReference w:id="797"/>
      </w:r>
      <w:r>
        <w:rPr>
          <w:rFonts w:ascii="Amiri" w:hAnsi="Amiri" w:eastAsia="Amiri" w:cs="Amiri"/>
          <w:color w:val="111111"/>
          <w:sz w:val="28"/>
          <w:sz w:val="28"/>
          <w:szCs w:val="28"/>
          <w:rtl w:val="true"/>
          <w:lang w:bidi="ar-SA"/>
        </w:rPr>
        <w:t>مع كَونِه مُرتكِباً للنهيِ، أم يَجِبُ عليه إعادةُ الصلاةِ في آخِرِ الوقتِ؟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مُجزياً، فما فائدةُ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عليه صَلاةٌ</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و كَيفَ تَكونُ‌</w:t>
      </w:r>
      <w:r>
        <w:rPr>
          <w:rStyle w:val="FootnoteAnchor"/>
          <w:rtl w:val="true"/>
        </w:rPr>
        <w:footnoteReference w:id="799"/>
      </w:r>
      <w:r>
        <w:rPr>
          <w:rFonts w:ascii="Amiri" w:hAnsi="Amiri" w:eastAsia="Amiri" w:cs="Amiri"/>
          <w:color w:val="111111"/>
          <w:sz w:val="28"/>
          <w:sz w:val="28"/>
          <w:szCs w:val="28"/>
          <w:rtl w:val="true"/>
          <w:lang w:bidi="ar-SA"/>
        </w:rPr>
        <w:t>مُجزيةً‌</w:t>
      </w:r>
      <w:r>
        <w:rPr>
          <w:rStyle w:val="FootnoteAnchor"/>
          <w:rtl w:val="true"/>
        </w:rPr>
        <w:footnoteReference w:id="800"/>
      </w:r>
      <w:r>
        <w:rPr>
          <w:rFonts w:ascii="Amiri" w:hAnsi="Amiri" w:eastAsia="Amiri" w:cs="Amiri"/>
          <w:color w:val="111111"/>
          <w:sz w:val="28"/>
          <w:sz w:val="28"/>
          <w:szCs w:val="28"/>
          <w:rtl w:val="true"/>
          <w:lang w:bidi="ar-SA"/>
        </w:rPr>
        <w:t xml:space="preserve">، مع كَونِه مُرتَكِباً للنهيِ بفِعلِها في أوّلِ وقتِها قَبلَ القَضاءِ؟ </w:t>
      </w:r>
    </w:p>
    <w:p>
      <w:pPr>
        <w:pStyle w:val="BookText"/>
        <w:rPr/>
      </w:pPr>
      <w:r>
        <w:rPr>
          <w:rFonts w:ascii="Amiri" w:hAnsi="Amiri" w:eastAsia="Amiri" w:cs="Amiri"/>
          <w:color w:val="111111"/>
          <w:sz w:val="28"/>
          <w:sz w:val="28"/>
          <w:szCs w:val="28"/>
          <w:rtl w:val="true"/>
          <w:lang w:bidi="ar-SA"/>
        </w:rPr>
        <w:t>و إن كانَت غيرَ مُجزيةٍ، فكَيفَ حُكِمَ بفَسادِها، و قد أَوقَعَها مُكلَّفُها</w:t>
      </w:r>
      <w:r>
        <w:rPr>
          <w:rStyle w:val="FootnoteAnchor"/>
          <w:rtl w:val="true"/>
        </w:rPr>
        <w:footnoteReference w:id="801"/>
      </w:r>
      <w:r>
        <w:rPr>
          <w:rFonts w:ascii="Amiri" w:hAnsi="Amiri" w:eastAsia="Amiri" w:cs="Amiri"/>
          <w:color w:val="111111"/>
          <w:sz w:val="28"/>
          <w:sz w:val="28"/>
          <w:szCs w:val="28"/>
          <w:rtl w:val="true"/>
          <w:lang w:bidi="ar-SA"/>
        </w:rPr>
        <w:t>بِنيّتِها المخصوصةِ، و أتىٰ بجميعِ أحكامِها و شُروطِها في وقتٍ‌</w:t>
      </w:r>
      <w:r>
        <w:rPr>
          <w:rStyle w:val="FootnoteAnchor"/>
          <w:rtl w:val="true"/>
        </w:rPr>
        <w:footnoteReference w:id="802"/>
      </w:r>
      <w:r>
        <w:rPr>
          <w:rFonts w:ascii="Amiri" w:hAnsi="Amiri" w:eastAsia="Amiri" w:cs="Amiri"/>
          <w:color w:val="111111"/>
          <w:sz w:val="28"/>
          <w:sz w:val="28"/>
          <w:szCs w:val="28"/>
          <w:rtl w:val="true"/>
          <w:lang w:bidi="ar-SA"/>
        </w:rPr>
        <w:t>يَصِحُّ فِعلُها فيه بإجماعٍ‌</w:t>
      </w:r>
      <w:r>
        <w:rPr>
          <w:rStyle w:val="FootnoteAnchor"/>
          <w:rtl w:val="true"/>
        </w:rPr>
        <w:footnoteReference w:id="803"/>
      </w:r>
      <w:r>
        <w:rPr>
          <w:rFonts w:ascii="Amiri" w:hAnsi="Amiri" w:eastAsia="Amiri" w:cs="Amiri"/>
          <w:color w:val="111111"/>
          <w:sz w:val="28"/>
          <w:sz w:val="28"/>
          <w:szCs w:val="28"/>
          <w:rtl w:val="true"/>
          <w:lang w:bidi="ar-SA"/>
        </w:rPr>
        <w:t>؟ فإعادتُها بَعدَ فِعلِها علىٰ هذا الوجهِ يَحتاجُ إلىٰ دليلٍ، و لا أعلَمُ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حُكمُ مَن عليه صَلَواتٌ كَثيرةٌ، لا يُمكِنُه قَضاؤها إلّافي زمانٍ طَويلٍ؛ أيَشتَغِلُ‌</w:t>
      </w:r>
      <w:r>
        <w:rPr>
          <w:rStyle w:val="FootnoteAnchor"/>
          <w:rtl w:val="true"/>
        </w:rPr>
        <w:footnoteReference w:id="805"/>
      </w:r>
      <w:r>
        <w:rPr>
          <w:rFonts w:ascii="Amiri" w:hAnsi="Amiri" w:eastAsia="Amiri" w:cs="Amiri"/>
          <w:color w:val="111111"/>
          <w:sz w:val="28"/>
          <w:sz w:val="28"/>
          <w:szCs w:val="28"/>
          <w:rtl w:val="true"/>
          <w:lang w:bidi="ar-SA"/>
        </w:rPr>
        <w:t>بقَضائها جميعَ زمانِه إلّا</w:t>
      </w:r>
      <w:r>
        <w:rPr>
          <w:rStyle w:val="FootnoteAnchor"/>
          <w:rtl w:val="true"/>
        </w:rPr>
        <w:footnoteReference w:id="806"/>
      </w:r>
      <w:r>
        <w:rPr>
          <w:rFonts w:ascii="Amiri" w:hAnsi="Amiri" w:eastAsia="Amiri" w:cs="Amiri"/>
          <w:color w:val="111111"/>
          <w:sz w:val="28"/>
          <w:sz w:val="28"/>
          <w:szCs w:val="28"/>
          <w:rtl w:val="true"/>
          <w:lang w:bidi="ar-SA"/>
        </w:rPr>
        <w:t>آخِرَ وقتِ الفَريضةِ الحاضِرةِ؟ فذلكَ يَقطَعُه عن</w:t>
      </w:r>
      <w:r>
        <w:rPr>
          <w:rStyle w:val="FootnoteAnchor"/>
          <w:rtl w:val="true"/>
        </w:rPr>
        <w:footnoteReference w:id="807"/>
      </w:r>
      <w:r>
        <w:rPr>
          <w:rFonts w:ascii="Amiri" w:hAnsi="Amiri" w:eastAsia="Amiri" w:cs="Amiri"/>
          <w:color w:val="111111"/>
          <w:sz w:val="28"/>
          <w:sz w:val="28"/>
          <w:szCs w:val="28"/>
          <w:rtl w:val="true"/>
          <w:lang w:bidi="ar-SA"/>
        </w:rPr>
        <w:t>التعيُّشِ و سَدِّ الخَلّةِ، و يَمنَعُه مِن النومِ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مُباحاً له التشاغُلُ بسَدِّ الخَلّةِ و حِفظِ الحياةِ بالراحةِ بالنومِ مع تَعلُّقِ فَرضِ القَضاءِ بذِمّتِه، فهَل مُباحٌ‌</w:t>
      </w:r>
      <w:r>
        <w:rPr>
          <w:rStyle w:val="FootnoteAnchor"/>
          <w:rtl w:val="true"/>
        </w:rPr>
        <w:footnoteReference w:id="808"/>
      </w:r>
      <w:r>
        <w:rPr>
          <w:rFonts w:ascii="Amiri" w:hAnsi="Amiri" w:eastAsia="Amiri" w:cs="Amiri"/>
          <w:color w:val="111111"/>
          <w:sz w:val="28"/>
          <w:sz w:val="28"/>
          <w:szCs w:val="28"/>
          <w:rtl w:val="true"/>
          <w:lang w:bidi="ar-SA"/>
        </w:rPr>
        <w:t>له ما خَرَجَ عن ذلكَ و زادَ عليه ما هو مُستَغنٍ عنه في الحالِ؟ أم لا يَجوزُ التشاغُلُ بما زادَ علىٰ ما يَحفَظُ به حياتَه و حياةَ‌</w:t>
      </w:r>
      <w:r>
        <w:rPr>
          <w:rStyle w:val="FootnoteAnchor"/>
          <w:rtl w:val="true"/>
        </w:rPr>
        <w:footnoteReference w:id="809"/>
      </w:r>
      <w:r>
        <w:rPr>
          <w:rFonts w:ascii="Amiri" w:hAnsi="Amiri" w:eastAsia="Amiri" w:cs="Amiri"/>
          <w:color w:val="111111"/>
          <w:sz w:val="28"/>
          <w:sz w:val="28"/>
          <w:szCs w:val="28"/>
          <w:rtl w:val="true"/>
          <w:lang w:bidi="ar-SA"/>
        </w:rPr>
        <w:t>مَن يَجِبُ عليه القيامُ به مِن لباسٍ و غِذاءٍ؟</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حُكمُ فَرضِ يَومِه و لَيلتِه</w:t>
      </w:r>
      <w:r>
        <w:rPr>
          <w:rStyle w:val="FootnoteAnchor"/>
          <w:rtl w:val="true"/>
        </w:rPr>
        <w:footnoteReference w:id="810"/>
      </w:r>
      <w:r>
        <w:rPr>
          <w:rFonts w:ascii="Amiri" w:hAnsi="Amiri" w:eastAsia="Amiri" w:cs="Amiri"/>
          <w:color w:val="111111"/>
          <w:sz w:val="28"/>
          <w:sz w:val="28"/>
          <w:szCs w:val="28"/>
          <w:rtl w:val="true"/>
          <w:lang w:bidi="ar-SA"/>
        </w:rPr>
        <w:t>في زمانِ إباحةِ التعيُّشِ‌</w:t>
      </w:r>
      <w:r>
        <w:rPr>
          <w:rStyle w:val="FootnoteAnchor"/>
          <w:rtl w:val="true"/>
        </w:rPr>
        <w:footnoteReference w:id="811"/>
      </w:r>
      <w:r>
        <w:rPr>
          <w:rFonts w:ascii="Amiri" w:hAnsi="Amiri" w:eastAsia="Amiri" w:cs="Amiri"/>
          <w:color w:val="111111"/>
          <w:sz w:val="28"/>
          <w:sz w:val="28"/>
          <w:szCs w:val="28"/>
          <w:rtl w:val="true"/>
          <w:lang w:bidi="ar-SA"/>
        </w:rPr>
        <w:t>و النومِ؛ يُقدِّمُه في أوّلِ وقتِه مع ما عليه من الفوائتِ؟ أم يؤخِّرُه إلى آخِرِ</w:t>
      </w:r>
      <w:r>
        <w:rPr>
          <w:rStyle w:val="FootnoteAnchor"/>
          <w:rtl w:val="true"/>
        </w:rPr>
        <w:footnoteReference w:id="812"/>
      </w:r>
      <w:r>
        <w:rPr>
          <w:rFonts w:ascii="Amiri" w:hAnsi="Amiri" w:eastAsia="Amiri" w:cs="Amiri"/>
          <w:color w:val="111111"/>
          <w:sz w:val="28"/>
          <w:sz w:val="28"/>
          <w:szCs w:val="28"/>
          <w:rtl w:val="true"/>
          <w:lang w:bidi="ar-SA"/>
        </w:rPr>
        <w:t>وقتِه</w:t>
      </w:r>
      <w:r>
        <w:rPr>
          <w:rStyle w:val="FootnoteAnchor"/>
          <w:rtl w:val="true"/>
        </w:rPr>
        <w:footnoteReference w:id="813"/>
      </w:r>
      <w:r>
        <w:rPr>
          <w:rFonts w:ascii="Amiri" w:hAnsi="Amiri" w:eastAsia="Amiri" w:cs="Amiri"/>
          <w:color w:val="111111"/>
          <w:sz w:val="28"/>
          <w:sz w:val="28"/>
          <w:szCs w:val="28"/>
          <w:rtl w:val="true"/>
          <w:lang w:bidi="ar-SA"/>
        </w:rPr>
        <w:t xml:space="preserve">، و إن كانَ مُتَشاغِلاً عنه بالتكَسُّبِ؟ </w:t>
      </w:r>
      <w:bookmarkStart w:id="144" w:name="pg16437_172462"/>
    </w:p>
    <w:p>
      <w:pPr>
        <w:pStyle w:val="BookText"/>
        <w:rPr/>
      </w:pPr>
      <w:bookmarkEnd w:id="144"/>
      <w:r>
        <w:rPr>
          <w:rFonts w:ascii="Amiri" w:hAnsi="Amiri" w:eastAsia="Amiri" w:cs="Amiri"/>
          <w:color w:val="111111"/>
          <w:sz w:val="28"/>
          <w:sz w:val="28"/>
          <w:szCs w:val="28"/>
          <w:rtl w:val="true"/>
          <w:lang w:bidi="ar-SA"/>
        </w:rPr>
        <w:t>و هَل يَجوزُ لِمَن عليه فَرائضُ فائتةٌ‌</w:t>
      </w:r>
      <w:r>
        <w:rPr>
          <w:rStyle w:val="FootnoteAnchor"/>
          <w:rtl w:val="true"/>
        </w:rPr>
        <w:footnoteReference w:id="814"/>
      </w:r>
      <w:r>
        <w:rPr>
          <w:rFonts w:ascii="Amiri" w:hAnsi="Amiri" w:eastAsia="Amiri" w:cs="Amiri"/>
          <w:color w:val="111111"/>
          <w:sz w:val="28"/>
          <w:sz w:val="28"/>
          <w:szCs w:val="28"/>
          <w:rtl w:val="true"/>
          <w:lang w:bidi="ar-SA"/>
        </w:rPr>
        <w:t>غيرُ الصلاةِ أن يَبتَدئَ‌</w:t>
      </w:r>
      <w:r>
        <w:rPr>
          <w:rStyle w:val="FootnoteAnchor"/>
          <w:rtl w:val="true"/>
        </w:rPr>
        <w:footnoteReference w:id="815"/>
      </w:r>
      <w:r>
        <w:rPr>
          <w:rFonts w:ascii="Amiri" w:hAnsi="Amiri" w:eastAsia="Amiri" w:cs="Amiri"/>
          <w:color w:val="111111"/>
          <w:sz w:val="28"/>
          <w:sz w:val="28"/>
          <w:szCs w:val="28"/>
          <w:rtl w:val="true"/>
          <w:lang w:bidi="ar-SA"/>
        </w:rPr>
        <w:t>ما خوطِبَ به مِن جنسِها؟ أم حُكمُ سائرِ الفَرائضِ حُكمُ الصلاةِ في وجوبِ التقديمِ علَى الحاضرِ؟</w:t>
      </w:r>
    </w:p>
    <w:p>
      <w:pPr>
        <w:pStyle w:val="Heading4"/>
        <w:numPr>
          <w:ilvl w:val="3"/>
          <w:numId w:val="1"/>
        </w:numPr>
        <w:rPr/>
      </w:pPr>
      <w:bookmarkStart w:id="145" w:name="__RefHeading___Toc8039555_1280447820"/>
      <w:bookmarkStart w:id="146" w:name="_Toc52"/>
      <w:bookmarkEnd w:id="145"/>
      <w:r>
        <w:rPr>
          <w:rtl w:val="true"/>
        </w:rPr>
        <w:t>جوابُ المسألتَينِ المتعلِّقتَينِ بقضاءِ الصلواتِ الفائتةِ‌</w:t>
      </w:r>
      <w:bookmarkEnd w:id="146"/>
    </w:p>
    <w:p>
      <w:pPr>
        <w:pStyle w:val="Heading5"/>
        <w:numPr>
          <w:ilvl w:val="4"/>
          <w:numId w:val="1"/>
        </w:numPr>
        <w:rPr/>
      </w:pPr>
      <w:bookmarkStart w:id="147" w:name="__RefHeading___Toc8039557_1280447820"/>
      <w:bookmarkStart w:id="148" w:name="_Toc53"/>
      <w:bookmarkEnd w:id="147"/>
      <w:r>
        <w:rPr>
          <w:rtl w:val="true"/>
        </w:rPr>
        <w:t>عدم إجزاء أداء الصلاة مع تذكّر الفائتة</w:t>
      </w:r>
      <w:bookmarkEnd w:id="148"/>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المسألةِ الأُولىٰ‌</w:t>
      </w:r>
      <w:r>
        <w:rPr>
          <w:rStyle w:val="FootnoteAnchor"/>
          <w:rtl w:val="true"/>
        </w:rPr>
        <w:footnoteReference w:id="8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 صَلّىٰ فَرضاً حاضرَ الوقتِ في أوّلِ وقتِه، أو قَبلَ تَضيُّقِ وقتِ أدائه، و عليه فَريضةُ صلاةٍ فائتةٍ، يَجِبُ أن يَكونَ ما فَعَلَه غيرَ مُجزٍ عنه، و أن يَجِبَ عليه إعادةُ تلكَ الصلاةِ في آخِرِ وقتِها؛ لأنّه مَنهيٌّ عن هذه الصلاةِ، و النهيُ يَقتَضي الفَسادَ</w:t>
      </w:r>
      <w:r>
        <w:rPr>
          <w:rStyle w:val="FootnoteAnchor"/>
          <w:rtl w:val="true"/>
        </w:rPr>
        <w:footnoteReference w:id="818"/>
      </w:r>
      <w:r>
        <w:rPr>
          <w:rFonts w:ascii="Amiri" w:hAnsi="Amiri" w:eastAsia="Amiri" w:cs="Amiri"/>
          <w:color w:val="111111"/>
          <w:sz w:val="28"/>
          <w:sz w:val="28"/>
          <w:szCs w:val="28"/>
          <w:rtl w:val="true"/>
          <w:lang w:bidi="ar-SA"/>
        </w:rPr>
        <w:t>و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هذه الصلاةَ مفعولةٌ في غيرِ وقتِها المشروعِ لها</w:t>
      </w:r>
      <w:r>
        <w:rPr>
          <w:rStyle w:val="FootnoteAnchor"/>
          <w:rtl w:val="true"/>
        </w:rPr>
        <w:footnoteReference w:id="819"/>
      </w:r>
      <w:r>
        <w:rPr>
          <w:rFonts w:ascii="Amiri" w:hAnsi="Amiri" w:eastAsia="Amiri" w:cs="Amiri"/>
          <w:color w:val="111111"/>
          <w:sz w:val="28"/>
          <w:sz w:val="28"/>
          <w:szCs w:val="28"/>
          <w:rtl w:val="true"/>
          <w:lang w:bidi="ar-SA"/>
        </w:rPr>
        <w:t>لأنّه إذا ذَكَرَ أنّ عليه فَريضةً فائتةً، فقَد تَعيَّنَ عليه بالذِّكرِ أداءُ تلكَ الفائتةِ في ذلكَ الوقتِ بعَينِه؛ فإذا صَلّىٰ في هذا الوقتِ غيرَ هذه الصلاةِ، كانَ مُصلّياً في غيرِ وقتِها المشروعِ لها، فتَجِبُ‌</w:t>
      </w:r>
      <w:r>
        <w:rPr>
          <w:rStyle w:val="FootnoteAnchor"/>
          <w:rtl w:val="true"/>
        </w:rPr>
        <w:footnoteReference w:id="820"/>
      </w:r>
      <w:r>
        <w:rPr>
          <w:rFonts w:ascii="Amiri" w:hAnsi="Amiri" w:eastAsia="Amiri" w:cs="Amiri"/>
          <w:color w:val="111111"/>
          <w:sz w:val="28"/>
          <w:sz w:val="28"/>
          <w:szCs w:val="28"/>
          <w:rtl w:val="true"/>
          <w:lang w:bidi="ar-SA"/>
        </w:rPr>
        <w:t>عليه</w:t>
      </w:r>
      <w:r>
        <w:rPr>
          <w:rStyle w:val="FootnoteAnchor"/>
          <w:rtl w:val="true"/>
        </w:rPr>
        <w:footnoteReference w:id="821"/>
      </w:r>
      <w:r>
        <w:rPr>
          <w:rFonts w:ascii="Amiri" w:hAnsi="Amiri" w:eastAsia="Amiri" w:cs="Amiri"/>
          <w:color w:val="111111"/>
          <w:sz w:val="28"/>
          <w:sz w:val="28"/>
          <w:szCs w:val="28"/>
          <w:rtl w:val="true"/>
          <w:lang w:bidi="ar-SA"/>
        </w:rPr>
        <w:t>الإعادةُ لا مَحالةَ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مضىٰ في الكلامِ مِن القولِ بأنّ وجوبَ الإعادةِ يَحتاجُ إلىٰ دليلٍ؛ فَقَد </w:t>
      </w:r>
      <w:bookmarkStart w:id="149" w:name="pg16437_172463"/>
    </w:p>
    <w:p>
      <w:pPr>
        <w:pStyle w:val="BookText"/>
        <w:rPr/>
      </w:pPr>
      <w:bookmarkEnd w:id="149"/>
      <w:r>
        <w:rPr>
          <w:rFonts w:ascii="Amiri" w:hAnsi="Amiri" w:eastAsia="Amiri" w:cs="Amiri"/>
          <w:color w:val="111111"/>
          <w:sz w:val="28"/>
          <w:sz w:val="28"/>
          <w:szCs w:val="28"/>
          <w:rtl w:val="true"/>
          <w:lang w:bidi="ar-SA"/>
        </w:rPr>
        <w:t>ذَكَرنا الدليلَ علىٰ ذلكَ، فلا نُسلِّمُ أنّه أوقَعَ هذه الصلاةَ علىٰ جميعِ شَرائطِها المشروعةِ و في</w:t>
      </w:r>
      <w:r>
        <w:rPr>
          <w:rStyle w:val="FootnoteAnchor"/>
          <w:rtl w:val="true"/>
        </w:rPr>
        <w:footnoteReference w:id="822"/>
      </w:r>
      <w:r>
        <w:rPr>
          <w:rFonts w:ascii="Amiri" w:hAnsi="Amiri" w:eastAsia="Amiri" w:cs="Amiri"/>
          <w:color w:val="111111"/>
          <w:sz w:val="28"/>
          <w:sz w:val="28"/>
          <w:szCs w:val="28"/>
          <w:rtl w:val="true"/>
          <w:lang w:bidi="ar-SA"/>
        </w:rPr>
        <w:t>وقتٍ يَصِحُّ فِعلُها فيه؛ لأنّ مِن شَرطِ هذه الصلاةِ مع ذِكرِ الفائتةِ أن تؤدّىٰ‌</w:t>
      </w:r>
      <w:r>
        <w:rPr>
          <w:rStyle w:val="FootnoteAnchor"/>
          <w:rtl w:val="true"/>
        </w:rPr>
        <w:footnoteReference w:id="823"/>
      </w:r>
      <w:r>
        <w:rPr>
          <w:rFonts w:ascii="Amiri" w:hAnsi="Amiri" w:eastAsia="Amiri" w:cs="Amiri"/>
          <w:color w:val="111111"/>
          <w:sz w:val="28"/>
          <w:sz w:val="28"/>
          <w:szCs w:val="28"/>
          <w:rtl w:val="true"/>
          <w:lang w:bidi="ar-SA"/>
        </w:rPr>
        <w:t>بَعدَ قَضاءِ الفائتةِ‌</w:t>
      </w:r>
      <w:r>
        <w:rPr>
          <w:rStyle w:val="FootnoteAnchor"/>
          <w:rtl w:val="true"/>
        </w:rPr>
        <w:footnoteReference w:id="824"/>
      </w:r>
      <w:r>
        <w:rPr>
          <w:rFonts w:ascii="Amiri" w:hAnsi="Amiri" w:eastAsia="Amiri" w:cs="Amiri"/>
          <w:color w:val="111111"/>
          <w:sz w:val="28"/>
          <w:sz w:val="28"/>
          <w:szCs w:val="28"/>
          <w:rtl w:val="true"/>
          <w:lang w:bidi="ar-SA"/>
        </w:rPr>
        <w:t>، فالوقتُ الذي أدّاها فيه وقتٌ لَم يُضرَبْ لها الآنَ‌</w:t>
      </w:r>
      <w:r>
        <w:rPr>
          <w:rStyle w:val="FootnoteAnchor"/>
          <w:rtl w:val="true"/>
        </w:rPr>
        <w:footnoteReference w:id="825"/>
      </w:r>
      <w:r>
        <w:rPr>
          <w:rFonts w:ascii="Amiri" w:hAnsi="Amiri" w:eastAsia="Amiri" w:cs="Amiri"/>
          <w:color w:val="111111"/>
          <w:sz w:val="28"/>
          <w:sz w:val="28"/>
          <w:szCs w:val="28"/>
          <w:rtl w:val="true"/>
          <w:lang w:bidi="ar-SA"/>
        </w:rPr>
        <w:t>، و إن كانَ‌</w:t>
      </w:r>
      <w:r>
        <w:rPr>
          <w:rStyle w:val="FootnoteAnchor"/>
          <w:rtl w:val="true"/>
        </w:rPr>
        <w:footnoteReference w:id="826"/>
      </w:r>
      <w:r>
        <w:rPr>
          <w:rFonts w:ascii="Amiri" w:hAnsi="Amiri" w:eastAsia="Amiri" w:cs="Amiri"/>
          <w:color w:val="111111"/>
          <w:sz w:val="28"/>
          <w:sz w:val="28"/>
          <w:szCs w:val="28"/>
          <w:rtl w:val="true"/>
          <w:lang w:bidi="ar-SA"/>
        </w:rPr>
        <w:t>يَصِحُّ أن يَكونَ وقتاً لها لَو لَم يَذكُرِ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شُبهةَ فيه للمُتأمِّلِ</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8039559_1280447820"/>
      <w:bookmarkStart w:id="151" w:name="_Toc54"/>
      <w:bookmarkEnd w:id="150"/>
      <w:r>
        <w:rPr>
          <w:rtl w:val="true"/>
        </w:rPr>
        <w:t>حكمُ مَن عليه صلواتٌ فائتةٌ كثيرةٌ‌</w:t>
      </w:r>
      <w:bookmarkEnd w:id="151"/>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مَن عليه صلَواتٌ كَثيرةٌ لا يُمكِنُه قَضاؤها إلّافي زمانٍ طويلٍ أن يَقضيَها في كُلِّ زمانٍ، إلّافي وقتِ فَريضةٍ حاضرةٍ يَخافُ فَوتَها متىٰ‌</w:t>
      </w:r>
      <w:r>
        <w:rPr>
          <w:rStyle w:val="FootnoteAnchor"/>
          <w:rtl w:val="true"/>
        </w:rPr>
        <w:footnoteReference w:id="829"/>
      </w:r>
      <w:r>
        <w:rPr>
          <w:rFonts w:ascii="Amiri" w:hAnsi="Amiri" w:eastAsia="Amiri" w:cs="Amiri"/>
          <w:color w:val="111111"/>
          <w:sz w:val="28"/>
          <w:sz w:val="28"/>
          <w:szCs w:val="28"/>
          <w:rtl w:val="true"/>
          <w:lang w:bidi="ar-SA"/>
        </w:rPr>
        <w:t>تَشاغَلَ‌</w:t>
      </w:r>
      <w:r>
        <w:rPr>
          <w:rStyle w:val="FootnoteAnchor"/>
          <w:rtl w:val="true"/>
        </w:rPr>
        <w:footnoteReference w:id="830"/>
      </w:r>
      <w:r>
        <w:rPr>
          <w:rFonts w:ascii="Amiri" w:hAnsi="Amiri" w:eastAsia="Amiri" w:cs="Amiri"/>
          <w:color w:val="111111"/>
          <w:sz w:val="28"/>
          <w:sz w:val="28"/>
          <w:szCs w:val="28"/>
          <w:rtl w:val="true"/>
          <w:lang w:bidi="ar-SA"/>
        </w:rPr>
        <w:t>بالقَضاءِ، فيُقدِّمُ أداءَ الحاضرةِ‌</w:t>
      </w:r>
      <w:r>
        <w:rPr>
          <w:rStyle w:val="FootnoteAnchor"/>
          <w:rtl w:val="true"/>
        </w:rPr>
        <w:footnoteReference w:id="831"/>
      </w:r>
      <w:r>
        <w:rPr>
          <w:rFonts w:ascii="Amiri" w:hAnsi="Amiri" w:eastAsia="Amiri" w:cs="Amiri"/>
          <w:color w:val="111111"/>
          <w:sz w:val="28"/>
          <w:sz w:val="28"/>
          <w:szCs w:val="28"/>
          <w:rtl w:val="true"/>
          <w:lang w:bidi="ar-SA"/>
        </w:rPr>
        <w:t>ثُمَّ يَعودُ إلَى التشاغُلِ بالقَضاءِ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مُحتاجاً إلىٰ تَعيُّشٍ يَسُدُّ به جَوعتَه و ما لا يُمكِنُه</w:t>
      </w:r>
      <w:r>
        <w:rPr>
          <w:rStyle w:val="FootnoteAnchor"/>
          <w:rtl w:val="true"/>
        </w:rPr>
        <w:footnoteReference w:id="832"/>
      </w:r>
      <w:r>
        <w:rPr>
          <w:rFonts w:ascii="Amiri" w:hAnsi="Amiri" w:eastAsia="Amiri" w:cs="Amiri"/>
          <w:color w:val="111111"/>
          <w:sz w:val="28"/>
          <w:sz w:val="28"/>
          <w:szCs w:val="28"/>
          <w:rtl w:val="true"/>
          <w:lang w:bidi="ar-SA"/>
        </w:rPr>
        <w:t xml:space="preserve">دَفعُه مِن خَلَّتِه، كانَ </w:t>
      </w:r>
    </w:p>
    <w:p>
      <w:pPr>
        <w:pStyle w:val="BookText"/>
        <w:rPr/>
      </w:pPr>
      <w:r>
        <w:rPr>
          <w:rFonts w:ascii="Amiri" w:hAnsi="Amiri" w:eastAsia="Amiri" w:cs="Amiri"/>
          <w:color w:val="111111"/>
          <w:sz w:val="28"/>
          <w:sz w:val="28"/>
          <w:szCs w:val="28"/>
          <w:rtl w:val="true"/>
          <w:lang w:bidi="ar-SA"/>
        </w:rPr>
        <w:t>ذلكَ الزمانُ الذي يَتشاغَلُ فيه بالتعيُّشِ مُستَثنىً مِن أوقاتِ القَضاءِ‌</w:t>
      </w:r>
      <w:r>
        <w:rPr>
          <w:rStyle w:val="FootnoteAnchor"/>
          <w:rtl w:val="true"/>
        </w:rPr>
        <w:footnoteReference w:id="833"/>
      </w:r>
      <w:r>
        <w:rPr>
          <w:rFonts w:ascii="Amiri" w:hAnsi="Amiri" w:eastAsia="Amiri" w:cs="Amiri"/>
          <w:color w:val="111111"/>
          <w:sz w:val="28"/>
          <w:sz w:val="28"/>
          <w:szCs w:val="28"/>
          <w:rtl w:val="true"/>
          <w:lang w:bidi="ar-SA"/>
        </w:rPr>
        <w:t>كَما استَثنَينا</w:t>
      </w:r>
      <w:r>
        <w:rPr>
          <w:rStyle w:val="FootnoteAnchor"/>
          <w:rtl w:val="true"/>
        </w:rPr>
        <w:footnoteReference w:id="834"/>
      </w:r>
      <w:r>
        <w:rPr>
          <w:rFonts w:ascii="Amiri" w:hAnsi="Amiri" w:eastAsia="Amiri" w:cs="Amiri"/>
          <w:color w:val="111111"/>
          <w:sz w:val="28"/>
          <w:sz w:val="28"/>
          <w:szCs w:val="28"/>
          <w:rtl w:val="true"/>
          <w:lang w:bidi="ar-SA"/>
        </w:rPr>
        <w:t>منها زمانَ الصلاةِ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له الزيادةُ علىٰ مقدارِ الزمانِ الذي لا بُدَّ منه في طلبِ ما يُمسِكُ‌</w:t>
      </w:r>
      <w:r>
        <w:rPr>
          <w:rStyle w:val="FootnoteAnchor"/>
          <w:rtl w:val="true"/>
        </w:rPr>
        <w:footnoteReference w:id="835"/>
      </w:r>
      <w:r>
        <w:rPr>
          <w:rFonts w:ascii="Amiri" w:hAnsi="Amiri" w:eastAsia="Amiri" w:cs="Amiri"/>
          <w:color w:val="111111"/>
          <w:sz w:val="28"/>
          <w:sz w:val="28"/>
          <w:szCs w:val="28"/>
          <w:rtl w:val="true"/>
          <w:lang w:bidi="ar-SA"/>
        </w:rPr>
        <w:t>الرَّمَقَ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أَبَحنا له العُدولَ عن القَضاءِ الواجبِ لضَرورةِ التَعيُّشِ، فيَجِبُ أن يَكونَ ما زادَ عليها غيرَ</w:t>
      </w:r>
      <w:r>
        <w:rPr>
          <w:rStyle w:val="FootnoteAnchor"/>
          <w:rtl w:val="true"/>
        </w:rPr>
        <w:footnoteReference w:id="836"/>
      </w:r>
      <w:r>
        <w:rPr>
          <w:rFonts w:ascii="Amiri" w:hAnsi="Amiri" w:eastAsia="Amiri" w:cs="Amiri"/>
          <w:color w:val="111111"/>
          <w:sz w:val="28"/>
          <w:sz w:val="28"/>
          <w:szCs w:val="28"/>
          <w:rtl w:val="true"/>
          <w:lang w:bidi="ar-SA"/>
        </w:rPr>
        <w:t>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مَن عليه فَرضُ نفقةٍ في وجوبِ تحصيلِها كحُكمِ نفقتِه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837"/>
      </w:r>
      <w:r>
        <w:rPr>
          <w:rFonts w:ascii="Amiri" w:hAnsi="Amiri" w:eastAsia="Amiri" w:cs="Amiri"/>
          <w:color w:val="111111"/>
          <w:sz w:val="28"/>
          <w:sz w:val="28"/>
          <w:szCs w:val="28"/>
          <w:rtl w:val="true"/>
          <w:lang w:bidi="ar-SA"/>
        </w:rPr>
        <w:t>فَرضُ يَومِه و لَيلتِه في زمانِ التعيُّشِ، فلا يَجوزُ أن يَفعَلَه إلّافي آخِرِ الوقتِ، كَما قُلنا مِن قَبلُ‌</w:t>
      </w:r>
      <w:r>
        <w:rPr>
          <w:rStyle w:val="FootnoteAnchor"/>
          <w:rtl w:val="true"/>
        </w:rPr>
        <w:footnoteReference w:id="838"/>
      </w:r>
      <w:r>
        <w:rPr>
          <w:rFonts w:ascii="Amiri" w:hAnsi="Amiri" w:eastAsia="Amiri" w:cs="Amiri"/>
          <w:color w:val="111111"/>
          <w:sz w:val="28"/>
          <w:sz w:val="28"/>
          <w:szCs w:val="28"/>
          <w:rtl w:val="true"/>
          <w:lang w:bidi="ar-SA"/>
        </w:rPr>
        <w:t>فإنّ الوجهَ في ذلكَ لا يَتغيَّرُ بإباحةِ التعيُّشِ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839"/>
      </w:r>
      <w:r>
        <w:rPr>
          <w:rFonts w:ascii="Amiri" w:hAnsi="Amiri" w:eastAsia="Amiri" w:cs="Amiri"/>
          <w:color w:val="111111"/>
          <w:sz w:val="28"/>
          <w:sz w:val="28"/>
          <w:szCs w:val="28"/>
          <w:rtl w:val="true"/>
          <w:lang w:bidi="ar-SA"/>
        </w:rPr>
        <w:t xml:space="preserve">النومُ، فيَجري ما يُمسِكُ الحياةَ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التشاغُلِ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ما يُمسِكُ الحياةَ مِن الغِذاءِ و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الفرائضُ الفائتةُ غيرُ الصلاةِ، فلَيسَت جاريةً مَجرَى الفائتِ مِن الصلاةِ في تَعيُّنِ‌</w:t>
      </w:r>
      <w:r>
        <w:rPr>
          <w:rStyle w:val="FootnoteAnchor"/>
          <w:rtl w:val="true"/>
        </w:rPr>
        <w:footnoteReference w:id="840"/>
      </w:r>
      <w:r>
        <w:rPr>
          <w:rFonts w:ascii="Amiri" w:hAnsi="Amiri" w:eastAsia="Amiri" w:cs="Amiri"/>
          <w:color w:val="111111"/>
          <w:sz w:val="28"/>
          <w:sz w:val="28"/>
          <w:szCs w:val="28"/>
          <w:rtl w:val="true"/>
          <w:lang w:bidi="ar-SA"/>
        </w:rPr>
        <w:t>وقتِ القَضاءِ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مَن فاتَه صيامُ أيّامٍ مِن شَهرِ رَمَضانَ، فإنّه مُخيَّرٌ في تقديمِ القَضاءِ و تأخيرِه إلىٰ أن يَخافَ هُجومَ شَهرِ رَمَضانَ الثاني، فيَتضيَّقُ‌</w:t>
      </w:r>
      <w:r>
        <w:rPr>
          <w:rStyle w:val="FootnoteAnchor"/>
          <w:rtl w:val="true"/>
        </w:rPr>
        <w:footnoteReference w:id="841"/>
      </w:r>
      <w:r>
        <w:rPr>
          <w:rFonts w:ascii="Amiri" w:hAnsi="Amiri" w:eastAsia="Amiri" w:cs="Amiri"/>
          <w:color w:val="111111"/>
          <w:sz w:val="28"/>
          <w:sz w:val="28"/>
          <w:szCs w:val="28"/>
          <w:rtl w:val="true"/>
          <w:lang w:bidi="ar-SA"/>
        </w:rPr>
        <w:t xml:space="preserve">عليه حينَئذٍ القَضاءُ؟ </w:t>
      </w:r>
    </w:p>
    <w:p>
      <w:pPr>
        <w:pStyle w:val="BookText"/>
        <w:rPr/>
      </w:pPr>
      <w:r>
        <w:rPr>
          <w:rFonts w:ascii="Amiri" w:hAnsi="Amiri" w:eastAsia="Amiri" w:cs="Amiri"/>
          <w:color w:val="111111"/>
          <w:sz w:val="28"/>
          <w:sz w:val="28"/>
          <w:szCs w:val="28"/>
          <w:rtl w:val="true"/>
          <w:lang w:bidi="ar-SA"/>
        </w:rPr>
        <w:t>و يَجوزُ لِمَن عليه صيامُ أيّامٍ مِن شَهرِ رَمَضانَ أن يَصومَ نَذراً عليه، أو يَصومَ عن كَفّارةٍ لَزِمَته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صامَ نَفلاً أيضاً لَجازَ، و إن كانَ مكروهاً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كذلكَ الصلاةُ الفائتةُ؛ لأنّ وقتَ الذِّكرِ يَتعيَّنُ في فِعلِها، بشَرطِ أن لا يَقتَضيَ فَوتَ صَلاةٍ حاضرٍ وقتُها</w:t>
      </w:r>
      <w:r>
        <w:rPr>
          <w:rFonts w:eastAsia="Amiri" w:cs="Amiri" w:ascii="Amiri" w:hAnsi="Amiri"/>
          <w:color w:val="111111"/>
          <w:sz w:val="28"/>
          <w:szCs w:val="28"/>
          <w:rtl w:val="true"/>
          <w:lang w:bidi="ar-SA"/>
        </w:rPr>
        <w:t xml:space="preserve">. </w:t>
      </w:r>
      <w:bookmarkStart w:id="152" w:name="pg16437_172466"/>
    </w:p>
    <w:p>
      <w:pPr>
        <w:pStyle w:val="Heading4"/>
        <w:numPr>
          <w:ilvl w:val="3"/>
          <w:numId w:val="1"/>
        </w:numPr>
        <w:rPr/>
      </w:pPr>
      <w:bookmarkStart w:id="153" w:name="__RefHeading___Toc8039561_1280447820"/>
      <w:bookmarkStart w:id="154" w:name="_Toc55"/>
      <w:bookmarkEnd w:id="152"/>
      <w:bookmarkEnd w:id="153"/>
      <w:r>
        <w:rPr>
          <w:rtl w:val="true"/>
        </w:rPr>
        <w:t>المَسألةُ الحاديةُ و العِشرونَ إ ثباتُ حُجّيّةِ إجماعِ الطائفةِ‌</w:t>
      </w:r>
      <w:bookmarkEnd w:id="154"/>
    </w:p>
    <w:p>
      <w:pPr>
        <w:pStyle w:val="BookText"/>
        <w:rPr/>
      </w:pPr>
      <w:r>
        <w:rPr>
          <w:rFonts w:ascii="Amiri" w:hAnsi="Amiri" w:eastAsia="Amiri" w:cs="Amiri"/>
          <w:color w:val="111111"/>
          <w:sz w:val="28"/>
          <w:sz w:val="28"/>
          <w:szCs w:val="28"/>
          <w:rtl w:val="true"/>
          <w:lang w:bidi="ar-SA"/>
        </w:rPr>
        <w:t xml:space="preserve">إذا كانَ طريقُ مُعظَمِ الأحكامِ الشرعيّةِ إجماعَ علماءِ الفِرقةِ المُحِقّةِ؛ لِكَونِ 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يَجوزُ عليه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w:t>
      </w:r>
      <w:r>
        <w:rPr>
          <w:rStyle w:val="FootnoteAnchor"/>
          <w:rtl w:val="true"/>
        </w:rPr>
        <w:footnoteReference w:id="842"/>
      </w:r>
      <w:r>
        <w:rPr>
          <w:rFonts w:ascii="Amiri" w:hAnsi="Amiri" w:eastAsia="Amiri" w:cs="Amiri"/>
          <w:color w:val="111111"/>
          <w:sz w:val="28"/>
          <w:sz w:val="28"/>
          <w:szCs w:val="28"/>
          <w:rtl w:val="true"/>
          <w:lang w:bidi="ar-SA"/>
        </w:rPr>
        <w:t>مِن علمائهم، دونَ عامّتِهم و علماءِ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العلماءُ مِن هذه الفِرقةِ محصورينَ؛ بدليلِ عدمِ التجويزِ لوجودِ عالِمٍ منهم تُعرَفُ فُتياه</w:t>
      </w:r>
      <w:r>
        <w:rPr>
          <w:rStyle w:val="FootnoteAnchor"/>
          <w:rtl w:val="true"/>
        </w:rPr>
        <w:footnoteReference w:id="843"/>
      </w:r>
      <w:r>
        <w:rPr>
          <w:rFonts w:ascii="Amiri" w:hAnsi="Amiri" w:eastAsia="Amiri" w:cs="Amiri"/>
          <w:color w:val="111111"/>
          <w:sz w:val="28"/>
          <w:sz w:val="28"/>
          <w:szCs w:val="28"/>
          <w:rtl w:val="true"/>
          <w:lang w:bidi="ar-SA"/>
        </w:rPr>
        <w:t>، مع تَعذُّرِ مَعرِفتِه بعَينِه و اسمِه 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هذه القضيّةِ يوجِبُ أحَدَ أُمورٍ، كُلٌّ منها لا يُمكِنُ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كَونُ فُتيا الإمامِ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المُرتَفِعةِ مَعرفتُه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إجماعِ علماءِ الإماميّةِ؛ و هذا يَمنَعُ مِن الثقةِ بإجماعِهم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كَونُ فُتياه داخلةً فيهم؛ فهذا يوجِبُ تَعيُّنَه و تَميُّزَ فُتياه، و هذا مُتعذِّرٌ الآنَ مع غَيبتِه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حُصولُ فُتياه في جُملةِ فُتياهم، مع تَعذُّرِ مَعرِفةِ شَخصِه، فهذا يؤدّي إلىٰ تجويزِ عِدّةِ علماءَ لا سَبيلَ إلَى العِلمِ بتَميُّزِهم؛ لأنّه إذا جازَ في فُتيا الإمامِ، و هو سيِّدُ العلماءِ و رَئيسُ المِلَّةِ، أن تَتعذَّرَ مَعرِفتُه</w:t>
      </w:r>
      <w:r>
        <w:rPr>
          <w:rStyle w:val="FootnoteAnchor"/>
          <w:rtl w:val="true"/>
        </w:rPr>
        <w:footnoteReference w:id="844"/>
      </w:r>
      <w:r>
        <w:rPr>
          <w:rFonts w:ascii="Amiri" w:hAnsi="Amiri" w:eastAsia="Amiri" w:cs="Amiri"/>
          <w:color w:val="111111"/>
          <w:sz w:val="28"/>
          <w:sz w:val="28"/>
          <w:szCs w:val="28"/>
          <w:rtl w:val="true"/>
          <w:lang w:bidi="ar-SA"/>
        </w:rPr>
        <w:t xml:space="preserve">علىٰ سَبيلِ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حُصولِها </w:t>
      </w:r>
    </w:p>
    <w:p>
      <w:pPr>
        <w:pStyle w:val="BookText"/>
        <w:rPr/>
      </w:pPr>
      <w:r>
        <w:rPr>
          <w:rFonts w:ascii="Amiri" w:hAnsi="Amiri" w:eastAsia="Amiri" w:cs="Amiri"/>
          <w:color w:val="111111"/>
          <w:sz w:val="28"/>
          <w:sz w:val="28"/>
          <w:szCs w:val="28"/>
          <w:rtl w:val="true"/>
          <w:lang w:bidi="ar-SA"/>
        </w:rPr>
        <w:t xml:space="preserve">في جُملةِ فُتيا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في علماءِ شيعتِه أجوَزُ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يَمنَعُ مِن القَطعِ عَلىٰ حُصولِ إجماعِهم علَى الحُكمِ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845"/>
      </w:r>
      <w:r>
        <w:rPr>
          <w:rFonts w:ascii="Amiri" w:hAnsi="Amiri" w:eastAsia="Amiri" w:cs="Amiri"/>
          <w:color w:val="111111"/>
          <w:sz w:val="28"/>
          <w:sz w:val="28"/>
          <w:szCs w:val="28"/>
          <w:rtl w:val="true"/>
          <w:lang w:bidi="ar-SA"/>
        </w:rPr>
        <w:t>إمساكَه عن النَّكيرِ دَلالةٌ علىٰ رِضاه بالفُتيا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طريقةُ المُتقدِّمينَ مِن شُيوخِنا، و قد رَغِبنا عنها، و صَرَّحنا بخِلافِها؛ لأنّ فيها الاعترافَ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 يَدُلُّ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 لغَيرِه؛ مِن الخَوفِ المعلومِ حُصولُه للغائبِ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قولَ إمامِ الزمانِ و فُتياه في كُلِّ‌</w:t>
      </w:r>
      <w:r>
        <w:rPr>
          <w:rStyle w:val="FootnoteAnchor"/>
          <w:rtl w:val="true"/>
        </w:rPr>
        <w:footnoteReference w:id="847"/>
      </w:r>
      <w:r>
        <w:rPr>
          <w:rFonts w:ascii="Amiri" w:hAnsi="Amiri" w:eastAsia="Amiri" w:cs="Amiri"/>
          <w:color w:val="111111"/>
          <w:sz w:val="28"/>
          <w:sz w:val="28"/>
          <w:szCs w:val="28"/>
          <w:rtl w:val="true"/>
          <w:lang w:bidi="ar-SA"/>
        </w:rPr>
        <w:t>حادثةٍ مِن الشرائعِ لا بُدَّ أن يَكونا</w:t>
      </w:r>
      <w:r>
        <w:rPr>
          <w:rStyle w:val="FootnoteAnchor"/>
          <w:rtl w:val="true"/>
        </w:rPr>
        <w:footnoteReference w:id="848"/>
      </w:r>
      <w:r>
        <w:rPr>
          <w:rFonts w:ascii="Amiri" w:hAnsi="Amiri" w:eastAsia="Amiri" w:cs="Amiri"/>
          <w:color w:val="111111"/>
          <w:sz w:val="28"/>
          <w:sz w:val="28"/>
          <w:szCs w:val="28"/>
          <w:rtl w:val="true"/>
          <w:lang w:bidi="ar-SA"/>
        </w:rPr>
        <w:t>في جُملةِ أقوالِ علماءِ الفِرقةِ الإماميّةِ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كُلُّ عالِمٍ مِن علماءِ الفِرقةِ‌</w:t>
      </w:r>
      <w:r>
        <w:rPr>
          <w:rStyle w:val="FootnoteAnchor"/>
          <w:rtl w:val="true"/>
        </w:rPr>
        <w:footnoteReference w:id="849"/>
      </w:r>
      <w:r>
        <w:rPr>
          <w:rFonts w:ascii="Amiri" w:hAnsi="Amiri" w:eastAsia="Amiri" w:cs="Amiri"/>
          <w:color w:val="111111"/>
          <w:sz w:val="28"/>
          <w:sz w:val="28"/>
          <w:szCs w:val="28"/>
          <w:rtl w:val="true"/>
          <w:lang w:bidi="ar-SA"/>
        </w:rPr>
        <w:t>الإماميّةِ يُعلَمُ‌</w:t>
      </w:r>
      <w:r>
        <w:rPr>
          <w:rStyle w:val="FootnoteAnchor"/>
          <w:rtl w:val="true"/>
        </w:rPr>
        <w:footnoteReference w:id="850"/>
      </w:r>
      <w:r>
        <w:rPr>
          <w:rFonts w:ascii="Amiri" w:hAnsi="Amiri" w:eastAsia="Amiri" w:cs="Amiri"/>
          <w:color w:val="111111"/>
          <w:sz w:val="28"/>
          <w:sz w:val="28"/>
          <w:szCs w:val="28"/>
          <w:rtl w:val="true"/>
          <w:lang w:bidi="ar-SA"/>
        </w:rPr>
        <w:t>بعَينِه و اسمِه و نَسَبِه على سَبيلِ التمييزِ، و</w:t>
      </w:r>
      <w:r>
        <w:rPr>
          <w:rStyle w:val="FootnoteAnchor"/>
          <w:rtl w:val="true"/>
        </w:rPr>
        <w:footnoteReference w:id="851"/>
      </w:r>
      <w:r>
        <w:rPr>
          <w:rFonts w:ascii="Amiri" w:hAnsi="Amiri" w:eastAsia="Amiri" w:cs="Amiri"/>
          <w:color w:val="111111"/>
          <w:sz w:val="28"/>
          <w:sz w:val="28"/>
          <w:szCs w:val="28"/>
          <w:rtl w:val="true"/>
          <w:lang w:bidi="ar-SA"/>
        </w:rPr>
        <w:t>إنّما يُعلَمُ‌</w:t>
      </w:r>
      <w:r>
        <w:rPr>
          <w:rStyle w:val="FootnoteAnchor"/>
          <w:rtl w:val="true"/>
        </w:rPr>
        <w:footnoteReference w:id="852"/>
      </w:r>
      <w:r>
        <w:rPr>
          <w:rFonts w:ascii="Amiri" w:hAnsi="Amiri" w:eastAsia="Amiri" w:cs="Amiri"/>
          <w:color w:val="111111"/>
          <w:sz w:val="28"/>
          <w:sz w:val="28"/>
          <w:szCs w:val="28"/>
          <w:rtl w:val="true"/>
          <w:lang w:bidi="ar-SA"/>
        </w:rPr>
        <w:t>علىٰ سَبيلِ التفصيلِ بالعَينِ و الِاسمِ و النَّسَبِ مِن علماءِ هذه</w:t>
      </w:r>
      <w:r>
        <w:rPr>
          <w:rStyle w:val="FootnoteAnchor"/>
          <w:rtl w:val="true"/>
        </w:rPr>
        <w:footnoteReference w:id="853"/>
      </w:r>
      <w:r>
        <w:rPr>
          <w:rFonts w:ascii="Amiri" w:hAnsi="Amiri" w:eastAsia="Amiri" w:cs="Amiri"/>
          <w:color w:val="111111"/>
          <w:sz w:val="28"/>
          <w:sz w:val="28"/>
          <w:szCs w:val="28"/>
          <w:rtl w:val="true"/>
          <w:lang w:bidi="ar-SA"/>
        </w:rPr>
        <w:t>الطائفةِ مَن اشتَهَرَ</w:t>
      </w:r>
      <w:r>
        <w:rPr>
          <w:rStyle w:val="FootnoteAnchor"/>
          <w:rtl w:val="true"/>
        </w:rPr>
        <w:footnoteReference w:id="854"/>
      </w:r>
      <w:r>
        <w:rPr>
          <w:rFonts w:ascii="Amiri" w:hAnsi="Amiri" w:eastAsia="Amiri" w:cs="Amiri"/>
          <w:color w:val="111111"/>
          <w:sz w:val="28"/>
          <w:sz w:val="28"/>
          <w:szCs w:val="28"/>
          <w:rtl w:val="true"/>
          <w:lang w:bidi="ar-SA"/>
        </w:rPr>
        <w:t>باشتهارِ كُتُبِه و تصنيفاتِه</w:t>
      </w:r>
      <w:r>
        <w:rPr>
          <w:rStyle w:val="FootnoteAnchor"/>
          <w:rtl w:val="true"/>
        </w:rPr>
        <w:footnoteReference w:id="855"/>
      </w:r>
      <w:r>
        <w:rPr>
          <w:rFonts w:ascii="Amiri" w:hAnsi="Amiri" w:eastAsia="Amiri" w:cs="Amiri"/>
          <w:color w:val="111111"/>
          <w:sz w:val="28"/>
          <w:sz w:val="28"/>
          <w:szCs w:val="28"/>
          <w:rtl w:val="true"/>
          <w:lang w:bidi="ar-SA"/>
        </w:rPr>
        <w:t xml:space="preserve">و رئاستِه و أحوالٍ له </w:t>
      </w:r>
    </w:p>
    <w:p>
      <w:pPr>
        <w:pStyle w:val="BookText"/>
        <w:rPr/>
      </w:pPr>
      <w:r>
        <w:rPr>
          <w:rFonts w:ascii="Amiri" w:hAnsi="Amiri" w:eastAsia="Amiri" w:cs="Amiri"/>
          <w:color w:val="111111"/>
          <w:sz w:val="28"/>
          <w:sz w:val="28"/>
          <w:szCs w:val="28"/>
          <w:rtl w:val="true"/>
          <w:lang w:bidi="ar-SA"/>
        </w:rPr>
        <w:t xml:space="preserve">مخصوصةٍ؛ و إلّافمَن نَعلَمُه علىٰ سَبيلِ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نَعلَمْه على سَبيلِ التفصيلِ و التعيينِ‌</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ممّن</w:t>
      </w:r>
      <w:r>
        <w:rPr>
          <w:rStyle w:val="FootnoteAnchor"/>
          <w:rtl w:val="true"/>
        </w:rPr>
        <w:footnoteReference w:id="857"/>
      </w:r>
      <w:r>
        <w:rPr>
          <w:rFonts w:ascii="Amiri" w:hAnsi="Amiri" w:eastAsia="Amiri" w:cs="Amiri"/>
          <w:color w:val="111111"/>
          <w:sz w:val="28"/>
          <w:sz w:val="28"/>
          <w:szCs w:val="28"/>
          <w:rtl w:val="true"/>
          <w:lang w:bidi="ar-SA"/>
        </w:rPr>
        <w:t>عَرَفناه بِاسمِه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الذي يَدَّعي مَعرِفةَ كُلِّ عالِمٍ مِن علماءِ كُلِّ فِرقةٍ مِن فِرَقِ المُسلِمينَ بعَينِه و اسمِه و نَسَبِه في كُلِّ زمانٍ و علىٰ كُلِّ حالٍ؟</w:t>
      </w:r>
    </w:p>
    <w:p>
      <w:pPr>
        <w:pStyle w:val="BookText"/>
        <w:rPr/>
      </w:pPr>
      <w:r>
        <w:rPr>
          <w:rFonts w:ascii="Amiri" w:hAnsi="Amiri" w:eastAsia="Amiri" w:cs="Amiri"/>
          <w:color w:val="111111"/>
          <w:sz w:val="28"/>
          <w:sz w:val="28"/>
          <w:szCs w:val="28"/>
          <w:rtl w:val="true"/>
          <w:lang w:bidi="ar-SA"/>
        </w:rPr>
        <w:t>فعَلىٰ هذا الذي قَرَّرناه، لا يَجِبُ القَطعُ علىٰ أنّ مَن لَم نَعرِفْه بعَينِه و اسمِه و نَسَبِه مِن علماءِ الإماميّةِ، يَجِبُ نفيُه و القَطعُ علىٰ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إذا كُنّا لا نَعلَمُ عَينَ كُلِّ عالِمٍ مِن</w:t>
      </w:r>
      <w:r>
        <w:rPr>
          <w:rStyle w:val="FootnoteAnchor"/>
          <w:rtl w:val="true"/>
        </w:rPr>
        <w:footnoteReference w:id="858"/>
      </w:r>
      <w:r>
        <w:rPr>
          <w:rFonts w:ascii="Amiri" w:hAnsi="Amiri" w:eastAsia="Amiri" w:cs="Amiri"/>
          <w:color w:val="111111"/>
          <w:sz w:val="28"/>
          <w:sz w:val="28"/>
          <w:szCs w:val="28"/>
          <w:rtl w:val="true"/>
          <w:lang w:bidi="ar-SA"/>
        </w:rPr>
        <w:t>الإماميّةِ و اسمَه و نَسَبَه، وَجَبَ أن لا نَكونَ عالِمينَ علَى الجُملةِ بمَذهبِه، و أنّه مُوافِقٌ لِمَن عَرَفنا عَينَه و اسمَه و نَسَبَه؛ لأنّ العِلمَ بأقوالِ الفِرَقِ و مَذاهبِها يُعلَمُ ضَرورةً علىٰ سَبيلِ الجُملةِ؛ إمّا باللُّقيا أو بالمُشافَهةِ‌</w:t>
      </w:r>
      <w:r>
        <w:rPr>
          <w:rStyle w:val="FootnoteAnchor"/>
          <w:rtl w:val="true"/>
        </w:rPr>
        <w:footnoteReference w:id="859"/>
      </w:r>
      <w:r>
        <w:rPr>
          <w:rFonts w:ascii="Amiri" w:hAnsi="Amiri" w:eastAsia="Amiri" w:cs="Amiri"/>
          <w:color w:val="111111"/>
          <w:sz w:val="28"/>
          <w:sz w:val="28"/>
          <w:szCs w:val="28"/>
          <w:rtl w:val="true"/>
          <w:lang w:bidi="ar-SA"/>
        </w:rPr>
        <w:t>أو بالأخبارِ المُتَواتِرةِ، و إن لَم يَفتَقِرْ هذا العِلمُ إلىٰ تمييزِ</w:t>
      </w:r>
      <w:r>
        <w:rPr>
          <w:rStyle w:val="FootnoteAnchor"/>
          <w:rtl w:val="true"/>
        </w:rPr>
        <w:footnoteReference w:id="860"/>
      </w:r>
      <w:r>
        <w:rPr>
          <w:rFonts w:ascii="Amiri" w:hAnsi="Amiri" w:eastAsia="Amiri" w:cs="Amiri"/>
          <w:color w:val="111111"/>
          <w:sz w:val="28"/>
          <w:sz w:val="28"/>
          <w:szCs w:val="28"/>
          <w:rtl w:val="true"/>
          <w:lang w:bidi="ar-SA"/>
        </w:rPr>
        <w:t>الأشخاصِ و تعيينِهم</w:t>
      </w:r>
      <w:r>
        <w:rPr>
          <w:rStyle w:val="FootnoteAnchor"/>
          <w:rtl w:val="true"/>
        </w:rPr>
        <w:footnoteReference w:id="861"/>
      </w:r>
      <w:r>
        <w:rPr>
          <w:rFonts w:ascii="Amiri" w:hAnsi="Amiri" w:eastAsia="Amiri" w:cs="Amiri"/>
          <w:color w:val="111111"/>
          <w:sz w:val="28"/>
          <w:sz w:val="28"/>
          <w:szCs w:val="28"/>
          <w:rtl w:val="true"/>
          <w:lang w:bidi="ar-SA"/>
        </w:rPr>
        <w:t>و تَسميَتِهم؛ لأنّا نَعلَمُ ضَرورةً أنّ كُلَّ عالِمٍ مِن علماءِ الإماميّةِ يَذهَبُ إلىٰ أنّ الإمامَ يَجِبُ أن يَكونَ معصوماً منصوصاً عليه، و إن لَم نَعلَمْ‌</w:t>
      </w:r>
      <w:r>
        <w:rPr>
          <w:rStyle w:val="FootnoteAnchor"/>
          <w:rtl w:val="true"/>
        </w:rPr>
        <w:footnoteReference w:id="862"/>
      </w:r>
      <w:r>
        <w:rPr>
          <w:rFonts w:ascii="Amiri" w:hAnsi="Amiri" w:eastAsia="Amiri" w:cs="Amiri"/>
          <w:color w:val="111111"/>
          <w:sz w:val="28"/>
          <w:sz w:val="28"/>
          <w:szCs w:val="28"/>
          <w:rtl w:val="true"/>
          <w:lang w:bidi="ar-SA"/>
        </w:rPr>
        <w:t>كُلَّ قائلٍ بذلكَ و ذاهبٍ إليه بعَينِه و اسمِه و نَسَبِه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القولُ‌</w:t>
      </w:r>
      <w:r>
        <w:rPr>
          <w:rStyle w:val="FootnoteAnchor"/>
          <w:rtl w:val="true"/>
        </w:rPr>
        <w:footnoteReference w:id="863"/>
      </w:r>
      <w:r>
        <w:rPr>
          <w:rFonts w:ascii="Amiri" w:hAnsi="Amiri" w:eastAsia="Amiri" w:cs="Amiri"/>
          <w:color w:val="111111"/>
          <w:sz w:val="28"/>
          <w:sz w:val="28"/>
          <w:szCs w:val="28"/>
          <w:rtl w:val="true"/>
          <w:lang w:bidi="ar-SA"/>
        </w:rPr>
        <w:t xml:space="preserve">في العِلمِ بإجماعِ علماءِ كُلِّ فِرقةٍ مِن فِرَقِ المُسلِمينَ، أنّ الجُملةَ </w:t>
      </w:r>
    </w:p>
    <w:p>
      <w:pPr>
        <w:pStyle w:val="BookText"/>
        <w:rPr/>
      </w:pPr>
      <w:r>
        <w:rPr>
          <w:rFonts w:ascii="Amiri" w:hAnsi="Amiri" w:eastAsia="Amiri" w:cs="Amiri"/>
          <w:color w:val="111111"/>
          <w:sz w:val="28"/>
          <w:sz w:val="28"/>
          <w:szCs w:val="28"/>
          <w:rtl w:val="true"/>
          <w:lang w:bidi="ar-SA"/>
        </w:rPr>
        <w:t>فيه مُتميِّزةٌ مِن التفصيلِ، و لَيسَ العِلمُ بالجُملةِ مُفتَقِراً إلَى العِلمِ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أنّه لا إماميَّ‌</w:t>
      </w:r>
      <w:r>
        <w:rPr>
          <w:rStyle w:val="FootnoteAnchor"/>
          <w:rtl w:val="true"/>
        </w:rPr>
        <w:footnoteReference w:id="864"/>
      </w:r>
      <w:r>
        <w:rPr>
          <w:rFonts w:ascii="Amiri" w:hAnsi="Amiri" w:eastAsia="Amiri" w:cs="Amiri"/>
          <w:color w:val="111111"/>
          <w:sz w:val="28"/>
          <w:sz w:val="28"/>
          <w:szCs w:val="28"/>
          <w:rtl w:val="true"/>
          <w:lang w:bidi="ar-SA"/>
        </w:rPr>
        <w:t>لَقيناه و عاصَرناه و شاهَدناه إلّاو هو عندَ المُناظَرةِ و المُباحَثةِ يُفتي بمِثلِ ما أجمَعَ علماؤنا عليه</w:t>
      </w:r>
      <w:r>
        <w:rPr>
          <w:rStyle w:val="FootnoteAnchor"/>
          <w:rtl w:val="true"/>
        </w:rPr>
        <w:footnoteReference w:id="865"/>
      </w:r>
      <w:r>
        <w:rPr>
          <w:rFonts w:ascii="Amiri" w:hAnsi="Amiri" w:eastAsia="Amiri" w:cs="Amiri"/>
          <w:color w:val="111111"/>
          <w:sz w:val="28"/>
          <w:sz w:val="28"/>
          <w:szCs w:val="28"/>
          <w:rtl w:val="true"/>
          <w:lang w:bidi="ar-SA"/>
        </w:rPr>
        <w:t>و سَواءٌ‌</w:t>
      </w:r>
      <w:r>
        <w:rPr>
          <w:rStyle w:val="FootnoteAnchor"/>
          <w:rtl w:val="true"/>
        </w:rPr>
        <w:footnoteReference w:id="866"/>
      </w:r>
      <w:r>
        <w:rPr>
          <w:rFonts w:ascii="Amiri" w:hAnsi="Amiri" w:eastAsia="Amiri" w:cs="Amiri"/>
          <w:color w:val="111111"/>
          <w:sz w:val="28"/>
          <w:sz w:val="28"/>
          <w:szCs w:val="28"/>
          <w:rtl w:val="true"/>
          <w:lang w:bidi="ar-SA"/>
        </w:rPr>
        <w:t>عَرَفناه بنَسَبِه و بَلدتِه، أو لَم نَعرِفْه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كُلُّ إماميٍّ خُبِّرنا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شَرقٍ و غَربٍ، و سَهلٍ و جَبَلٍ؛ عَرَفناه بنَسَبِه و اسمِه أو لَم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المُتَواتِرةِ الشائعةِ الذائعةِ التي لا يُمكِنُ إسنادُها إلىٰ جماعةٍ بأعيانِهم؛ لظُهورِها و انتشارِها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كُلَّهم قائلونَ بهذه المَذاهبِ المعروفةِ المألوفةِ، حتّى إنّ مَن خالَفَ منهم في شَيءٍ مِن الفروعِ عُرِفَ خِلافُه، و ضُبِطَ، و مُيِّزَ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استَقصَينا هذا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المَسائلِ التَّبّانيّاتِ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انتَهَينا فيه إلىٰ أبعَدِ الغاياتِ</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فإذا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الإمامَ، لأنّكم لا تَعرِفونَه بعَينِه، يُخالِفُ علماءَ الإماميّةِ فيما اتَّفَقوا عليه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خالَفَهم لَما عَلِمنا ضَرورةً اتّفاقَ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هو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المَذاهبِ المخصوصةِ؛ و هَل الإمامُ إلّاأحَدُ علماءِ الإماميّةِ، و كَواحدٍ مِن العلماءِ‌</w:t>
      </w:r>
      <w:r>
        <w:rPr>
          <w:rStyle w:val="FootnoteAnchor"/>
          <w:rtl w:val="true"/>
        </w:rPr>
        <w:footnoteReference w:id="868"/>
      </w:r>
      <w:r>
        <w:rPr>
          <w:rFonts w:ascii="Amiri" w:hAnsi="Amiri" w:eastAsia="Amiri" w:cs="Amiri"/>
          <w:color w:val="111111"/>
          <w:sz w:val="28"/>
          <w:sz w:val="28"/>
          <w:szCs w:val="28"/>
          <w:rtl w:val="true"/>
          <w:lang w:bidi="ar-SA"/>
        </w:rPr>
        <w:t xml:space="preserve">الذين لا نَعرفُهم بنَسَبٍ و لا اسمٍ؟ </w:t>
      </w:r>
    </w:p>
    <w:p>
      <w:pPr>
        <w:pStyle w:val="BookText"/>
        <w:rPr/>
      </w:pPr>
      <w:r>
        <w:rPr>
          <w:rFonts w:ascii="Amiri" w:hAnsi="Amiri" w:eastAsia="Amiri" w:cs="Amiri"/>
          <w:color w:val="111111"/>
          <w:sz w:val="28"/>
          <w:sz w:val="28"/>
          <w:szCs w:val="28"/>
          <w:rtl w:val="true"/>
          <w:lang w:bidi="ar-SA"/>
        </w:rPr>
        <w:t>و نَحنُ إذا ادَّعَينا إجماعَ الإماميّةِ أو غيرِها علىٰ مَذهبٍ مِن المَذاهبِ، فما نَخُصُّ بهذه الدعوىٰ مَن عَرَفناه بِاسمِه و نَسَبِه دونَ مَن لَم نَعرِفْه؛ بَل العِلمُ بالِاتّفاقِ عامٌّ لِمَن عَرَفناه مُفصَّلاً و لِمَن لَم نَعرِفْه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يَجِبُ إذا كانَ إمامُ الزمانِ غيرَ مُتميِّزِ الشخصِ و لا معروفَ العَينِ أن لا يَكونَ معروفَ المَذهبِ مُتميِّزَ المَقالةِ؛ لأنّ هذا القولَ يَقتَضي أنّ كُلَّ مَن لَم نَعرِفْه مِن علماءِ الإماميّةِ أو علماءِ غيرِهم مِن الفِرَقِ، فإنّا لا نَعرِفُ‌</w:t>
      </w:r>
      <w:r>
        <w:rPr>
          <w:rStyle w:val="FootnoteAnchor"/>
          <w:rtl w:val="true"/>
        </w:rPr>
        <w:footnoteReference w:id="869"/>
      </w:r>
      <w:r>
        <w:rPr>
          <w:rFonts w:ascii="Amiri" w:hAnsi="Amiri" w:eastAsia="Amiri" w:cs="Amiri"/>
          <w:color w:val="111111"/>
          <w:sz w:val="28"/>
          <w:sz w:val="28"/>
          <w:szCs w:val="28"/>
          <w:rtl w:val="true"/>
          <w:lang w:bidi="ar-SA"/>
        </w:rPr>
        <w:t>مَذهبَه، و لا نَتحقَّقُ‌</w:t>
      </w:r>
      <w:r>
        <w:rPr>
          <w:rStyle w:val="FootnoteAnchor"/>
          <w:rtl w:val="true"/>
        </w:rPr>
        <w:footnoteReference w:id="870"/>
      </w:r>
      <w:r>
        <w:rPr>
          <w:rFonts w:ascii="Amiri" w:hAnsi="Amiri" w:eastAsia="Amiri" w:cs="Amiri"/>
          <w:color w:val="111111"/>
          <w:sz w:val="28"/>
          <w:sz w:val="28"/>
          <w:szCs w:val="28"/>
          <w:rtl w:val="true"/>
          <w:lang w:bidi="ar-SA"/>
        </w:rPr>
        <w:t>مقالتَه؛ و هذا حَدٌّ لا يَبلُغُه 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أتُجوِّزونَ أن يَكونَ في جُملةِ الإماميّةِ عالِمٌ يُخالِفُ هذه الطائفةَ في بعضِ المَسائلِ، لَم</w:t>
      </w:r>
      <w:r>
        <w:rPr>
          <w:rStyle w:val="FootnoteAnchor"/>
          <w:rtl w:val="true"/>
        </w:rPr>
        <w:footnoteReference w:id="871"/>
      </w:r>
      <w:r>
        <w:rPr>
          <w:rFonts w:ascii="Amiri" w:hAnsi="Amiri" w:eastAsia="Amiri" w:cs="Amiri"/>
          <w:color w:val="111111"/>
          <w:sz w:val="28"/>
          <w:sz w:val="28"/>
          <w:szCs w:val="28"/>
          <w:rtl w:val="true"/>
          <w:lang w:bidi="ar-SA"/>
        </w:rPr>
        <w:t>يَنتَهِ إليكم خبرُه؛ لأنّه ما اشتَهَرَ كاشتهارِ غيرِه، و لا له تصنيفاتٌ سارَت و انتَشَرَت</w:t>
      </w:r>
      <w:r>
        <w:rPr>
          <w:rStyle w:val="FootnoteAnchor"/>
          <w:rtl w:val="true"/>
        </w:rPr>
        <w:footnoteReference w:id="8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أَجَزتم ذلكَ فلَعلَّ الإمامَ هو ذلكَ العالِمُ‌</w:t>
      </w:r>
      <w:r>
        <w:rPr>
          <w:rStyle w:val="FootnoteAnchor"/>
          <w:rtl w:val="true"/>
        </w:rPr>
        <w:footnoteReference w:id="873"/>
      </w:r>
      <w:r>
        <w:rPr>
          <w:rFonts w:ascii="Amiri" w:hAnsi="Amiri" w:eastAsia="Amiri" w:cs="Amiri"/>
          <w:color w:val="111111"/>
          <w:sz w:val="28"/>
          <w:sz w:val="28"/>
          <w:szCs w:val="28"/>
          <w:rtl w:val="true"/>
          <w:lang w:bidi="ar-SA"/>
        </w:rPr>
        <w:t>، و هذا يَقتَضي ارتفاعَ الثقةِ بأنّ‌</w:t>
      </w:r>
      <w:r>
        <w:rPr>
          <w:rStyle w:val="FootnoteAnchor"/>
          <w:rtl w:val="true"/>
        </w:rPr>
        <w:footnoteReference w:id="874"/>
      </w:r>
      <w:r>
        <w:rPr>
          <w:rFonts w:ascii="Amiri" w:hAnsi="Amiri" w:eastAsia="Amiri" w:cs="Amiri"/>
          <w:color w:val="111111"/>
          <w:sz w:val="28"/>
          <w:sz w:val="28"/>
          <w:szCs w:val="28"/>
          <w:rtl w:val="true"/>
          <w:lang w:bidi="ar-SA"/>
        </w:rPr>
        <w:t>قولَ إمامِ الزمانِ داخلٌ لا مَحالةَ في جُملةِ أقوالِ علماءِ الإماميّةِ، و يُبطِلُ ما تَدَّعونَه مِن أنّ الحُجّةَ في إجماعِهم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مَنَعتم مِن كَونِ عالِمٍ مِن علمائهم يَخفىٰ خبرُ خِلافِه لهم في بعضِ المَذاهبِ، كابَرتم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في علماءِ الإماميّةِ مَن يُخالِفُ أصحابَه في مَذهبٍ مِن مَذاهبِهم، و يَستَمِرَّ ذلكَ و تَمضيَ‌</w:t>
      </w:r>
      <w:r>
        <w:rPr>
          <w:rStyle w:val="FootnoteAnchor"/>
          <w:rtl w:val="true"/>
        </w:rPr>
        <w:footnoteReference w:id="875"/>
      </w:r>
      <w:r>
        <w:rPr>
          <w:rFonts w:ascii="Amiri" w:hAnsi="Amiri" w:eastAsia="Amiri" w:cs="Amiri"/>
          <w:color w:val="111111"/>
          <w:sz w:val="28"/>
          <w:sz w:val="28"/>
          <w:szCs w:val="28"/>
          <w:rtl w:val="true"/>
          <w:lang w:bidi="ar-SA"/>
        </w:rPr>
        <w:t>عليه الدُّهورُ، فيَنطويَ خبرُ خِلافِه؛ لأنّ العاداتِ ما جَرَت بمِثلِ ذلكَ، لأنّ ما دَعا هذا العالِمَ إلَى الخِلافِ في ذلكَ المَذهبِ يَدعوه إلىٰ إعلانِه و إظهارِه؛ ليُتَّبَعَ فيه و يُقتَدىٰ به في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هذه سَبيلُه يَجِبُ بحُكمِ العادةِ ظُهورُه و نَقلُه و حُصولُ العِلمِ به، لا سِيَّما مع استمرارِه و كُرورِ الدُّهورِ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تجويزُ عالِمٍ يَخفىٰ خبرُ خِلافِه إلّاكتجويزِ جماعةٍ مِن العلماءِ يُخالِفونَ مَن عَرَفنا مَذاهبَه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w:t>
      </w:r>
      <w:r>
        <w:rPr>
          <w:rStyle w:val="FootnoteAnchor"/>
          <w:rtl w:val="true"/>
        </w:rPr>
        <w:footnoteReference w:id="876"/>
      </w:r>
      <w:r>
        <w:rPr>
          <w:rFonts w:ascii="Amiri" w:hAnsi="Amiri" w:eastAsia="Amiri" w:cs="Amiri"/>
          <w:color w:val="111111"/>
          <w:sz w:val="28"/>
          <w:sz w:val="28"/>
          <w:szCs w:val="28"/>
          <w:rtl w:val="true"/>
          <w:lang w:bidi="ar-SA"/>
        </w:rPr>
        <w:t>في أُصولِ الدينِ، أو في</w:t>
      </w:r>
      <w:r>
        <w:rPr>
          <w:rStyle w:val="FootnoteAnchor"/>
          <w:rtl w:val="true"/>
        </w:rPr>
        <w:footnoteReference w:id="877"/>
      </w:r>
      <w:r>
        <w:rPr>
          <w:rFonts w:ascii="Amiri" w:hAnsi="Amiri" w:eastAsia="Amiri" w:cs="Amiri"/>
          <w:color w:val="111111"/>
          <w:sz w:val="28"/>
          <w:sz w:val="28"/>
          <w:szCs w:val="28"/>
          <w:rtl w:val="true"/>
          <w:lang w:bidi="ar-SA"/>
        </w:rPr>
        <w:t>فُروعِه، أو في عِلمِ العربيّةِ و النحوِ، أو اللُّغةِ‌</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فيَخفىٰ خِلافُهم و يَنطَوي أمرُهم؛ و تجويزُ ذلكَ يؤدّي مِن الجَهالاتِ إلى ما هو معروفٌ مسطورٌ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لإمامِ الزمانِ عليه السلامُ في هذا البابِ مَزيّةً معلومةً؛ فلَو جازَ هذا الذي سُئلنا</w:t>
      </w:r>
      <w:r>
        <w:rPr>
          <w:rStyle w:val="FootnoteAnchor"/>
          <w:rtl w:val="true"/>
        </w:rPr>
        <w:footnoteReference w:id="879"/>
      </w:r>
      <w:r>
        <w:rPr>
          <w:rFonts w:ascii="Amiri" w:hAnsi="Amiri" w:eastAsia="Amiri" w:cs="Amiri"/>
          <w:color w:val="111111"/>
          <w:sz w:val="28"/>
          <w:sz w:val="28"/>
          <w:szCs w:val="28"/>
          <w:rtl w:val="true"/>
          <w:lang w:bidi="ar-SA"/>
        </w:rPr>
        <w:t>عنه في غيرِه، لَم يَجُز مِثلُه فيه؛ لأنّ الإمامَ قولُه حُجّةٌ، و الجماعةَ التي تُوافِقُه في مَذهبِه إنّما كانَت مُحِقّةً لأجلِ مُوافَقتِها</w:t>
      </w:r>
      <w:r>
        <w:rPr>
          <w:rStyle w:val="FootnoteAnchor"/>
          <w:rtl w:val="true"/>
        </w:rPr>
        <w:footnoteReference w:id="880"/>
      </w:r>
      <w:r>
        <w:rPr>
          <w:rFonts w:ascii="Amiri" w:hAnsi="Amiri" w:eastAsia="Amiri" w:cs="Amiri"/>
          <w:color w:val="111111"/>
          <w:sz w:val="28"/>
          <w:sz w:val="28"/>
          <w:szCs w:val="28"/>
          <w:rtl w:val="true"/>
          <w:lang w:bidi="ar-SA"/>
        </w:rPr>
        <w:t>، فلا بُدَّ مِن أن يُظهِرَ ما يَعتَقِدُه و يَذهَبُ إليه حتّىٰ يُعرَفَ‌</w:t>
      </w:r>
      <w:r>
        <w:rPr>
          <w:rStyle w:val="FootnoteAnchor"/>
          <w:rtl w:val="true"/>
        </w:rPr>
        <w:footnoteReference w:id="881"/>
      </w:r>
      <w:r>
        <w:rPr>
          <w:rFonts w:ascii="Amiri" w:hAnsi="Amiri" w:eastAsia="Amiri" w:cs="Amiri"/>
          <w:color w:val="111111"/>
          <w:sz w:val="28"/>
          <w:sz w:val="28"/>
          <w:szCs w:val="28"/>
          <w:rtl w:val="true"/>
          <w:lang w:bidi="ar-SA"/>
        </w:rPr>
        <w:t>مَن يُوافِقُه ممّن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إظهارُه لاعتقادِه و تصريحُه لمَذهبِه</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ممّا يَقتَضي أن يُعرَفَ هو بنَسَبِه؛ لأنّا قد نَعرِفُ مَذاهبَ مَن لا نَعرِفُ‌</w:t>
      </w:r>
      <w:r>
        <w:rPr>
          <w:rStyle w:val="FootnoteAnchor"/>
          <w:rtl w:val="true"/>
        </w:rPr>
        <w:footnoteReference w:id="883"/>
      </w:r>
      <w:r>
        <w:rPr>
          <w:rFonts w:ascii="Amiri" w:hAnsi="Amiri" w:eastAsia="Amiri" w:cs="Amiri"/>
          <w:color w:val="111111"/>
          <w:sz w:val="28"/>
          <w:sz w:val="28"/>
          <w:szCs w:val="28"/>
          <w:rtl w:val="true"/>
          <w:lang w:bidi="ar-SA"/>
        </w:rPr>
        <w:t>نَسَبَه و لا كَثيراً مِن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يَجوزُ أن يَكونَ للإمامِ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w:t>
      </w:r>
      <w:r>
        <w:rPr>
          <w:rStyle w:val="FootnoteAnchor"/>
          <w:rtl w:val="true"/>
        </w:rPr>
        <w:footnoteReference w:id="884"/>
      </w:r>
      <w:r>
        <w:rPr>
          <w:rFonts w:ascii="Amiri" w:hAnsi="Amiri" w:eastAsia="Amiri" w:cs="Amiri"/>
          <w:color w:val="111111"/>
          <w:sz w:val="28"/>
          <w:sz w:val="28"/>
          <w:szCs w:val="28"/>
          <w:rtl w:val="true"/>
          <w:lang w:bidi="ar-SA"/>
        </w:rPr>
        <w:t xml:space="preserve">مَذاهبَ الإماميّةِ لا يَكونُ معروفاً مشهوراً بَينَ الإماميّةِ، و هو يَعلَمُ أنّ المَرجِعَ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هذه الطائفةِ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قولَه في جُملةِ أقوالِها؟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أَجمَعوا علىٰ قولٍ هو</w:t>
      </w:r>
      <w:r>
        <w:rPr>
          <w:rStyle w:val="FootnoteAnchor"/>
          <w:rtl w:val="true"/>
        </w:rPr>
        <w:footnoteReference w:id="885"/>
      </w:r>
      <w:r>
        <w:rPr>
          <w:rFonts w:ascii="Amiri" w:hAnsi="Amiri" w:eastAsia="Amiri" w:cs="Amiri"/>
          <w:color w:val="111111"/>
          <w:sz w:val="28"/>
          <w:sz w:val="28"/>
          <w:szCs w:val="28"/>
          <w:rtl w:val="true"/>
          <w:lang w:bidi="ar-SA"/>
        </w:rPr>
        <w:t>مُخالِفٌ فيه، هَل له</w:t>
      </w:r>
      <w:r>
        <w:rPr>
          <w:rStyle w:val="FootnoteAnchor"/>
          <w:rtl w:val="true"/>
        </w:rPr>
        <w:footnoteReference w:id="886"/>
      </w:r>
      <w:r>
        <w:rPr>
          <w:rFonts w:ascii="Amiri" w:hAnsi="Amiri" w:eastAsia="Amiri" w:cs="Amiri"/>
          <w:color w:val="111111"/>
          <w:sz w:val="28"/>
          <w:sz w:val="28"/>
          <w:szCs w:val="28"/>
          <w:rtl w:val="true"/>
          <w:lang w:bidi="ar-SA"/>
        </w:rPr>
        <w:t>مَندوحةٌ عن إظهارِ خِلافِه و إعلانِه، حتّىٰ يَزولَ الاغترارُ بأنّ إجماعَ الإماميّةِ علىٰ خِلافِه؟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قُلنا في مَواضِعَ مِن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اختَلَفَ قولُ الإماميّةِ فيه</w:t>
      </w:r>
      <w:r>
        <w:rPr>
          <w:rStyle w:val="FootnoteAnchor"/>
          <w:rtl w:val="true"/>
        </w:rPr>
        <w:footnoteReference w:id="887"/>
      </w:r>
      <w:r>
        <w:rPr>
          <w:rFonts w:ascii="Amiri" w:hAnsi="Amiri" w:eastAsia="Amiri" w:cs="Amiri"/>
          <w:color w:val="111111"/>
          <w:sz w:val="28"/>
          <w:sz w:val="28"/>
          <w:szCs w:val="28"/>
          <w:rtl w:val="true"/>
          <w:lang w:bidi="ar-SA"/>
        </w:rPr>
        <w:t>مِن الأحكامِ، لا يَجوزُ أن يُحتَجَّ فيه بإجماعِ الطائفةِ؛ لأنّها مُختَلِفةٌ، و نَحنُ غيرُ عالِمينَ بجِهةِ قولِ الإمامِ، و لِمَن هو مُوافِقٌ مِن هؤلاءِ المُختَلِفينَ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مِثلِ ذلكَ مِن الرجوعِ إلىٰ دليلٍ غيرِ الإجماعِ، يُعلَمُ به الحقُّ‌</w:t>
      </w:r>
      <w:r>
        <w:rPr>
          <w:rStyle w:val="FootnoteAnchor"/>
          <w:rtl w:val="true"/>
        </w:rPr>
        <w:footnoteReference w:id="888"/>
      </w:r>
      <w:r>
        <w:rPr>
          <w:rFonts w:ascii="Amiri" w:hAnsi="Amiri" w:eastAsia="Amiri" w:cs="Amiri"/>
          <w:color w:val="111111"/>
          <w:sz w:val="28"/>
          <w:sz w:val="28"/>
          <w:szCs w:val="28"/>
          <w:rtl w:val="true"/>
          <w:lang w:bidi="ar-SA"/>
        </w:rPr>
        <w:t>ممّا</w:t>
      </w:r>
      <w:r>
        <w:rPr>
          <w:rStyle w:val="FootnoteAnchor"/>
          <w:rtl w:val="true"/>
        </w:rPr>
        <w:footnoteReference w:id="889"/>
      </w:r>
      <w:r>
        <w:rPr>
          <w:rFonts w:ascii="Amiri" w:hAnsi="Amiri" w:eastAsia="Amiri" w:cs="Amiri"/>
          <w:color w:val="111111"/>
          <w:sz w:val="28"/>
          <w:sz w:val="28"/>
          <w:szCs w:val="28"/>
          <w:rtl w:val="true"/>
          <w:lang w:bidi="ar-SA"/>
        </w:rPr>
        <w:t>اختَلَفوا فيه؛ فإذا عَلِمناه</w:t>
      </w:r>
      <w:r>
        <w:rPr>
          <w:rStyle w:val="FootnoteAnchor"/>
          <w:rtl w:val="true"/>
        </w:rPr>
        <w:footnoteReference w:id="890"/>
      </w:r>
      <w:r>
        <w:rPr>
          <w:rFonts w:ascii="Amiri" w:hAnsi="Amiri" w:eastAsia="Amiri" w:cs="Amiri"/>
          <w:color w:val="111111"/>
          <w:sz w:val="28"/>
          <w:sz w:val="28"/>
          <w:szCs w:val="28"/>
          <w:rtl w:val="true"/>
          <w:lang w:bidi="ar-SA"/>
        </w:rPr>
        <w:t>قَطَعنا علىٰ أنّ قولَ الإمامِ مُوافِقٌ له؛ لأنّ قولَه لا يُخالِفُ الحقَّ و ما تَدُلُّ‌</w:t>
      </w:r>
      <w:r>
        <w:rPr>
          <w:rStyle w:val="FootnoteAnchor"/>
          <w:rtl w:val="true"/>
        </w:rPr>
        <w:footnoteReference w:id="891"/>
      </w:r>
      <w:r>
        <w:rPr>
          <w:rFonts w:ascii="Amiri" w:hAnsi="Amiri" w:eastAsia="Amiri" w:cs="Amiri"/>
          <w:color w:val="111111"/>
          <w:sz w:val="28"/>
          <w:sz w:val="28"/>
          <w:szCs w:val="28"/>
          <w:rtl w:val="true"/>
          <w:lang w:bidi="ar-SA"/>
        </w:rPr>
        <w:t>عليه الأدلّةُ</w:t>
      </w:r>
      <w:r>
        <w:rPr>
          <w:rFonts w:eastAsia="Amiri" w:cs="Amiri" w:ascii="Amiri" w:hAnsi="Amiri"/>
          <w:color w:val="111111"/>
          <w:sz w:val="28"/>
          <w:szCs w:val="28"/>
          <w:rtl w:val="true"/>
          <w:lang w:bidi="ar-SA"/>
        </w:rPr>
        <w:t xml:space="preserve">. </w:t>
      </w:r>
      <w:bookmarkStart w:id="155" w:name="pg16437_172473"/>
    </w:p>
    <w:p>
      <w:pPr>
        <w:pStyle w:val="Heading4"/>
        <w:numPr>
          <w:ilvl w:val="3"/>
          <w:numId w:val="1"/>
        </w:numPr>
        <w:rPr/>
      </w:pPr>
      <w:bookmarkStart w:id="156" w:name="__RefHeading___Toc8039563_1280447820"/>
      <w:bookmarkStart w:id="157" w:name="_Toc56"/>
      <w:bookmarkEnd w:id="155"/>
      <w:bookmarkEnd w:id="156"/>
      <w:r>
        <w:rPr>
          <w:rtl w:val="true"/>
        </w:rPr>
        <w:t>المَسألةُ الثانيةُ و العشرونَ حُكمُ العاقدِ في الإحرامِ مع الجهلِ بالحكمِ‌</w:t>
      </w:r>
      <w:bookmarkEnd w:id="157"/>
    </w:p>
    <w:p>
      <w:pPr>
        <w:pStyle w:val="BookText"/>
        <w:rPr/>
      </w:pPr>
      <w:r>
        <w:rPr>
          <w:rFonts w:ascii="Amiri" w:hAnsi="Amiri" w:eastAsia="Amiri" w:cs="Amiri"/>
          <w:color w:val="111111"/>
          <w:sz w:val="28"/>
          <w:sz w:val="28"/>
          <w:szCs w:val="28"/>
          <w:rtl w:val="true"/>
          <w:lang w:bidi="ar-SA"/>
        </w:rPr>
        <w:t>ما الوجهُ فيما يُفتي به الطائفةُ مِن سُقوطِ الحُكمِ الشرعيِّ عمّن عَقَدَ نِكاحاً و هو مُحرِمٌ مع الجهلِ بالتحريمِ، أو تَمَّمَ صَلاةً أو صَوماً بحَيثُ التقصيرُ مع الجهلِ‌</w:t>
      </w:r>
      <w:r>
        <w:rPr>
          <w:rStyle w:val="FootnoteAnchor"/>
          <w:rtl w:val="true"/>
        </w:rPr>
        <w:footnoteReference w:id="892"/>
      </w:r>
      <w:r>
        <w:rPr>
          <w:rFonts w:ascii="Amiri" w:hAnsi="Amiri" w:eastAsia="Amiri" w:cs="Amiri"/>
          <w:color w:val="111111"/>
          <w:sz w:val="28"/>
          <w:sz w:val="28"/>
          <w:szCs w:val="28"/>
          <w:rtl w:val="true"/>
          <w:lang w:bidi="ar-SA"/>
        </w:rPr>
        <w:t>بالحُكمِ؛ و ما وَرَدَت به الرواياتُ مِن سُقوطِ الحُكمِ في كَثيرٍ مِن المَواضِعِ مع الجهلِ بها؟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اتِّفاقِ العلماءِ علىٰ أنّ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يُبيحُ‌</w:t>
      </w:r>
      <w:r>
        <w:rPr>
          <w:rStyle w:val="FootnoteAnchor"/>
          <w:rtl w:val="true"/>
        </w:rPr>
        <w:footnoteReference w:id="893"/>
      </w:r>
      <w:r>
        <w:rPr>
          <w:rFonts w:ascii="Amiri" w:hAnsi="Amiri" w:eastAsia="Amiri" w:cs="Amiri"/>
          <w:color w:val="111111"/>
          <w:sz w:val="28"/>
          <w:sz w:val="28"/>
          <w:szCs w:val="28"/>
          <w:rtl w:val="true"/>
          <w:lang w:bidi="ar-SA"/>
        </w:rPr>
        <w:t>سُقوطَه إلّاعمّن لا يَتمكَّنُ مِن العِلمِ‌</w:t>
      </w:r>
      <w:r>
        <w:rPr>
          <w:rStyle w:val="FootnoteAnchor"/>
          <w:rtl w:val="true"/>
        </w:rPr>
        <w:footnoteReference w:id="894"/>
      </w:r>
      <w:r>
        <w:rPr>
          <w:rFonts w:ascii="Amiri" w:hAnsi="Amiri" w:eastAsia="Amiri" w:cs="Amiri"/>
          <w:color w:val="111111"/>
          <w:sz w:val="28"/>
          <w:sz w:val="28"/>
          <w:szCs w:val="28"/>
          <w:rtl w:val="true"/>
          <w:lang w:bidi="ar-SA"/>
        </w:rPr>
        <w:t xml:space="preserve">به؛ فأمّا مَن هو مُتمكِّنٌ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w:t>
      </w:r>
      <w:r>
        <w:rPr>
          <w:rStyle w:val="FootnoteAnchor"/>
          <w:rtl w:val="true"/>
        </w:rPr>
        <w:footnoteReference w:id="895"/>
      </w:r>
      <w:r>
        <w:rPr>
          <w:rFonts w:ascii="Amiri" w:hAnsi="Amiri" w:eastAsia="Amiri" w:cs="Amiri"/>
          <w:color w:val="111111"/>
          <w:sz w:val="28"/>
          <w:sz w:val="28"/>
          <w:szCs w:val="28"/>
          <w:rtl w:val="true"/>
          <w:lang w:bidi="ar-SA"/>
        </w:rPr>
        <w:t>العِلمِ يَلزَمُه، و تَبِعةُ‌</w:t>
      </w:r>
      <w:r>
        <w:rPr>
          <w:rStyle w:val="FootnoteAnchor"/>
          <w:rtl w:val="true"/>
        </w:rPr>
        <w:footnoteReference w:id="896"/>
      </w:r>
      <w:r>
        <w:rPr>
          <w:rFonts w:ascii="Amiri" w:hAnsi="Amiri" w:eastAsia="Amiri" w:cs="Amiri"/>
          <w:color w:val="111111"/>
          <w:sz w:val="28"/>
          <w:sz w:val="28"/>
          <w:szCs w:val="28"/>
          <w:rtl w:val="true"/>
          <w:lang w:bidi="ar-SA"/>
        </w:rPr>
        <w:t>الحُكمِ تَتعلَّقُ‌</w:t>
      </w:r>
      <w:r>
        <w:rPr>
          <w:rStyle w:val="FootnoteAnchor"/>
          <w:rtl w:val="true"/>
        </w:rPr>
        <w:footnoteReference w:id="897"/>
      </w:r>
      <w:r>
        <w:rPr>
          <w:rFonts w:ascii="IRNazanin" w:hAnsi="IRNazanin" w:eastAsia="IRNazanin"/>
          <w:color w:val="111111"/>
          <w:sz w:val="28"/>
          <w:sz w:val="28"/>
          <w:szCs w:val="28"/>
          <w:rtl w:val="true"/>
          <w:lang w:bidi="fa-IR"/>
        </w:rPr>
        <w:t>به</w:t>
      </w:r>
      <w:r>
        <w:rPr>
          <w:rStyle w:val="FootnoteAnchor"/>
          <w:rtl w:val="true"/>
        </w:rPr>
        <w:footnoteReference w:id="898"/>
      </w:r>
      <w:r>
        <w:rPr>
          <w:rFonts w:ascii="Amiri" w:hAnsi="Amiri" w:eastAsia="Amiri" w:cs="Amiri"/>
          <w:color w:val="111111"/>
          <w:sz w:val="28"/>
          <w:sz w:val="28"/>
          <w:szCs w:val="28"/>
          <w:rtl w:val="true"/>
          <w:lang w:bidi="ar-SA"/>
        </w:rPr>
        <w:t>و إنْ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w:t>
      </w:r>
      <w:r>
        <w:rPr>
          <w:rStyle w:val="FootnoteAnchor"/>
          <w:rtl w:val="true"/>
        </w:rPr>
        <w:footnoteReference w:id="899"/>
      </w:r>
      <w:r>
        <w:rPr>
          <w:rFonts w:ascii="Amiri" w:hAnsi="Amiri" w:eastAsia="Amiri" w:cs="Amiri"/>
          <w:color w:val="111111"/>
          <w:sz w:val="28"/>
          <w:sz w:val="28"/>
          <w:szCs w:val="28"/>
          <w:rtl w:val="true"/>
          <w:lang w:bidi="ar-SA"/>
        </w:rPr>
        <w:t>ذلكَ لَكانَ الجهلُ سبباً مُبيحاً لسُقوطِ ما يَلزَمُ عِلمُه</w:t>
      </w:r>
      <w:r>
        <w:rPr>
          <w:rStyle w:val="FootnoteAnchor"/>
          <w:rtl w:val="true"/>
        </w:rPr>
        <w:footnoteReference w:id="900"/>
      </w:r>
      <w:r>
        <w:rPr>
          <w:rFonts w:ascii="Amiri" w:hAnsi="Amiri" w:eastAsia="Amiri" w:cs="Amiri"/>
          <w:color w:val="111111"/>
          <w:sz w:val="28"/>
          <w:sz w:val="28"/>
          <w:szCs w:val="28"/>
          <w:rtl w:val="true"/>
          <w:lang w:bidi="ar-SA"/>
        </w:rPr>
        <w:t>مِن التكاليفِ العقليّةِ و الشرعيّةِ؛ و هذا شيءٌ لا يَقولُه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الجهلَ ممّن كُلِّفَ العِلمَ و له إليه طريقٌ لا يَكونُ إلّامعصيةً و عن</w:t>
      </w:r>
      <w:r>
        <w:rPr>
          <w:rStyle w:val="FootnoteAnchor"/>
          <w:rtl w:val="true"/>
        </w:rPr>
        <w:footnoteReference w:id="902"/>
      </w:r>
      <w:r>
        <w:rPr>
          <w:rFonts w:ascii="Amiri" w:hAnsi="Amiri" w:eastAsia="Amiri" w:cs="Amiri"/>
          <w:color w:val="111111"/>
          <w:sz w:val="28"/>
          <w:sz w:val="28"/>
          <w:szCs w:val="28"/>
          <w:rtl w:val="true"/>
          <w:lang w:bidi="ar-SA"/>
        </w:rPr>
        <w:t>تفريطٍ مِن</w:t>
      </w:r>
      <w:r>
        <w:rPr>
          <w:rStyle w:val="FootnoteAnchor"/>
          <w:rtl w:val="true"/>
        </w:rPr>
        <w:footnoteReference w:id="903"/>
      </w:r>
      <w:r>
        <w:rPr>
          <w:rFonts w:ascii="Amiri" w:hAnsi="Amiri" w:eastAsia="Amiri" w:cs="Amiri"/>
          <w:color w:val="111111"/>
          <w:sz w:val="28"/>
          <w:sz w:val="28"/>
          <w:szCs w:val="28"/>
          <w:rtl w:val="true"/>
          <w:lang w:bidi="ar-SA"/>
        </w:rPr>
        <w:t>المُكلَّفِ، إلّاأنّ الحُكمَ الشرعيَّ غيرُ مُمتَنِعٍ أن يَتغيَّرَ مع الجهلِ، و لا يَكونَ حالُه مُساويةً لحالِه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904"/>
      </w:r>
      <w:r>
        <w:rPr>
          <w:rFonts w:ascii="Amiri" w:hAnsi="Amiri" w:eastAsia="Amiri" w:cs="Amiri"/>
          <w:color w:val="111111"/>
          <w:sz w:val="28"/>
          <w:sz w:val="28"/>
          <w:szCs w:val="28"/>
          <w:rtl w:val="true"/>
          <w:lang w:bidi="ar-SA"/>
        </w:rPr>
        <w:t>مَن عَقَدَ نِكاحاً علَى امرأةٍ و هو مُحرِمٌ فنِكاحُه باطلٌ علىٰ كُلِّ حالٍ،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العاقدُ عالِماً بتحريمِ العقدِ عليه</w:t>
      </w:r>
      <w:r>
        <w:rPr>
          <w:rStyle w:val="FootnoteAnchor"/>
          <w:rtl w:val="true"/>
        </w:rPr>
        <w:footnoteReference w:id="905"/>
      </w:r>
      <w:r>
        <w:rPr>
          <w:rFonts w:ascii="Amiri" w:hAnsi="Amiri" w:eastAsia="Amiri" w:cs="Amiri"/>
          <w:color w:val="111111"/>
          <w:sz w:val="28"/>
          <w:sz w:val="28"/>
          <w:szCs w:val="28"/>
          <w:rtl w:val="true"/>
          <w:lang w:bidi="ar-SA"/>
        </w:rPr>
        <w:t>لَم تَحِلَّ‌</w:t>
      </w:r>
      <w:r>
        <w:rPr>
          <w:rStyle w:val="FootnoteAnchor"/>
          <w:rtl w:val="true"/>
        </w:rPr>
        <w:footnoteReference w:id="906"/>
      </w:r>
      <w:r>
        <w:rPr>
          <w:rFonts w:ascii="Amiri" w:hAnsi="Amiri" w:eastAsia="Amiri" w:cs="Amiri"/>
          <w:color w:val="111111"/>
          <w:sz w:val="28"/>
          <w:sz w:val="28"/>
          <w:szCs w:val="28"/>
          <w:rtl w:val="true"/>
          <w:lang w:bidi="ar-SA"/>
        </w:rPr>
        <w:t>له هذه المَرأةُ المعقودُ عليها أبَداً، و إن كانَ جاهلاً بالتحريمِ بَطَلَ العَقدُ و حَلَّت له المَرأةُ بعَقدٍ آخَرَ صَحيحٍ؛ فلَم يَكُن هذا القولُ منهم إقامةً لعُذرِ الجاهلِ في جهلِه</w:t>
      </w:r>
      <w:r>
        <w:rPr>
          <w:rStyle w:val="FootnoteAnchor"/>
          <w:rtl w:val="true"/>
        </w:rPr>
        <w:footnoteReference w:id="907"/>
      </w:r>
      <w:r>
        <w:rPr>
          <w:rFonts w:ascii="Amiri" w:hAnsi="Amiri" w:eastAsia="Amiri" w:cs="Amiri"/>
          <w:color w:val="111111"/>
          <w:sz w:val="28"/>
          <w:sz w:val="28"/>
          <w:szCs w:val="28"/>
          <w:rtl w:val="true"/>
          <w:lang w:bidi="ar-SA"/>
        </w:rPr>
        <w:t xml:space="preserve">بما وَجَبَ أن يَعلَمَه، بَل إبانةً لأنّ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هذا الجاهلِ العاصي في جهلِه متىٰ عَقَدَ مع الجهلِ‌</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الشريعةِ بخِلافِ حُكمِ العاقدِ مع العِلمِ؛ و إن كانَ الجاهلُ عاصياً مُفرِّطاً، و العِلمُ بالحُكمِ كانَ لازماً له</w:t>
      </w:r>
      <w:r>
        <w:rPr>
          <w:rStyle w:val="FootnoteAnchor"/>
          <w:rtl w:val="true"/>
        </w:rPr>
        <w:footnoteReference w:id="909"/>
      </w:r>
      <w:r>
        <w:rPr>
          <w:rFonts w:ascii="Amiri" w:hAnsi="Amiri" w:eastAsia="Amiri" w:cs="Amiri"/>
          <w:color w:val="111111"/>
          <w:sz w:val="28"/>
          <w:sz w:val="28"/>
          <w:szCs w:val="28"/>
          <w:rtl w:val="true"/>
          <w:lang w:bidi="ar-SA"/>
        </w:rPr>
        <w:t>، و هو الآنَ أيضاً له لازمٌ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دَخَلَت الشُّبهةُ علىٰ مَن يَظُنُّ أنّه بالجهلِ يَسقُطُ عنه وجوبُ العِلمِ، و ما كذلكَ قُلنا؛ و إنّما ذَهَبنا إلىٰ تَغيُّرِ الحُكمِ الشرعيِّ، الذي تَغيُّرُه موقوفٌ علَى المَصالحِ، التي لا يَعلَمُ وجوهَها إلّاعَلّامُ الغُيوبِ؛ جَلَّت عظمتُه</w:t>
      </w:r>
      <w:r>
        <w:rPr>
          <w:rFonts w:eastAsia="Amiri" w:cs="Amiri" w:ascii="Amiri" w:hAnsi="Amiri"/>
          <w:color w:val="111111"/>
          <w:sz w:val="28"/>
          <w:szCs w:val="28"/>
          <w:rtl w:val="true"/>
          <w:lang w:bidi="ar-SA"/>
        </w:rPr>
        <w:t xml:space="preserve">. </w:t>
      </w:r>
      <w:bookmarkStart w:id="158" w:name="pg16437_172475"/>
    </w:p>
    <w:p>
      <w:pPr>
        <w:pStyle w:val="Heading4"/>
        <w:numPr>
          <w:ilvl w:val="3"/>
          <w:numId w:val="1"/>
        </w:numPr>
        <w:rPr/>
      </w:pPr>
      <w:bookmarkStart w:id="159" w:name="__RefHeading___Toc8039565_1280447820"/>
      <w:bookmarkStart w:id="160" w:name="_Toc57"/>
      <w:bookmarkEnd w:id="158"/>
      <w:bookmarkEnd w:id="159"/>
      <w:r>
        <w:rPr>
          <w:rtl w:val="true"/>
        </w:rPr>
        <w:t>المَسألةُ الثالثةُ و العِشرونَ ما يَجوزُ قَتلُه مِن الحَيَوانِ المؤذي</w:t>
      </w:r>
      <w:bookmarkEnd w:id="160"/>
    </w:p>
    <w:p>
      <w:pPr>
        <w:pStyle w:val="BookText"/>
        <w:rPr/>
      </w:pPr>
      <w:r>
        <w:rPr>
          <w:rFonts w:ascii="Amiri" w:hAnsi="Amiri" w:eastAsia="Amiri" w:cs="Amiri"/>
          <w:color w:val="111111"/>
          <w:sz w:val="28"/>
          <w:sz w:val="28"/>
          <w:szCs w:val="28"/>
          <w:rtl w:val="true"/>
          <w:lang w:bidi="ar-SA"/>
        </w:rPr>
        <w:t>ما القولُ فيما لا يَحِلُّ‌</w:t>
      </w:r>
      <w:r>
        <w:rPr>
          <w:rStyle w:val="FootnoteAnchor"/>
          <w:rtl w:val="true"/>
        </w:rPr>
        <w:footnoteReference w:id="910"/>
      </w:r>
      <w:r>
        <w:rPr>
          <w:rFonts w:ascii="Amiri" w:hAnsi="Amiri" w:eastAsia="Amiri" w:cs="Amiri"/>
          <w:color w:val="111111"/>
          <w:sz w:val="28"/>
          <w:sz w:val="28"/>
          <w:szCs w:val="28"/>
          <w:rtl w:val="true"/>
          <w:lang w:bidi="ar-SA"/>
        </w:rPr>
        <w:t>أكلُه مِن الحَيَوانِ المؤذي و غيرِ المؤذي، أيَحِلُّ قَتلُ ما لا يؤذي، كالخُطّافِ‌</w:t>
      </w:r>
      <w:r>
        <w:rPr>
          <w:rStyle w:val="FootnoteAnchor"/>
          <w:rtl w:val="true"/>
        </w:rPr>
        <w:footnoteReference w:id="911"/>
      </w:r>
      <w:r>
        <w:rPr>
          <w:rFonts w:ascii="Amiri" w:hAnsi="Amiri" w:eastAsia="Amiri" w:cs="Amiri"/>
          <w:color w:val="111111"/>
          <w:sz w:val="28"/>
          <w:sz w:val="28"/>
          <w:szCs w:val="28"/>
          <w:rtl w:val="true"/>
          <w:lang w:bidi="ar-SA"/>
        </w:rPr>
        <w:t>و الخُشّافِ‌</w:t>
      </w:r>
      <w:r>
        <w:rPr>
          <w:rStyle w:val="FootnoteAnchor"/>
          <w:rtl w:val="true"/>
        </w:rPr>
        <w:footnoteReference w:id="912"/>
      </w:r>
      <w:r>
        <w:rPr>
          <w:rFonts w:ascii="Amiri" w:hAnsi="Amiri" w:eastAsia="Amiri" w:cs="Amiri"/>
          <w:color w:val="111111"/>
          <w:sz w:val="28"/>
          <w:sz w:val="28"/>
          <w:szCs w:val="28"/>
          <w:rtl w:val="true"/>
          <w:lang w:bidi="ar-SA"/>
        </w:rPr>
        <w:t>و الغُرابِ و ما أشبَهَ ذلكَ؟</w:t>
      </w:r>
    </w:p>
    <w:p>
      <w:pPr>
        <w:pStyle w:val="BookText"/>
        <w:rPr/>
      </w:pPr>
      <w:r>
        <w:rPr>
          <w:rFonts w:ascii="Amiri" w:hAnsi="Amiri" w:eastAsia="Amiri" w:cs="Amiri"/>
          <w:color w:val="111111"/>
          <w:sz w:val="28"/>
          <w:sz w:val="28"/>
          <w:szCs w:val="28"/>
          <w:rtl w:val="true"/>
          <w:lang w:bidi="ar-SA"/>
        </w:rPr>
        <w:t>و إن كانَ لا يَحِلُّ، فهَل كَونُ شَيءٍ منه مؤذياً أذيّةً يَجوزُ تَحمُّلُ‌</w:t>
      </w:r>
      <w:r>
        <w:rPr>
          <w:rStyle w:val="FootnoteAnchor"/>
          <w:rtl w:val="true"/>
        </w:rPr>
        <w:footnoteReference w:id="913"/>
      </w:r>
      <w:r>
        <w:rPr>
          <w:rFonts w:ascii="Amiri" w:hAnsi="Amiri" w:eastAsia="Amiri" w:cs="Amiri"/>
          <w:color w:val="111111"/>
          <w:sz w:val="28"/>
          <w:sz w:val="28"/>
          <w:szCs w:val="28"/>
          <w:rtl w:val="true"/>
          <w:lang w:bidi="ar-SA"/>
        </w:rPr>
        <w:t xml:space="preserve">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النملِ في المَسكَنِ، و اتِّخاذِ الطائرِ سَقفَ البَيتِ و حائطَه وَكراً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يُبيحُ‌</w:t>
      </w:r>
      <w:r>
        <w:rPr>
          <w:rStyle w:val="FootnoteAnchor"/>
          <w:rtl w:val="true"/>
        </w:rPr>
        <w:footnoteReference w:id="914"/>
      </w:r>
      <w:r>
        <w:rPr>
          <w:rFonts w:ascii="Amiri" w:hAnsi="Amiri" w:eastAsia="Amiri" w:cs="Amiri"/>
          <w:color w:val="111111"/>
          <w:sz w:val="28"/>
          <w:sz w:val="28"/>
          <w:szCs w:val="28"/>
          <w:rtl w:val="true"/>
          <w:lang w:bidi="ar-SA"/>
        </w:rPr>
        <w:t>قَتلَه؟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بإباحةِ شَيءٍ مِن ذلكَ قَبلَ حُصولِ الأذىٰ أو بَعدَه، فما وجهُها؟ مع عِلمِنا بأنّ‌</w:t>
      </w:r>
      <w:r>
        <w:rPr>
          <w:rStyle w:val="FootnoteAnchor"/>
          <w:rtl w:val="true"/>
        </w:rPr>
        <w:footnoteReference w:id="915"/>
      </w:r>
      <w:r>
        <w:rPr>
          <w:rFonts w:ascii="Amiri" w:hAnsi="Amiri" w:eastAsia="Amiri" w:cs="Amiri"/>
          <w:color w:val="111111"/>
          <w:sz w:val="28"/>
          <w:sz w:val="28"/>
          <w:szCs w:val="28"/>
          <w:rtl w:val="true"/>
          <w:lang w:bidi="ar-SA"/>
        </w:rPr>
        <w:t>العقولَ تُقبِّحُ إنزالَ الضرَرِ بالحَيَوانِ‌</w:t>
      </w:r>
      <w:r>
        <w:rPr>
          <w:rStyle w:val="FootnoteAnchor"/>
          <w:rtl w:val="true"/>
        </w:rPr>
        <w:footnoteReference w:id="916"/>
      </w:r>
      <w:r>
        <w:rPr>
          <w:rFonts w:ascii="Amiri" w:hAnsi="Amiri" w:eastAsia="Amiri" w:cs="Amiri"/>
          <w:color w:val="111111"/>
          <w:sz w:val="28"/>
          <w:sz w:val="28"/>
          <w:szCs w:val="28"/>
          <w:rtl w:val="true"/>
          <w:lang w:bidi="ar-SA"/>
        </w:rPr>
        <w:t>، إلّابسَمعٍ‌</w:t>
      </w:r>
      <w:r>
        <w:rPr>
          <w:rStyle w:val="FootnoteAnchor"/>
          <w:rtl w:val="true"/>
        </w:rPr>
        <w:footnoteReference w:id="917"/>
      </w:r>
      <w:r>
        <w:rPr>
          <w:rFonts w:ascii="Amiri" w:hAnsi="Amiri" w:eastAsia="Amiri" w:cs="Amiri"/>
          <w:color w:val="111111"/>
          <w:sz w:val="28"/>
          <w:sz w:val="28"/>
          <w:szCs w:val="28"/>
          <w:rtl w:val="true"/>
          <w:lang w:bidi="ar-SA"/>
        </w:rPr>
        <w:t>مقطوعٍ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هَل يَجوزُ قَتلُ ما جَرَت العادةُ بكَونِه مؤذياً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كالسَّبُعِ، و الذئبِ، و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w:t>
      </w:r>
      <w:r>
        <w:rPr>
          <w:rStyle w:val="FootnoteAnchor"/>
          <w:rtl w:val="true"/>
        </w:rPr>
        <w:footnoteReference w:id="918"/>
      </w:r>
      <w:r>
        <w:rPr>
          <w:rFonts w:ascii="Amiri" w:hAnsi="Amiri" w:eastAsia="Amiri" w:cs="Amiri"/>
          <w:color w:val="111111"/>
          <w:sz w:val="28"/>
          <w:sz w:val="28"/>
          <w:szCs w:val="28"/>
          <w:rtl w:val="true"/>
          <w:lang w:bidi="ar-SA"/>
        </w:rPr>
        <w:t>أن يَقصِدَنا بأذيّةٍ؟</w:t>
      </w:r>
    </w:p>
    <w:p>
      <w:pPr>
        <w:pStyle w:val="BookText"/>
        <w:rPr/>
      </w:pPr>
      <w:r>
        <w:rPr>
          <w:rFonts w:ascii="Amiri" w:hAnsi="Amiri" w:eastAsia="Amiri" w:cs="Amiri"/>
          <w:color w:val="111111"/>
          <w:sz w:val="28"/>
          <w:sz w:val="28"/>
          <w:szCs w:val="28"/>
          <w:rtl w:val="true"/>
          <w:lang w:bidi="ar-SA"/>
        </w:rPr>
        <w:t xml:space="preserve">و هَل قَصدُنا إلىٰ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المُدافَعةِ له، أو علىٰ وجهِ العَزمِ علىٰ قَتلِه؟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إدخالَ الضرَرِ علَى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المؤذي لنا منها و غيرِ المؤذي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إلّا بإذنٍ سَمعيٍّ؛ إلّاأن يَكونَ ذلكَ الضرَرُ يَسيراً، و النفعُ الذي يُتكفَّلُ به</w:t>
      </w:r>
      <w:r>
        <w:rPr>
          <w:rStyle w:val="FootnoteAnchor"/>
          <w:rtl w:val="true"/>
        </w:rPr>
        <w:footnoteReference w:id="921"/>
      </w:r>
      <w:r>
        <w:rPr>
          <w:rFonts w:ascii="Amiri" w:hAnsi="Amiri" w:eastAsia="Amiri" w:cs="Amiri"/>
          <w:color w:val="111111"/>
          <w:sz w:val="28"/>
          <w:sz w:val="28"/>
          <w:szCs w:val="28"/>
          <w:rtl w:val="true"/>
          <w:lang w:bidi="ar-SA"/>
        </w:rPr>
        <w:t>لها عظيماً؛ فيَحسُنُ مِن طريقةِ العقلِ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كَثيراً مِن الناسِ أجازوا رُكوبَ البَهائمِ عقلاً، مِن غيرِ افتقارٍ إلىٰ سَمعٍ، و قالوا</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تَكفَّلنا لها بما تَحتاجُ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غِذاءٍ و دِثارٍ</w:t>
      </w:r>
      <w:r>
        <w:rPr>
          <w:rStyle w:val="FootnoteAnchor"/>
          <w:rtl w:val="true"/>
        </w:rPr>
        <w:footnoteReference w:id="923"/>
      </w:r>
      <w:r>
        <w:rPr>
          <w:rFonts w:ascii="Amiri" w:hAnsi="Amiri" w:eastAsia="Amiri" w:cs="Amiri"/>
          <w:color w:val="111111"/>
          <w:sz w:val="28"/>
          <w:sz w:val="28"/>
          <w:szCs w:val="28"/>
          <w:rtl w:val="true"/>
          <w:lang w:bidi="ar-SA"/>
        </w:rPr>
        <w:t>و مَصلَحةٍ رُبَّما كانَت لها فائدةٌ لَولا تَكفُّلُنا</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نُدخِلَ‌</w:t>
      </w:r>
      <w:r>
        <w:rPr>
          <w:rStyle w:val="FootnoteAnchor"/>
          <w:rtl w:val="true"/>
        </w:rPr>
        <w:footnoteReference w:id="925"/>
      </w:r>
      <w:r>
        <w:rPr>
          <w:rFonts w:ascii="Amiri" w:hAnsi="Amiri" w:eastAsia="Amiri" w:cs="Amiri"/>
          <w:color w:val="111111"/>
          <w:sz w:val="28"/>
          <w:sz w:val="28"/>
          <w:szCs w:val="28"/>
          <w:rtl w:val="true"/>
          <w:lang w:bidi="ar-SA"/>
        </w:rPr>
        <w:t>عليها ضَررَ الرُّكوبِ؛ لأنّه يَسيرٌ في جَنبِ ما نَتحمَّلُه</w:t>
      </w:r>
      <w:r>
        <w:rPr>
          <w:rStyle w:val="FootnoteAnchor"/>
          <w:rtl w:val="true"/>
        </w:rPr>
        <w:footnoteReference w:id="926"/>
      </w:r>
      <w:r>
        <w:rPr>
          <w:rFonts w:ascii="Amiri" w:hAnsi="Amiri" w:eastAsia="Amiri" w:cs="Amiri"/>
          <w:color w:val="111111"/>
          <w:sz w:val="28"/>
          <w:sz w:val="28"/>
          <w:szCs w:val="28"/>
          <w:rtl w:val="true"/>
          <w:lang w:bidi="ar-SA"/>
        </w:rPr>
        <w:t>مِن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الإذنُ السمعيُّ في إدخالِ الضرَرِ عليها مؤذِنٌ بأنّ المُبيحَ لذلكَ هو التكفُّلُ‌</w:t>
      </w:r>
      <w:r>
        <w:rPr>
          <w:rStyle w:val="FootnoteAnchor"/>
          <w:rtl w:val="true"/>
        </w:rPr>
        <w:footnoteReference w:id="927"/>
      </w:r>
      <w:r>
        <w:rPr>
          <w:rFonts w:ascii="Amiri" w:hAnsi="Amiri" w:eastAsia="Amiri" w:cs="Amiri"/>
          <w:color w:val="111111"/>
          <w:sz w:val="28"/>
          <w:sz w:val="28"/>
          <w:szCs w:val="28"/>
          <w:rtl w:val="true"/>
          <w:lang w:bidi="ar-SA"/>
        </w:rPr>
        <w:t>بالعِوَضِ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قَتلُ‌</w:t>
      </w:r>
      <w:r>
        <w:rPr>
          <w:rStyle w:val="FootnoteAnchor"/>
          <w:rtl w:val="true"/>
        </w:rPr>
        <w:footnoteReference w:id="928"/>
      </w:r>
      <w:r>
        <w:rPr>
          <w:rFonts w:ascii="Amiri" w:hAnsi="Amiri" w:eastAsia="Amiri" w:cs="Amiri"/>
          <w:color w:val="111111"/>
          <w:sz w:val="28"/>
          <w:sz w:val="28"/>
          <w:szCs w:val="28"/>
          <w:rtl w:val="true"/>
          <w:lang w:bidi="ar-SA"/>
        </w:rPr>
        <w:t>البَهائمِ التي</w:t>
      </w:r>
      <w:r>
        <w:rPr>
          <w:rStyle w:val="FootnoteAnchor"/>
          <w:rtl w:val="true"/>
        </w:rPr>
        <w:footnoteReference w:id="929"/>
      </w:r>
      <w:r>
        <w:rPr>
          <w:rFonts w:ascii="Amiri" w:hAnsi="Amiri" w:eastAsia="Amiri" w:cs="Amiri"/>
          <w:color w:val="111111"/>
          <w:sz w:val="28"/>
          <w:sz w:val="28"/>
          <w:szCs w:val="28"/>
          <w:rtl w:val="true"/>
          <w:lang w:bidi="ar-SA"/>
        </w:rPr>
        <w:t>لا أذيّةَ منها لا يَجوزُ علىٰ وجهٍ؛ لأنّ السَّمعَ لَم يُبِحْه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ما يؤذي أذىً يَسيراً مُتحمَّلاً، كالنملِ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931"/>
      </w:r>
      <w:r>
        <w:rPr>
          <w:rFonts w:ascii="Amiri" w:hAnsi="Amiri" w:eastAsia="Amiri" w:cs="Amiri"/>
          <w:color w:val="111111"/>
          <w:sz w:val="28"/>
          <w:sz w:val="28"/>
          <w:szCs w:val="28"/>
          <w:rtl w:val="true"/>
          <w:lang w:bidi="ar-SA"/>
        </w:rPr>
        <w:t>المؤذياتُ مِن البَهائمِ المُضِرّاتُ، فمُباحٌ‌</w:t>
      </w:r>
      <w:r>
        <w:rPr>
          <w:rStyle w:val="FootnoteAnchor"/>
          <w:rtl w:val="true"/>
        </w:rPr>
        <w:footnoteReference w:id="932"/>
      </w:r>
      <w:r>
        <w:rPr>
          <w:rFonts w:ascii="Amiri" w:hAnsi="Amiri" w:eastAsia="Amiri" w:cs="Amiri"/>
          <w:color w:val="111111"/>
          <w:sz w:val="28"/>
          <w:sz w:val="28"/>
          <w:szCs w:val="28"/>
          <w:rtl w:val="true"/>
          <w:lang w:bidi="ar-SA"/>
        </w:rPr>
        <w:t>قَتلُها، كالسِّباعِ و الأَفاعي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w:t>
      </w:r>
      <w:r>
        <w:rPr>
          <w:rStyle w:val="FootnoteAnchor"/>
          <w:rtl w:val="true"/>
        </w:rPr>
        <w:footnoteReference w:id="933"/>
      </w:r>
      <w:r>
        <w:rPr>
          <w:rFonts w:ascii="Amiri" w:hAnsi="Amiri" w:eastAsia="Amiri" w:cs="Amiri"/>
          <w:color w:val="111111"/>
          <w:sz w:val="28"/>
          <w:sz w:val="28"/>
          <w:szCs w:val="28"/>
          <w:rtl w:val="true"/>
          <w:lang w:bidi="ar-SA"/>
        </w:rPr>
        <w:t>القَصدُ إلىٰ قَتلِها و الاعتمادُ</w:t>
      </w:r>
      <w:r>
        <w:rPr>
          <w:rStyle w:val="FootnoteAnchor"/>
          <w:rtl w:val="true"/>
        </w:rPr>
        <w:footnoteReference w:id="934"/>
      </w:r>
      <w:r>
        <w:rPr>
          <w:rFonts w:ascii="Amiri" w:hAnsi="Amiri" w:eastAsia="Amiri" w:cs="Amiri"/>
          <w:color w:val="111111"/>
          <w:sz w:val="28"/>
          <w:sz w:val="28"/>
          <w:szCs w:val="28"/>
          <w:rtl w:val="true"/>
          <w:lang w:bidi="ar-SA"/>
        </w:rPr>
        <w:t>له دونَ القَصدِ إلَى المُدافَعةِ؛ لأنّ بالإباحةِ قد صارَ القَتلُ حَسَناً، و القَصدُ إلَى الحَسَنِ حَسَنٌ، كما يُقصَدُ إلىٰ ذَبحِ الحَيَوانِ المأكولِ و إن لَم يَكُن مؤذياً؛ لأنّ بالإباحةِ قد صارَ إتلافُه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يوجَبُ القصدُ إلَى المُدافَعةِ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الضرَرِ فيمن يَقصِدُ إلىٰ إيقاعِ الضرَرِ بنا؛ لأنّ القَصدَ إلَى الإضرارِ به يَكونُ قَبيحاً؛ لأنّه إرادةٌ لظُلمٍ‌</w:t>
      </w:r>
      <w:r>
        <w:rPr>
          <w:rStyle w:val="FootnoteAnchor"/>
          <w:rtl w:val="true"/>
        </w:rPr>
        <w:footnoteReference w:id="935"/>
      </w:r>
      <w:r>
        <w:rPr>
          <w:rFonts w:ascii="Amiri" w:hAnsi="Amiri" w:eastAsia="Amiri" w:cs="Amiri"/>
          <w:color w:val="111111"/>
          <w:sz w:val="28"/>
          <w:sz w:val="28"/>
          <w:szCs w:val="28"/>
          <w:rtl w:val="true"/>
          <w:lang w:bidi="ar-SA"/>
        </w:rPr>
        <w:t>، فإذا قَصَدنا المُدافَعةَ و وَقَعَ‌</w:t>
      </w:r>
      <w:r>
        <w:rPr>
          <w:rStyle w:val="FootnoteAnchor"/>
          <w:rtl w:val="true"/>
        </w:rPr>
        <w:footnoteReference w:id="936"/>
      </w:r>
      <w:r>
        <w:rPr>
          <w:rFonts w:ascii="Amiri" w:hAnsi="Amiri" w:eastAsia="Amiri" w:cs="Amiri"/>
          <w:color w:val="111111"/>
          <w:sz w:val="28"/>
          <w:sz w:val="28"/>
          <w:szCs w:val="28"/>
          <w:rtl w:val="true"/>
          <w:lang w:bidi="ar-SA"/>
        </w:rPr>
        <w:t>الضرَرُ غيرَ مقصودٍ لَم يَكُن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يَحسُنُ مِنّا أن نَقتُلَ السِّباعَ و الأفاعيَ، و إن لَم نَخَفْ ضررَها في الحالِ، و لَم تَقصِدْنا</w:t>
      </w:r>
      <w:r>
        <w:rPr>
          <w:rStyle w:val="FootnoteAnchor"/>
          <w:rtl w:val="true"/>
        </w:rPr>
        <w:footnoteReference w:id="937"/>
      </w:r>
      <w:r>
        <w:rPr>
          <w:rFonts w:ascii="Amiri" w:hAnsi="Amiri" w:eastAsia="Amiri" w:cs="Amiri"/>
          <w:color w:val="111111"/>
          <w:sz w:val="28"/>
          <w:sz w:val="28"/>
          <w:szCs w:val="28"/>
          <w:rtl w:val="true"/>
          <w:lang w:bidi="ar-SA"/>
        </w:rPr>
        <w:t>بأذيّةٍ؛ لأنّ الإباحةَ تَضمَّنَت ذلكَ‌</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نُفرِّقُ بَينَ قَتلِ الحَيّةِ و ما أشبَهَها في الصلاةِ،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خافَ المُصَلّي مِن </w:t>
      </w:r>
    </w:p>
    <w:p>
      <w:pPr>
        <w:pStyle w:val="BookText"/>
        <w:rPr/>
      </w:pPr>
      <w:r>
        <w:rPr>
          <w:rFonts w:ascii="Amiri" w:hAnsi="Amiri" w:eastAsia="Amiri" w:cs="Amiri"/>
          <w:color w:val="111111"/>
          <w:sz w:val="28"/>
          <w:sz w:val="28"/>
          <w:szCs w:val="28"/>
          <w:rtl w:val="true"/>
          <w:lang w:bidi="ar-SA"/>
        </w:rPr>
        <w:t>ضررِ الحَيّةِ و قَصدِها له، جازَ أن يَقتُلَها في الصلاةِ، و لا تَنقَطِعُ‌</w:t>
      </w:r>
      <w:r>
        <w:rPr>
          <w:rStyle w:val="FootnoteAnchor"/>
          <w:rtl w:val="true"/>
        </w:rPr>
        <w:footnoteReference w:id="939"/>
      </w:r>
      <w:r>
        <w:rPr>
          <w:rFonts w:ascii="Amiri" w:hAnsi="Amiri" w:eastAsia="Amiri" w:cs="Amiri"/>
          <w:color w:val="111111"/>
          <w:sz w:val="28"/>
          <w:sz w:val="28"/>
          <w:szCs w:val="28"/>
          <w:rtl w:val="true"/>
          <w:lang w:bidi="ar-SA"/>
        </w:rPr>
        <w:t>بذلكَ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يَخَفْ ذلكَ، لَم يَجُز له أن يَقتُلَها في الصلاةِ‌</w:t>
      </w:r>
      <w:r>
        <w:rPr>
          <w:rStyle w:val="FootnoteAnchor"/>
          <w:rtl w:val="true"/>
        </w:rPr>
        <w:footnoteReference w:id="940"/>
      </w:r>
      <w:r>
        <w:rPr>
          <w:rFonts w:ascii="Amiri" w:hAnsi="Amiri" w:eastAsia="Amiri" w:cs="Amiri"/>
          <w:color w:val="111111"/>
          <w:sz w:val="28"/>
          <w:sz w:val="28"/>
          <w:szCs w:val="28"/>
          <w:rtl w:val="true"/>
          <w:lang w:bidi="ar-SA"/>
        </w:rPr>
        <w:t>لأنّه فِعلٌ كَثيرٌ، لا يُستَباحُ في الصلاةِ إلّاعن ضَرورةٍ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ذلكَ‌</w:t>
      </w:r>
      <w:r>
        <w:rPr>
          <w:rStyle w:val="FootnoteAnchor"/>
          <w:rtl w:val="true"/>
        </w:rPr>
        <w:footnoteReference w:id="941"/>
      </w:r>
      <w:r>
        <w:rPr>
          <w:rFonts w:ascii="Amiri" w:hAnsi="Amiri" w:eastAsia="Amiri" w:cs="Amiri"/>
          <w:color w:val="111111"/>
          <w:sz w:val="28"/>
          <w:sz w:val="28"/>
          <w:szCs w:val="28"/>
          <w:rtl w:val="true"/>
          <w:lang w:bidi="ar-SA"/>
        </w:rPr>
        <w:t>مُعتَبَراً في قَتلِ السِّباعِ و الأَفاعي في غيرِ الصلاةِ</w:t>
      </w:r>
      <w:r>
        <w:rPr>
          <w:rFonts w:eastAsia="Amiri" w:cs="Amiri" w:ascii="Amiri" w:hAnsi="Amiri"/>
          <w:color w:val="111111"/>
          <w:sz w:val="28"/>
          <w:szCs w:val="28"/>
          <w:rtl w:val="true"/>
          <w:lang w:bidi="ar-SA"/>
        </w:rPr>
        <w:t xml:space="preserve">. </w:t>
      </w:r>
      <w:bookmarkStart w:id="161" w:name="pg16437_172479"/>
    </w:p>
    <w:p>
      <w:pPr>
        <w:pStyle w:val="Heading4"/>
        <w:numPr>
          <w:ilvl w:val="3"/>
          <w:numId w:val="1"/>
        </w:numPr>
        <w:rPr/>
      </w:pPr>
      <w:bookmarkStart w:id="162" w:name="__RefHeading___Toc8039567_1280447820"/>
      <w:bookmarkStart w:id="163" w:name="_Toc58"/>
      <w:bookmarkEnd w:id="161"/>
      <w:bookmarkEnd w:id="162"/>
      <w:r>
        <w:rPr>
          <w:rtl w:val="true"/>
        </w:rPr>
        <w:t>المَسألةُ الرابعةُ و العِشرونَ بِرُّ الوالدَينِ الكافرَينِ أو الفاسقَينِ‌</w:t>
      </w:r>
      <w:bookmarkEnd w:id="163"/>
    </w:p>
    <w:p>
      <w:pPr>
        <w:pStyle w:val="BookText"/>
        <w:rPr/>
      </w:pPr>
      <w:r>
        <w:rPr>
          <w:rFonts w:ascii="Amiri" w:hAnsi="Amiri" w:eastAsia="Amiri" w:cs="Amiri"/>
          <w:color w:val="111111"/>
          <w:sz w:val="28"/>
          <w:sz w:val="28"/>
          <w:szCs w:val="28"/>
          <w:rtl w:val="true"/>
          <w:lang w:bidi="ar-SA"/>
        </w:rPr>
        <w:t>إذا كانَ بِرُّ الوالدَينِ واجباً، و تَجنُّبُ اليَسيرِ مِن أذاهما لازماً، و إحسانُ صُحبتِهما</w:t>
      </w:r>
      <w:r>
        <w:rPr>
          <w:rStyle w:val="FootnoteAnchor"/>
          <w:rtl w:val="true"/>
        </w:rPr>
        <w:footnoteReference w:id="942"/>
      </w:r>
      <w:r>
        <w:rPr>
          <w:rFonts w:ascii="Amiri" w:hAnsi="Amiri" w:eastAsia="Amiri" w:cs="Amiri"/>
          <w:color w:val="111111"/>
          <w:sz w:val="28"/>
          <w:sz w:val="28"/>
          <w:szCs w:val="28"/>
          <w:rtl w:val="true"/>
          <w:lang w:bidi="ar-SA"/>
        </w:rPr>
        <w:t>بالمعروفِ مُدّةَ الحياةِ‌</w:t>
      </w:r>
      <w:r>
        <w:rPr>
          <w:rStyle w:val="FootnoteAnchor"/>
          <w:rtl w:val="true"/>
        </w:rPr>
        <w:footnoteReference w:id="943"/>
      </w:r>
      <w:r>
        <w:rPr>
          <w:rFonts w:ascii="Amiri" w:hAnsi="Amiri" w:eastAsia="Amiri" w:cs="Amiri"/>
          <w:color w:val="111111"/>
          <w:sz w:val="28"/>
          <w:sz w:val="28"/>
          <w:szCs w:val="28"/>
          <w:rtl w:val="true"/>
          <w:lang w:bidi="ar-SA"/>
        </w:rPr>
        <w:t xml:space="preserve">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كافرَينِ كانا، أو 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الحُكمُ فيهما إن</w:t>
      </w:r>
      <w:r>
        <w:rPr>
          <w:rStyle w:val="FootnoteAnchor"/>
          <w:rtl w:val="true"/>
        </w:rPr>
        <w:footnoteReference w:id="944"/>
      </w:r>
      <w:r>
        <w:rPr>
          <w:rFonts w:ascii="Amiri" w:hAnsi="Amiri" w:eastAsia="Amiri" w:cs="Amiri"/>
          <w:color w:val="111111"/>
          <w:sz w:val="28"/>
          <w:sz w:val="28"/>
          <w:szCs w:val="28"/>
          <w:rtl w:val="true"/>
          <w:lang w:bidi="ar-SA"/>
        </w:rPr>
        <w:t>كانا فاسقَينِ أو ذِمّيَّينِ أو حَربيَّينِ؟ أيَجِبُ أن يَعمَلَ معهما ولدُهما ما يَصنَعُ‌</w:t>
      </w:r>
      <w:r>
        <w:rPr>
          <w:rStyle w:val="FootnoteAnchor"/>
          <w:rtl w:val="true"/>
        </w:rPr>
        <w:footnoteReference w:id="945"/>
      </w:r>
      <w:r>
        <w:rPr>
          <w:rFonts w:ascii="Amiri" w:hAnsi="Amiri" w:eastAsia="Amiri" w:cs="Amiri"/>
          <w:color w:val="111111"/>
          <w:sz w:val="28"/>
          <w:sz w:val="28"/>
          <w:szCs w:val="28"/>
          <w:rtl w:val="true"/>
          <w:lang w:bidi="ar-SA"/>
        </w:rPr>
        <w:t>بكُلِّ فاسقٍ و ذِمّيٍّ و حَربيٍّ مِن اللعنِ و البراءةِ و القَتلِ‌</w:t>
      </w:r>
      <w:r>
        <w:rPr>
          <w:rStyle w:val="FootnoteAnchor"/>
          <w:rtl w:val="true"/>
        </w:rPr>
        <w:footnoteReference w:id="946"/>
      </w:r>
      <w:r>
        <w:rPr>
          <w:rFonts w:ascii="Amiri" w:hAnsi="Amiri" w:eastAsia="Amiri" w:cs="Amiri"/>
          <w:color w:val="111111"/>
          <w:sz w:val="28"/>
          <w:sz w:val="28"/>
          <w:szCs w:val="28"/>
          <w:rtl w:val="true"/>
          <w:lang w:bidi="ar-SA"/>
        </w:rPr>
        <w:t>، أم لا يَجِبُ؟ فإن وَجَبَ فِعلُ ذلكَ بهما، فكَيفَ يُجامِعُ ما استَقرَّ مِن الأمرِ بتعظيمِهما و تَجنُّبِ أذاهما؟ و إن كانَ لا يَجِبُ،</w:t>
      </w:r>
      <w:r>
        <w:rPr>
          <w:rStyle w:val="FootnoteAnchor"/>
          <w:rtl w:val="true"/>
        </w:rPr>
        <w:footnoteReference w:id="947"/>
      </w:r>
      <w:r>
        <w:rPr>
          <w:rFonts w:ascii="Amiri" w:hAnsi="Amiri" w:eastAsia="Amiri" w:cs="Amiri"/>
          <w:color w:val="111111"/>
          <w:sz w:val="28"/>
          <w:sz w:val="28"/>
          <w:szCs w:val="28"/>
          <w:rtl w:val="true"/>
          <w:lang w:bidi="ar-SA"/>
        </w:rPr>
        <w:t>خالَفَ ما عليه مِن وجوبِ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بِرَّ الوالدَينِ بالنفَقةِ و إجمالِ الصُّحبةِ‌</w:t>
      </w:r>
      <w:r>
        <w:rPr>
          <w:rStyle w:val="FootnoteAnchor"/>
          <w:rtl w:val="true"/>
        </w:rPr>
        <w:footnoteReference w:id="949"/>
      </w:r>
      <w:r>
        <w:rPr>
          <w:rFonts w:ascii="Amiri" w:hAnsi="Amiri" w:eastAsia="Amiri" w:cs="Amiri"/>
          <w:color w:val="111111"/>
          <w:sz w:val="28"/>
          <w:sz w:val="28"/>
          <w:szCs w:val="28"/>
          <w:rtl w:val="true"/>
          <w:lang w:bidi="ar-SA"/>
        </w:rPr>
        <w:t>و إكمالِ‌</w:t>
      </w:r>
      <w:r>
        <w:rPr>
          <w:rStyle w:val="FootnoteAnchor"/>
          <w:rtl w:val="true"/>
        </w:rPr>
        <w:footnoteReference w:id="950"/>
      </w:r>
      <w:r>
        <w:rPr>
          <w:rFonts w:ascii="Amiri" w:hAnsi="Amiri" w:eastAsia="Amiri" w:cs="Amiri"/>
          <w:color w:val="111111"/>
          <w:sz w:val="28"/>
          <w:sz w:val="28"/>
          <w:szCs w:val="28"/>
          <w:rtl w:val="true"/>
          <w:lang w:bidi="ar-SA"/>
        </w:rPr>
        <w:t>الكَرامةِ‌</w:t>
      </w:r>
      <w:r>
        <w:rPr>
          <w:rStyle w:val="FootnoteAnchor"/>
          <w:rtl w:val="true"/>
        </w:rPr>
        <w:footnoteReference w:id="951"/>
      </w:r>
      <w:r>
        <w:rPr>
          <w:rFonts w:ascii="Amiri" w:hAnsi="Amiri" w:eastAsia="Amiri" w:cs="Amiri"/>
          <w:color w:val="111111"/>
          <w:sz w:val="28"/>
          <w:sz w:val="28"/>
          <w:szCs w:val="28"/>
          <w:rtl w:val="true"/>
          <w:lang w:bidi="ar-SA"/>
        </w:rPr>
        <w:t xml:space="preserve">، غيرُ مُنافٍ </w:t>
      </w:r>
    </w:p>
    <w:p>
      <w:pPr>
        <w:pStyle w:val="BookText"/>
        <w:rPr/>
      </w:pPr>
      <w:r>
        <w:rPr>
          <w:rFonts w:ascii="Amiri" w:hAnsi="Amiri" w:eastAsia="Amiri" w:cs="Amiri"/>
          <w:color w:val="111111"/>
          <w:sz w:val="28"/>
          <w:sz w:val="28"/>
          <w:szCs w:val="28"/>
          <w:rtl w:val="true"/>
          <w:lang w:bidi="ar-SA"/>
        </w:rPr>
        <w:t>لِلَّعنِ لهما و البَراءةِ منهما إذا كانا كافرَينِ؛ كما لا تَنافيَ بَينَ شُكرِ الكافرِ علىٰ نِعَمِه و بَينَ لَعنِه علىٰ كُفرِه، و إن كانَ الشُّكرُ معه ضَربٌ مِن التعظيمِ؛ فإنّ ذلكَ التعظيمَ غيرُ مُنافٍ للِاستخفافِ علَى الكُفرِ؛ لِاختلافِ جِهتِهما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كُنّا نَذهَبُ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القائلينَ بالإرجاءِ‌</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التعظيمَ علَى الطاعةِ لا يُنافي الِاستخفافَ علَى المعصيةِ، مع التقابُلِ بَينَ جِهةِ‌</w:t>
      </w:r>
      <w:r>
        <w:rPr>
          <w:rStyle w:val="FootnoteAnchor"/>
          <w:rtl w:val="true"/>
        </w:rPr>
        <w:footnoteReference w:id="953"/>
      </w:r>
      <w:r>
        <w:rPr>
          <w:rFonts w:ascii="Amiri" w:hAnsi="Amiri" w:eastAsia="Amiri" w:cs="Amiri"/>
          <w:color w:val="111111"/>
          <w:sz w:val="28"/>
          <w:sz w:val="28"/>
          <w:szCs w:val="28"/>
          <w:rtl w:val="true"/>
          <w:lang w:bidi="ar-SA"/>
        </w:rPr>
        <w:t>التعظيمِ و الِاستخفافِ؛ فأحرىٰ‌</w:t>
      </w:r>
      <w:r>
        <w:rPr>
          <w:rStyle w:val="FootnoteAnchor"/>
          <w:rtl w:val="true"/>
        </w:rPr>
        <w:footnoteReference w:id="954"/>
      </w:r>
      <w:r>
        <w:rPr>
          <w:rFonts w:ascii="Amiri" w:hAnsi="Amiri" w:eastAsia="Amiri" w:cs="Amiri"/>
          <w:color w:val="111111"/>
          <w:sz w:val="28"/>
          <w:sz w:val="28"/>
          <w:szCs w:val="28"/>
          <w:rtl w:val="true"/>
          <w:lang w:bidi="ar-SA"/>
        </w:rPr>
        <w:t>أن نَقولَ ذلكَ فيما لا تَتقابَلُ‌</w:t>
      </w:r>
      <w:r>
        <w:rPr>
          <w:rStyle w:val="FootnoteAnchor"/>
          <w:rtl w:val="true"/>
        </w:rPr>
        <w:footnoteReference w:id="955"/>
      </w:r>
      <w:r>
        <w:rPr>
          <w:rFonts w:ascii="Amiri" w:hAnsi="Amiri" w:eastAsia="Amiri" w:cs="Amiri"/>
          <w:color w:val="111111"/>
          <w:sz w:val="28"/>
          <w:sz w:val="28"/>
          <w:szCs w:val="28"/>
          <w:rtl w:val="true"/>
          <w:lang w:bidi="ar-SA"/>
        </w:rPr>
        <w:t>جِهاتُه، مِن الشُّكرِ علَى النِّعَمِ المُقتَرِنِ بالتعظيمِ، و الذمِّ علَى المَعاصي المُقتَرِنِ‌</w:t>
      </w:r>
      <w:r>
        <w:rPr>
          <w:rStyle w:val="FootnoteAnchor"/>
          <w:rtl w:val="true"/>
        </w:rPr>
        <w:footnoteReference w:id="956"/>
      </w:r>
      <w:r>
        <w:rPr>
          <w:rFonts w:ascii="Amiri" w:hAnsi="Amiri" w:eastAsia="Amiri" w:cs="Amiri"/>
          <w:color w:val="111111"/>
          <w:sz w:val="28"/>
          <w:sz w:val="28"/>
          <w:szCs w:val="28"/>
          <w:rtl w:val="true"/>
          <w:lang w:bidi="ar-SA"/>
        </w:rPr>
        <w:t>بالِاستخفافِ</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للوالدَينِ نعمةُ التربيةِ و الحَضانةِ و غيرِ ذلكَ، وَجَبَ مِن إكرامِهما و تعظيمِهما ما يَجِبُ لكُلِّ 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اقتَرَنَ بذلكَ منهما كُفرٌ، وَجَبَ لَعنُهما</w:t>
      </w:r>
      <w:r>
        <w:rPr>
          <w:rStyle w:val="FootnoteAnchor"/>
          <w:rtl w:val="true"/>
        </w:rPr>
        <w:footnoteReference w:id="957"/>
      </w:r>
      <w:r>
        <w:rPr>
          <w:rFonts w:ascii="Amiri" w:hAnsi="Amiri" w:eastAsia="Amiri" w:cs="Amiri"/>
          <w:color w:val="111111"/>
          <w:sz w:val="28"/>
          <w:sz w:val="28"/>
          <w:szCs w:val="28"/>
          <w:rtl w:val="true"/>
          <w:lang w:bidi="ar-SA"/>
        </w:rPr>
        <w:t>بالكُفرِ و البَراءةُ منهما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ارتَدّا</w:t>
      </w:r>
      <w:r>
        <w:rPr>
          <w:rStyle w:val="FootnoteAnchor"/>
          <w:rtl w:val="true"/>
        </w:rPr>
        <w:footnoteReference w:id="958"/>
      </w:r>
      <w:r>
        <w:rPr>
          <w:rFonts w:ascii="Amiri" w:hAnsi="Amiri" w:eastAsia="Amiri" w:cs="Amiri"/>
          <w:color w:val="111111"/>
          <w:sz w:val="28"/>
          <w:sz w:val="28"/>
          <w:szCs w:val="28"/>
          <w:rtl w:val="true"/>
          <w:lang w:bidi="ar-SA"/>
        </w:rPr>
        <w:t>بَعدَ إيمانٍ، وَجَبَ مِن قَتلِهما ما يَجِبُ فيهما لَو كانا</w:t>
      </w:r>
      <w:r>
        <w:rPr>
          <w:rStyle w:val="FootnoteAnchor"/>
          <w:rtl w:val="true"/>
        </w:rPr>
        <w:footnoteReference w:id="959"/>
      </w:r>
      <w:r>
        <w:rPr>
          <w:rFonts w:ascii="Amiri" w:hAnsi="Amiri" w:eastAsia="Amiri" w:cs="Amiri"/>
          <w:color w:val="111111"/>
          <w:sz w:val="28"/>
          <w:sz w:val="28"/>
          <w:szCs w:val="28"/>
          <w:rtl w:val="true"/>
          <w:lang w:bidi="ar-SA"/>
        </w:rPr>
        <w:t>غيرَ والدَينِ‌</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 ذلكَ غيرُ مُتَنافٍ و لا مُتَضادٍّ</w:t>
      </w:r>
      <w:r>
        <w:rPr>
          <w:rFonts w:eastAsia="Amiri" w:cs="Amiri" w:ascii="Amiri" w:hAnsi="Amiri"/>
          <w:color w:val="111111"/>
          <w:sz w:val="28"/>
          <w:szCs w:val="28"/>
          <w:rtl w:val="true"/>
          <w:lang w:bidi="ar-SA"/>
        </w:rPr>
        <w:t xml:space="preserve">. </w:t>
      </w:r>
      <w:bookmarkStart w:id="164" w:name="pg16437_172481"/>
    </w:p>
    <w:p>
      <w:pPr>
        <w:pStyle w:val="Heading4"/>
        <w:numPr>
          <w:ilvl w:val="3"/>
          <w:numId w:val="1"/>
        </w:numPr>
        <w:rPr/>
      </w:pPr>
      <w:bookmarkStart w:id="165" w:name="__RefHeading___Toc8039569_1280447820"/>
      <w:bookmarkStart w:id="166" w:name="_Toc59"/>
      <w:bookmarkEnd w:id="164"/>
      <w:bookmarkEnd w:id="165"/>
      <w:r>
        <w:rPr>
          <w:rtl w:val="true"/>
        </w:rPr>
        <w:t>المَسألةُ الخامسةُ و العِشرونَ حُكمُ المُنعِمِ الكافرِ</w:t>
      </w:r>
      <w:bookmarkEnd w:id="166"/>
    </w:p>
    <w:p>
      <w:pPr>
        <w:pStyle w:val="BookText"/>
        <w:rPr/>
      </w:pPr>
      <w:r>
        <w:rPr>
          <w:rFonts w:ascii="Amiri" w:hAnsi="Amiri" w:eastAsia="Amiri" w:cs="Amiri"/>
          <w:color w:val="111111"/>
          <w:sz w:val="28"/>
          <w:sz w:val="28"/>
          <w:szCs w:val="28"/>
          <w:rtl w:val="true"/>
          <w:lang w:bidi="ar-SA"/>
        </w:rPr>
        <w:t>كَيفَ السبيلُ لِمَن أَنعَمَ عليه كافرٌ بنعمةٍ إلىٰ أداءِ الواجبِ عليه مِن شُكرِه و</w:t>
      </w:r>
      <w:r>
        <w:rPr>
          <w:rStyle w:val="FootnoteAnchor"/>
          <w:rtl w:val="true"/>
        </w:rPr>
        <w:footnoteReference w:id="961"/>
      </w:r>
      <w:r>
        <w:rPr>
          <w:rFonts w:ascii="Amiri" w:hAnsi="Amiri" w:eastAsia="Amiri" w:cs="Amiri"/>
          <w:color w:val="111111"/>
          <w:sz w:val="28"/>
          <w:sz w:val="28"/>
          <w:szCs w:val="28"/>
          <w:rtl w:val="true"/>
          <w:lang w:bidi="ar-SA"/>
        </w:rPr>
        <w:t>تعظيمِه، مع وجوبِ ذَمِّه و لَعنِه و البَراءةِ منه، و فَسادِ التحابُطِ؟</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الكافرَ إذا كانَت له نعمةٌ، وَجَبَ شُكرُه عليها ممّن هي نعمةٌ عليه</w:t>
      </w:r>
      <w:r>
        <w:rPr>
          <w:rStyle w:val="FootnoteAnchor"/>
          <w:rtl w:val="true"/>
        </w:rPr>
        <w:footnoteReference w:id="963"/>
      </w:r>
      <w:r>
        <w:rPr>
          <w:rFonts w:ascii="Amiri" w:hAnsi="Amiri" w:eastAsia="Amiri" w:cs="Amiri"/>
          <w:color w:val="111111"/>
          <w:sz w:val="28"/>
          <w:sz w:val="28"/>
          <w:szCs w:val="28"/>
          <w:rtl w:val="true"/>
          <w:lang w:bidi="ar-SA"/>
        </w:rPr>
        <w:t>و إنِ استَحَقَّ مِن هذا المُنعَمِ عليه أن يَلعَنَه علىٰ كُفرِه، و يَستَخِفَّ‌</w:t>
      </w:r>
      <w:r>
        <w:rPr>
          <w:rStyle w:val="FootnoteAnchor"/>
          <w:rtl w:val="true"/>
        </w:rPr>
        <w:footnoteReference w:id="964"/>
      </w:r>
      <w:r>
        <w:rPr>
          <w:rFonts w:ascii="Amiri" w:hAnsi="Amiri" w:eastAsia="Amiri" w:cs="Amiri"/>
          <w:color w:val="111111"/>
          <w:sz w:val="28"/>
          <w:sz w:val="28"/>
          <w:szCs w:val="28"/>
          <w:rtl w:val="true"/>
          <w:lang w:bidi="ar-SA"/>
        </w:rPr>
        <w:t>به مِن أجلِه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هاشِمٍ يوافِقُ في</w:t>
      </w:r>
      <w:r>
        <w:rPr>
          <w:rStyle w:val="FootnoteAnchor"/>
          <w:rtl w:val="true"/>
        </w:rPr>
        <w:footnoteReference w:id="965"/>
      </w:r>
      <w:r>
        <w:rPr>
          <w:rFonts w:ascii="Amiri" w:hAnsi="Amiri" w:eastAsia="Amiri" w:cs="Amiri"/>
          <w:color w:val="111111"/>
          <w:sz w:val="28"/>
          <w:sz w:val="28"/>
          <w:szCs w:val="28"/>
          <w:rtl w:val="true"/>
          <w:lang w:bidi="ar-SA"/>
        </w:rPr>
        <w:t>هذه الجُملةِ، و إن كانَ قائلاً بالإحباطِ؛ لأنّه يَذهَبُ إلىٰ أنّ الإحباطَ بَينَ ما تَتقابَلُ جِهاتُه مِن التَّعظيمِ و الِاستخفافِ‌</w:t>
      </w:r>
      <w:r>
        <w:rPr>
          <w:rStyle w:val="FootnoteAnchor"/>
          <w:rtl w:val="true"/>
        </w:rPr>
        <w:footnoteReference w:id="966"/>
      </w:r>
      <w:r>
        <w:rPr>
          <w:rFonts w:ascii="Amiri" w:hAnsi="Amiri" w:eastAsia="Amiri" w:cs="Amiri"/>
          <w:color w:val="111111"/>
          <w:sz w:val="28"/>
          <w:sz w:val="28"/>
          <w:szCs w:val="28"/>
          <w:rtl w:val="true"/>
          <w:lang w:bidi="ar-SA"/>
        </w:rPr>
        <w:t>، كالتعظيمِ علَى الإيمانِ، و الاِستخفافِ‌</w:t>
      </w:r>
      <w:r>
        <w:rPr>
          <w:rStyle w:val="FootnoteAnchor"/>
          <w:rtl w:val="true"/>
        </w:rPr>
        <w:footnoteReference w:id="967"/>
      </w:r>
      <w:r>
        <w:rPr>
          <w:rFonts w:ascii="Amiri" w:hAnsi="Amiri" w:eastAsia="Amiri" w:cs="Amiri"/>
          <w:color w:val="111111"/>
          <w:sz w:val="28"/>
          <w:sz w:val="28"/>
          <w:szCs w:val="28"/>
          <w:rtl w:val="true"/>
          <w:lang w:bidi="ar-SA"/>
        </w:rPr>
        <w:t>علَى الكُفرِ؛ و لَيسَ ذلكَ قائماً في الشُّكرِ علىٰ نعمةِ الكافرِ، مع الذمِّ علىٰ كُفرِه</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و أبو عليٍّ يُخالِفُه في ذلكَ؛ و يَذهَبُ إلىٰ أَنّ الكُفرَ مُحبِطٌ لِما يُستَحَقُّ بالنِّعَمِ مِن شُكرٍ و تعظيمٍ، كَما يُحبِطُ ما يُستَحَقُّ بالطاعاتِ مِن ثَوابٍ و 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ما قاله أبو هاشمٍ، و نَحنُ نَزيدُ علىٰ هذه الجُملةِ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تَنافيَ بَينَ المَدحِ و الذمِّ‌</w:t>
      </w:r>
      <w:r>
        <w:rPr>
          <w:rStyle w:val="FootnoteAnchor"/>
          <w:rtl w:val="true"/>
        </w:rPr>
        <w:footnoteReference w:id="969"/>
      </w:r>
      <w:r>
        <w:rPr>
          <w:rFonts w:ascii="Amiri" w:hAnsi="Amiri" w:eastAsia="Amiri" w:cs="Amiri"/>
          <w:color w:val="111111"/>
          <w:sz w:val="28"/>
          <w:sz w:val="28"/>
          <w:szCs w:val="28"/>
          <w:rtl w:val="true"/>
          <w:lang w:bidi="ar-SA"/>
        </w:rPr>
        <w:t>و التعظيمِ و الِاستخفافِ، إلّاإذا كانا علىٰ 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كانا علىٰ فِعلَينِ، جازَ أن يَجتَمِعَ استحقاقُهما و إن كانا مُتَقابِلَينِ، بَعدَ أن يَتغايَرَ الفِعلانِ اللذانِ يَستَحِقّانِ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الفاسقَ يَجتَمِعُ‌</w:t>
      </w:r>
      <w:r>
        <w:rPr>
          <w:rStyle w:val="FootnoteAnchor"/>
          <w:rtl w:val="true"/>
        </w:rPr>
        <w:footnoteReference w:id="970"/>
      </w:r>
      <w:r>
        <w:rPr>
          <w:rFonts w:ascii="Amiri" w:hAnsi="Amiri" w:eastAsia="Amiri" w:cs="Amiri"/>
          <w:color w:val="111111"/>
          <w:sz w:val="28"/>
          <w:sz w:val="28"/>
          <w:szCs w:val="28"/>
          <w:rtl w:val="true"/>
          <w:lang w:bidi="ar-SA"/>
        </w:rPr>
        <w:t>له استحقاقُ المَدحِ و الذمِّ‌</w:t>
      </w:r>
      <w:r>
        <w:rPr>
          <w:rStyle w:val="FootnoteAnchor"/>
          <w:rtl w:val="true"/>
        </w:rPr>
        <w:footnoteReference w:id="971"/>
      </w:r>
      <w:r>
        <w:rPr>
          <w:rFonts w:ascii="Amiri" w:hAnsi="Amiri" w:eastAsia="Amiri" w:cs="Amiri"/>
          <w:color w:val="111111"/>
          <w:sz w:val="28"/>
          <w:sz w:val="28"/>
          <w:szCs w:val="28"/>
          <w:rtl w:val="true"/>
          <w:lang w:bidi="ar-SA"/>
        </w:rPr>
        <w:t>و التعظيمِ و الِاستخفافِ؛ بإيمانِه و طاعتِه، و فِسقِه و مَعاصيهِ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أنّ الكافرَ قد دَلَّ الدليلُ علىٰ أنّه لا طاعةَ له، لَجازَ عندَنا أن يَجتَمِعَ له استحقاقُ الثوابِ و العِقابِ، و المَدحِ و الذمِّ‌</w:t>
      </w:r>
      <w:r>
        <w:rPr>
          <w:rStyle w:val="FootnoteAnchor"/>
          <w:rtl w:val="true"/>
        </w:rPr>
        <w:footnoteReference w:id="972"/>
      </w:r>
      <w:r>
        <w:rPr>
          <w:rFonts w:ascii="Amiri" w:hAnsi="Amiri" w:eastAsia="Amiri" w:cs="Amiri"/>
          <w:color w:val="111111"/>
          <w:sz w:val="28"/>
          <w:sz w:val="28"/>
          <w:szCs w:val="28"/>
          <w:rtl w:val="true"/>
          <w:lang w:bidi="ar-SA"/>
        </w:rPr>
        <w:t>، و التعظيمِ و الِاستخفافِ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كُنّا نَقولُ ذلكَ في المتقابِلِ الجِهاتِ، فكَيفَ القولُ بمِثلِه فيما لا تَتقابَلُ‌</w:t>
      </w:r>
      <w:r>
        <w:rPr>
          <w:rStyle w:val="FootnoteAnchor"/>
          <w:rtl w:val="true"/>
        </w:rPr>
        <w:footnoteReference w:id="973"/>
      </w:r>
      <w:r>
        <w:rPr>
          <w:rFonts w:ascii="Amiri" w:hAnsi="Amiri" w:eastAsia="Amiri" w:cs="Amiri"/>
          <w:color w:val="111111"/>
          <w:sz w:val="28"/>
          <w:sz w:val="28"/>
          <w:szCs w:val="28"/>
          <w:rtl w:val="true"/>
          <w:lang w:bidi="ar-SA"/>
        </w:rPr>
        <w:t>جِهاتُ استحقاقِه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فليُقَسْ علىٰ هذا كُلُّ المَسائلِ؛ فإنّه طريقٌ جَدَدٌ</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bookmarkStart w:id="167" w:name="pg16437_172483"/>
    </w:p>
    <w:p>
      <w:pPr>
        <w:pStyle w:val="Heading4"/>
        <w:numPr>
          <w:ilvl w:val="3"/>
          <w:numId w:val="1"/>
        </w:numPr>
        <w:rPr/>
      </w:pPr>
      <w:bookmarkStart w:id="168" w:name="__RefHeading___Toc8039571_1280447820"/>
      <w:bookmarkStart w:id="169" w:name="_Toc60"/>
      <w:bookmarkEnd w:id="167"/>
      <w:bookmarkEnd w:id="168"/>
      <w:r>
        <w:rPr>
          <w:rtl w:val="true"/>
        </w:rPr>
        <w:t>المَسألةُ السادسةُ و العِشرونَ أعواضُ الكافرِ في الآخرة</w:t>
      </w:r>
      <w:bookmarkEnd w:id="169"/>
    </w:p>
    <w:p>
      <w:pPr>
        <w:pStyle w:val="BookText"/>
        <w:rPr/>
      </w:pPr>
      <w:r>
        <w:rPr>
          <w:rFonts w:ascii="Amiri" w:hAnsi="Amiri" w:eastAsia="Amiri" w:cs="Amiri"/>
          <w:color w:val="111111"/>
          <w:sz w:val="28"/>
          <w:sz w:val="28"/>
          <w:szCs w:val="28"/>
          <w:rtl w:val="true"/>
          <w:lang w:bidi="ar-SA"/>
        </w:rPr>
        <w:t>علىٰ أيِّ وجهٍ يُعوَّضُ الكافرُ المُحتَرَمُ عَقيبَ استحقاقِه العِوَضَ عليه تَعالىٰ أو علىٰ غيرِه؟ مع إجماعِ الأُمّةِ علىٰ أنّه لا يَجوزُ أن يَنتَفِعَ في الآخِرةِ بشَيءٍ؛ لا في حالِ المَوقِفِ، و لا في حالِ دخولِه في النارِ، و قد نَطَقَ القُرآنُ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الكافرَ إذا كانَت له أعواضٌ ما استَوفاها في الدنيا، فَيجِبُ إيصالُها إليه عندَ البَعثِ قَبلَ إدخالِه النارَ للعِقابِ؛ و الأشبَهُ أن يَكونَ ذلكَ قَبلَ المُحاسَبةِ و المُواقَفةِ‌</w:t>
      </w:r>
      <w:r>
        <w:rPr>
          <w:rStyle w:val="FootnoteAnchor"/>
          <w:rtl w:val="true"/>
        </w:rPr>
        <w:footnoteReference w:id="976"/>
      </w:r>
      <w:r>
        <w:rPr>
          <w:rFonts w:ascii="Amiri" w:hAnsi="Amiri" w:eastAsia="Amiri" w:cs="Amiri"/>
          <w:color w:val="111111"/>
          <w:sz w:val="28"/>
          <w:sz w:val="28"/>
          <w:szCs w:val="28"/>
          <w:rtl w:val="true"/>
          <w:lang w:bidi="ar-SA"/>
        </w:rPr>
        <w:t>فإنّه لا يَليهِما إلّاالمُعاقَبةُ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العِوَضُ عندَنا مُنقَطِعٌ،</w:t>
      </w:r>
      <w:r>
        <w:rPr>
          <w:rStyle w:val="FootnoteAnchor"/>
          <w:rtl w:val="true"/>
        </w:rPr>
        <w:footnoteReference w:id="977"/>
      </w:r>
      <w:r>
        <w:rPr>
          <w:rFonts w:ascii="Amiri" w:hAnsi="Amiri" w:eastAsia="Amiri" w:cs="Amiri"/>
          <w:color w:val="111111"/>
          <w:sz w:val="28"/>
          <w:sz w:val="28"/>
          <w:szCs w:val="28"/>
          <w:rtl w:val="true"/>
          <w:lang w:bidi="ar-SA"/>
        </w:rPr>
        <w:t>و يُمكِنُ إيصالُ الكَثيرِ منه</w:t>
      </w:r>
      <w:r>
        <w:rPr>
          <w:rStyle w:val="FootnoteAnchor"/>
          <w:rtl w:val="true"/>
        </w:rPr>
        <w:footnoteReference w:id="978"/>
      </w:r>
      <w:r>
        <w:rPr>
          <w:rFonts w:ascii="Amiri" w:hAnsi="Amiri" w:eastAsia="Amiri" w:cs="Amiri"/>
          <w:color w:val="111111"/>
          <w:sz w:val="28"/>
          <w:sz w:val="28"/>
          <w:szCs w:val="28"/>
          <w:rtl w:val="true"/>
          <w:lang w:bidi="ar-SA"/>
        </w:rPr>
        <w:t>في الأوقاتِ اليسيرةِ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w:t>
      </w:r>
      <w:r>
        <w:rPr>
          <w:rStyle w:val="FootnoteAnchor"/>
          <w:rtl w:val="true"/>
        </w:rPr>
        <w:footnoteReference w:id="979"/>
      </w:r>
      <w:r>
        <w:rPr>
          <w:rFonts w:ascii="Amiri" w:hAnsi="Amiri" w:eastAsia="Amiri" w:cs="Amiri"/>
          <w:color w:val="111111"/>
          <w:sz w:val="28"/>
          <w:sz w:val="28"/>
          <w:szCs w:val="28"/>
          <w:rtl w:val="true"/>
          <w:lang w:bidi="ar-SA"/>
        </w:rPr>
        <w:t>هاهُنا إجماعٌ علىٰ أنّ الكافرَ لا يَجوزُ أن يَنتَفِعَ بشَيءٍ بَعدَ بَعثِه</w:t>
      </w:r>
      <w:r>
        <w:rPr>
          <w:rStyle w:val="FootnoteAnchor"/>
          <w:rtl w:val="true"/>
        </w:rPr>
        <w:footnoteReference w:id="980"/>
      </w:r>
      <w:r>
        <w:rPr>
          <w:rFonts w:ascii="Amiri" w:hAnsi="Amiri" w:eastAsia="Amiri" w:cs="Amiri"/>
          <w:color w:val="111111"/>
          <w:sz w:val="28"/>
          <w:sz w:val="28"/>
          <w:szCs w:val="28"/>
          <w:rtl w:val="true"/>
          <w:lang w:bidi="ar-SA"/>
        </w:rPr>
        <w:t>فأمّا بَعدَ دخولِه النارَ فلا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يُدَّعَى الإجماعُ فيما نُخالِفُ نَحنُ فيه؟ و إنّما </w:t>
      </w:r>
    </w:p>
    <w:p>
      <w:pPr>
        <w:pStyle w:val="BookText"/>
        <w:rPr/>
      </w:pPr>
      <w:r>
        <w:rPr>
          <w:rFonts w:ascii="Amiri" w:hAnsi="Amiri" w:eastAsia="Amiri" w:cs="Amiri"/>
          <w:color w:val="111111"/>
          <w:sz w:val="28"/>
          <w:sz w:val="28"/>
          <w:szCs w:val="28"/>
          <w:rtl w:val="true"/>
          <w:lang w:bidi="ar-SA"/>
        </w:rPr>
        <w:t>الإجماعُ علىٰ أنّ الكافرَ لا يَنتَفِعُ في حالِ مُعاقَبتِه</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لأحَدٍ أن يَمنَعَ مِن استحقاقِ الكافرِ لعِوَضٍ‌</w:t>
      </w:r>
      <w:r>
        <w:rPr>
          <w:rStyle w:val="FootnoteAnchor"/>
          <w:rtl w:val="true"/>
        </w:rPr>
        <w:footnoteReference w:id="982"/>
      </w:r>
      <w:r>
        <w:rPr>
          <w:rFonts w:ascii="Amiri" w:hAnsi="Amiri" w:eastAsia="Amiri" w:cs="Amiri"/>
          <w:color w:val="111111"/>
          <w:sz w:val="28"/>
          <w:sz w:val="28"/>
          <w:szCs w:val="28"/>
          <w:rtl w:val="true"/>
          <w:lang w:bidi="ar-SA"/>
        </w:rPr>
        <w:t>لا يُمكِنُ استيفاؤه له في الدنيا؛ لأنّه</w:t>
      </w:r>
      <w:r>
        <w:rPr>
          <w:rStyle w:val="FootnoteAnchor"/>
          <w:rtl w:val="true"/>
        </w:rPr>
        <w:footnoteReference w:id="983"/>
      </w:r>
      <w:r>
        <w:rPr>
          <w:rFonts w:ascii="Amiri" w:hAnsi="Amiri" w:eastAsia="Amiri" w:cs="Amiri"/>
          <w:color w:val="111111"/>
          <w:sz w:val="28"/>
          <w:sz w:val="28"/>
          <w:szCs w:val="28"/>
          <w:rtl w:val="true"/>
          <w:lang w:bidi="ar-SA"/>
        </w:rPr>
        <w:t>يَجوزُ أن يَقتُلَه ظالمٌ، فيَستَحِقَّ بهذا القَتلِ أعواضاً بَعدَ فَوتِ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الجائزِ أن يَلحَقَه بإماتةِ اللّٰهِ تَعالىٰ له آلامٌ عظيمةٌ يَستَحِقُّ بها أعواضاً بَعدَ مَوتِه؛ لأنّ أبا هاشمٍ و إن جَوَّز أن تَبطُلَ‌</w:t>
      </w:r>
      <w:r>
        <w:rPr>
          <w:rStyle w:val="FootnoteAnchor"/>
          <w:rtl w:val="true"/>
        </w:rPr>
        <w:footnoteReference w:id="984"/>
      </w:r>
      <w:r>
        <w:rPr>
          <w:rFonts w:ascii="Amiri" w:hAnsi="Amiri" w:eastAsia="Amiri" w:cs="Amiri"/>
          <w:color w:val="111111"/>
          <w:sz w:val="28"/>
          <w:sz w:val="28"/>
          <w:szCs w:val="28"/>
          <w:rtl w:val="true"/>
          <w:lang w:bidi="ar-SA"/>
        </w:rPr>
        <w:t>الحياةُ بغَيرِ ألَمٍ، فإنّه يُجيزُ أن تَقتَرِنَ‌</w:t>
      </w:r>
      <w:r>
        <w:rPr>
          <w:rStyle w:val="FootnoteAnchor"/>
          <w:rtl w:val="true"/>
        </w:rPr>
        <w:footnoteReference w:id="985"/>
      </w:r>
      <w:r>
        <w:rPr>
          <w:rFonts w:ascii="Amiri" w:hAnsi="Amiri" w:eastAsia="Amiri" w:cs="Amiri"/>
          <w:color w:val="111111"/>
          <w:sz w:val="28"/>
          <w:sz w:val="28"/>
          <w:szCs w:val="28"/>
          <w:rtl w:val="true"/>
          <w:lang w:bidi="ar-SA"/>
        </w:rPr>
        <w:t>بها آلامٌ‌</w:t>
      </w:r>
      <w:r>
        <w:rPr>
          <w:rStyle w:val="FootnoteAnchor"/>
          <w:rtl w:val="true"/>
        </w:rPr>
        <w:footnoteReference w:id="986"/>
      </w:r>
      <w:r>
        <w:rPr>
          <w:rFonts w:ascii="Amiri" w:hAnsi="Amiri" w:eastAsia="Amiri" w:cs="Amiri"/>
          <w:color w:val="111111"/>
          <w:sz w:val="28"/>
          <w:sz w:val="28"/>
          <w:szCs w:val="28"/>
          <w:rtl w:val="true"/>
          <w:lang w:bidi="ar-SA"/>
        </w:rPr>
        <w:t>و هو الأظهَرُ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تُصُوِّرَ جوازُ استحقاقِ الكافرِ الأعواضَ بَعدَ عَدَمِ حياتِه، و ما يُحتاجُ‌</w:t>
      </w:r>
      <w:r>
        <w:rPr>
          <w:rStyle w:val="FootnoteAnchor"/>
          <w:rtl w:val="true"/>
        </w:rPr>
        <w:footnoteReference w:id="987"/>
      </w:r>
      <w:r>
        <w:rPr>
          <w:rFonts w:ascii="Amiri" w:hAnsi="Amiri" w:eastAsia="Amiri" w:cs="Amiri"/>
          <w:color w:val="111111"/>
          <w:sz w:val="28"/>
          <w:sz w:val="28"/>
          <w:szCs w:val="28"/>
          <w:rtl w:val="true"/>
          <w:lang w:bidi="ar-SA"/>
        </w:rPr>
        <w:t>مع ما ذَكَرناه إلىٰ ما</w:t>
      </w:r>
      <w:r>
        <w:rPr>
          <w:rStyle w:val="FootnoteAnchor"/>
          <w:rtl w:val="true"/>
        </w:rPr>
        <w:footnoteReference w:id="988"/>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bookmarkStart w:id="170" w:name="pg16437_172485"/>
    </w:p>
    <w:p>
      <w:pPr>
        <w:pStyle w:val="Heading4"/>
        <w:numPr>
          <w:ilvl w:val="3"/>
          <w:numId w:val="1"/>
        </w:numPr>
        <w:rPr/>
      </w:pPr>
      <w:bookmarkStart w:id="171" w:name="__RefHeading___Toc8039573_1280447820"/>
      <w:bookmarkStart w:id="172" w:name="_Toc61"/>
      <w:bookmarkEnd w:id="170"/>
      <w:bookmarkEnd w:id="171"/>
      <w:r>
        <w:rPr>
          <w:rtl w:val="true"/>
        </w:rPr>
        <w:t>المَسألةُ السابعةُ و العِشرونَ حُكمُ العالِمِ بقَبائحِ غيرِه</w:t>
      </w:r>
      <w:bookmarkEnd w:id="172"/>
    </w:p>
    <w:p>
      <w:pPr>
        <w:pStyle w:val="BookText"/>
        <w:rPr/>
      </w:pPr>
      <w:r>
        <w:rPr>
          <w:rFonts w:ascii="Amiri" w:hAnsi="Amiri" w:eastAsia="Amiri" w:cs="Amiri"/>
          <w:color w:val="111111"/>
          <w:sz w:val="28"/>
          <w:sz w:val="28"/>
          <w:szCs w:val="28"/>
          <w:rtl w:val="true"/>
          <w:lang w:bidi="ar-SA"/>
        </w:rPr>
        <w:t>كَيفَ السبيلُ لِمَن اختَصَّ عِلمُه بقَبائحِ غيرِه إلىٰ فِعلِ الواجبِ عليه، مِن ذَمِّه، و تَسميَتِه بأسمائه المُشتَقّةِ‌</w:t>
      </w:r>
      <w:r>
        <w:rPr>
          <w:rStyle w:val="FootnoteAnchor"/>
          <w:rtl w:val="true"/>
        </w:rPr>
        <w:footnoteReference w:id="989"/>
      </w:r>
      <w:r>
        <w:rPr>
          <w:rFonts w:ascii="Amiri" w:hAnsi="Amiri" w:eastAsia="Amiri" w:cs="Amiri"/>
          <w:color w:val="111111"/>
          <w:sz w:val="28"/>
          <w:sz w:val="28"/>
          <w:szCs w:val="28"/>
          <w:rtl w:val="true"/>
          <w:lang w:bidi="ar-SA"/>
        </w:rPr>
        <w:t xml:space="preserve">مِن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كَسارِقٍ، و زانٍ، و قاتلٍ، و لائطٍ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بأسماءِ الشريعةِ‌</w:t>
      </w:r>
      <w:r>
        <w:rPr>
          <w:rStyle w:val="FootnoteAnchor"/>
          <w:rtl w:val="true"/>
        </w:rPr>
        <w:footnoteReference w:id="990"/>
      </w:r>
      <w:r>
        <w:rPr>
          <w:rFonts w:ascii="Amiri" w:hAnsi="Amiri" w:eastAsia="Amiri" w:cs="Amiri"/>
          <w:color w:val="111111"/>
          <w:sz w:val="28"/>
          <w:sz w:val="28"/>
          <w:szCs w:val="28"/>
          <w:rtl w:val="true"/>
          <w:lang w:bidi="ar-SA"/>
        </w:rPr>
        <w:t>، كفاسِقٍ، و فاجِرٍ، و رِجسٍ، و مَلعونٍ؟</w:t>
      </w:r>
    </w:p>
    <w:p>
      <w:pPr>
        <w:pStyle w:val="BookText"/>
        <w:rPr/>
      </w:pPr>
      <w:r>
        <w:rPr>
          <w:rFonts w:ascii="Amiri" w:hAnsi="Amiri" w:eastAsia="Amiri" w:cs="Amiri"/>
          <w:color w:val="111111"/>
          <w:sz w:val="28"/>
          <w:sz w:val="28"/>
          <w:szCs w:val="28"/>
          <w:rtl w:val="true"/>
          <w:lang w:bidi="ar-SA"/>
        </w:rPr>
        <w:t>إن صَرَّحَ بها</w:t>
      </w:r>
      <w:r>
        <w:rPr>
          <w:rStyle w:val="FootnoteAnchor"/>
          <w:rtl w:val="true"/>
        </w:rPr>
        <w:footnoteReference w:id="991"/>
      </w:r>
      <w:r>
        <w:rPr>
          <w:rFonts w:ascii="Amiri" w:hAnsi="Amiri" w:eastAsia="Amiri" w:cs="Amiri"/>
          <w:color w:val="111111"/>
          <w:sz w:val="28"/>
          <w:sz w:val="28"/>
          <w:szCs w:val="28"/>
          <w:rtl w:val="true"/>
          <w:lang w:bidi="ar-SA"/>
        </w:rPr>
        <w:t>، كانَ سابّاً</w:t>
      </w:r>
      <w:r>
        <w:rPr>
          <w:rStyle w:val="FootnoteAnchor"/>
          <w:rtl w:val="true"/>
        </w:rPr>
        <w:footnoteReference w:id="992"/>
      </w:r>
      <w:r>
        <w:rPr>
          <w:rFonts w:ascii="Amiri" w:hAnsi="Amiri" w:eastAsia="Amiri" w:cs="Amiri"/>
          <w:color w:val="111111"/>
          <w:sz w:val="28"/>
          <w:sz w:val="28"/>
          <w:szCs w:val="28"/>
          <w:rtl w:val="true"/>
          <w:lang w:bidi="ar-SA"/>
        </w:rPr>
        <w:t>، يَجِبُ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اقتَصَرَ</w:t>
      </w:r>
      <w:r>
        <w:rPr>
          <w:rStyle w:val="FootnoteAnchor"/>
          <w:rtl w:val="true"/>
        </w:rPr>
        <w:footnoteReference w:id="993"/>
      </w:r>
      <w:r>
        <w:rPr>
          <w:rFonts w:ascii="Amiri" w:hAnsi="Amiri" w:eastAsia="Amiri" w:cs="Amiri"/>
          <w:color w:val="111111"/>
          <w:sz w:val="28"/>
          <w:sz w:val="28"/>
          <w:szCs w:val="28"/>
          <w:rtl w:val="true"/>
          <w:lang w:bidi="ar-SA"/>
        </w:rPr>
        <w:t>علَى الِاعتقادِ، لَم يؤثِّرْ ذلكَ في</w:t>
      </w:r>
      <w:r>
        <w:rPr>
          <w:rStyle w:val="FootnoteAnchor"/>
          <w:rtl w:val="true"/>
        </w:rPr>
        <w:footnoteReference w:id="994"/>
      </w:r>
      <w:r>
        <w:rPr>
          <w:rFonts w:ascii="Amiri" w:hAnsi="Amiri" w:eastAsia="Amiri" w:cs="Amiri"/>
          <w:color w:val="111111"/>
          <w:sz w:val="28"/>
          <w:sz w:val="28"/>
          <w:szCs w:val="28"/>
          <w:rtl w:val="true"/>
          <w:lang w:bidi="ar-SA"/>
        </w:rPr>
        <w:t>الغرضِ المشروعِ مِن ذَمِّ الفاسِقِ و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أسقَطَهما</w:t>
      </w:r>
      <w:r>
        <w:rPr>
          <w:rStyle w:val="FootnoteAnchor"/>
          <w:rtl w:val="true"/>
        </w:rPr>
        <w:footnoteReference w:id="995"/>
      </w:r>
      <w:r>
        <w:rPr>
          <w:rFonts w:ascii="Amiri" w:hAnsi="Amiri" w:eastAsia="Amiri" w:cs="Amiri"/>
          <w:color w:val="111111"/>
          <w:sz w:val="28"/>
          <w:sz w:val="28"/>
          <w:szCs w:val="28"/>
          <w:rtl w:val="true"/>
          <w:lang w:bidi="ar-SA"/>
        </w:rPr>
        <w:t>جميعاً، أخَلَّ بالواجبِ جُملةً‌</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مَن عَلِمَ مِن غيرِه قَبائحَ يَستَحِقُّ بها منه الذمَّ و الِاستخفافَ، فله أن يَذُمَّه </w:t>
      </w:r>
    </w:p>
    <w:p>
      <w:pPr>
        <w:pStyle w:val="BookText"/>
        <w:rPr/>
      </w:pPr>
      <w:r>
        <w:rPr>
          <w:rFonts w:ascii="Amiri" w:hAnsi="Amiri" w:eastAsia="Amiri" w:cs="Amiri"/>
          <w:color w:val="111111"/>
          <w:sz w:val="28"/>
          <w:sz w:val="28"/>
          <w:szCs w:val="28"/>
          <w:rtl w:val="true"/>
          <w:lang w:bidi="ar-SA"/>
        </w:rPr>
        <w:t>بقَلبِه و لسانِه،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ملعونٌ مذمومٌ، يَستَحِقُّ البَراءةَ و الِاستخفافَ و الإهانةَ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يَتجنَّبُ كُلَّ لفظٍ يَقتَضي إطلاقُه حَدّاً، و له في غيرِها</w:t>
      </w:r>
      <w:r>
        <w:rPr>
          <w:rStyle w:val="FootnoteAnchor"/>
          <w:rtl w:val="true"/>
        </w:rPr>
        <w:footnoteReference w:id="998"/>
      </w:r>
      <w:r>
        <w:rPr>
          <w:rFonts w:ascii="Amiri" w:hAnsi="Amiri" w:eastAsia="Amiri" w:cs="Amiri"/>
          <w:color w:val="111111"/>
          <w:sz w:val="28"/>
          <w:sz w:val="28"/>
          <w:szCs w:val="28"/>
          <w:rtl w:val="true"/>
          <w:lang w:bidi="ar-SA"/>
        </w:rPr>
        <w:t>مندوحةٌ؛ فإنّ الألفاظَ التي تُنبئُ عن</w:t>
      </w:r>
      <w:r>
        <w:rPr>
          <w:rStyle w:val="FootnoteAnchor"/>
          <w:rtl w:val="true"/>
        </w:rPr>
        <w:footnoteReference w:id="999"/>
      </w:r>
      <w:r>
        <w:rPr>
          <w:rFonts w:ascii="Amiri" w:hAnsi="Amiri" w:eastAsia="Amiri" w:cs="Amiri"/>
          <w:color w:val="111111"/>
          <w:sz w:val="28"/>
          <w:sz w:val="28"/>
          <w:szCs w:val="28"/>
          <w:rtl w:val="true"/>
          <w:lang w:bidi="ar-SA"/>
        </w:rPr>
        <w:t>الذمِّ و الِاستخفافِ و لا</w:t>
      </w:r>
      <w:r>
        <w:rPr>
          <w:rStyle w:val="FootnoteAnchor"/>
          <w:rtl w:val="true"/>
        </w:rPr>
        <w:footnoteReference w:id="1000"/>
      </w:r>
      <w:r>
        <w:rPr>
          <w:rFonts w:ascii="Amiri" w:hAnsi="Amiri" w:eastAsia="Amiri" w:cs="Amiri"/>
          <w:color w:val="111111"/>
          <w:sz w:val="28"/>
          <w:sz w:val="28"/>
          <w:szCs w:val="28"/>
          <w:rtl w:val="true"/>
          <w:lang w:bidi="ar-SA"/>
        </w:rPr>
        <w:t>توجِبُ‌</w:t>
      </w:r>
      <w:r>
        <w:rPr>
          <w:rStyle w:val="FootnoteAnchor"/>
          <w:rtl w:val="true"/>
        </w:rPr>
        <w:footnoteReference w:id="1001"/>
      </w:r>
      <w:r>
        <w:rPr>
          <w:rFonts w:ascii="Amiri" w:hAnsi="Amiri" w:eastAsia="Amiri" w:cs="Amiri"/>
          <w:color w:val="111111"/>
          <w:sz w:val="28"/>
          <w:sz w:val="28"/>
          <w:szCs w:val="28"/>
          <w:rtl w:val="true"/>
          <w:lang w:bidi="ar-SA"/>
        </w:rPr>
        <w:t>علىٰ مُطلِقِها حَدّاً أَوسَعُ و أكثَرُ مِن الألفاظِ التي توجِبُ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بَينَ الفقهاءِ في أنّ مَن سَمّىٰ غيرَه بالكُفرِ</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أعظَمُ مِن كُلِّ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حَدّاً، و إن كانَ يَستَحِقُّ الحَدَّ بقَذفِه له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تَجنُّبُ الألفاظِ التي تَقتَضي الحَدَّ بمانِعٍ‌</w:t>
      </w:r>
      <w:r>
        <w:rPr>
          <w:rStyle w:val="FootnoteAnchor"/>
          <w:rtl w:val="true"/>
        </w:rPr>
        <w:footnoteReference w:id="1003"/>
      </w:r>
      <w:r>
        <w:rPr>
          <w:rFonts w:ascii="Amiri" w:hAnsi="Amiri" w:eastAsia="Amiri" w:cs="Amiri"/>
          <w:color w:val="111111"/>
          <w:sz w:val="28"/>
          <w:sz w:val="28"/>
          <w:szCs w:val="28"/>
          <w:rtl w:val="true"/>
          <w:lang w:bidi="ar-SA"/>
        </w:rPr>
        <w:t>مِن فِعلِ الواجبِ، مِن لَعنِه و إهانتِه و الِاستخفافِ به</w:t>
      </w:r>
      <w:r>
        <w:rPr>
          <w:rFonts w:eastAsia="Amiri" w:cs="Amiri" w:ascii="Amiri" w:hAnsi="Amiri"/>
          <w:color w:val="111111"/>
          <w:sz w:val="28"/>
          <w:szCs w:val="28"/>
          <w:rtl w:val="true"/>
          <w:lang w:bidi="ar-SA"/>
        </w:rPr>
        <w:t xml:space="preserve">. </w:t>
      </w:r>
      <w:bookmarkStart w:id="173" w:name="pg16437_172487"/>
    </w:p>
    <w:p>
      <w:pPr>
        <w:pStyle w:val="Heading4"/>
        <w:numPr>
          <w:ilvl w:val="3"/>
          <w:numId w:val="1"/>
        </w:numPr>
        <w:rPr/>
      </w:pPr>
      <w:bookmarkStart w:id="174" w:name="__RefHeading___Toc8039575_1280447820"/>
      <w:bookmarkStart w:id="175" w:name="_Toc62"/>
      <w:bookmarkEnd w:id="173"/>
      <w:bookmarkEnd w:id="174"/>
      <w:r>
        <w:rPr>
          <w:rtl w:val="true"/>
        </w:rPr>
        <w:t>المَسألةُ الثامنةُ و العِشرونَ معرفةُ الشُّهَداءِ و الأنبياءِ و الأوصياءِ بعاقبتِهم الحميدةِ لا يستلزم الإلجاءَ‌</w:t>
      </w:r>
      <w:bookmarkEnd w:id="175"/>
    </w:p>
    <w:p>
      <w:pPr>
        <w:pStyle w:val="Heading5"/>
        <w:numPr>
          <w:ilvl w:val="4"/>
          <w:numId w:val="1"/>
        </w:numPr>
        <w:rPr/>
      </w:pPr>
      <w:bookmarkStart w:id="176" w:name="__RefHeading___Toc8039577_1280447820"/>
      <w:bookmarkStart w:id="177" w:name="_Toc63"/>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إذا كُنّا نَعلَمُ أنّ عِلمَ المُكلَّفِ بوصولِه إلىٰ ثوابِ طاعاتِه عَقيبَ فِعلِها يَقتَضي إلجاءَه</w:t>
      </w:r>
      <w:r>
        <w:rPr>
          <w:rStyle w:val="FootnoteAnchor"/>
          <w:rtl w:val="true"/>
        </w:rPr>
        <w:footnoteReference w:id="1004"/>
      </w:r>
      <w:r>
        <w:rPr>
          <w:rFonts w:ascii="Amiri" w:hAnsi="Amiri" w:eastAsia="Amiri" w:cs="Amiri"/>
          <w:color w:val="111111"/>
          <w:sz w:val="28"/>
          <w:sz w:val="28"/>
          <w:szCs w:val="28"/>
          <w:rtl w:val="true"/>
          <w:lang w:bidi="ar-SA"/>
        </w:rPr>
        <w:t>إليها، و أن يَفعَلَها لأجلِ الثوابِ لا لوَجهِ‌</w:t>
      </w:r>
      <w:r>
        <w:rPr>
          <w:rStyle w:val="FootnoteAnchor"/>
          <w:rtl w:val="true"/>
        </w:rPr>
        <w:footnoteReference w:id="1005"/>
      </w:r>
      <w:r>
        <w:rPr>
          <w:rFonts w:ascii="Amiri" w:hAnsi="Amiri" w:eastAsia="Amiri" w:cs="Amiri"/>
          <w:color w:val="111111"/>
          <w:sz w:val="28"/>
          <w:sz w:val="28"/>
          <w:szCs w:val="28"/>
          <w:rtl w:val="true"/>
          <w:lang w:bidi="ar-SA"/>
        </w:rPr>
        <w:t>وجوبِها؛ و أنّ ذلكَ وَجهانِ يَقتَضيانِ قُبحَ تكليفِها، و لذلكَ قُلنا بوجوبِ تأخيرِ الثوابِ؛ فما الوجهُ فيما نَطَقَ به القُرآنُ‌</w:t>
      </w:r>
      <w:r>
        <w:rPr>
          <w:rStyle w:val="FootnoteAnchor"/>
          <w:rtl w:val="true"/>
        </w:rPr>
        <w:footnoteReference w:id="1006"/>
      </w:r>
      <w:r>
        <w:rPr>
          <w:rFonts w:ascii="Amiri" w:hAnsi="Amiri" w:eastAsia="Amiri" w:cs="Amiri"/>
          <w:color w:val="111111"/>
          <w:sz w:val="28"/>
          <w:sz w:val="28"/>
          <w:szCs w:val="28"/>
          <w:rtl w:val="true"/>
          <w:lang w:bidi="ar-SA"/>
        </w:rPr>
        <w:t>مِن كَونِ الشهيدِ حَيّاً عندَه تَعالىٰ، و فيه إلجاءٌ إلَى الجِهادِ</w:t>
      </w:r>
      <w:r>
        <w:rPr>
          <w:rStyle w:val="FootnoteAnchor"/>
          <w:rtl w:val="true"/>
        </w:rPr>
        <w:footnoteReference w:id="1007"/>
      </w:r>
      <w:r>
        <w:rPr>
          <w:rFonts w:ascii="Amiri" w:hAnsi="Amiri" w:eastAsia="Amiri" w:cs="Amiri"/>
          <w:color w:val="111111"/>
          <w:sz w:val="28"/>
          <w:sz w:val="28"/>
          <w:szCs w:val="28"/>
          <w:rtl w:val="true"/>
          <w:lang w:bidi="ar-SA"/>
        </w:rPr>
        <w:t>و ما وَرَدَت به الرواياتُ‌</w:t>
      </w:r>
      <w:r>
        <w:rPr>
          <w:rStyle w:val="FootnoteAnchor"/>
          <w:rtl w:val="true"/>
        </w:rPr>
        <w:footnoteReference w:id="1008"/>
      </w:r>
      <w:r>
        <w:rPr>
          <w:rFonts w:ascii="Amiri" w:hAnsi="Amiri" w:eastAsia="Amiri" w:cs="Amiri"/>
          <w:color w:val="111111"/>
          <w:sz w:val="28"/>
          <w:sz w:val="28"/>
          <w:szCs w:val="28"/>
          <w:rtl w:val="true"/>
          <w:lang w:bidi="ar-SA"/>
        </w:rPr>
        <w:t>مِن وصولِ الأنبياءِ و الأوصياءِ عليهم السلامُ و مُخلِصي المؤمنينَ إلَى الثوابِ عَقيبَ المَوتِ، و أنّهم أجمَعَ أحياءٌ عندَ اللّٰهِ يُرزَقونَ؟</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الذي يَمضي في الكُتُبِ مِن أنّ المُكلَّفَ لَو قَطَعَ علىٰ وصولِه إلىٰ ثَوابِ طاعتِه و عِقابِ معصيتِه عَقيبَ الطاعةِ و المعصيةِ‌</w:t>
      </w:r>
      <w:r>
        <w:rPr>
          <w:rStyle w:val="FootnoteAnchor"/>
          <w:rtl w:val="true"/>
        </w:rPr>
        <w:footnoteReference w:id="1010"/>
      </w:r>
      <w:r>
        <w:rPr>
          <w:rFonts w:ascii="Amiri" w:hAnsi="Amiri" w:eastAsia="Amiri" w:cs="Amiri"/>
          <w:color w:val="111111"/>
          <w:sz w:val="28"/>
          <w:sz w:val="28"/>
          <w:szCs w:val="28"/>
          <w:rtl w:val="true"/>
          <w:lang w:bidi="ar-SA"/>
        </w:rPr>
        <w:t xml:space="preserve">يَقتَضي الإلجاءَ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نَظَرٍ في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مُنافٍ لِما نَقولُه مِن أنّ الشهيدَ يَدخُلُ الجَنّةَ عَقيبَ مَوتِه بالشهادةِ، و كذلكَ الأنبياءُ و الأوصياءُ عليهم السلامُ؛ لأنّ الشهادةَ أوّلاً لَيسَت مِن فِعلِ الشهيدِ، و إنّما بُطلانُ حياتِه بالقَتلِ في سَبيلِ اللّٰهِ تَعالىٰ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تَكونُ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غيرِ الشهيدِ؛ فكَيفَ يَكونُ مُلجأً</w:t>
      </w:r>
      <w:r>
        <w:rPr>
          <w:rStyle w:val="FootnoteAnchor"/>
          <w:rtl w:val="true"/>
        </w:rPr>
        <w:footnoteReference w:id="1011"/>
      </w:r>
      <w:r>
        <w:rPr>
          <w:rFonts w:ascii="Amiri" w:hAnsi="Amiri" w:eastAsia="Amiri" w:cs="Amiri"/>
          <w:color w:val="111111"/>
          <w:sz w:val="28"/>
          <w:sz w:val="28"/>
          <w:szCs w:val="28"/>
          <w:rtl w:val="true"/>
          <w:lang w:bidi="ar-SA"/>
        </w:rPr>
        <w:t>إليه؟</w:t>
      </w:r>
    </w:p>
    <w:p>
      <w:pPr>
        <w:pStyle w:val="BookText"/>
        <w:rPr/>
      </w:pPr>
      <w:r>
        <w:rPr>
          <w:rFonts w:ascii="IRNazanin" w:hAnsi="IRNazanin" w:eastAsia="IRNazanin"/>
          <w:color w:val="111111"/>
          <w:sz w:val="28"/>
          <w:sz w:val="28"/>
          <w:szCs w:val="28"/>
          <w:rtl w:val="true"/>
          <w:lang w:bidi="fa-IR"/>
        </w:rPr>
        <w:t>و لا</w:t>
      </w:r>
      <w:r>
        <w:rPr>
          <w:rStyle w:val="FootnoteAnchor"/>
          <w:rtl w:val="true"/>
        </w:rPr>
        <w:footnoteReference w:id="1012"/>
      </w:r>
      <w:r>
        <w:rPr>
          <w:rFonts w:ascii="Amiri" w:hAnsi="Amiri" w:eastAsia="Amiri" w:cs="Amiri"/>
          <w:color w:val="111111"/>
          <w:sz w:val="28"/>
          <w:sz w:val="28"/>
          <w:szCs w:val="28"/>
          <w:rtl w:val="true"/>
          <w:lang w:bidi="ar-SA"/>
        </w:rPr>
        <w:t>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مُلجَؤُونَ‌</w:t>
      </w:r>
      <w:r>
        <w:rPr>
          <w:rStyle w:val="FootnoteAnchor"/>
          <w:rtl w:val="true"/>
        </w:rPr>
        <w:footnoteReference w:id="1013"/>
      </w:r>
      <w:r>
        <w:rPr>
          <w:rFonts w:ascii="Amiri" w:hAnsi="Amiri" w:eastAsia="Amiri" w:cs="Amiri"/>
          <w:color w:val="111111"/>
          <w:sz w:val="28"/>
          <w:sz w:val="28"/>
          <w:szCs w:val="28"/>
          <w:rtl w:val="true"/>
          <w:lang w:bidi="ar-SA"/>
        </w:rPr>
        <w:t>إلَى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الجِهادَ لا يُعلَمُ وقوعُ الشهادةِ به</w:t>
      </w:r>
      <w:r>
        <w:rPr>
          <w:rStyle w:val="FootnoteAnchor"/>
          <w:rtl w:val="true"/>
        </w:rPr>
        <w:footnoteReference w:id="1014"/>
      </w:r>
      <w:r>
        <w:rPr>
          <w:rFonts w:ascii="Amiri" w:hAnsi="Amiri" w:eastAsia="Amiri" w:cs="Amiri"/>
          <w:color w:val="111111"/>
          <w:sz w:val="28"/>
          <w:sz w:val="28"/>
          <w:szCs w:val="28"/>
          <w:rtl w:val="true"/>
          <w:lang w:bidi="ar-SA"/>
        </w:rPr>
        <w:t>لا مَحالةَ، و لأنّ المُجاهِدَ إنّما يَفعَلُ الجِهادَ و يَقصِدُ به إلىٰ‌</w:t>
      </w:r>
      <w:r>
        <w:rPr>
          <w:rStyle w:val="FootnoteAnchor"/>
          <w:rtl w:val="true"/>
        </w:rPr>
        <w:footnoteReference w:id="1015"/>
      </w:r>
      <w:r>
        <w:rPr>
          <w:rFonts w:ascii="Amiri" w:hAnsi="Amiri" w:eastAsia="Amiri" w:cs="Amiri"/>
          <w:color w:val="111111"/>
          <w:sz w:val="28"/>
          <w:sz w:val="28"/>
          <w:szCs w:val="28"/>
          <w:rtl w:val="true"/>
          <w:lang w:bidi="ar-SA"/>
        </w:rPr>
        <w:t>غَلَبتِه للمُشرِكينَ، لا إلىٰ أن يَغلِبوه و يَقتُلوه شَهيداً؛ فالإلجاءُ هاهُنا غيرُ 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الأنبياءُ و الأوصياءُ عليهم السلامُ، فلَيسَ تَتعيَّنُ‌</w:t>
      </w:r>
      <w:r>
        <w:rPr>
          <w:rStyle w:val="FootnoteAnchor"/>
          <w:rtl w:val="true"/>
        </w:rPr>
        <w:footnoteReference w:id="1016"/>
      </w:r>
      <w:r>
        <w:rPr>
          <w:rFonts w:ascii="Amiri" w:hAnsi="Amiri" w:eastAsia="Amiri" w:cs="Amiri"/>
          <w:color w:val="111111"/>
          <w:sz w:val="28"/>
          <w:sz w:val="28"/>
          <w:szCs w:val="28"/>
          <w:rtl w:val="true"/>
          <w:lang w:bidi="ar-SA"/>
        </w:rPr>
        <w:t>لهم الطاعةُ التي يُجازَونَ بالثوابِ و دخولِ الجَنّةِ عَقيبَها؛ و لا طاعةَ يَفعَلونَها إلّاو هُم يُجوِّزونَ أن يَتأخَّرَ الجَزاءُ عنها</w:t>
      </w:r>
      <w:r>
        <w:rPr>
          <w:rStyle w:val="FootnoteAnchor"/>
          <w:rtl w:val="true"/>
        </w:rPr>
        <w:footnoteReference w:id="1017"/>
      </w:r>
      <w:r>
        <w:rPr>
          <w:rFonts w:ascii="Amiri" w:hAnsi="Amiri" w:eastAsia="Amiri" w:cs="Amiri"/>
          <w:color w:val="111111"/>
          <w:sz w:val="28"/>
          <w:sz w:val="28"/>
          <w:szCs w:val="28"/>
          <w:rtl w:val="true"/>
          <w:lang w:bidi="ar-SA"/>
        </w:rPr>
        <w:t>بأن يَمتَدَّ</w:t>
      </w:r>
      <w:r>
        <w:rPr>
          <w:rStyle w:val="FootnoteAnchor"/>
          <w:rtl w:val="true"/>
        </w:rPr>
        <w:footnoteReference w:id="1018"/>
      </w:r>
      <w:r>
        <w:rPr>
          <w:rFonts w:ascii="Amiri" w:hAnsi="Amiri" w:eastAsia="Amiri" w:cs="Amiri"/>
          <w:color w:val="111111"/>
          <w:sz w:val="28"/>
          <w:sz w:val="28"/>
          <w:szCs w:val="28"/>
          <w:rtl w:val="true"/>
          <w:lang w:bidi="ar-SA"/>
        </w:rPr>
        <w:t>تكليفُهم و يَستَمِرَّ، كما يُجوِّزونَ أن يَصِلوا عَقيبَها إلَى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التجويزُ و عَدَمُ القَطعِ يُزيلانِ الإلجاءَ الذي اعتُبِرَ فيمن يَقطَعُ علىٰ وصولِه إلىٰ ثَوابِ طاعتِه عَقيبَ فِعلِها</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بَيِّنٌ لِمَن تَدبَّرَه</w:t>
      </w:r>
      <w:r>
        <w:rPr>
          <w:rFonts w:eastAsia="Amiri" w:cs="Amiri" w:ascii="Amiri" w:hAnsi="Amiri"/>
          <w:color w:val="111111"/>
          <w:sz w:val="28"/>
          <w:szCs w:val="28"/>
          <w:rtl w:val="true"/>
          <w:lang w:bidi="ar-SA"/>
        </w:rPr>
        <w:t xml:space="preserve">. </w:t>
      </w:r>
      <w:bookmarkStart w:id="178" w:name="pg16437_172489"/>
    </w:p>
    <w:p>
      <w:pPr>
        <w:pStyle w:val="Heading5"/>
        <w:numPr>
          <w:ilvl w:val="4"/>
          <w:numId w:val="1"/>
        </w:numPr>
        <w:rPr/>
      </w:pPr>
      <w:bookmarkStart w:id="179" w:name="__RefHeading___Toc8039579_1280447820"/>
      <w:bookmarkStart w:id="180" w:name="_Toc64"/>
      <w:bookmarkEnd w:id="178"/>
      <w:bookmarkEnd w:id="179"/>
      <w:r>
        <w:rPr>
          <w:rtl w:val="true"/>
        </w:rPr>
        <w:t>الخاتِمةُ‌</w:t>
      </w:r>
      <w:bookmarkEnd w:id="180"/>
    </w:p>
    <w:p>
      <w:pPr>
        <w:pStyle w:val="BookText"/>
        <w:rPr/>
      </w:pPr>
      <w:r>
        <w:rPr>
          <w:rFonts w:ascii="Amiri" w:hAnsi="Amiri" w:eastAsia="Amiri" w:cs="Amiri"/>
          <w:color w:val="111111"/>
          <w:sz w:val="28"/>
          <w:sz w:val="28"/>
          <w:szCs w:val="28"/>
          <w:rtl w:val="true"/>
          <w:lang w:bidi="ar-SA"/>
        </w:rPr>
        <w:t>و نَسألُ اللّٰهَ تَعالىٰ أن يؤيِّدَنا و يُسدِّدَنا في كُلِّ قَولٍ نَنحوه</w:t>
      </w:r>
      <w:r>
        <w:rPr>
          <w:rStyle w:val="FootnoteAnchor"/>
          <w:rtl w:val="true"/>
        </w:rPr>
        <w:footnoteReference w:id="1020"/>
      </w:r>
      <w:r>
        <w:rPr>
          <w:rFonts w:ascii="Amiri" w:hAnsi="Amiri" w:eastAsia="Amiri" w:cs="Amiri"/>
          <w:color w:val="111111"/>
          <w:sz w:val="28"/>
          <w:sz w:val="28"/>
          <w:szCs w:val="28"/>
          <w:rtl w:val="true"/>
          <w:lang w:bidi="ar-SA"/>
        </w:rPr>
        <w:t>، و فِعلٍ نَغزوه</w:t>
      </w:r>
      <w:r>
        <w:rPr>
          <w:rStyle w:val="FootnoteAnchor"/>
          <w:rtl w:val="true"/>
        </w:rPr>
        <w:footnoteReference w:id="1021"/>
      </w:r>
      <w:r>
        <w:rPr>
          <w:rFonts w:ascii="Amiri" w:hAnsi="Amiri" w:eastAsia="Amiri" w:cs="Amiri"/>
          <w:color w:val="111111"/>
          <w:sz w:val="28"/>
          <w:sz w:val="28"/>
          <w:szCs w:val="28"/>
          <w:rtl w:val="true"/>
          <w:lang w:bidi="ar-SA"/>
        </w:rPr>
        <w:t>و أن يَجعَلَ ذلكَ كُلَّه خالصاً له و مُقرِّباً منه،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الفَراغُ مِن جوابِ هذه المَسائلِ في اليَومِ التاسِعِ‌</w:t>
      </w:r>
      <w:r>
        <w:rPr>
          <w:rStyle w:val="FootnoteAnchor"/>
          <w:rtl w:val="true"/>
        </w:rPr>
        <w:footnoteReference w:id="1022"/>
      </w:r>
      <w:r>
        <w:rPr>
          <w:rFonts w:ascii="Amiri" w:hAnsi="Amiri" w:eastAsia="Amiri" w:cs="Amiri"/>
          <w:color w:val="111111"/>
          <w:sz w:val="28"/>
          <w:sz w:val="28"/>
          <w:szCs w:val="28"/>
          <w:rtl w:val="true"/>
          <w:lang w:bidi="ar-SA"/>
        </w:rPr>
        <w:t>مِن المُحرَّمِ‌</w:t>
      </w:r>
      <w:r>
        <w:rPr>
          <w:rStyle w:val="FootnoteAnchor"/>
          <w:rtl w:val="true"/>
        </w:rPr>
        <w:footnoteReference w:id="1023"/>
      </w:r>
      <w:r>
        <w:rPr>
          <w:rFonts w:ascii="Amiri" w:hAnsi="Amiri" w:eastAsia="Amiri" w:cs="Amiri"/>
          <w:color w:val="111111"/>
          <w:sz w:val="28"/>
          <w:sz w:val="28"/>
          <w:szCs w:val="28"/>
          <w:rtl w:val="true"/>
          <w:lang w:bidi="ar-SA"/>
        </w:rPr>
        <w:t>سَنةَ تِسعٍ‌</w:t>
      </w:r>
      <w:r>
        <w:rPr>
          <w:rStyle w:val="FootnoteAnchor"/>
          <w:rtl w:val="true"/>
        </w:rPr>
        <w:footnoteReference w:id="1024"/>
      </w:r>
      <w:r>
        <w:rPr>
          <w:rFonts w:ascii="Amiri" w:hAnsi="Amiri" w:eastAsia="Amiri" w:cs="Amiri"/>
          <w:color w:val="111111"/>
          <w:sz w:val="28"/>
          <w:sz w:val="28"/>
          <w:szCs w:val="28"/>
          <w:rtl w:val="true"/>
          <w:lang w:bidi="ar-SA"/>
        </w:rPr>
        <w:t>و عِشرينَ و أربَعِمائةٍ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صَلَواتُه</w:t>
      </w:r>
      <w:r>
        <w:rPr>
          <w:rStyle w:val="FootnoteAnchor"/>
          <w:rtl w:val="true"/>
        </w:rPr>
        <w:footnoteReference w:id="1025"/>
      </w:r>
      <w:r>
        <w:rPr>
          <w:rFonts w:ascii="Amiri" w:hAnsi="Amiri" w:eastAsia="Amiri" w:cs="Amiri"/>
          <w:color w:val="111111"/>
          <w:sz w:val="28"/>
          <w:sz w:val="28"/>
          <w:szCs w:val="28"/>
          <w:rtl w:val="true"/>
          <w:lang w:bidi="ar-SA"/>
        </w:rPr>
        <w:t>علىٰ خَيرِ خَلقِه مُحمَّدٍ النبيِّ و آلِه الطاهِرينَ</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6437_172491"/>
      <w:bookmarkStart w:id="182" w:name="pg16437_172491"/>
      <w:bookmarkEnd w:id="182"/>
    </w:p>
    <w:p>
      <w:pPr>
        <w:pStyle w:val="Heading3"/>
        <w:numPr>
          <w:ilvl w:val="2"/>
          <w:numId w:val="1"/>
        </w:numPr>
        <w:rPr/>
      </w:pPr>
      <w:bookmarkStart w:id="183" w:name="pg16437_172491"/>
      <w:bookmarkStart w:id="184" w:name="__RefHeading___Toc8039581_1280447820"/>
      <w:bookmarkStart w:id="185" w:name="_Toc65"/>
      <w:bookmarkEnd w:id="183"/>
      <w:bookmarkEnd w:id="184"/>
      <w:r>
        <w:rPr>
          <w:rtl w:val="true"/>
        </w:rPr>
        <w:t>(</w:t>
      </w:r>
      <w:r>
        <w:rPr/>
        <w:t>76</w:t>
      </w:r>
      <w:r>
        <w:rPr>
          <w:rtl w:val="true"/>
        </w:rPr>
        <w:t xml:space="preserve">) </w:t>
      </w:r>
      <w:r>
        <w:rPr>
          <w:rtl w:val="true"/>
        </w:rPr>
        <w:t>جواباتُ المَسائلِ الرسّيّةِ الثانيةِ‌</w:t>
      </w:r>
      <w:bookmarkEnd w:id="18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6" w:name="__RefHeading___Toc8039583_1280447820"/>
      <w:bookmarkStart w:id="187" w:name="_Toc66"/>
      <w:bookmarkEnd w:id="186"/>
      <w:r>
        <w:rPr>
          <w:rtl w:val="true"/>
        </w:rPr>
        <w:t>اشارة</w:t>
      </w:r>
      <w:bookmarkEnd w:id="18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6437_172493"/>
      <w:bookmarkStart w:id="189" w:name="pg16437_172493"/>
      <w:bookmarkEnd w:id="189"/>
    </w:p>
    <w:p>
      <w:pPr>
        <w:pStyle w:val="Heading4"/>
        <w:numPr>
          <w:ilvl w:val="3"/>
          <w:numId w:val="1"/>
        </w:numPr>
        <w:rPr/>
      </w:pPr>
      <w:bookmarkStart w:id="190" w:name="pg16437_172493"/>
      <w:bookmarkStart w:id="191" w:name="__RefHeading___Toc8039585_1280447820"/>
      <w:bookmarkStart w:id="192" w:name="_Toc67"/>
      <w:bookmarkEnd w:id="190"/>
      <w:bookmarkEnd w:id="191"/>
      <w:r>
        <w:rPr>
          <w:rtl w:val="true"/>
        </w:rPr>
        <w:t>مقدّمة التحقيق</w:t>
      </w:r>
      <w:bookmarkEnd w:id="192"/>
    </w:p>
    <w:p>
      <w:pPr>
        <w:pStyle w:val="Heading5"/>
        <w:numPr>
          <w:ilvl w:val="4"/>
          <w:numId w:val="1"/>
        </w:numPr>
        <w:rPr/>
      </w:pPr>
      <w:bookmarkStart w:id="193" w:name="__RefHeading___Toc8039587_1280447820"/>
      <w:bookmarkStart w:id="194" w:name="_Toc68"/>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 xml:space="preserve">تقدّم أنّ هذه المسائل الخمس المسمّاة بالرسّيّة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أرسلها الشريف أبو الحسن المحسن بن محمّد بن الناصر الحسني الرَّسّي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الحقيقة ملحقة بالرسّيّة الأُولى، حيث قال الشريف المرتضى في بدايتها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وردت بعد ذلك مسائل خمس، فألحقنا جوابها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مطلباً في نهاية المسألة الثانية منها،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ممّا قد تقدّم في جواب هذه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راجعنا وجدنا أنّ المطلب لم يتقدّم في الرسّيّة الثانية؛ بل تقدّم في الرسّيّة الأُولى، و مع ذلك وصفها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يدلّ على اتّحاد الرسّيّتين من وجهة نظر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نهاية الرسّيّة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ذكرنا في جواب المسألة الرابعة من هذه المسائل في هذا المعنى وجهاً غريباً ما تقدّمنا أحد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الرابعة من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المسألة الرابعة من الرسّيّة الأُولى، و هذا كلّه يدلّ على اتّحاد الرسّيّتين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الرسّيّة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مسائلها فقهيّة، و الذي يستوقف القارئ ذهاب الشريف المرتضىٰ في المسألة الثالثة منها إلىٰ القول بعدم كون ركعتي الطواف مفروضة و إنّما هي سنّة 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الشيخ الطوسي و ابن إدريس أشارا إلىٰ رأي الشريف المرتضى هذا عندما قالا بأنّ بعض الأصحاب ذهبوا إلىٰ عدم وجوب ركعتي الطواف و كونهما مسنونتين</w:t>
      </w:r>
      <w:r>
        <w:rPr>
          <w:rFonts w:eastAsia="Amiri" w:cs="Amiri" w:ascii="Amiri" w:hAnsi="Amiri"/>
          <w:color w:val="111111"/>
          <w:sz w:val="28"/>
          <w:szCs w:val="28"/>
          <w:rtl w:val="true"/>
          <w:lang w:bidi="ar-SA"/>
        </w:rPr>
        <w:t>.</w:t>
      </w:r>
      <w:r>
        <w:rPr>
          <w:rStyle w:val="FootnoteAnchor"/>
          <w:rtl w:val="true"/>
        </w:rPr>
        <w:footnoteReference w:id="1026"/>
      </w:r>
      <w:bookmarkStart w:id="195" w:name="pg16437_172494"/>
    </w:p>
    <w:p>
      <w:pPr>
        <w:pStyle w:val="Heading5"/>
        <w:numPr>
          <w:ilvl w:val="4"/>
          <w:numId w:val="1"/>
        </w:numPr>
        <w:rPr/>
      </w:pPr>
      <w:bookmarkStart w:id="196" w:name="__RefHeading___Toc8039589_1280447820"/>
      <w:bookmarkStart w:id="197" w:name="_Toc69"/>
      <w:bookmarkEnd w:id="195"/>
      <w:bookmarkEnd w:id="196"/>
      <w:r>
        <w:rPr>
          <w:rtl w:val="true"/>
        </w:rPr>
        <w:t>نسبتها إلى المؤلّف و تاريخها</w:t>
      </w:r>
      <w:bookmarkEnd w:id="197"/>
    </w:p>
    <w:p>
      <w:pPr>
        <w:pStyle w:val="BookText"/>
        <w:rPr/>
      </w:pPr>
      <w:r>
        <w:rPr>
          <w:rFonts w:ascii="Amiri" w:hAnsi="Amiri" w:eastAsia="Amiri" w:cs="Amiri"/>
          <w:color w:val="111111"/>
          <w:sz w:val="28"/>
          <w:sz w:val="28"/>
          <w:szCs w:val="28"/>
          <w:rtl w:val="true"/>
          <w:lang w:bidi="ar-SA"/>
        </w:rPr>
        <w:t>إذا كانت الرسّيّتان في حكم مجموعة واحدة من المسائل، لذلك ستكون قرائن إثبات نسبتهما إلى الشريف المرتضى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أنّه لا شكّ في صحّة نسبة الرسّيّة الأُولى، فهكذا تكون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 تاريخ الفراغ من الإجابة على الرسّيّة الأُولى هو المحرّم من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فقد يكون تاريخ الإجابة على الثانية متأخّراً عن هذا التاريخ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طبعت هذه المسائل في ضمن رسائل الشريف المرتضى،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8039591_1280447820"/>
      <w:bookmarkStart w:id="199" w:name="_Toc70"/>
      <w:bookmarkEnd w:id="198"/>
      <w:r>
        <w:rPr>
          <w:rtl w:val="true"/>
        </w:rPr>
        <w:t>مخطوطات الرسالة</w:t>
      </w:r>
      <w:bookmarkEnd w:id="199"/>
    </w:p>
    <w:p>
      <w:pPr>
        <w:pStyle w:val="Heading6"/>
        <w:numPr>
          <w:ilvl w:val="5"/>
          <w:numId w:val="1"/>
        </w:numPr>
        <w:rPr/>
      </w:pPr>
      <w:bookmarkStart w:id="200" w:name="__RefHeading___Toc8039593_1280447820"/>
      <w:bookmarkStart w:id="201" w:name="_Toc71"/>
      <w:bookmarkEnd w:id="200"/>
      <w:r>
        <w:rPr>
          <w:rtl w:val="true"/>
        </w:rPr>
        <w:t>ألف</w:t>
      </w:r>
      <w:r>
        <w:rPr>
          <w:rtl w:val="true"/>
        </w:rPr>
        <w:t xml:space="preserve">) </w:t>
      </w:r>
      <w:r>
        <w:rPr>
          <w:rtl w:val="true"/>
        </w:rPr>
        <w:t>النسخ المعتمدة</w:t>
      </w:r>
      <w:r>
        <w:rPr>
          <w:rtl w:val="true"/>
        </w:rPr>
        <w:t>:</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21908</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8039595_1280447820"/>
      <w:bookmarkStart w:id="203" w:name="_Toc72"/>
      <w:bookmarkEnd w:id="202"/>
      <w:r>
        <w:rPr>
          <w:rtl w:val="true"/>
        </w:rPr>
        <w:t>ب</w:t>
      </w:r>
      <w:r>
        <w:rPr>
          <w:rtl w:val="true"/>
        </w:rPr>
        <w:t xml:space="preserve">) </w:t>
      </w:r>
      <w:r>
        <w:rPr>
          <w:rtl w:val="true"/>
        </w:rPr>
        <w:t>سائر النسخ</w:t>
      </w:r>
      <w:r>
        <w:rPr>
          <w:rtl w:val="true"/>
        </w:rPr>
        <w:t>:</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 و هي ميكروفيلم من المخطوطة المرقّمة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المكتبة الروضة الرضويّة</w:t>
      </w:r>
    </w:p>
    <w:p>
      <w:pPr>
        <w:pStyle w:val="BookText"/>
        <w:rPr/>
      </w:pPr>
      <w:r>
        <w:rPr>
          <w:rFonts w:ascii="Amiri" w:hAnsi="Amiri" w:eastAsia="Amiri" w:cs="Amiri"/>
          <w:color w:val="111111"/>
          <w:sz w:val="28"/>
          <w:sz w:val="28"/>
          <w:szCs w:val="28"/>
          <w:rtl w:val="true"/>
          <w:lang w:bidi="ar-SA"/>
        </w:rPr>
        <w:t xml:space="preserve">المقدّسة بمشهد، و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438/6</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6437_172497"/>
      <w:bookmarkStart w:id="205" w:name="pg16437_172497"/>
      <w:bookmarkEnd w:id="205"/>
    </w:p>
    <w:p>
      <w:pPr>
        <w:pStyle w:val="Heading4"/>
        <w:numPr>
          <w:ilvl w:val="3"/>
          <w:numId w:val="1"/>
        </w:numPr>
        <w:rPr/>
      </w:pPr>
      <w:bookmarkStart w:id="206" w:name="pg16437_172497"/>
      <w:bookmarkStart w:id="207" w:name="__RefHeading___Toc8039597_1280447820"/>
      <w:bookmarkStart w:id="208" w:name="_Toc73"/>
      <w:bookmarkEnd w:id="206"/>
      <w:bookmarkEnd w:id="207"/>
      <w:r>
        <w:rPr>
          <w:rtl w:val="true"/>
        </w:rPr>
        <w:t>جواباتُ المَسائلِ الرسّيّةِ الثانيةِ‌</w:t>
      </w:r>
      <w:bookmarkEnd w:id="208"/>
    </w:p>
    <w:p>
      <w:pPr>
        <w:pStyle w:val="Heading5"/>
        <w:numPr>
          <w:ilvl w:val="4"/>
          <w:numId w:val="1"/>
        </w:numPr>
        <w:rPr/>
      </w:pPr>
      <w:bookmarkStart w:id="209" w:name="__RefHeading___Toc8039599_1280447820"/>
      <w:bookmarkStart w:id="210" w:name="_Toc74"/>
      <w:bookmarkEnd w:id="209"/>
      <w:r>
        <w:rPr>
          <w:rtl w:val="true"/>
        </w:rPr>
        <w:t>اشارة</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w:t>
      </w:r>
      <w:r>
        <w:rPr>
          <w:rStyle w:val="FootnoteAnchor"/>
          <w:rtl w:val="true"/>
        </w:rPr>
        <w:footnoteReference w:id="1027"/>
      </w:r>
      <w:r>
        <w:rPr>
          <w:rFonts w:ascii="Amiri" w:hAnsi="Amiri" w:eastAsia="Amiri" w:cs="Amiri"/>
          <w:color w:val="111111"/>
          <w:sz w:val="28"/>
          <w:sz w:val="28"/>
          <w:szCs w:val="28"/>
          <w:rtl w:val="true"/>
          <w:lang w:bidi="ar-SA"/>
        </w:rPr>
        <w:t>بَعدَ ذلكَ مَسائلُ خَمسٌ، فأَلحَقنا جوابَها بما تَقدَّمَ</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8039601_1280447820"/>
      <w:bookmarkStart w:id="212" w:name="_Toc75"/>
      <w:bookmarkEnd w:id="211"/>
      <w:r>
        <w:rPr>
          <w:rtl w:val="true"/>
        </w:rPr>
        <w:t>المسألةُ الأُولىٰ سُقوطُ القَضاءِ بَعدَ الوقتِ عمّن صَلّىٰ تَماماً في مَوضِعِ القَصرِ</w:t>
      </w:r>
      <w:bookmarkEnd w:id="212"/>
    </w:p>
    <w:p>
      <w:pPr>
        <w:pStyle w:val="BookText"/>
        <w:rPr/>
      </w:pPr>
      <w:r>
        <w:rPr>
          <w:rFonts w:ascii="Amiri" w:hAnsi="Amiri" w:eastAsia="Amiri" w:cs="Amiri"/>
          <w:color w:val="111111"/>
          <w:sz w:val="28"/>
          <w:sz w:val="28"/>
          <w:szCs w:val="28"/>
          <w:rtl w:val="true"/>
          <w:lang w:bidi="ar-SA"/>
        </w:rPr>
        <w:t>المسألةُ الأُولىٰ‌</w:t>
      </w:r>
      <w:r>
        <w:rPr>
          <w:rStyle w:val="FootnoteAnchor"/>
          <w:rtl w:val="true"/>
        </w:rPr>
        <w:footnoteReference w:id="1028"/>
      </w:r>
      <w:r>
        <w:rPr>
          <w:rFonts w:ascii="Amiri" w:hAnsi="Amiri" w:eastAsia="Amiri" w:cs="Amiri"/>
          <w:color w:val="111111"/>
          <w:sz w:val="28"/>
          <w:sz w:val="28"/>
          <w:szCs w:val="28"/>
          <w:rtl w:val="true"/>
          <w:lang w:bidi="ar-SA"/>
        </w:rPr>
        <w:t>سُقوطُ القَضاءِ بَعدَ الوقتِ عمّن صَلّىٰ تَماماً في مَوضِعِ القَصرِ</w:t>
      </w:r>
    </w:p>
    <w:p>
      <w:pPr>
        <w:pStyle w:val="BookText"/>
        <w:rPr/>
      </w:pPr>
      <w:r>
        <w:rPr>
          <w:rFonts w:ascii="Amiri" w:hAnsi="Amiri" w:eastAsia="Amiri" w:cs="Amiri"/>
          <w:color w:val="111111"/>
          <w:sz w:val="28"/>
          <w:sz w:val="28"/>
          <w:szCs w:val="28"/>
          <w:rtl w:val="true"/>
          <w:lang w:bidi="ar-SA"/>
        </w:rPr>
        <w:t>ما الوجهُ فيما تُفتي</w:t>
      </w:r>
      <w:r>
        <w:rPr>
          <w:rStyle w:val="FootnoteAnchor"/>
          <w:rtl w:val="true"/>
        </w:rPr>
        <w:footnoteReference w:id="1029"/>
      </w:r>
      <w:r>
        <w:rPr>
          <w:rFonts w:ascii="Amiri" w:hAnsi="Amiri" w:eastAsia="Amiri" w:cs="Amiri"/>
          <w:color w:val="111111"/>
          <w:sz w:val="28"/>
          <w:sz w:val="28"/>
          <w:szCs w:val="28"/>
          <w:rtl w:val="true"/>
          <w:lang w:bidi="ar-SA"/>
        </w:rPr>
        <w:t>به الطائفةُ مِن سُقوطِ فَرضِ القَضاءِ عمّن صَلّىٰ مِن المُقصِّرينَ صَلاةَ مُتِمٍّ بَعدَ خُروجِ الوقتِ إذا كانَ جاهلاً بالحُكمِ في ذلكَ؟</w:t>
      </w:r>
    </w:p>
    <w:p>
      <w:pPr>
        <w:pStyle w:val="BookText"/>
        <w:rPr/>
      </w:pPr>
      <w:r>
        <w:rPr>
          <w:rFonts w:ascii="Amiri" w:hAnsi="Amiri" w:eastAsia="Amiri" w:cs="Amiri"/>
          <w:color w:val="111111"/>
          <w:sz w:val="28"/>
          <w:sz w:val="28"/>
          <w:szCs w:val="28"/>
          <w:rtl w:val="true"/>
          <w:lang w:bidi="ar-SA"/>
        </w:rPr>
        <w:t>مع عِلمِنا بأنّ الجهلَ بأعدادِ الرَّكَعاتِ لا يَصِحُّ معه</w:t>
      </w:r>
      <w:r>
        <w:rPr>
          <w:rStyle w:val="FootnoteAnchor"/>
          <w:rtl w:val="true"/>
        </w:rPr>
        <w:footnoteReference w:id="1030"/>
      </w:r>
      <w:r>
        <w:rPr>
          <w:rFonts w:ascii="Amiri" w:hAnsi="Amiri" w:eastAsia="Amiri" w:cs="Amiri"/>
          <w:color w:val="111111"/>
          <w:sz w:val="28"/>
          <w:sz w:val="28"/>
          <w:szCs w:val="28"/>
          <w:rtl w:val="true"/>
          <w:lang w:bidi="ar-SA"/>
        </w:rPr>
        <w:t>العِلمُ بتفصيلِ أحكامِها و وجوهِها؛ إذ مِن البَعيدِ أن يَعلَمَ التفصيلَ مَن جَهِلَ الجُملةَ التي هي كالأصلِ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إجماعُ الأُمّةِ علىٰ أنّ مَن صَلّىٰ صَلاةً لا يَعلَمُ أحكامَها، فهي غيرُ مُجزيةٍ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w:t>
      </w:r>
    </w:p>
    <w:p>
      <w:pPr>
        <w:pStyle w:val="BookText"/>
        <w:rPr/>
      </w:pPr>
      <w:r>
        <w:rPr>
          <w:rFonts w:ascii="Amiri" w:hAnsi="Amiri" w:eastAsia="Amiri" w:cs="Amiri"/>
          <w:color w:val="111111"/>
          <w:sz w:val="28"/>
          <w:sz w:val="28"/>
          <w:szCs w:val="28"/>
          <w:rtl w:val="true"/>
          <w:lang w:bidi="ar-SA"/>
        </w:rPr>
        <w:t>يُجزي مِن الصلَواتِ‌</w:t>
      </w:r>
      <w:r>
        <w:rPr>
          <w:rStyle w:val="FootnoteAnchor"/>
          <w:rtl w:val="true"/>
        </w:rPr>
        <w:footnoteReference w:id="1031"/>
      </w:r>
      <w:r>
        <w:rPr>
          <w:rFonts w:ascii="Amiri" w:hAnsi="Amiri" w:eastAsia="Amiri" w:cs="Amiri"/>
          <w:color w:val="111111"/>
          <w:sz w:val="28"/>
          <w:sz w:val="28"/>
          <w:szCs w:val="28"/>
          <w:rtl w:val="true"/>
          <w:lang w:bidi="ar-SA"/>
        </w:rPr>
        <w:t>الخَمسِ يَجِبُ قَضاؤه باتِّفاقٍ؛ فكَيفَ يَجوزُ الفُتيا بسُقوطِ القَضاءِ عمّن صَلّىٰ صَلاةً لا تُجزيهِ؟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قد بيّنّا أنّ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صاحبُه معذوراً، بَل</w:t>
      </w:r>
      <w:r>
        <w:rPr>
          <w:rStyle w:val="FootnoteAnchor"/>
          <w:rtl w:val="true"/>
        </w:rPr>
        <w:footnoteReference w:id="1033"/>
      </w:r>
      <w:r>
        <w:rPr>
          <w:rFonts w:ascii="Amiri" w:hAnsi="Amiri" w:eastAsia="Amiri" w:cs="Amiri"/>
          <w:color w:val="111111"/>
          <w:sz w:val="28"/>
          <w:sz w:val="28"/>
          <w:szCs w:val="28"/>
          <w:rtl w:val="true"/>
          <w:lang w:bidi="ar-SA"/>
        </w:rPr>
        <w:t xml:space="preserve">مَلوماً مذموماً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يَتغيَّرَ معه الحُكمُ الشرعيُّ، و يَكونَ حُكمُ العالِمِ بخِلافِ حُكمِ الجاهلِ</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و لَيسَ العِلمُ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لَزِمَه التقصيرُ إذا تَمَّمَ صَلاتَه لا تُجزيهِ‌</w:t>
      </w:r>
      <w:r>
        <w:rPr>
          <w:rStyle w:val="FootnoteAnchor"/>
          <w:rtl w:val="true"/>
        </w:rPr>
        <w:footnoteReference w:id="1035"/>
      </w:r>
      <w:r>
        <w:rPr>
          <w:rFonts w:ascii="Amiri" w:hAnsi="Amiri" w:eastAsia="Amiri" w:cs="Amiri"/>
          <w:color w:val="111111"/>
          <w:sz w:val="28"/>
          <w:sz w:val="28"/>
          <w:szCs w:val="28"/>
          <w:rtl w:val="true"/>
          <w:lang w:bidi="ar-SA"/>
        </w:rPr>
        <w:t>تلكَ الصلاةُ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بأحكامِ الصلاةِ في قِراءةٍ و رُكوعٍ و سُجودٍ؛ لأنّه غيرُ مُمتَنِعٍ أن يَعلَمَ جميعَ أحكامِ الشريعةِ‌</w:t>
      </w:r>
      <w:r>
        <w:rPr>
          <w:rStyle w:val="FootnoteAnchor"/>
          <w:rtl w:val="true"/>
        </w:rPr>
        <w:footnoteReference w:id="1036"/>
      </w:r>
      <w:r>
        <w:rPr>
          <w:rFonts w:ascii="Amiri" w:hAnsi="Amiri" w:eastAsia="Amiri" w:cs="Amiri"/>
          <w:color w:val="111111"/>
          <w:sz w:val="28"/>
          <w:sz w:val="28"/>
          <w:szCs w:val="28"/>
          <w:rtl w:val="true"/>
          <w:lang w:bidi="ar-SA"/>
        </w:rPr>
        <w:t>مَن لا يَعلَمُ أنّ إتمامَ مَن وَجَبَ عليه التقصيرُ غيرُ مُجزٍ، فلا تَعلُّقَ بَينَ الأمرَينِ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جَهلُه بأنّ إتمامَه ما وَجَبَ فيه التقصيرُ</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بأعدادِ الرَّكَعاتِ؛ لأنّه قد يَعلَمُ أنّ المُقصِّرَ إنّما يَجِبُ عليه عَدَدٌ مخصوصٌ، غيرَ أنّه لا يَعلَمُ أنّه إذا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w:t>
      </w:r>
      <w:r>
        <w:rPr>
          <w:rStyle w:val="FootnoteAnchor"/>
          <w:rtl w:val="true"/>
        </w:rPr>
        <w:footnoteReference w:id="1038"/>
      </w:r>
      <w:r>
        <w:rPr>
          <w:rFonts w:ascii="Amiri" w:hAnsi="Amiri" w:eastAsia="Amiri" w:cs="Amiri"/>
          <w:color w:val="111111"/>
          <w:sz w:val="28"/>
          <w:sz w:val="28"/>
          <w:szCs w:val="28"/>
          <w:rtl w:val="true"/>
          <w:lang w:bidi="ar-SA"/>
        </w:rPr>
        <w:t xml:space="preserve">ذلكَ العَدَدِ و ما زادَ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فِعلَه لا يُجزيهِ؛ لأنّهما مَوضِعانِ مُفتَرِقانِ، يَجوزُ أن يَعلَمَ أحَدَهما مَن يَجهَلُ الآخَرَ</w:t>
      </w:r>
      <w:r>
        <w:rPr>
          <w:rFonts w:eastAsia="Amiri" w:cs="Amiri" w:ascii="Amiri" w:hAnsi="Amiri"/>
          <w:color w:val="111111"/>
          <w:sz w:val="28"/>
          <w:szCs w:val="28"/>
          <w:rtl w:val="true"/>
          <w:lang w:bidi="ar-SA"/>
        </w:rPr>
        <w:t xml:space="preserve">. </w:t>
      </w:r>
      <w:bookmarkStart w:id="213" w:name="pg16437_172499"/>
    </w:p>
    <w:p>
      <w:pPr>
        <w:pStyle w:val="Heading5"/>
        <w:numPr>
          <w:ilvl w:val="4"/>
          <w:numId w:val="1"/>
        </w:numPr>
        <w:rPr/>
      </w:pPr>
      <w:bookmarkStart w:id="214" w:name="__RefHeading___Toc8039603_1280447820"/>
      <w:bookmarkStart w:id="215" w:name="_Toc76"/>
      <w:bookmarkEnd w:id="213"/>
      <w:bookmarkEnd w:id="214"/>
      <w:r>
        <w:rPr>
          <w:rtl w:val="true"/>
        </w:rPr>
        <w:t>المسألةُ الثانيةُ جوازُ تجديدِ نيّةِ الصومِ بَعدَ مُضيِّ شَطرِ النهارِ</w:t>
      </w:r>
      <w:bookmarkEnd w:id="215"/>
    </w:p>
    <w:p>
      <w:pPr>
        <w:pStyle w:val="BookText"/>
        <w:rPr/>
      </w:pPr>
      <w:r>
        <w:rPr>
          <w:rFonts w:ascii="Amiri" w:hAnsi="Amiri" w:eastAsia="Amiri" w:cs="Amiri"/>
          <w:color w:val="111111"/>
          <w:sz w:val="28"/>
          <w:sz w:val="28"/>
          <w:szCs w:val="28"/>
          <w:rtl w:val="true"/>
          <w:lang w:bidi="ar-SA"/>
        </w:rPr>
        <w:t>المسألةُ الثانيةُ‌</w:t>
      </w:r>
      <w:r>
        <w:rPr>
          <w:rStyle w:val="FootnoteAnchor"/>
          <w:rtl w:val="true"/>
        </w:rPr>
        <w:footnoteReference w:id="1039"/>
      </w:r>
      <w:r>
        <w:rPr>
          <w:rFonts w:ascii="Amiri" w:hAnsi="Amiri" w:eastAsia="Amiri" w:cs="Amiri"/>
          <w:color w:val="111111"/>
          <w:sz w:val="28"/>
          <w:sz w:val="28"/>
          <w:szCs w:val="28"/>
          <w:rtl w:val="true"/>
          <w:lang w:bidi="ar-SA"/>
        </w:rPr>
        <w:t>جوازُ تجديدِ نيّةِ الصومِ بَعدَ مُضيِّ شَطرِ النهارِ</w:t>
      </w:r>
    </w:p>
    <w:p>
      <w:pPr>
        <w:pStyle w:val="BookText"/>
        <w:rPr/>
      </w:pPr>
      <w:r>
        <w:rPr>
          <w:rFonts w:ascii="Amiri" w:hAnsi="Amiri" w:eastAsia="Amiri" w:cs="Amiri"/>
          <w:color w:val="111111"/>
          <w:sz w:val="28"/>
          <w:sz w:val="28"/>
          <w:szCs w:val="28"/>
          <w:rtl w:val="true"/>
          <w:lang w:bidi="ar-SA"/>
        </w:rPr>
        <w:t>ما الوجهُ‌</w:t>
      </w:r>
      <w:r>
        <w:rPr>
          <w:rStyle w:val="FootnoteAnchor"/>
          <w:rtl w:val="true"/>
        </w:rPr>
        <w:footnoteReference w:id="1040"/>
      </w:r>
      <w:r>
        <w:rPr>
          <w:rFonts w:ascii="Amiri" w:hAnsi="Amiri" w:eastAsia="Amiri" w:cs="Amiri"/>
          <w:color w:val="111111"/>
          <w:sz w:val="28"/>
          <w:sz w:val="28"/>
          <w:szCs w:val="28"/>
          <w:rtl w:val="true"/>
          <w:lang w:bidi="ar-SA"/>
        </w:rPr>
        <w:t>فيما تُفتي</w:t>
      </w:r>
      <w:r>
        <w:rPr>
          <w:rStyle w:val="FootnoteAnchor"/>
          <w:rtl w:val="true"/>
        </w:rPr>
        <w:footnoteReference w:id="1041"/>
      </w:r>
      <w:r>
        <w:rPr>
          <w:rFonts w:ascii="Amiri" w:hAnsi="Amiri" w:eastAsia="Amiri" w:cs="Amiri"/>
          <w:color w:val="111111"/>
          <w:sz w:val="28"/>
          <w:sz w:val="28"/>
          <w:szCs w:val="28"/>
          <w:rtl w:val="true"/>
          <w:lang w:bidi="ar-SA"/>
        </w:rPr>
        <w:t>به الطائفةُ و غيرُها مِن الفقهاءِ مِن جوازِ تجديدِ النيّةِ للصومِ الواجبِ و المندوبِ بَعدَ</w:t>
      </w:r>
      <w:r>
        <w:rPr>
          <w:rStyle w:val="FootnoteAnchor"/>
          <w:rtl w:val="true"/>
        </w:rPr>
        <w:footnoteReference w:id="1042"/>
      </w:r>
      <w:r>
        <w:rPr>
          <w:rFonts w:ascii="Amiri" w:hAnsi="Amiri" w:eastAsia="Amiri" w:cs="Amiri"/>
          <w:color w:val="111111"/>
          <w:sz w:val="28"/>
          <w:sz w:val="28"/>
          <w:szCs w:val="28"/>
          <w:rtl w:val="true"/>
          <w:lang w:bidi="ar-SA"/>
        </w:rPr>
        <w:t>مُضيِّ شَطرِ النهارِ؟</w:t>
      </w:r>
    </w:p>
    <w:p>
      <w:pPr>
        <w:pStyle w:val="BookText"/>
        <w:rPr/>
      </w:pPr>
      <w:r>
        <w:rPr>
          <w:rFonts w:ascii="Amiri" w:hAnsi="Amiri" w:eastAsia="Amiri" w:cs="Amiri"/>
          <w:color w:val="111111"/>
          <w:sz w:val="28"/>
          <w:sz w:val="28"/>
          <w:szCs w:val="28"/>
          <w:rtl w:val="true"/>
          <w:lang w:bidi="ar-SA"/>
        </w:rPr>
        <w:t xml:space="preserve">مع حُصولِ العِلمِ بأنّ ما مضىٰ مِن الزمانِ عَريّاً مِن النيّةِ لَيسَ بصَومٍ، و ما بَقيَ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مضىٰ لَيسَ بصَومٍ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صَوماً؛ مِن حَيثُ كانَ بعضَ زمانِ‌</w:t>
      </w:r>
      <w:r>
        <w:rPr>
          <w:rStyle w:val="FootnoteAnchor"/>
          <w:rtl w:val="true"/>
        </w:rPr>
        <w:footnoteReference w:id="1043"/>
      </w:r>
      <w:r>
        <w:rPr>
          <w:rFonts w:ascii="Amiri" w:hAnsi="Amiri" w:eastAsia="Amiri" w:cs="Amiri"/>
          <w:color w:val="111111"/>
          <w:sz w:val="28"/>
          <w:sz w:val="28"/>
          <w:szCs w:val="28"/>
          <w:rtl w:val="true"/>
          <w:lang w:bidi="ar-SA"/>
        </w:rPr>
        <w:t>الصومِ‌</w:t>
      </w:r>
      <w:r>
        <w:rPr>
          <w:rStyle w:val="FootnoteAnchor"/>
          <w:rtl w:val="true"/>
        </w:rPr>
        <w:footnoteReference w:id="1044"/>
      </w:r>
      <w:r>
        <w:rPr>
          <w:rFonts w:ascii="Amiri" w:hAnsi="Amiri" w:eastAsia="Amiri" w:cs="Amiri"/>
          <w:color w:val="111111"/>
          <w:sz w:val="28"/>
          <w:sz w:val="28"/>
          <w:szCs w:val="28"/>
          <w:rtl w:val="true"/>
          <w:lang w:bidi="ar-SA"/>
        </w:rPr>
        <w:t>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هذهِ المَسألةَ يُوافِقُ‌</w:t>
      </w:r>
      <w:r>
        <w:rPr>
          <w:rStyle w:val="FootnoteAnchor"/>
          <w:rtl w:val="true"/>
        </w:rPr>
        <w:footnoteReference w:id="1046"/>
      </w:r>
      <w:r>
        <w:rPr>
          <w:rFonts w:ascii="Amiri" w:hAnsi="Amiri" w:eastAsia="Amiri" w:cs="Amiri"/>
          <w:color w:val="111111"/>
          <w:sz w:val="28"/>
          <w:sz w:val="28"/>
          <w:szCs w:val="28"/>
          <w:rtl w:val="true"/>
          <w:lang w:bidi="ar-SA"/>
        </w:rPr>
        <w:t>الإماميّةُ فيها الفقهاءَ؛ لأنّ أبا حَنيفةَ‌</w:t>
      </w:r>
      <w:r>
        <w:rPr>
          <w:rStyle w:val="FootnoteAnchor"/>
          <w:rtl w:val="true"/>
        </w:rPr>
        <w:footnoteReference w:id="1047"/>
      </w:r>
      <w:r>
        <w:rPr>
          <w:rFonts w:ascii="Amiri" w:hAnsi="Amiri" w:eastAsia="Amiri" w:cs="Amiri"/>
          <w:color w:val="111111"/>
          <w:sz w:val="28"/>
          <w:sz w:val="28"/>
          <w:szCs w:val="28"/>
          <w:rtl w:val="true"/>
          <w:lang w:bidi="ar-SA"/>
        </w:rPr>
        <w:t>يُجيزُ صَومَ الفَرضِ و التطوُّعِ بِنيّةٍ تَتَجدَّدُ</w:t>
      </w:r>
      <w:r>
        <w:rPr>
          <w:rStyle w:val="FootnoteAnchor"/>
          <w:rtl w:val="true"/>
        </w:rPr>
        <w:footnoteReference w:id="1048"/>
      </w:r>
      <w:r>
        <w:rPr>
          <w:rFonts w:ascii="Amiri" w:hAnsi="Amiri" w:eastAsia="Amiri" w:cs="Amiri"/>
          <w:color w:val="111111"/>
          <w:sz w:val="28"/>
          <w:sz w:val="28"/>
          <w:szCs w:val="28"/>
          <w:rtl w:val="true"/>
          <w:lang w:bidi="ar-SA"/>
        </w:rPr>
        <w:t>قَبلَ الزوالِ‌</w:t>
      </w:r>
      <w:r>
        <w:rPr>
          <w:rStyle w:val="FootnoteAnchor"/>
          <w:rtl w:val="true"/>
        </w:rPr>
        <w:footnoteReference w:id="1049"/>
      </w:r>
      <w:r>
        <w:rPr>
          <w:rFonts w:ascii="Amiri" w:hAnsi="Amiri" w:eastAsia="Amiri" w:cs="Amiri"/>
          <w:color w:val="111111"/>
          <w:sz w:val="28"/>
          <w:sz w:val="28"/>
          <w:szCs w:val="28"/>
          <w:rtl w:val="true"/>
          <w:lang w:bidi="ar-SA"/>
        </w:rPr>
        <w:t>، و الشافعيَّ يُجيزُ ذلكَ في التطوُّعِ و لا يُجيزُه في الفَرضِ</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و الوجهُ في صِحّةِ ذلكَ ما قدَّمنا</w:t>
      </w:r>
      <w:r>
        <w:rPr>
          <w:rStyle w:val="FootnoteAnchor"/>
          <w:rtl w:val="true"/>
        </w:rPr>
        <w:footnoteReference w:id="1051"/>
      </w:r>
      <w:r>
        <w:rPr>
          <w:rFonts w:ascii="Amiri" w:hAnsi="Amiri" w:eastAsia="Amiri" w:cs="Amiri"/>
          <w:color w:val="111111"/>
          <w:sz w:val="28"/>
          <w:sz w:val="28"/>
          <w:szCs w:val="28"/>
          <w:rtl w:val="true"/>
          <w:lang w:bidi="ar-SA"/>
        </w:rPr>
        <w:t>ذِكرَه في جوابِ هذه المسائلِ‌</w:t>
      </w:r>
      <w:r>
        <w:rPr>
          <w:rStyle w:val="FootnoteAnchor"/>
          <w:rtl w:val="true"/>
        </w:rPr>
        <w:footnoteReference w:id="1052"/>
      </w:r>
      <w:r>
        <w:rPr>
          <w:rFonts w:ascii="Amiri" w:hAnsi="Amiri" w:eastAsia="Amiri" w:cs="Amiri"/>
          <w:color w:val="111111"/>
          <w:sz w:val="28"/>
          <w:sz w:val="28"/>
          <w:szCs w:val="28"/>
          <w:rtl w:val="true"/>
          <w:lang w:bidi="ar-SA"/>
        </w:rPr>
        <w:t>، مِن أنّ النيّةَ إنّما تؤثِّرُ في أحكامٍ شَرعيّةٍ، و لَيسَ تَكونُ الصلاةُ بها علىٰ صفةٍ‌</w:t>
      </w:r>
      <w:r>
        <w:rPr>
          <w:rStyle w:val="FootnoteAnchor"/>
          <w:rtl w:val="true"/>
        </w:rPr>
        <w:footnoteReference w:id="1053"/>
      </w:r>
      <w:r>
        <w:rPr>
          <w:rFonts w:ascii="Amiri" w:hAnsi="Amiri" w:eastAsia="Amiri" w:cs="Amiri"/>
          <w:color w:val="111111"/>
          <w:sz w:val="28"/>
          <w:sz w:val="28"/>
          <w:szCs w:val="28"/>
          <w:rtl w:val="true"/>
          <w:lang w:bidi="ar-SA"/>
        </w:rPr>
        <w:t>موجَبةٍ عنها، كما نَقولُه في العِلَلِ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مُمتَنِعٍ أن تَكونَ مُقارَنةُ نيّةِ الصيامِ‌</w:t>
      </w:r>
      <w:r>
        <w:rPr>
          <w:rStyle w:val="FootnoteAnchor"/>
          <w:rtl w:val="true"/>
        </w:rPr>
        <w:footnoteReference w:id="1054"/>
      </w:r>
      <w:r>
        <w:rPr>
          <w:rFonts w:ascii="Amiri" w:hAnsi="Amiri" w:eastAsia="Amiri" w:cs="Amiri"/>
          <w:color w:val="111111"/>
          <w:sz w:val="28"/>
          <w:sz w:val="28"/>
          <w:szCs w:val="28"/>
          <w:rtl w:val="true"/>
          <w:lang w:bidi="ar-SA"/>
        </w:rPr>
        <w:t>لجُزءٍ‌</w:t>
      </w:r>
      <w:r>
        <w:rPr>
          <w:rStyle w:val="FootnoteAnchor"/>
          <w:rtl w:val="true"/>
        </w:rPr>
        <w:footnoteReference w:id="1055"/>
      </w:r>
      <w:r>
        <w:rPr>
          <w:rFonts w:ascii="Amiri" w:hAnsi="Amiri" w:eastAsia="Amiri" w:cs="Amiri"/>
          <w:color w:val="111111"/>
          <w:sz w:val="28"/>
          <w:sz w:val="28"/>
          <w:szCs w:val="28"/>
          <w:rtl w:val="true"/>
          <w:lang w:bidi="ar-SA"/>
        </w:rPr>
        <w:t>مِن أجزاءِ النهارِ مؤثِّرةً‌</w:t>
      </w:r>
      <w:r>
        <w:rPr>
          <w:rStyle w:val="FootnoteAnchor"/>
          <w:rtl w:val="true"/>
        </w:rPr>
        <w:footnoteReference w:id="1056"/>
      </w:r>
      <w:r>
        <w:rPr>
          <w:rFonts w:ascii="Amiri" w:hAnsi="Amiri" w:eastAsia="Amiri" w:cs="Amiri"/>
          <w:color w:val="111111"/>
          <w:sz w:val="28"/>
          <w:sz w:val="28"/>
          <w:szCs w:val="28"/>
          <w:rtl w:val="true"/>
          <w:lang w:bidi="ar-SA"/>
        </w:rPr>
        <w:t>في كَونِ جميعِ النهارِ صَوماً؛ لأنّ تأثيرَ العِلَلِ التي تَجِبُ مُصاحَبتُها لِما تؤثِّرُ</w:t>
      </w:r>
      <w:r>
        <w:rPr>
          <w:rStyle w:val="FootnoteAnchor"/>
          <w:rtl w:val="true"/>
        </w:rPr>
        <w:footnoteReference w:id="1057"/>
      </w:r>
      <w:r>
        <w:rPr>
          <w:rFonts w:ascii="Amiri" w:hAnsi="Amiri" w:eastAsia="Amiri" w:cs="Amiri"/>
          <w:color w:val="111111"/>
          <w:sz w:val="28"/>
          <w:sz w:val="28"/>
          <w:szCs w:val="28"/>
          <w:rtl w:val="true"/>
          <w:lang w:bidi="ar-SA"/>
        </w:rPr>
        <w:t>فيه هاهُنا مفقودٌ، و إنّما تَثبُتُ‌</w:t>
      </w:r>
      <w:r>
        <w:rPr>
          <w:rStyle w:val="FootnoteAnchor"/>
          <w:rtl w:val="true"/>
        </w:rPr>
        <w:footnoteReference w:id="1058"/>
      </w:r>
      <w:r>
        <w:rPr>
          <w:rFonts w:ascii="Amiri" w:hAnsi="Amiri" w:eastAsia="Amiri" w:cs="Amiri"/>
          <w:color w:val="111111"/>
          <w:sz w:val="28"/>
          <w:sz w:val="28"/>
          <w:szCs w:val="28"/>
          <w:rtl w:val="true"/>
          <w:lang w:bidi="ar-SA"/>
        </w:rPr>
        <w:t>أحكامٌ شَرعيّةٌ بمُقارَنةِ هذه النيّةِ، فغَيرُ مُمتَنِعٍ أن يَجعَلَ الشرعُ مُقارَنتَها لبعضِ العبادةِ كمُقارَنتِها لجميعِها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تَقدُّمَ النيّةِ في أوّلِ الليلِ‌</w:t>
      </w:r>
      <w:r>
        <w:rPr>
          <w:rStyle w:val="FootnoteAnchor"/>
          <w:rtl w:val="true"/>
        </w:rPr>
        <w:footnoteReference w:id="1059"/>
      </w:r>
      <w:r>
        <w:rPr>
          <w:rFonts w:ascii="Amiri" w:hAnsi="Amiri" w:eastAsia="Amiri" w:cs="Amiri"/>
          <w:color w:val="111111"/>
          <w:sz w:val="28"/>
          <w:sz w:val="28"/>
          <w:szCs w:val="28"/>
          <w:rtl w:val="true"/>
          <w:lang w:bidi="ar-SA"/>
        </w:rPr>
        <w:t>أو قَبلَ فَجرِه مؤثِّرةٌ بِلا خِلافٍ في صَومِ اليَومِ كُلِّه، و إن كانَت غيرَ مُقارِنةٍ لشَيءٍ مِن أجزائه؟ و هذا ممّا قد تَقدَّمَ في جوابِ هذه المَسائلِ</w:t>
      </w:r>
      <w:r>
        <w:rPr>
          <w:rFonts w:eastAsia="Amiri" w:cs="Amiri" w:ascii="Amiri" w:hAnsi="Amiri"/>
          <w:color w:val="111111"/>
          <w:sz w:val="28"/>
          <w:szCs w:val="28"/>
          <w:rtl w:val="true"/>
          <w:lang w:bidi="ar-SA"/>
        </w:rPr>
        <w:t>.</w:t>
      </w:r>
      <w:r>
        <w:rPr>
          <w:rStyle w:val="FootnoteAnchor"/>
          <w:rtl w:val="true"/>
        </w:rPr>
        <w:footnoteReference w:id="106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أيضاً في أنّ مَن أدرَكَ مع الإمامِ بعضَ الركوعِ يَكونُ مُدرِكاً لتلكَ الرَّكعةِ كُلِّها و مُحتَسِباً له بها، و قَد تَقدَّمَ شَطرُها؛ فكَيفَ أثَّرَ دخولُه في بَعضِ الركوعِ فيما تَقدَّمَ، فصارَ كأنّه أدرَكَه كُلَّه، لَولا صِحّةُ ما نَبَّهنا</w:t>
      </w:r>
      <w:r>
        <w:rPr>
          <w:rStyle w:val="FootnoteAnchor"/>
          <w:rtl w:val="true"/>
        </w:rPr>
        <w:footnoteReference w:id="1061"/>
      </w:r>
      <w:r>
        <w:rPr>
          <w:rFonts w:ascii="Amiri" w:hAnsi="Amiri" w:eastAsia="Amiri" w:cs="Amiri"/>
          <w:color w:val="111111"/>
          <w:sz w:val="28"/>
          <w:sz w:val="28"/>
          <w:szCs w:val="28"/>
          <w:rtl w:val="true"/>
          <w:lang w:bidi="ar-SA"/>
        </w:rPr>
        <w:t xml:space="preserve">عليه؟ </w:t>
      </w:r>
      <w:bookmarkStart w:id="216" w:name="pg16437_172501"/>
    </w:p>
    <w:p>
      <w:pPr>
        <w:pStyle w:val="Heading5"/>
        <w:numPr>
          <w:ilvl w:val="4"/>
          <w:numId w:val="1"/>
        </w:numPr>
        <w:rPr/>
      </w:pPr>
      <w:bookmarkStart w:id="217" w:name="__RefHeading___Toc8039605_1280447820"/>
      <w:bookmarkStart w:id="218" w:name="_Toc77"/>
      <w:bookmarkEnd w:id="216"/>
      <w:bookmarkEnd w:id="217"/>
      <w:r>
        <w:rPr>
          <w:rtl w:val="true"/>
        </w:rPr>
        <w:t>المسألةُ الثالثةُ أحكامُ الصلَواتِ المفروضاتِ غيرِ الصلواتِ الخمسِ‌</w:t>
      </w:r>
      <w:bookmarkEnd w:id="218"/>
    </w:p>
    <w:p>
      <w:pPr>
        <w:pStyle w:val="BookText"/>
        <w:rPr/>
      </w:pPr>
      <w:r>
        <w:rPr>
          <w:rFonts w:ascii="Amiri" w:hAnsi="Amiri" w:eastAsia="Amiri" w:cs="Amiri"/>
          <w:color w:val="111111"/>
          <w:sz w:val="28"/>
          <w:sz w:val="28"/>
          <w:szCs w:val="28"/>
          <w:rtl w:val="true"/>
          <w:lang w:bidi="ar-SA"/>
        </w:rPr>
        <w:t>المسألةُ الثالثةُ‌</w:t>
      </w:r>
      <w:r>
        <w:rPr>
          <w:rStyle w:val="FootnoteAnchor"/>
          <w:rtl w:val="true"/>
        </w:rPr>
        <w:footnoteReference w:id="1062"/>
      </w:r>
      <w:r>
        <w:rPr>
          <w:rFonts w:ascii="Amiri" w:hAnsi="Amiri" w:eastAsia="Amiri" w:cs="Amiri"/>
          <w:color w:val="111111"/>
          <w:sz w:val="28"/>
          <w:sz w:val="28"/>
          <w:szCs w:val="28"/>
          <w:rtl w:val="true"/>
          <w:lang w:bidi="ar-SA"/>
        </w:rPr>
        <w:t>أحكامُ الصلَواتِ المفروضاتِ غيرِ الصلواتِ الخمسِ</w:t>
      </w:r>
    </w:p>
    <w:p>
      <w:pPr>
        <w:pStyle w:val="BookText"/>
        <w:rPr/>
      </w:pPr>
      <w:r>
        <w:rPr>
          <w:rFonts w:ascii="Amiri" w:hAnsi="Amiri" w:eastAsia="Amiri" w:cs="Amiri"/>
          <w:color w:val="111111"/>
          <w:sz w:val="28"/>
          <w:sz w:val="28"/>
          <w:szCs w:val="28"/>
          <w:rtl w:val="true"/>
          <w:lang w:bidi="ar-SA"/>
        </w:rPr>
        <w:t xml:space="preserve">قد عَلِمنا اتّفاقَ الطائفةِ علىٰ وجوبِ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الكُسوفِ، و العيدَينِ، و الجَنائزِ، و الطوافِ، و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الخَمسِ، و قد تَقرَّرَ فُتياها</w:t>
      </w:r>
      <w:r>
        <w:rPr>
          <w:rStyle w:val="FootnoteAnchor"/>
          <w:rtl w:val="true"/>
        </w:rPr>
        <w:footnoteReference w:id="1063"/>
      </w:r>
      <w:r>
        <w:rPr>
          <w:rFonts w:ascii="Amiri" w:hAnsi="Amiri" w:eastAsia="Amiri" w:cs="Amiri"/>
          <w:color w:val="111111"/>
          <w:sz w:val="28"/>
          <w:sz w:val="28"/>
          <w:szCs w:val="28"/>
          <w:rtl w:val="true"/>
          <w:lang w:bidi="ar-SA"/>
        </w:rPr>
        <w:t>بتفصيلِ أحكامِ صَلاةِ الخَمسِ، و أفعالِها و تُروكِها، و أعيانِ فُروضِها و سُنَنِها، و أحكامِ السهوِ فيها</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فُتيا لأحَدٍ مِن الطائفةِ، و لا رِوايةَ، بشَيءٍ‌</w:t>
      </w:r>
      <w:r>
        <w:rPr>
          <w:rStyle w:val="FootnoteAnchor"/>
          <w:rtl w:val="true"/>
        </w:rPr>
        <w:footnoteReference w:id="1065"/>
      </w:r>
      <w:r>
        <w:rPr>
          <w:rFonts w:ascii="Amiri" w:hAnsi="Amiri" w:eastAsia="Amiri" w:cs="Amiri"/>
          <w:color w:val="111111"/>
          <w:sz w:val="28"/>
          <w:sz w:val="28"/>
          <w:szCs w:val="28"/>
          <w:rtl w:val="true"/>
          <w:lang w:bidi="ar-SA"/>
        </w:rPr>
        <w:t>مِن ذلكَ فيما عَدا الصلَواتِ الخَمسِ مِن الفَرائضِ المذكورةِ، مع حاجةِ مُكلَّفِها إلىٰ 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جميعُ ما تَتضمَّنُه</w:t>
      </w:r>
      <w:r>
        <w:rPr>
          <w:rStyle w:val="FootnoteAnchor"/>
          <w:rtl w:val="true"/>
        </w:rPr>
        <w:footnoteReference w:id="1066"/>
      </w:r>
      <w:r>
        <w:rPr>
          <w:rFonts w:ascii="Amiri" w:hAnsi="Amiri" w:eastAsia="Amiri" w:cs="Amiri"/>
          <w:color w:val="111111"/>
          <w:sz w:val="28"/>
          <w:sz w:val="28"/>
          <w:szCs w:val="28"/>
          <w:rtl w:val="true"/>
          <w:lang w:bidi="ar-SA"/>
        </w:rPr>
        <w:t xml:space="preserve">مِن قِراءةٍ و رُكوعٍ و 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فيه رُكوعٌ و سُجودٌ </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و تكبيرٍ و قُنوتٍ فَرضٌ؟ أو بعضُه واجبٌ و بعضُه نَدبٌ؟</w:t>
      </w:r>
    </w:p>
    <w:p>
      <w:pPr>
        <w:pStyle w:val="BookText"/>
        <w:rPr/>
      </w:pPr>
      <w:r>
        <w:rPr>
          <w:rFonts w:ascii="Amiri" w:hAnsi="Amiri" w:eastAsia="Amiri" w:cs="Amiri"/>
          <w:color w:val="111111"/>
          <w:sz w:val="28"/>
          <w:sz w:val="28"/>
          <w:szCs w:val="28"/>
          <w:rtl w:val="true"/>
          <w:lang w:bidi="ar-SA"/>
        </w:rPr>
        <w:t>و ما حُكمُ السهوِ في تَفاصيلِ أحكامِه و أعيانِ رَكَعاتِه؟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الطائفةَ إذا اتَّفَقَت علىٰ أنّ صَلاةَ العيدَينِ و الكُسوفِ و ما جَرىٰ مَجراها </w:t>
      </w:r>
    </w:p>
    <w:p>
      <w:pPr>
        <w:pStyle w:val="BookText"/>
        <w:rPr/>
      </w:pPr>
      <w:r>
        <w:rPr>
          <w:rFonts w:ascii="Amiri" w:hAnsi="Amiri" w:eastAsia="Amiri" w:cs="Amiri"/>
          <w:color w:val="111111"/>
          <w:sz w:val="28"/>
          <w:sz w:val="28"/>
          <w:szCs w:val="28"/>
          <w:rtl w:val="true"/>
          <w:lang w:bidi="ar-SA"/>
        </w:rPr>
        <w:t>فَرضٌ لا يَسوغُ الإخلالُ به، فمعلومٌ أنّ أحكامَ المفروضِ مِن الصلاةِ واحدةٌ فيما يَجِبُ أن يُفعَلَ و يُترَكَ، مِن قِراءةٍ، و رُكوعٍ، و تسبيحٍ،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القُنوتُ، فقَد نَصّوا علىٰ دخولِه في صَلاةِ العيدَينِ و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رَكعَتا الطوافِ، ففي وجوبِها و أنّها فَرضٌ لا يَجوزُ الإخلالُ به نَظَرٌ؛ و الأقوىٰ في النفسِ أنّها سُنّةٌ 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فَرضاً، لَجَرَت</w:t>
      </w:r>
      <w:r>
        <w:rPr>
          <w:rStyle w:val="FootnoteAnchor"/>
          <w:rtl w:val="true"/>
        </w:rPr>
        <w:footnoteReference w:id="1069"/>
      </w:r>
      <w:r>
        <w:rPr>
          <w:rFonts w:ascii="Amiri" w:hAnsi="Amiri" w:eastAsia="Amiri" w:cs="Amiri"/>
          <w:color w:val="111111"/>
          <w:sz w:val="28"/>
          <w:sz w:val="28"/>
          <w:szCs w:val="28"/>
          <w:rtl w:val="true"/>
          <w:lang w:bidi="ar-SA"/>
        </w:rPr>
        <w:t>مَجرىٰ سائرِ المَفروضِ‌</w:t>
      </w:r>
      <w:r>
        <w:rPr>
          <w:rStyle w:val="FootnoteAnchor"/>
          <w:rtl w:val="true"/>
        </w:rPr>
        <w:footnoteReference w:id="1070"/>
      </w:r>
      <w:r>
        <w:rPr>
          <w:rFonts w:ascii="Amiri" w:hAnsi="Amiri" w:eastAsia="Amiri" w:cs="Amiri"/>
          <w:color w:val="111111"/>
          <w:sz w:val="28"/>
          <w:sz w:val="28"/>
          <w:szCs w:val="28"/>
          <w:rtl w:val="true"/>
          <w:lang w:bidi="ar-SA"/>
        </w:rPr>
        <w:t>مِن الصلاةِ‌</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أحكامُ السهوِ في هذه الصلَواتِ، فَقَد بَيَّنَ القومُ حُكمَ السهوِ في المفروضِ مِن الصلَواتِ‌</w:t>
      </w:r>
      <w:r>
        <w:rPr>
          <w:rStyle w:val="FootnoteAnchor"/>
          <w:rtl w:val="true"/>
        </w:rPr>
        <w:footnoteReference w:id="1072"/>
      </w:r>
      <w:r>
        <w:rPr>
          <w:rFonts w:ascii="Amiri" w:hAnsi="Amiri" w:eastAsia="Amiri" w:cs="Amiri"/>
          <w:color w:val="111111"/>
          <w:sz w:val="28"/>
          <w:sz w:val="28"/>
          <w:szCs w:val="28"/>
          <w:rtl w:val="true"/>
          <w:lang w:bidi="ar-SA"/>
        </w:rPr>
        <w:t>، و أنّه لا سَهوَ في الأوّلتَينِ مِن كُلِّ صَلاةٍ، و لا في المَغرِبِ و الفَجرِ؛ و علىٰ هذا الإطلاقِ لا سَهوَ في العيدَينِ و الكُسوفِ و الطوافِ</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w:t>
      </w:r>
      <w:r>
        <w:rPr>
          <w:rStyle w:val="FootnoteAnchor"/>
          <w:rtl w:val="true"/>
        </w:rPr>
        <w:footnoteReference w:id="1073"/>
      </w:r>
      <w:r>
        <w:rPr>
          <w:rFonts w:ascii="Amiri" w:hAnsi="Amiri" w:eastAsia="Amiri" w:cs="Amiri"/>
          <w:color w:val="111111"/>
          <w:sz w:val="28"/>
          <w:sz w:val="28"/>
          <w:szCs w:val="28"/>
          <w:rtl w:val="true"/>
          <w:lang w:bidi="ar-SA"/>
        </w:rPr>
        <w:t>النذرُ، فإن كانَ واقعاً برَكعَتينِ، فلا سَهوَ فيهما، و إن كانَ بزيادةٍ علىٰ ذلكَ كانَ له حُكمُ السهوِ في باقي المَفروضِ‌</w:t>
      </w:r>
      <w:r>
        <w:rPr>
          <w:rStyle w:val="FootnoteAnchor"/>
          <w:rtl w:val="true"/>
        </w:rPr>
        <w:footnoteReference w:id="1074"/>
      </w:r>
      <w:r>
        <w:rPr>
          <w:rFonts w:ascii="Amiri" w:hAnsi="Amiri" w:eastAsia="Amiri" w:cs="Amiri"/>
          <w:color w:val="111111"/>
          <w:sz w:val="28"/>
          <w:sz w:val="28"/>
          <w:szCs w:val="28"/>
          <w:rtl w:val="true"/>
          <w:lang w:bidi="ar-SA"/>
        </w:rPr>
        <w:t>مِن الصلَواتِ</w:t>
      </w:r>
      <w:r>
        <w:rPr>
          <w:rFonts w:eastAsia="Amiri" w:cs="Amiri" w:ascii="Amiri" w:hAnsi="Amiri"/>
          <w:color w:val="111111"/>
          <w:sz w:val="28"/>
          <w:szCs w:val="28"/>
          <w:rtl w:val="true"/>
          <w:lang w:bidi="ar-SA"/>
        </w:rPr>
        <w:t xml:space="preserve">. </w:t>
      </w:r>
      <w:bookmarkStart w:id="219" w:name="pg16437_172503"/>
    </w:p>
    <w:p>
      <w:pPr>
        <w:pStyle w:val="Heading5"/>
        <w:numPr>
          <w:ilvl w:val="4"/>
          <w:numId w:val="1"/>
        </w:numPr>
        <w:rPr/>
      </w:pPr>
      <w:bookmarkStart w:id="220" w:name="__RefHeading___Toc8039607_1280447820"/>
      <w:bookmarkStart w:id="221" w:name="_Toc78"/>
      <w:bookmarkEnd w:id="219"/>
      <w:bookmarkEnd w:id="220"/>
      <w:r>
        <w:rPr>
          <w:rtl w:val="true"/>
        </w:rPr>
        <w:t>المسألةُ الرابعةُ حُكمُ اللاحِنِ في القِراءةِ في الصلاةِ‌</w:t>
      </w:r>
      <w:bookmarkEnd w:id="221"/>
    </w:p>
    <w:p>
      <w:pPr>
        <w:pStyle w:val="BookText"/>
        <w:rPr/>
      </w:pPr>
      <w:r>
        <w:rPr>
          <w:rFonts w:ascii="Amiri" w:hAnsi="Amiri" w:eastAsia="Amiri" w:cs="Amiri"/>
          <w:color w:val="111111"/>
          <w:sz w:val="28"/>
          <w:sz w:val="28"/>
          <w:szCs w:val="28"/>
          <w:rtl w:val="true"/>
          <w:lang w:bidi="ar-SA"/>
        </w:rPr>
        <w:t>المسألةُ الرابعةُ‌</w:t>
      </w:r>
      <w:r>
        <w:rPr>
          <w:rStyle w:val="FootnoteAnchor"/>
          <w:rtl w:val="true"/>
        </w:rPr>
        <w:footnoteReference w:id="1075"/>
      </w:r>
      <w:r>
        <w:rPr>
          <w:rFonts w:ascii="Amiri" w:hAnsi="Amiri" w:eastAsia="Amiri" w:cs="Amiri"/>
          <w:color w:val="111111"/>
          <w:sz w:val="28"/>
          <w:sz w:val="28"/>
          <w:szCs w:val="28"/>
          <w:rtl w:val="true"/>
          <w:lang w:bidi="ar-SA"/>
        </w:rPr>
        <w:t>حُكمُ اللاحِنِ في القِراءةِ في الصلاةِ</w:t>
      </w:r>
    </w:p>
    <w:p>
      <w:pPr>
        <w:pStyle w:val="BookText"/>
        <w:rPr/>
      </w:pPr>
      <w:r>
        <w:rPr>
          <w:rFonts w:ascii="Amiri" w:hAnsi="Amiri" w:eastAsia="Amiri" w:cs="Amiri"/>
          <w:color w:val="111111"/>
          <w:sz w:val="28"/>
          <w:sz w:val="28"/>
          <w:szCs w:val="28"/>
          <w:rtl w:val="true"/>
          <w:lang w:bidi="ar-SA"/>
        </w:rPr>
        <w:t xml:space="preserve">إذا كانَ حَقيقةُ القارئِ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لكَلامِ اللّٰهِ تَعالىٰ، و كانَت الحِكايةُ تَفتَقِرُ إلَى اللفظِ و صيغتِه؛ فما حُكمُ مَن لَحَنَ في قِراءةِ الصلاةِ‌</w:t>
      </w:r>
      <w:r>
        <w:rPr>
          <w:rStyle w:val="FootnoteAnchor"/>
          <w:rtl w:val="true"/>
        </w:rPr>
        <w:footnoteReference w:id="1076"/>
      </w:r>
      <w:r>
        <w:rPr>
          <w:rFonts w:ascii="IRNazanin" w:hAnsi="IRNazanin" w:eastAsia="IRNazanin"/>
          <w:color w:val="111111"/>
          <w:sz w:val="28"/>
          <w:sz w:val="28"/>
          <w:szCs w:val="28"/>
          <w:rtl w:val="true"/>
          <w:lang w:bidi="fa-IR"/>
        </w:rPr>
        <w:t>؟ هو</w:t>
      </w:r>
      <w:r>
        <w:rPr>
          <w:rStyle w:val="FootnoteAnchor"/>
          <w:rtl w:val="true"/>
        </w:rPr>
        <w:footnoteReference w:id="1077"/>
      </w:r>
      <w:r>
        <w:rPr>
          <w:rFonts w:ascii="Amiri" w:hAnsi="Amiri" w:eastAsia="Amiri" w:cs="Amiri"/>
          <w:color w:val="111111"/>
          <w:sz w:val="28"/>
          <w:sz w:val="28"/>
          <w:szCs w:val="28"/>
          <w:rtl w:val="true"/>
          <w:lang w:bidi="ar-SA"/>
        </w:rPr>
        <w:t>قارئٌ، أم</w:t>
      </w:r>
      <w:r>
        <w:rPr>
          <w:rStyle w:val="FootnoteAnchor"/>
          <w:rtl w:val="true"/>
        </w:rPr>
        <w:footnoteReference w:id="1078"/>
      </w:r>
      <w:r>
        <w:rPr>
          <w:rFonts w:ascii="Amiri" w:hAnsi="Amiri" w:eastAsia="Amiri" w:cs="Amiri"/>
          <w:color w:val="111111"/>
          <w:sz w:val="28"/>
          <w:sz w:val="28"/>
          <w:szCs w:val="28"/>
          <w:rtl w:val="true"/>
          <w:lang w:bidi="ar-SA"/>
        </w:rPr>
        <w:t>مُتكلِّمٌ؟</w:t>
      </w:r>
    </w:p>
    <w:p>
      <w:pPr>
        <w:pStyle w:val="BookText"/>
        <w:rPr/>
      </w:pPr>
      <w:r>
        <w:rPr>
          <w:rFonts w:ascii="Amiri" w:hAnsi="Amiri" w:eastAsia="Amiri" w:cs="Amiri"/>
          <w:color w:val="111111"/>
          <w:sz w:val="28"/>
          <w:sz w:val="28"/>
          <w:szCs w:val="28"/>
          <w:rtl w:val="true"/>
          <w:lang w:bidi="ar-SA"/>
        </w:rPr>
        <w:t>و لا يَجوزُ أن يَكونَ قارئاً؛ لكَونِه غيرَ حاكٍ لكَلامِ اللّٰهِ تَعالىٰ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مُتكلِّماً فصَلاتُه باطلةٌ مع فِعلِه</w:t>
      </w:r>
      <w:r>
        <w:rPr>
          <w:rStyle w:val="FootnoteAnchor"/>
          <w:rtl w:val="true"/>
        </w:rPr>
        <w:footnoteReference w:id="1079"/>
      </w:r>
      <w:r>
        <w:rPr>
          <w:rFonts w:ascii="Amiri" w:hAnsi="Amiri" w:eastAsia="Amiri" w:cs="Amiri"/>
          <w:color w:val="111111"/>
          <w:sz w:val="28"/>
          <w:sz w:val="28"/>
          <w:szCs w:val="28"/>
          <w:rtl w:val="true"/>
          <w:lang w:bidi="ar-SA"/>
        </w:rPr>
        <w:t>لإجماعِ‌</w:t>
      </w:r>
      <w:r>
        <w:rPr>
          <w:rStyle w:val="FootnoteAnchor"/>
          <w:rtl w:val="true"/>
        </w:rPr>
        <w:footnoteReference w:id="1080"/>
      </w:r>
      <w:r>
        <w:rPr>
          <w:rFonts w:ascii="Amiri" w:hAnsi="Amiri" w:eastAsia="Amiri" w:cs="Amiri"/>
          <w:color w:val="111111"/>
          <w:sz w:val="28"/>
          <w:sz w:val="28"/>
          <w:szCs w:val="28"/>
          <w:rtl w:val="true"/>
          <w:lang w:bidi="ar-SA"/>
        </w:rPr>
        <w:t>الأُمّةِ علىٰ فَسادِ صَلاةِ مَن تَكلَّمَ بما لَيسَ مِن أذكارِها عامِداً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فَسادِ</w:t>
      </w:r>
      <w:r>
        <w:rPr>
          <w:rStyle w:val="FootnoteAnchor"/>
          <w:rtl w:val="true"/>
        </w:rPr>
        <w:footnoteReference w:id="1081"/>
      </w:r>
      <w:r>
        <w:rPr>
          <w:rFonts w:ascii="Amiri" w:hAnsi="Amiri" w:eastAsia="Amiri" w:cs="Amiri"/>
          <w:color w:val="111111"/>
          <w:sz w:val="28"/>
          <w:sz w:val="28"/>
          <w:szCs w:val="28"/>
          <w:rtl w:val="true"/>
          <w:lang w:bidi="ar-SA"/>
        </w:rPr>
        <w:t>صَلاتِه خِلافٌ‌</w:t>
      </w:r>
      <w:r>
        <w:rPr>
          <w:rStyle w:val="FootnoteAnchor"/>
          <w:rtl w:val="true"/>
        </w:rPr>
        <w:footnoteReference w:id="1082"/>
      </w:r>
      <w:r>
        <w:rPr>
          <w:rFonts w:ascii="Amiri" w:hAnsi="Amiri" w:eastAsia="Amiri" w:cs="Amiri"/>
          <w:color w:val="111111"/>
          <w:sz w:val="28"/>
          <w:sz w:val="28"/>
          <w:szCs w:val="28"/>
          <w:rtl w:val="true"/>
          <w:lang w:bidi="ar-SA"/>
        </w:rPr>
        <w:t>لِما وَرَدَ به الخبرُ و عَمِلَ عليه كَثيرٌ مِن الطائفةِ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كَما تُحسِنُ‌</w:t>
      </w:r>
      <w:r>
        <w:rPr>
          <w:rStyle w:val="FootnoteAnchor"/>
          <w:rtl w:val="true"/>
        </w:rPr>
        <w:footnoteReference w:id="1083"/>
      </w:r>
      <w:r>
        <w:rPr>
          <w:rFonts w:ascii="Amiri" w:hAnsi="Amiri" w:eastAsia="Amiri" w:cs="Amiri"/>
          <w:color w:val="111111"/>
          <w:sz w:val="28"/>
          <w:sz w:val="28"/>
          <w:szCs w:val="28"/>
          <w:rtl w:val="true"/>
          <w:lang w:bidi="ar-SA"/>
        </w:rPr>
        <w:t>، يُرفَعْ كَما أُنزِلَ</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أيضاً فما وَجَدنا أحَداً مِن علمائنا أفتىٰ بفَسادِ صَلاةِ مَن لَحَنَ في قِراءتِه عامِداً، بَل الفُتيا بجوازِها ظاهرٌ منهم؛ و في ذلكَ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الصحيحَ أنّ الحِكايةَ للكلامِ يَجِبُ‌</w:t>
      </w:r>
      <w:r>
        <w:rPr>
          <w:rStyle w:val="FootnoteAnchor"/>
          <w:rtl w:val="true"/>
        </w:rPr>
        <w:footnoteReference w:id="1086"/>
      </w:r>
      <w:r>
        <w:rPr>
          <w:rFonts w:ascii="Amiri" w:hAnsi="Amiri" w:eastAsia="Amiri" w:cs="Amiri"/>
          <w:color w:val="111111"/>
          <w:sz w:val="28"/>
          <w:sz w:val="28"/>
          <w:szCs w:val="28"/>
          <w:rtl w:val="true"/>
          <w:lang w:bidi="ar-SA"/>
        </w:rPr>
        <w:t>أن تَكونَ‌</w:t>
      </w:r>
      <w:r>
        <w:rPr>
          <w:rStyle w:val="FootnoteAnchor"/>
          <w:rtl w:val="true"/>
        </w:rPr>
        <w:footnoteReference w:id="1087"/>
      </w:r>
      <w:r>
        <w:rPr>
          <w:rFonts w:ascii="Amiri" w:hAnsi="Amiri" w:eastAsia="Amiri" w:cs="Amiri"/>
          <w:color w:val="111111"/>
          <w:sz w:val="28"/>
          <w:sz w:val="28"/>
          <w:szCs w:val="28"/>
          <w:rtl w:val="true"/>
          <w:lang w:bidi="ar-SA"/>
        </w:rPr>
        <w:t>مُطابِقةً له في صُوَرِ الألفاظِ و حَرَكاتِها و مَدِّها و قِصَرِها، و مَن لَم يَفعَلْ ذلكَ فلَيسَ بحاكٍ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الطائفةُ مُجمِعةً علىٰ أنّ مَن لا يَنضَبِطُ له مِن العامّةِ و الأعاجِمِ حِكايةُ‌</w:t>
      </w:r>
      <w:r>
        <w:rPr>
          <w:rStyle w:val="FootnoteAnchor"/>
          <w:rtl w:val="true"/>
        </w:rPr>
        <w:footnoteReference w:id="1088"/>
      </w:r>
      <w:r>
        <w:rPr>
          <w:rFonts w:ascii="Amiri" w:hAnsi="Amiri" w:eastAsia="Amiri" w:cs="Amiri"/>
          <w:color w:val="111111"/>
          <w:sz w:val="28"/>
          <w:sz w:val="28"/>
          <w:szCs w:val="28"/>
          <w:rtl w:val="true"/>
          <w:lang w:bidi="ar-SA"/>
        </w:rPr>
        <w:t>القُرآنِ بإعرابِه و حَرَكاتِ ألفاظِه، صَلاتُه مُجزيةٌ؛ و كذلكَ مَن لَحَنَ غيرَ مُتعمِّدٍ لذلكَ، حَكَمنا بجوازِ هذه الصلاةِ و صِحّتِها، و إن لَم يَكُن هذا اللاحِنُ حاكياً في</w:t>
      </w:r>
      <w:r>
        <w:rPr>
          <w:rStyle w:val="FootnoteAnchor"/>
          <w:rtl w:val="true"/>
        </w:rPr>
        <w:footnoteReference w:id="1089"/>
      </w:r>
      <w:r>
        <w:rPr>
          <w:rFonts w:ascii="Amiri" w:hAnsi="Amiri" w:eastAsia="Amiri" w:cs="Amiri"/>
          <w:color w:val="111111"/>
          <w:sz w:val="28"/>
          <w:sz w:val="28"/>
          <w:szCs w:val="28"/>
          <w:rtl w:val="true"/>
          <w:lang w:bidi="ar-SA"/>
        </w:rPr>
        <w:t>الحَقيقةِ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جَرىٰ مَجرَى الأخرَسِ الذي لا يَقدِرُ علَى الكَلامِ، و الأعجَميِّ الذي لا يُقيمُ‌</w:t>
      </w:r>
      <w:r>
        <w:rPr>
          <w:rStyle w:val="FootnoteAnchor"/>
          <w:rtl w:val="true"/>
        </w:rPr>
        <w:footnoteReference w:id="1090"/>
      </w:r>
      <w:r>
        <w:rPr>
          <w:rFonts w:ascii="Amiri" w:hAnsi="Amiri" w:eastAsia="Amiri" w:cs="Amiri"/>
          <w:color w:val="111111"/>
          <w:sz w:val="28"/>
          <w:sz w:val="28"/>
          <w:szCs w:val="28"/>
          <w:rtl w:val="true"/>
          <w:lang w:bidi="ar-SA"/>
        </w:rPr>
        <w:t>حرفاً بالعربيّةِ، في أنّ صَلاتَهما صحيحةٌ مُجزيةٌ‌</w:t>
      </w:r>
      <w:r>
        <w:rPr>
          <w:rStyle w:val="FootnoteAnchor"/>
          <w:rtl w:val="true"/>
        </w:rPr>
        <w:footnoteReference w:id="1091"/>
      </w:r>
      <w:r>
        <w:rPr>
          <w:rFonts w:ascii="Amiri" w:hAnsi="Amiri" w:eastAsia="Amiri" w:cs="Amiri"/>
          <w:color w:val="111111"/>
          <w:sz w:val="28"/>
          <w:sz w:val="28"/>
          <w:szCs w:val="28"/>
          <w:rtl w:val="true"/>
          <w:lang w:bidi="ar-SA"/>
        </w:rPr>
        <w:t>، و إن كانا ما قَرَءا القُرآنَ؛ فلَيسَ مَن لَحَنَ في القُرآنِ بأكثَرَ ممّن لَم</w:t>
      </w:r>
      <w:r>
        <w:rPr>
          <w:rStyle w:val="FootnoteAnchor"/>
          <w:rtl w:val="true"/>
        </w:rPr>
        <w:footnoteReference w:id="1092"/>
      </w:r>
      <w:r>
        <w:rPr>
          <w:rFonts w:ascii="Amiri" w:hAnsi="Amiri" w:eastAsia="Amiri" w:cs="Amiri"/>
          <w:color w:val="111111"/>
          <w:sz w:val="28"/>
          <w:sz w:val="28"/>
          <w:szCs w:val="28"/>
          <w:rtl w:val="true"/>
          <w:lang w:bidi="ar-SA"/>
        </w:rPr>
        <w:t>يَنطِقْ به</w:t>
      </w:r>
      <w:r>
        <w:rPr>
          <w:rStyle w:val="FootnoteAnchor"/>
          <w:rtl w:val="true"/>
        </w:rPr>
        <w:footnoteReference w:id="1093"/>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المُتمكِّنُ مِن إقامةِ الإعرابِ، إذا لَحَنَ مِن غيرِ عَمدٍ، فصَلاتُه جائزةٌ، بغَيرِ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اعتَمَدَ اللَّحنَ مع قُدرتِه علَى الصوابِ و إقامةِ الإعرابِ، فالأَولىٰ أن تَكونَ صَلاتُه فاسدةً، و مَن أَفتىٰ مِن أصحابِنا بخِلافِه كانَ غيرَ مُصيبٍ</w:t>
      </w:r>
      <w:r>
        <w:rPr>
          <w:rFonts w:eastAsia="Amiri" w:cs="Amiri" w:ascii="Amiri" w:hAnsi="Amiri"/>
          <w:color w:val="111111"/>
          <w:sz w:val="28"/>
          <w:szCs w:val="28"/>
          <w:rtl w:val="true"/>
          <w:lang w:bidi="ar-SA"/>
        </w:rPr>
        <w:t xml:space="preserve">. </w:t>
      </w:r>
      <w:bookmarkStart w:id="222" w:name="pg16437_172505"/>
    </w:p>
    <w:p>
      <w:pPr>
        <w:pStyle w:val="Heading5"/>
        <w:numPr>
          <w:ilvl w:val="4"/>
          <w:numId w:val="1"/>
        </w:numPr>
        <w:rPr/>
      </w:pPr>
      <w:bookmarkStart w:id="223" w:name="__RefHeading___Toc8039609_1280447820"/>
      <w:bookmarkStart w:id="224" w:name="_Toc79"/>
      <w:bookmarkEnd w:id="222"/>
      <w:bookmarkEnd w:id="223"/>
      <w:r>
        <w:rPr>
          <w:rtl w:val="true"/>
        </w:rPr>
        <w:t>المسألةُ الخامسةُ هَل يَدُلُّ الكلامُ المُرتَّبُ المُتَّسِقُ علىٰ كَونِ فاعلِه عالِماً؟</w:t>
      </w:r>
      <w:bookmarkEnd w:id="224"/>
    </w:p>
    <w:p>
      <w:pPr>
        <w:pStyle w:val="BookText"/>
        <w:rPr/>
      </w:pPr>
      <w:r>
        <w:rPr>
          <w:rFonts w:ascii="Amiri" w:hAnsi="Amiri" w:eastAsia="Amiri" w:cs="Amiri"/>
          <w:color w:val="111111"/>
          <w:sz w:val="28"/>
          <w:sz w:val="28"/>
          <w:szCs w:val="28"/>
          <w:rtl w:val="true"/>
          <w:lang w:bidi="ar-SA"/>
        </w:rPr>
        <w:t>المسألةُ الخامسةُ‌</w:t>
      </w:r>
      <w:r>
        <w:rPr>
          <w:rStyle w:val="FootnoteAnchor"/>
          <w:rtl w:val="true"/>
        </w:rPr>
        <w:footnoteReference w:id="1094"/>
      </w:r>
      <w:r>
        <w:rPr>
          <w:rFonts w:ascii="Amiri" w:hAnsi="Amiri" w:eastAsia="Amiri" w:cs="Amiri"/>
          <w:color w:val="111111"/>
          <w:sz w:val="28"/>
          <w:sz w:val="28"/>
          <w:szCs w:val="28"/>
          <w:rtl w:val="true"/>
          <w:lang w:bidi="ar-SA"/>
        </w:rPr>
        <w:t>هَل يَدُلُّ الكلامُ المُرتَّبُ المُتَّسِقُ علىٰ كَونِ فاعلِه عالِماً؟</w:t>
      </w:r>
    </w:p>
    <w:p>
      <w:pPr>
        <w:pStyle w:val="BookText"/>
        <w:rPr/>
      </w:pPr>
      <w:r>
        <w:rPr>
          <w:rFonts w:ascii="Amiri" w:hAnsi="Amiri" w:eastAsia="Amiri" w:cs="Amiri"/>
          <w:color w:val="111111"/>
          <w:sz w:val="28"/>
          <w:sz w:val="28"/>
          <w:szCs w:val="28"/>
          <w:rtl w:val="true"/>
          <w:lang w:bidi="ar-SA"/>
        </w:rPr>
        <w:t>إذا كانَ وقوعُ‌</w:t>
      </w:r>
      <w:r>
        <w:rPr>
          <w:rStyle w:val="FootnoteAnchor"/>
          <w:rtl w:val="true"/>
        </w:rPr>
        <w:footnoteReference w:id="1095"/>
      </w:r>
      <w:r>
        <w:rPr>
          <w:rFonts w:ascii="Amiri" w:hAnsi="Amiri" w:eastAsia="Amiri" w:cs="Amiri"/>
          <w:color w:val="111111"/>
          <w:sz w:val="28"/>
          <w:sz w:val="28"/>
          <w:szCs w:val="28"/>
          <w:rtl w:val="true"/>
          <w:lang w:bidi="ar-SA"/>
        </w:rPr>
        <w:t>الفِعلِ مرتَّباً مُتَّسِقاً</w:t>
      </w:r>
      <w:r>
        <w:rPr>
          <w:rStyle w:val="FootnoteAnchor"/>
          <w:rtl w:val="true"/>
        </w:rPr>
        <w:footnoteReference w:id="1096"/>
      </w:r>
      <w:r>
        <w:rPr>
          <w:rFonts w:ascii="Amiri" w:hAnsi="Amiri" w:eastAsia="Amiri" w:cs="Amiri"/>
          <w:color w:val="111111"/>
          <w:sz w:val="28"/>
          <w:sz w:val="28"/>
          <w:szCs w:val="28"/>
          <w:rtl w:val="true"/>
          <w:lang w:bidi="ar-SA"/>
        </w:rPr>
        <w:t>دالاًّ علىٰ كَونِ فاعلِه عالِماً، و كانَ الكلامُ مِن جُملةِ الأفعالِ، فيَجِبُ أن يَكونَ وقوعُه مُرتَّباً علَى المَعاني المعقولةِ دالاًّ علىٰ كَونِ فاعلِه عالِماً بما قَصَدَه مِن المَعاني؛ و لذلكَ‌</w:t>
      </w:r>
      <w:r>
        <w:rPr>
          <w:rStyle w:val="FootnoteAnchor"/>
          <w:rtl w:val="true"/>
        </w:rPr>
        <w:footnoteReference w:id="1097"/>
      </w:r>
      <w:r>
        <w:rPr>
          <w:rFonts w:ascii="Amiri" w:hAnsi="Amiri" w:eastAsia="Amiri" w:cs="Amiri"/>
          <w:color w:val="111111"/>
          <w:sz w:val="28"/>
          <w:sz w:val="28"/>
          <w:szCs w:val="28"/>
          <w:rtl w:val="true"/>
          <w:lang w:bidi="ar-SA"/>
        </w:rPr>
        <w:t>يُفرَّقُ بَينَ الكلامِ المُفيدِ المقصودِ و بَينَ الهَذَيانِ، و يُعلَمُ تكامُلُ العلومِ لأَحَدِ</w:t>
      </w:r>
      <w:r>
        <w:rPr>
          <w:rStyle w:val="FootnoteAnchor"/>
          <w:rtl w:val="true"/>
        </w:rPr>
        <w:footnoteReference w:id="1098"/>
      </w:r>
      <w:r>
        <w:rPr>
          <w:rFonts w:ascii="Amiri" w:hAnsi="Amiri" w:eastAsia="Amiri" w:cs="Amiri"/>
          <w:color w:val="111111"/>
          <w:sz w:val="28"/>
          <w:sz w:val="28"/>
          <w:szCs w:val="28"/>
          <w:rtl w:val="true"/>
          <w:lang w:bidi="ar-SA"/>
        </w:rPr>
        <w:t>المُتكلِّمَينِ و اختلالُها في الآخَرِ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لكُلِّ مُتكلِّمٍ بكلامٍ مُرتَّبٍ مُتَّسِقٍ، مُحرَّرٍ</w:t>
      </w:r>
      <w:r>
        <w:rPr>
          <w:rStyle w:val="FootnoteAnchor"/>
          <w:rtl w:val="true"/>
        </w:rPr>
        <w:footnoteReference w:id="1099"/>
      </w:r>
      <w:r>
        <w:rPr>
          <w:rFonts w:ascii="Amiri" w:hAnsi="Amiri" w:eastAsia="Amiri" w:cs="Amiri"/>
          <w:color w:val="111111"/>
          <w:sz w:val="28"/>
          <w:sz w:val="28"/>
          <w:szCs w:val="28"/>
          <w:rtl w:val="true"/>
          <w:lang w:bidi="ar-SA"/>
        </w:rPr>
        <w:t>مِن التخليطِ، مَحروسٍ مِن القُدوحِ‌</w:t>
      </w:r>
      <w:r>
        <w:rPr>
          <w:rStyle w:val="FootnoteAnchor"/>
          <w:rtl w:val="true"/>
        </w:rPr>
        <w:footnoteReference w:id="1100"/>
      </w:r>
      <w:r>
        <w:rPr>
          <w:rFonts w:ascii="Amiri" w:hAnsi="Amiri" w:eastAsia="Amiri" w:cs="Amiri"/>
          <w:color w:val="111111"/>
          <w:sz w:val="28"/>
          <w:sz w:val="28"/>
          <w:szCs w:val="28"/>
          <w:rtl w:val="true"/>
          <w:lang w:bidi="ar-SA"/>
        </w:rPr>
        <w:t>، مقصودٍ به العبارةُ عن الأدلَّةِ دونَ الشُّبَهِ‌</w:t>
      </w:r>
      <w:r>
        <w:rPr>
          <w:rStyle w:val="FootnoteAnchor"/>
          <w:rtl w:val="true"/>
        </w:rPr>
        <w:footnoteReference w:id="1101"/>
      </w:r>
      <w:r>
        <w:rPr>
          <w:rFonts w:ascii="Amiri" w:hAnsi="Amiri" w:eastAsia="Amiri" w:cs="Amiri"/>
          <w:color w:val="111111"/>
          <w:sz w:val="28"/>
          <w:sz w:val="28"/>
          <w:szCs w:val="28"/>
          <w:rtl w:val="true"/>
          <w:lang w:bidi="ar-SA"/>
        </w:rPr>
        <w:t>، عالِماً بما تَضمَّنَه كلامُه مِن المَعاني؛ و لذلكَ‌</w:t>
      </w:r>
      <w:r>
        <w:rPr>
          <w:rStyle w:val="FootnoteAnchor"/>
          <w:rtl w:val="true"/>
        </w:rPr>
        <w:footnoteReference w:id="1102"/>
      </w:r>
      <w:r>
        <w:rPr>
          <w:rFonts w:ascii="Amiri" w:hAnsi="Amiri" w:eastAsia="Amiri" w:cs="Amiri"/>
          <w:color w:val="111111"/>
          <w:sz w:val="28"/>
          <w:sz w:val="28"/>
          <w:szCs w:val="28"/>
          <w:rtl w:val="true"/>
          <w:lang w:bidi="ar-SA"/>
        </w:rPr>
        <w:t>يُفرِّقُ‌</w:t>
      </w:r>
      <w:r>
        <w:rPr>
          <w:rStyle w:val="FootnoteAnchor"/>
          <w:rtl w:val="true"/>
        </w:rPr>
        <w:footnoteReference w:id="1103"/>
      </w:r>
      <w:r>
        <w:rPr>
          <w:rFonts w:ascii="Amiri" w:hAnsi="Amiri" w:eastAsia="Amiri" w:cs="Amiri"/>
          <w:color w:val="111111"/>
          <w:sz w:val="28"/>
          <w:sz w:val="28"/>
          <w:szCs w:val="28"/>
          <w:rtl w:val="true"/>
          <w:lang w:bidi="ar-SA"/>
        </w:rPr>
        <w:t>كُلُّ آنِسٍ‌</w:t>
      </w:r>
      <w:r>
        <w:rPr>
          <w:rStyle w:val="FootnoteAnchor"/>
          <w:rtl w:val="true"/>
        </w:rPr>
        <w:footnoteReference w:id="1104"/>
      </w:r>
      <w:r>
        <w:rPr>
          <w:rFonts w:ascii="Amiri" w:hAnsi="Amiri" w:eastAsia="Amiri" w:cs="Amiri"/>
          <w:color w:val="111111"/>
          <w:sz w:val="28"/>
          <w:sz w:val="28"/>
          <w:szCs w:val="28"/>
          <w:rtl w:val="true"/>
          <w:lang w:bidi="ar-SA"/>
        </w:rPr>
        <w:t>بالعِلمِ‌</w:t>
      </w:r>
      <w:r>
        <w:rPr>
          <w:rStyle w:val="FootnoteAnchor"/>
          <w:rtl w:val="true"/>
        </w:rPr>
        <w:footnoteReference w:id="1105"/>
      </w:r>
      <w:r>
        <w:rPr>
          <w:rFonts w:ascii="Amiri" w:hAnsi="Amiri" w:eastAsia="Amiri" w:cs="Amiri"/>
          <w:color w:val="111111"/>
          <w:sz w:val="28"/>
          <w:sz w:val="28"/>
          <w:szCs w:val="28"/>
          <w:rtl w:val="true"/>
          <w:lang w:bidi="ar-SA"/>
        </w:rPr>
        <w:t xml:space="preserve">بَينَ عبارةِ المُقلِّدِ للعلماءِ الحاكي لعباراتِهم، و بَينَ العالِمِ المُضطَلِعِ؛ لِما يَجِدُ العالِمَ عليه مِن </w:t>
      </w:r>
    </w:p>
    <w:p>
      <w:pPr>
        <w:pStyle w:val="BookText"/>
        <w:rPr/>
      </w:pPr>
      <w:r>
        <w:rPr>
          <w:rFonts w:ascii="Amiri" w:hAnsi="Amiri" w:eastAsia="Amiri" w:cs="Amiri"/>
          <w:color w:val="111111"/>
          <w:sz w:val="28"/>
          <w:sz w:val="28"/>
          <w:szCs w:val="28"/>
          <w:rtl w:val="true"/>
          <w:lang w:bidi="ar-SA"/>
        </w:rPr>
        <w:t>القُدرةِ علىٰ إفهامِ ما عبَّرَ به</w:t>
      </w:r>
      <w:r>
        <w:rPr>
          <w:rStyle w:val="FootnoteAnchor"/>
          <w:rtl w:val="true"/>
        </w:rPr>
        <w:footnoteReference w:id="1106"/>
      </w:r>
      <w:r>
        <w:rPr>
          <w:rFonts w:ascii="Amiri" w:hAnsi="Amiri" w:eastAsia="Amiri" w:cs="Amiri"/>
          <w:color w:val="111111"/>
          <w:sz w:val="28"/>
          <w:sz w:val="28"/>
          <w:szCs w:val="28"/>
          <w:rtl w:val="true"/>
          <w:lang w:bidi="ar-SA"/>
        </w:rPr>
        <w:t>عن الأدِلّةِ و الشُّبَهِ‌</w:t>
      </w:r>
      <w:r>
        <w:rPr>
          <w:rStyle w:val="FootnoteAnchor"/>
          <w:rtl w:val="true"/>
        </w:rPr>
        <w:footnoteReference w:id="1107"/>
      </w:r>
      <w:r>
        <w:rPr>
          <w:rFonts w:ascii="Amiri" w:hAnsi="Amiri" w:eastAsia="Amiri" w:cs="Amiri"/>
          <w:color w:val="111111"/>
          <w:sz w:val="28"/>
          <w:sz w:val="28"/>
          <w:szCs w:val="28"/>
          <w:rtl w:val="true"/>
          <w:lang w:bidi="ar-SA"/>
        </w:rPr>
        <w:t>مِن العباراتِ المُرتَّبةِ، مُستَطيعاً لإسقاطِ ما يَعتَرِضُ كلامَه مِن القَدحِ، و تَعذُّرِ</w:t>
      </w:r>
      <w:r>
        <w:rPr>
          <w:rStyle w:val="FootnoteAnchor"/>
          <w:rtl w:val="true"/>
        </w:rPr>
        <w:footnoteReference w:id="1108"/>
      </w:r>
      <w:r>
        <w:rPr>
          <w:rFonts w:ascii="Amiri" w:hAnsi="Amiri" w:eastAsia="Amiri" w:cs="Amiri"/>
          <w:color w:val="111111"/>
          <w:sz w:val="28"/>
          <w:sz w:val="28"/>
          <w:szCs w:val="28"/>
          <w:rtl w:val="true"/>
          <w:lang w:bidi="ar-SA"/>
        </w:rPr>
        <w:t>ذلكَ أجمَعَ علَى المُقلِّدِ الحاكي لعباراتِ‌</w:t>
      </w:r>
      <w:r>
        <w:rPr>
          <w:rStyle w:val="FootnoteAnchor"/>
          <w:rtl w:val="true"/>
        </w:rPr>
        <w:footnoteReference w:id="1109"/>
      </w:r>
      <w:r>
        <w:rPr>
          <w:rFonts w:ascii="Amiri" w:hAnsi="Amiri" w:eastAsia="Amiri" w:cs="Amiri"/>
          <w:color w:val="111111"/>
          <w:sz w:val="28"/>
          <w:sz w:val="28"/>
          <w:szCs w:val="28"/>
          <w:rtl w:val="true"/>
          <w:lang w:bidi="ar-SA"/>
        </w:rPr>
        <w:t>العلماءِ عن الأدلّةِ الشرعيّةِ‌</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 هذا يَقتَضي القَطعَ علىٰ إيمانِ مَن عَلِمناه مُعبِّراً عن المَعارفِ علَى الوجهِ الذي بيّنّا كَونَ المُتكلِّم بها عالِماً؛ و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لِما امتَنَعَ منه جميعُ المُتكلِّمينَ؛ مِن القولِ بالقَطعِ علىٰ إيمانِ‌</w:t>
      </w:r>
      <w:r>
        <w:rPr>
          <w:rStyle w:val="FootnoteAnchor"/>
          <w:rtl w:val="true"/>
        </w:rPr>
        <w:footnoteReference w:id="1111"/>
      </w:r>
      <w:r>
        <w:rPr>
          <w:rFonts w:ascii="Amiri" w:hAnsi="Amiri" w:eastAsia="Amiri" w:cs="Amiri"/>
          <w:color w:val="111111"/>
          <w:sz w:val="28"/>
          <w:sz w:val="28"/>
          <w:szCs w:val="28"/>
          <w:rtl w:val="true"/>
          <w:lang w:bidi="ar-SA"/>
        </w:rPr>
        <w:t>مَن لَم</w:t>
      </w:r>
      <w:r>
        <w:rPr>
          <w:rStyle w:val="FootnoteAnchor"/>
          <w:rtl w:val="true"/>
        </w:rPr>
        <w:footnoteReference w:id="1112"/>
      </w:r>
      <w:r>
        <w:rPr>
          <w:rFonts w:ascii="Amiri" w:hAnsi="Amiri" w:eastAsia="Amiri" w:cs="Amiri"/>
          <w:color w:val="111111"/>
          <w:sz w:val="28"/>
          <w:sz w:val="28"/>
          <w:szCs w:val="28"/>
          <w:rtl w:val="true"/>
          <w:lang w:bidi="ar-SA"/>
        </w:rPr>
        <w:t>يَنُصَّ اللّٰهُ تَعالىٰ علىٰ إيمانِه؛ لانسِدادِ طَريقِ العِلمِ عندَهم عن كُلِّ مُحدَثٍ يَكونُ‌</w:t>
      </w:r>
      <w:r>
        <w:rPr>
          <w:rStyle w:val="FootnoteAnchor"/>
          <w:rtl w:val="true"/>
        </w:rPr>
        <w:footnoteReference w:id="1113"/>
      </w:r>
      <w:r>
        <w:rPr>
          <w:rFonts w:ascii="Amiri" w:hAnsi="Amiri" w:eastAsia="Amiri" w:cs="Amiri"/>
          <w:color w:val="111111"/>
          <w:sz w:val="28"/>
          <w:sz w:val="28"/>
          <w:szCs w:val="28"/>
          <w:rtl w:val="true"/>
          <w:lang w:bidi="ar-SA"/>
        </w:rPr>
        <w:t>غيرُه عالِماً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علىٰ فَسادِ ما يَذهَبُ إليه القائلونَ بالمُوافاةِ</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أو القولَ‌</w:t>
      </w:r>
      <w:r>
        <w:rPr>
          <w:rStyle w:val="FootnoteAnchor"/>
          <w:rtl w:val="true"/>
        </w:rPr>
        <w:footnoteReference w:id="1115"/>
      </w:r>
      <w:r>
        <w:rPr>
          <w:rFonts w:ascii="Amiri" w:hAnsi="Amiri" w:eastAsia="Amiri" w:cs="Amiri"/>
          <w:color w:val="111111"/>
          <w:sz w:val="28"/>
          <w:sz w:val="28"/>
          <w:szCs w:val="28"/>
          <w:rtl w:val="true"/>
          <w:lang w:bidi="ar-SA"/>
        </w:rPr>
        <w:t>بأنّ جَحدَ</w:t>
      </w:r>
      <w:r>
        <w:rPr>
          <w:rStyle w:val="FootnoteAnchor"/>
          <w:rtl w:val="true"/>
        </w:rPr>
        <w:footnoteReference w:id="1116"/>
      </w:r>
      <w:r>
        <w:rPr>
          <w:rFonts w:ascii="Amiri" w:hAnsi="Amiri" w:eastAsia="Amiri" w:cs="Amiri"/>
          <w:color w:val="111111"/>
          <w:sz w:val="28"/>
          <w:sz w:val="28"/>
          <w:szCs w:val="28"/>
          <w:rtl w:val="true"/>
          <w:lang w:bidi="ar-SA"/>
        </w:rPr>
        <w:t>النبوّةِ و الإمامةِ لَيسَ بكُفرٍ</w:t>
      </w:r>
      <w:r>
        <w:rPr>
          <w:rStyle w:val="FootnoteAnchor"/>
          <w:rtl w:val="true"/>
        </w:rPr>
        <w:footnoteReference w:id="1117"/>
      </w:r>
      <w:r>
        <w:rPr>
          <w:rFonts w:ascii="Amiri" w:hAnsi="Amiri" w:eastAsia="Amiri" w:cs="Amiri"/>
          <w:color w:val="111111"/>
          <w:sz w:val="28"/>
          <w:sz w:val="28"/>
          <w:szCs w:val="28"/>
          <w:rtl w:val="true"/>
          <w:lang w:bidi="ar-SA"/>
        </w:rPr>
        <w:t>لوجودِ</w:t>
      </w:r>
      <w:r>
        <w:rPr>
          <w:rStyle w:val="FootnoteAnchor"/>
          <w:rtl w:val="true"/>
        </w:rPr>
        <w:footnoteReference w:id="1118"/>
      </w:r>
      <w:r>
        <w:rPr>
          <w:rFonts w:ascii="Amiri" w:hAnsi="Amiri" w:eastAsia="Amiri" w:cs="Amiri"/>
          <w:color w:val="111111"/>
          <w:sz w:val="28"/>
          <w:sz w:val="28"/>
          <w:szCs w:val="28"/>
          <w:rtl w:val="true"/>
          <w:lang w:bidi="ar-SA"/>
        </w:rPr>
        <w:t xml:space="preserve">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يُحصَونَ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يُخالِفُ في النبوّةِ و الإمامةِ، علَى</w:t>
      </w:r>
      <w:r>
        <w:rPr>
          <w:rStyle w:val="FootnoteAnchor"/>
          <w:rtl w:val="true"/>
        </w:rPr>
        <w:footnoteReference w:id="1119"/>
      </w:r>
      <w:r>
        <w:rPr>
          <w:rFonts w:ascii="Amiri" w:hAnsi="Amiri" w:eastAsia="Amiri" w:cs="Amiri"/>
          <w:color w:val="111111"/>
          <w:sz w:val="28"/>
          <w:sz w:val="28"/>
          <w:szCs w:val="28"/>
          <w:rtl w:val="true"/>
          <w:lang w:bidi="ar-SA"/>
        </w:rPr>
        <w:t>الصفةِ التي بيّنّا</w:t>
      </w:r>
      <w:r>
        <w:rPr>
          <w:rStyle w:val="FootnoteAnchor"/>
          <w:rtl w:val="true"/>
        </w:rPr>
        <w:footnoteReference w:id="1120"/>
      </w:r>
      <w:r>
        <w:rPr>
          <w:rFonts w:ascii="Amiri" w:hAnsi="Amiri" w:eastAsia="Amiri" w:cs="Amiri"/>
          <w:color w:val="111111"/>
          <w:sz w:val="28"/>
          <w:sz w:val="28"/>
          <w:szCs w:val="28"/>
          <w:rtl w:val="true"/>
          <w:lang w:bidi="ar-SA"/>
        </w:rPr>
        <w:t>كَونَ مَن كانَ عليها عالِماً بما يُعبِّرُ</w:t>
      </w:r>
      <w:r>
        <w:rPr>
          <w:rStyle w:val="FootnoteAnchor"/>
          <w:rtl w:val="true"/>
        </w:rPr>
        <w:footnoteReference w:id="1121"/>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الشُّبهةَ في هذه</w:t>
      </w:r>
      <w:r>
        <w:rPr>
          <w:rStyle w:val="FootnoteAnchor"/>
          <w:rtl w:val="true"/>
        </w:rPr>
        <w:footnoteReference w:id="1123"/>
      </w:r>
      <w:r>
        <w:rPr>
          <w:rFonts w:ascii="Amiri" w:hAnsi="Amiri" w:eastAsia="Amiri" w:cs="Amiri"/>
          <w:color w:val="111111"/>
          <w:sz w:val="28"/>
          <w:sz w:val="28"/>
          <w:szCs w:val="28"/>
          <w:rtl w:val="true"/>
          <w:lang w:bidi="ar-SA"/>
        </w:rPr>
        <w:t>المَسألةِ ضَعيفةٌ جِدّاً؛ لأنّ المُعبِّرَ عن المَعاني علَى الوجهِ المُرتَّبِ المُتَّسِقِ‌</w:t>
      </w:r>
      <w:r>
        <w:rPr>
          <w:rStyle w:val="FootnoteAnchor"/>
          <w:rtl w:val="true"/>
        </w:rPr>
        <w:footnoteReference w:id="1124"/>
      </w:r>
      <w:r>
        <w:rPr>
          <w:rFonts w:ascii="Amiri" w:hAnsi="Amiri" w:eastAsia="Amiri" w:cs="Amiri"/>
          <w:color w:val="111111"/>
          <w:sz w:val="28"/>
          <w:sz w:val="28"/>
          <w:szCs w:val="28"/>
          <w:rtl w:val="true"/>
          <w:lang w:bidi="ar-SA"/>
        </w:rPr>
        <w:t>، إنّما يَدُلُّ فِعلُه</w:t>
      </w:r>
      <w:r>
        <w:rPr>
          <w:rStyle w:val="FootnoteAnchor"/>
          <w:rtl w:val="true"/>
        </w:rPr>
        <w:footnoteReference w:id="1125"/>
      </w:r>
      <w:r>
        <w:rPr>
          <w:rFonts w:ascii="Amiri" w:hAnsi="Amiri" w:eastAsia="Amiri" w:cs="Amiri"/>
          <w:color w:val="111111"/>
          <w:sz w:val="28"/>
          <w:sz w:val="28"/>
          <w:szCs w:val="28"/>
          <w:rtl w:val="true"/>
          <w:lang w:bidi="ar-SA"/>
        </w:rPr>
        <w:t>علىٰ أنّه عالِمٌ بتلكَ العباراتِ التي فَعَلَها علىٰ وجهِ الإحكامِ و الِاتّساقِ، و بمُطابَقتِها للمَعاني التي عَلَّقَها</w:t>
      </w:r>
      <w:r>
        <w:rPr>
          <w:rStyle w:val="FootnoteAnchor"/>
          <w:rtl w:val="true"/>
        </w:rPr>
        <w:footnoteReference w:id="1126"/>
      </w:r>
      <w:r>
        <w:rPr>
          <w:rFonts w:ascii="Amiri" w:hAnsi="Amiri" w:eastAsia="Amiri" w:cs="Amiri"/>
          <w:color w:val="111111"/>
          <w:sz w:val="28"/>
          <w:sz w:val="28"/>
          <w:szCs w:val="28"/>
          <w:rtl w:val="true"/>
          <w:lang w:bidi="ar-SA"/>
        </w:rPr>
        <w:t>عليها و عَبَّرَ بها</w:t>
      </w:r>
      <w:r>
        <w:rPr>
          <w:rStyle w:val="FootnoteAnchor"/>
          <w:rtl w:val="true"/>
        </w:rPr>
        <w:footnoteReference w:id="1127"/>
      </w:r>
      <w:r>
        <w:rPr>
          <w:rFonts w:ascii="Amiri" w:hAnsi="Amiri" w:eastAsia="Amiri" w:cs="Amiri"/>
          <w:color w:val="111111"/>
          <w:sz w:val="28"/>
          <w:sz w:val="28"/>
          <w:szCs w:val="28"/>
          <w:rtl w:val="true"/>
          <w:lang w:bidi="ar-SA"/>
        </w:rPr>
        <w:t>عنها؛ فأمّا أن يَدُلَّ ذلكَ علىٰ أنّه عالِمٌ بشَيءٍ آخَرَ، فلا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يُرتِّبُ مَثَلاً دليلَ حُدوثِ الأجسامِ و بِناءَه علَى الدعاوَى الأربَعِ‌</w:t>
      </w:r>
      <w:r>
        <w:rPr>
          <w:rStyle w:val="FootnoteAnchor"/>
          <w:rtl w:val="true"/>
        </w:rPr>
        <w:footnoteReference w:id="1128"/>
      </w:r>
      <w:r>
        <w:rPr>
          <w:rFonts w:ascii="Amiri" w:hAnsi="Amiri" w:eastAsia="Amiri" w:cs="Amiri"/>
          <w:color w:val="111111"/>
          <w:sz w:val="28"/>
          <w:sz w:val="28"/>
          <w:szCs w:val="28"/>
          <w:rtl w:val="true"/>
          <w:lang w:bidi="ar-SA"/>
        </w:rPr>
        <w:t>، و يَذكُرُ كَيفَ طَريقُ الِاستدلالِ علىٰ تصحيحِ‌</w:t>
      </w:r>
      <w:r>
        <w:rPr>
          <w:rStyle w:val="FootnoteAnchor"/>
          <w:rtl w:val="true"/>
        </w:rPr>
        <w:footnoteReference w:id="1129"/>
      </w:r>
      <w:r>
        <w:rPr>
          <w:rFonts w:ascii="Amiri" w:hAnsi="Amiri" w:eastAsia="Amiri" w:cs="Amiri"/>
          <w:color w:val="111111"/>
          <w:sz w:val="28"/>
          <w:sz w:val="28"/>
          <w:szCs w:val="28"/>
          <w:rtl w:val="true"/>
          <w:lang w:bidi="ar-SA"/>
        </w:rPr>
        <w:t xml:space="preserve">كُلِّ دَعوىً مِن تلكَ الدَّعاوىٰ، </w:t>
      </w:r>
    </w:p>
    <w:p>
      <w:pPr>
        <w:pStyle w:val="BookText"/>
        <w:rPr/>
      </w:pPr>
      <w:r>
        <w:rPr>
          <w:rFonts w:ascii="Amiri" w:hAnsi="Amiri" w:eastAsia="Amiri" w:cs="Amiri"/>
          <w:color w:val="111111"/>
          <w:sz w:val="28"/>
          <w:sz w:val="28"/>
          <w:szCs w:val="28"/>
          <w:rtl w:val="true"/>
          <w:lang w:bidi="ar-SA"/>
        </w:rPr>
        <w:t>حتّىٰ يَتكامَلَ العِلمُ بحُدوثِ الأجسامِ، إنّما</w:t>
      </w:r>
      <w:r>
        <w:rPr>
          <w:rStyle w:val="FootnoteAnchor"/>
          <w:rtl w:val="true"/>
        </w:rPr>
        <w:footnoteReference w:id="1130"/>
      </w:r>
      <w:r>
        <w:rPr>
          <w:rFonts w:ascii="Amiri" w:hAnsi="Amiri" w:eastAsia="Amiri" w:cs="Amiri"/>
          <w:color w:val="111111"/>
          <w:sz w:val="28"/>
          <w:sz w:val="28"/>
          <w:szCs w:val="28"/>
          <w:rtl w:val="true"/>
          <w:lang w:bidi="ar-SA"/>
        </w:rPr>
        <w:t>يَجِبُ أن يُقطَعَ علىٰ أنّه عالِمٌ بكَيفيّةِ ترتيبِ دَلالةِ حُدوثِ الأجسامِ، و بتقديمِ ما يُقدَّمُ‌</w:t>
      </w:r>
      <w:r>
        <w:rPr>
          <w:rStyle w:val="FootnoteAnchor"/>
          <w:rtl w:val="true"/>
        </w:rPr>
        <w:footnoteReference w:id="1131"/>
      </w:r>
      <w:r>
        <w:rPr>
          <w:rFonts w:ascii="Amiri" w:hAnsi="Amiri" w:eastAsia="Amiri" w:cs="Amiri"/>
          <w:color w:val="111111"/>
          <w:sz w:val="28"/>
          <w:sz w:val="28"/>
          <w:szCs w:val="28"/>
          <w:rtl w:val="true"/>
          <w:lang w:bidi="ar-SA"/>
        </w:rPr>
        <w:t>و تأخيرِ</w:t>
      </w:r>
      <w:r>
        <w:rPr>
          <w:rStyle w:val="FootnoteAnchor"/>
          <w:rtl w:val="true"/>
        </w:rPr>
        <w:footnoteReference w:id="1132"/>
      </w:r>
      <w:r>
        <w:rPr>
          <w:rFonts w:ascii="Amiri" w:hAnsi="Amiri" w:eastAsia="Amiri" w:cs="Amiri"/>
          <w:color w:val="111111"/>
          <w:sz w:val="28"/>
          <w:sz w:val="28"/>
          <w:szCs w:val="28"/>
          <w:rtl w:val="true"/>
          <w:lang w:bidi="ar-SA"/>
        </w:rPr>
        <w:t>ما يؤخَّرُ، حتّىٰ يَحصُلَ هذا العِلمُ للناظرِ في حُدوثِ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يُعلَمُ بهذا القَدرِ أنّه هو عالِمٌ بحُدوثِ الأجسامِ؛ لأنّه مِن الجائزِ أن يَكونَ ما نَظَرَ هو قَطُّ</w:t>
      </w:r>
      <w:r>
        <w:rPr>
          <w:rStyle w:val="FootnoteAnchor"/>
          <w:rtl w:val="true"/>
        </w:rPr>
        <w:footnoteReference w:id="1133"/>
      </w:r>
      <w:r>
        <w:rPr>
          <w:rFonts w:ascii="Amiri" w:hAnsi="Amiri" w:eastAsia="Amiri" w:cs="Amiri"/>
          <w:color w:val="111111"/>
          <w:sz w:val="28"/>
          <w:sz w:val="28"/>
          <w:szCs w:val="28"/>
          <w:rtl w:val="true"/>
          <w:lang w:bidi="ar-SA"/>
        </w:rPr>
        <w:t>في حُدوثِ الأجسامِ، و إن كانَ عالِماً بكَيفيّةِ ترتيبِ الدلالةِ المُفضيةِ‌</w:t>
      </w:r>
      <w:r>
        <w:rPr>
          <w:rStyle w:val="FootnoteAnchor"/>
          <w:rtl w:val="true"/>
        </w:rPr>
        <w:footnoteReference w:id="1134"/>
      </w:r>
      <w:r>
        <w:rPr>
          <w:rFonts w:ascii="Amiri" w:hAnsi="Amiri" w:eastAsia="Amiri" w:cs="Amiri"/>
          <w:color w:val="111111"/>
          <w:sz w:val="28"/>
          <w:sz w:val="28"/>
          <w:szCs w:val="28"/>
          <w:rtl w:val="true"/>
          <w:lang w:bidi="ar-SA"/>
        </w:rPr>
        <w:t>إلَى العِلمِ بحُدوثِها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الجائزِ أيضاً</w:t>
      </w:r>
      <w:r>
        <w:rPr>
          <w:rStyle w:val="FootnoteAnchor"/>
          <w:rtl w:val="true"/>
        </w:rPr>
        <w:footnoteReference w:id="1135"/>
      </w:r>
      <w:r>
        <w:rPr>
          <w:rFonts w:ascii="Amiri" w:hAnsi="Amiri" w:eastAsia="Amiri" w:cs="Amiri"/>
          <w:color w:val="111111"/>
          <w:sz w:val="28"/>
          <w:sz w:val="28"/>
          <w:szCs w:val="28"/>
          <w:rtl w:val="true"/>
          <w:lang w:bidi="ar-SA"/>
        </w:rPr>
        <w:t>أن يَكونَ نَظَرَ علىٰ وجهٍ لا يوجِبُ العِلمَ، و لَم</w:t>
      </w:r>
      <w:r>
        <w:rPr>
          <w:rStyle w:val="FootnoteAnchor"/>
          <w:rtl w:val="true"/>
        </w:rPr>
        <w:footnoteReference w:id="1136"/>
      </w:r>
      <w:r>
        <w:rPr>
          <w:rFonts w:ascii="Amiri" w:hAnsi="Amiri" w:eastAsia="Amiri" w:cs="Amiri"/>
          <w:color w:val="111111"/>
          <w:sz w:val="28"/>
          <w:sz w:val="28"/>
          <w:szCs w:val="28"/>
          <w:rtl w:val="true"/>
          <w:lang w:bidi="ar-SA"/>
        </w:rPr>
        <w:t>تَتكامَلْ‌</w:t>
      </w:r>
      <w:r>
        <w:rPr>
          <w:rStyle w:val="FootnoteAnchor"/>
          <w:rtl w:val="true"/>
        </w:rPr>
        <w:footnoteReference w:id="1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توليدِ</w:t>
      </w:r>
      <w:r>
        <w:rPr>
          <w:rStyle w:val="FootnoteAnchor"/>
          <w:rtl w:val="true"/>
        </w:rPr>
        <w:footnoteReference w:id="1138"/>
      </w:r>
      <w:r>
        <w:rPr>
          <w:rFonts w:ascii="Amiri" w:hAnsi="Amiri" w:eastAsia="Amiri" w:cs="Amiri"/>
          <w:color w:val="111111"/>
          <w:sz w:val="28"/>
          <w:sz w:val="28"/>
          <w:szCs w:val="28"/>
          <w:rtl w:val="true"/>
          <w:lang w:bidi="ar-SA"/>
        </w:rPr>
        <w:t>النظَرِ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كُلُّ مَن وَصَفَ الطريقَ إلىٰ سُلوكِ جِهةٍ مِن الجهاتِ بالصفةِ‌</w:t>
      </w:r>
      <w:r>
        <w:rPr>
          <w:rStyle w:val="FootnoteAnchor"/>
          <w:rtl w:val="true"/>
        </w:rPr>
        <w:footnoteReference w:id="1139"/>
      </w:r>
      <w:r>
        <w:rPr>
          <w:rFonts w:ascii="Amiri" w:hAnsi="Amiri" w:eastAsia="Amiri" w:cs="Amiri"/>
          <w:color w:val="111111"/>
          <w:sz w:val="28"/>
          <w:sz w:val="28"/>
          <w:szCs w:val="28"/>
          <w:rtl w:val="true"/>
          <w:lang w:bidi="ar-SA"/>
        </w:rPr>
        <w:t>الصحيحةِ السديدةِ، يَكونُ سالكاً لذلكَ الطريقِ، و مُستَعمِلاً لِما وَصَفَ كَيفَ يَكونُ استعمالُه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مَن وَصَفَ كَيفَ يَكونُ سُلوكُ الطريقِ إلَى البَصرةِ و رَتَّبَ ذلكَ و شَرَحَه</w:t>
      </w:r>
      <w:r>
        <w:rPr>
          <w:rStyle w:val="FootnoteAnchor"/>
          <w:rtl w:val="true"/>
        </w:rPr>
        <w:footnoteReference w:id="1140"/>
      </w:r>
      <w:r>
        <w:rPr>
          <w:rFonts w:ascii="Amiri" w:hAnsi="Amiri" w:eastAsia="Amiri" w:cs="Amiri"/>
          <w:color w:val="111111"/>
          <w:sz w:val="28"/>
          <w:sz w:val="28"/>
          <w:szCs w:val="28"/>
          <w:rtl w:val="true"/>
          <w:lang w:bidi="ar-SA"/>
        </w:rPr>
        <w:t>و أَوضَحَه علَى الوجهِ الصحيحِ إنّما يُقطَعُ علىٰ أنّه عالِمٌ بكَيفيّةِ سُلوكِ هذا الطريقِ‌</w:t>
      </w:r>
      <w:r>
        <w:rPr>
          <w:rStyle w:val="FootnoteAnchor"/>
          <w:rtl w:val="true"/>
        </w:rPr>
        <w:footnoteReference w:id="1141"/>
      </w:r>
      <w:r>
        <w:rPr>
          <w:rFonts w:ascii="Amiri" w:hAnsi="Amiri" w:eastAsia="Amiri" w:cs="Amiri"/>
          <w:color w:val="111111"/>
          <w:sz w:val="28"/>
          <w:sz w:val="28"/>
          <w:szCs w:val="28"/>
          <w:rtl w:val="true"/>
          <w:lang w:bidi="ar-SA"/>
        </w:rPr>
        <w:t>، و لا يُقطَعُ‌</w:t>
      </w:r>
      <w:r>
        <w:rPr>
          <w:rStyle w:val="FootnoteAnchor"/>
          <w:rtl w:val="true"/>
        </w:rPr>
        <w:footnoteReference w:id="1142"/>
      </w:r>
      <w:r>
        <w:rPr>
          <w:rFonts w:ascii="Amiri" w:hAnsi="Amiri" w:eastAsia="Amiri" w:cs="Amiri"/>
          <w:color w:val="111111"/>
          <w:sz w:val="28"/>
          <w:sz w:val="28"/>
          <w:szCs w:val="28"/>
          <w:rtl w:val="true"/>
          <w:lang w:bidi="ar-SA"/>
        </w:rPr>
        <w:t>علىٰ‌</w:t>
      </w:r>
      <w:r>
        <w:rPr>
          <w:rStyle w:val="FootnoteAnchor"/>
          <w:rtl w:val="true"/>
        </w:rPr>
        <w:footnoteReference w:id="1143"/>
      </w:r>
      <w:r>
        <w:rPr>
          <w:rFonts w:ascii="Amiri" w:hAnsi="Amiri" w:eastAsia="Amiri" w:cs="Amiri"/>
          <w:color w:val="111111"/>
          <w:sz w:val="28"/>
          <w:sz w:val="28"/>
          <w:szCs w:val="28"/>
          <w:rtl w:val="true"/>
          <w:lang w:bidi="ar-SA"/>
        </w:rPr>
        <w:t xml:space="preserve">أنّه قد سَلَكَه و وَصَلَ فيه إلَى البَصرةِ؟ </w:t>
      </w:r>
    </w:p>
    <w:p>
      <w:pPr>
        <w:pStyle w:val="BookText"/>
        <w:rPr/>
      </w:pPr>
      <w:r>
        <w:rPr>
          <w:rFonts w:ascii="Amiri" w:hAnsi="Amiri" w:eastAsia="Amiri" w:cs="Amiri"/>
          <w:color w:val="111111"/>
          <w:sz w:val="28"/>
          <w:sz w:val="28"/>
          <w:szCs w:val="28"/>
          <w:rtl w:val="true"/>
          <w:lang w:bidi="ar-SA"/>
        </w:rPr>
        <w:t>و كذلكَ مَن وَصَفَ لنا كَيفَ يَجِبُ أن يَعمَلَ الرامي حتّى يُصيبَ الهَدَفَ، و رَتَّبَ ما يَجِبُ أن يَعمَلَه</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w:t>
      </w:r>
      <w:r>
        <w:rPr>
          <w:rStyle w:val="FootnoteAnchor"/>
          <w:rtl w:val="true"/>
        </w:rPr>
        <w:footnoteReference w:id="1145"/>
      </w:r>
      <w:r>
        <w:rPr>
          <w:rFonts w:ascii="Amiri" w:hAnsi="Amiri" w:eastAsia="Amiri" w:cs="Amiri"/>
          <w:color w:val="111111"/>
          <w:sz w:val="28"/>
          <w:sz w:val="28"/>
          <w:szCs w:val="28"/>
          <w:rtl w:val="true"/>
          <w:lang w:bidi="ar-SA"/>
        </w:rPr>
        <w:t>القَوسِ علىٰ وجهٍ مخصوصٍ‌</w:t>
      </w:r>
      <w:r>
        <w:rPr>
          <w:rStyle w:val="FootnoteAnchor"/>
          <w:rtl w:val="true"/>
        </w:rPr>
        <w:footnoteReference w:id="1146"/>
      </w:r>
      <w:r>
        <w:rPr>
          <w:rFonts w:ascii="Amiri" w:hAnsi="Amiri" w:eastAsia="Amiri" w:cs="Amiri"/>
          <w:color w:val="111111"/>
          <w:sz w:val="28"/>
          <w:sz w:val="28"/>
          <w:szCs w:val="28"/>
          <w:rtl w:val="true"/>
          <w:lang w:bidi="ar-SA"/>
        </w:rPr>
        <w:t xml:space="preserve">، و اعتمادِ جِهةِ السَّمتِ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أن يُقطَعَ علىٰ عِلمِه بكَيفيّةِ الرميِ، و إن كُنّا نُجَوِّزُ أن يَكونَ هو ما رَمىٰ قَطُّ، أو رَمىٰ و لَم يُصِبِ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وَصَفَ لَنا كَيفيّةَ عملِ لَونٍ مِن الطَّبيخِ، و رَتَّبَ لنا ما يَجمَعُه فيه مِن الأخلاطِ، و ما يُقدَّمُ‌</w:t>
      </w:r>
      <w:r>
        <w:rPr>
          <w:rStyle w:val="FootnoteAnchor"/>
          <w:rtl w:val="true"/>
        </w:rPr>
        <w:footnoteReference w:id="1147"/>
      </w:r>
      <w:r>
        <w:rPr>
          <w:rFonts w:ascii="Amiri" w:hAnsi="Amiri" w:eastAsia="Amiri" w:cs="Amiri"/>
          <w:color w:val="111111"/>
          <w:sz w:val="28"/>
          <w:sz w:val="28"/>
          <w:szCs w:val="28"/>
          <w:rtl w:val="true"/>
          <w:lang w:bidi="ar-SA"/>
        </w:rPr>
        <w:t>منها أو يؤخَّرُ</w:t>
      </w:r>
      <w:r>
        <w:rPr>
          <w:rStyle w:val="FootnoteAnchor"/>
          <w:rtl w:val="true"/>
        </w:rPr>
        <w:footnoteReference w:id="1148"/>
      </w:r>
      <w:r>
        <w:rPr>
          <w:rFonts w:ascii="Amiri" w:hAnsi="Amiri" w:eastAsia="Amiri" w:cs="Amiri"/>
          <w:color w:val="111111"/>
          <w:sz w:val="28"/>
          <w:sz w:val="28"/>
          <w:szCs w:val="28"/>
          <w:rtl w:val="true"/>
          <w:lang w:bidi="ar-SA"/>
        </w:rPr>
        <w:t>، إنّما يَجِبُ القَطعُ علىٰ عِلمِه بصِفةِ ذلكَ اللونِ، مِن غيرِ تَعرُّضٍ لأنّه قد طَبَخَه و اتَّخَذَه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يَكونُ العالِمُ باللّٰهِ تَعالىٰ عارفاً به، إذا نَظَرَ في الأدِلّةِ الموصِلةِ إلىٰ مَعرِفتِه مِن الوجهِ الذي يَدُلُّ عليه</w:t>
      </w:r>
      <w:r>
        <w:rPr>
          <w:rStyle w:val="FootnoteAnchor"/>
          <w:rtl w:val="true"/>
        </w:rPr>
        <w:footnoteReference w:id="1149"/>
      </w:r>
      <w:r>
        <w:rPr>
          <w:rFonts w:ascii="Amiri" w:hAnsi="Amiri" w:eastAsia="Amiri" w:cs="Amiri"/>
          <w:color w:val="111111"/>
          <w:sz w:val="28"/>
          <w:sz w:val="28"/>
          <w:szCs w:val="28"/>
          <w:rtl w:val="true"/>
          <w:lang w:bidi="ar-SA"/>
        </w:rPr>
        <w:t>، و تَكامَلَت شَرائطُه المذكورةُ في الكُتُبِ؛ فإنّه إن نَظَرَ في الدَّلالةِ مِن الوجهِ الذي يَدُلُّ و لَم تَتكامَلِ‌</w:t>
      </w:r>
      <w:r>
        <w:rPr>
          <w:rStyle w:val="FootnoteAnchor"/>
          <w:rtl w:val="true"/>
        </w:rPr>
        <w:footnoteReference w:id="1150"/>
      </w:r>
      <w:r>
        <w:rPr>
          <w:rFonts w:ascii="Amiri" w:hAnsi="Amiri" w:eastAsia="Amiri" w:cs="Amiri"/>
          <w:color w:val="111111"/>
          <w:sz w:val="28"/>
          <w:sz w:val="28"/>
          <w:szCs w:val="28"/>
          <w:rtl w:val="true"/>
          <w:lang w:bidi="ar-SA"/>
        </w:rPr>
        <w:t>الشرائطُ، لَم يُوَلِّدْ نَظَرُه العِلمَ؛ فإنّه</w:t>
      </w:r>
      <w:r>
        <w:rPr>
          <w:rStyle w:val="FootnoteAnchor"/>
          <w:rtl w:val="true"/>
        </w:rPr>
        <w:footnoteReference w:id="1151"/>
      </w:r>
      <w:r>
        <w:rPr>
          <w:rFonts w:ascii="Amiri" w:hAnsi="Amiri" w:eastAsia="Amiri" w:cs="Amiri"/>
          <w:color w:val="111111"/>
          <w:sz w:val="28"/>
          <w:sz w:val="28"/>
          <w:szCs w:val="28"/>
          <w:rtl w:val="true"/>
          <w:lang w:bidi="ar-SA"/>
        </w:rPr>
        <w:t>بوَصفِه</w:t>
      </w:r>
      <w:r>
        <w:rPr>
          <w:rStyle w:val="FootnoteAnchor"/>
          <w:rtl w:val="true"/>
        </w:rPr>
        <w:footnoteReference w:id="1152"/>
      </w:r>
      <w:r>
        <w:rPr>
          <w:rFonts w:ascii="Amiri" w:hAnsi="Amiri" w:eastAsia="Amiri" w:cs="Amiri"/>
          <w:color w:val="111111"/>
          <w:sz w:val="28"/>
          <w:sz w:val="28"/>
          <w:szCs w:val="28"/>
          <w:rtl w:val="true"/>
          <w:lang w:bidi="ar-SA"/>
        </w:rPr>
        <w:t>لنا كَيفَ يَجِبُ أن يَفعَلَ الناظرُ و ترتيبِ الأدِلّةِ، فلا</w:t>
      </w:r>
      <w:r>
        <w:rPr>
          <w:rStyle w:val="FootnoteAnchor"/>
          <w:rtl w:val="true"/>
        </w:rPr>
        <w:footnoteReference w:id="1153"/>
      </w:r>
      <w:r>
        <w:rPr>
          <w:rFonts w:ascii="Amiri" w:hAnsi="Amiri" w:eastAsia="Amiri" w:cs="Amiri"/>
          <w:color w:val="111111"/>
          <w:sz w:val="28"/>
          <w:sz w:val="28"/>
          <w:szCs w:val="28"/>
          <w:rtl w:val="true"/>
          <w:lang w:bidi="ar-SA"/>
        </w:rPr>
        <w:t>يَجِبُ أن يُعلَمَ أنّه عالِمٌ به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ذَكَرنا في جوابِ المَسألةِ الرابعةِ مِن هذه المَسائلِ‌</w:t>
      </w:r>
      <w:r>
        <w:rPr>
          <w:rStyle w:val="FootnoteAnchor"/>
          <w:rtl w:val="true"/>
        </w:rPr>
        <w:footnoteReference w:id="1154"/>
      </w:r>
      <w:r>
        <w:rPr>
          <w:rFonts w:ascii="Amiri" w:hAnsi="Amiri" w:eastAsia="Amiri" w:cs="Amiri"/>
          <w:color w:val="111111"/>
          <w:sz w:val="28"/>
          <w:sz w:val="28"/>
          <w:szCs w:val="28"/>
          <w:rtl w:val="true"/>
          <w:lang w:bidi="ar-SA"/>
        </w:rPr>
        <w:t>في هذا المعنىٰ وجهاً غريباً ما تَقدَّمَنا أحَدٌ إليه؛ و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بعضُ مَن ثَبَتَ عندَنا كُفرُه مِن مُخالِفينا عارفاً باللّٰهِ تَعالىٰ، غيرَ أنّه لا يَجوزُ أن يَستَحِقَّ الثوابَ علىٰ مَعرِفتِه؛ لوقوعِها</w:t>
      </w:r>
      <w:r>
        <w:rPr>
          <w:rStyle w:val="FootnoteAnchor"/>
          <w:rtl w:val="true"/>
        </w:rPr>
        <w:footnoteReference w:id="1155"/>
      </w:r>
      <w:r>
        <w:rPr>
          <w:rFonts w:ascii="Amiri" w:hAnsi="Amiri" w:eastAsia="Amiri" w:cs="Amiri"/>
          <w:color w:val="111111"/>
          <w:sz w:val="28"/>
          <w:sz w:val="28"/>
          <w:szCs w:val="28"/>
          <w:rtl w:val="true"/>
          <w:lang w:bidi="ar-SA"/>
        </w:rPr>
        <w:t>علىٰ غيرِ الوجهِ الذي وَجَبَت</w:t>
      </w:r>
      <w:r>
        <w:rPr>
          <w:rStyle w:val="FootnoteAnchor"/>
          <w:rtl w:val="true"/>
        </w:rPr>
        <w:footnoteReference w:id="1156"/>
      </w:r>
      <w:r>
        <w:rPr>
          <w:rFonts w:ascii="IRNazanin" w:hAnsi="IRNazanin" w:eastAsia="IRNazanin"/>
          <w:color w:val="111111"/>
          <w:sz w:val="28"/>
          <w:sz w:val="28"/>
          <w:szCs w:val="28"/>
          <w:rtl w:val="true"/>
          <w:lang w:bidi="fa-IR"/>
        </w:rPr>
        <w:t>منه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امتَنَعَ أصحابُنا مِن كَونِ بعضِ الكُفّارِ عارفاً باللّٰهِ تَعالىٰ، حتّىٰ لا يَجتَمِعَ له استحقاقُ الثوابِ مع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الذي أيقَظنا عليه قد كُفينا هذه المَئونةَ و أَزَلنا</w:t>
      </w:r>
      <w:r>
        <w:rPr>
          <w:rStyle w:val="FootnoteAnchor"/>
          <w:rtl w:val="true"/>
        </w:rPr>
        <w:footnoteReference w:id="1158"/>
      </w:r>
      <w:r>
        <w:rPr>
          <w:rFonts w:ascii="Amiri" w:hAnsi="Amiri" w:eastAsia="Amiri" w:cs="Amiri"/>
          <w:color w:val="111111"/>
          <w:sz w:val="28"/>
          <w:sz w:val="28"/>
          <w:szCs w:val="28"/>
          <w:rtl w:val="true"/>
          <w:lang w:bidi="ar-SA"/>
        </w:rPr>
        <w:t>الشَّناعَةَ التي يَفزَعونَ معاً إليها؛ بأنّ المخالِفَ يَنظُرُ كنظرِنا، و يَسلُكُ‌</w:t>
      </w:r>
      <w:r>
        <w:rPr>
          <w:rStyle w:val="FootnoteAnchor"/>
          <w:rtl w:val="true"/>
        </w:rPr>
        <w:footnoteReference w:id="1159"/>
      </w:r>
      <w:r>
        <w:rPr>
          <w:rFonts w:ascii="Amiri" w:hAnsi="Amiri" w:eastAsia="Amiri" w:cs="Amiri"/>
          <w:color w:val="111111"/>
          <w:sz w:val="28"/>
          <w:sz w:val="28"/>
          <w:szCs w:val="28"/>
          <w:rtl w:val="true"/>
          <w:lang w:bidi="ar-SA"/>
        </w:rPr>
        <w:t>في الأدِلّةِ طُرُقَنا، فكَيفَ يَجوزُ أن يَكونَ غيرَ عارِفٍ؟</w:t>
      </w:r>
    </w:p>
    <w:p>
      <w:pPr>
        <w:pStyle w:val="BookText"/>
        <w:rPr/>
      </w:pPr>
      <w:r>
        <w:rPr>
          <w:rFonts w:ascii="Amiri" w:hAnsi="Amiri" w:eastAsia="Amiri" w:cs="Amiri"/>
          <w:color w:val="111111"/>
          <w:sz w:val="28"/>
          <w:sz w:val="28"/>
          <w:szCs w:val="28"/>
          <w:rtl w:val="true"/>
          <w:lang w:bidi="ar-SA"/>
        </w:rPr>
        <w:t>و كلُّ هذا بَيِّنٌ لِمَن تأمَّلَه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خِيَرَتِه مِن</w:t>
      </w:r>
      <w:r>
        <w:rPr>
          <w:rStyle w:val="FootnoteAnchor"/>
          <w:rtl w:val="true"/>
        </w:rPr>
        <w:footnoteReference w:id="1160"/>
      </w:r>
      <w:r>
        <w:rPr>
          <w:rFonts w:ascii="Amiri" w:hAnsi="Amiri" w:eastAsia="Amiri" w:cs="Amiri"/>
          <w:color w:val="111111"/>
          <w:sz w:val="28"/>
          <w:sz w:val="28"/>
          <w:szCs w:val="28"/>
          <w:rtl w:val="true"/>
          <w:lang w:bidi="ar-SA"/>
        </w:rPr>
        <w:t>خَلقِه و صَفوَتِه مِن بَريَّتِه، سَيِّدِنا</w:t>
      </w:r>
      <w:r>
        <w:rPr>
          <w:rStyle w:val="FootnoteAnchor"/>
          <w:rtl w:val="true"/>
        </w:rPr>
        <w:footnoteReference w:id="1161"/>
      </w:r>
      <w:r>
        <w:rPr>
          <w:rFonts w:ascii="Amiri" w:hAnsi="Amiri" w:eastAsia="Amiri" w:cs="Amiri"/>
          <w:color w:val="111111"/>
          <w:sz w:val="28"/>
          <w:sz w:val="28"/>
          <w:szCs w:val="28"/>
          <w:rtl w:val="true"/>
          <w:lang w:bidi="ar-SA"/>
        </w:rPr>
        <w:t>مُحمَّدٍ النبيِّ‌</w:t>
      </w:r>
      <w:r>
        <w:rPr>
          <w:rStyle w:val="FootnoteAnchor"/>
          <w:rtl w:val="true"/>
        </w:rPr>
        <w:footnoteReference w:id="1162"/>
      </w:r>
      <w:r>
        <w:rPr>
          <w:rFonts w:ascii="Amiri" w:hAnsi="Amiri" w:eastAsia="Amiri" w:cs="Amiri"/>
          <w:color w:val="111111"/>
          <w:sz w:val="28"/>
          <w:sz w:val="28"/>
          <w:szCs w:val="28"/>
          <w:rtl w:val="true"/>
          <w:lang w:bidi="ar-SA"/>
        </w:rPr>
        <w:t>و آلِه الطاهِرينَ</w:t>
      </w:r>
      <w:r>
        <w:rPr>
          <w:rFonts w:eastAsia="Amiri" w:cs="Amiri" w:ascii="Amiri" w:hAnsi="Amiri"/>
          <w:color w:val="111111"/>
          <w:sz w:val="28"/>
          <w:szCs w:val="28"/>
          <w:rtl w:val="true"/>
          <w:lang w:bidi="ar-SA"/>
        </w:rPr>
        <w:t>.</w:t>
      </w:r>
      <w:r>
        <w:rPr>
          <w:rStyle w:val="FootnoteAnchor"/>
          <w:rtl w:val="true"/>
        </w:rPr>
        <w:footnoteReference w:id="1163"/>
      </w:r>
      <w:bookmarkStart w:id="225" w:name="pg16437_172511"/>
    </w:p>
    <w:p>
      <w:pPr>
        <w:pStyle w:val="Heading3"/>
        <w:numPr>
          <w:ilvl w:val="2"/>
          <w:numId w:val="1"/>
        </w:numPr>
        <w:rPr/>
      </w:pPr>
      <w:bookmarkStart w:id="226" w:name="__RefHeading___Toc8039611_1280447820"/>
      <w:bookmarkStart w:id="227" w:name="_Toc80"/>
      <w:bookmarkEnd w:id="225"/>
      <w:bookmarkEnd w:id="226"/>
      <w:r>
        <w:rPr>
          <w:rtl w:val="true"/>
        </w:rPr>
        <w:t>(</w:t>
      </w:r>
      <w:r>
        <w:rPr/>
        <w:t>77</w:t>
      </w:r>
      <w:r>
        <w:rPr>
          <w:rtl w:val="true"/>
        </w:rPr>
        <w:t xml:space="preserve">) </w:t>
      </w:r>
      <w:r>
        <w:rPr>
          <w:rtl w:val="true"/>
        </w:rPr>
        <w:t>جواباتُ المَسائلِ المَوصِليّاتِ الثانيةِ‌</w:t>
      </w:r>
      <w:bookmarkEnd w:id="22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8" w:name="__RefHeading___Toc8039613_1280447820"/>
      <w:bookmarkStart w:id="229" w:name="_Toc81"/>
      <w:bookmarkEnd w:id="228"/>
      <w:r>
        <w:rPr>
          <w:rtl w:val="true"/>
        </w:rPr>
        <w:t>اشارة</w:t>
      </w:r>
      <w:bookmarkEnd w:id="22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6437_172513"/>
      <w:bookmarkStart w:id="231" w:name="pg16437_172513"/>
      <w:bookmarkEnd w:id="231"/>
    </w:p>
    <w:p>
      <w:pPr>
        <w:pStyle w:val="Heading4"/>
        <w:numPr>
          <w:ilvl w:val="3"/>
          <w:numId w:val="1"/>
        </w:numPr>
        <w:rPr/>
      </w:pPr>
      <w:bookmarkStart w:id="232" w:name="pg16437_172513"/>
      <w:bookmarkStart w:id="233" w:name="__RefHeading___Toc8039615_1280447820"/>
      <w:bookmarkStart w:id="234" w:name="_Toc82"/>
      <w:bookmarkEnd w:id="232"/>
      <w:bookmarkEnd w:id="233"/>
      <w:r>
        <w:rPr>
          <w:rtl w:val="true"/>
        </w:rPr>
        <w:t>مقدّمة التحقيق</w:t>
      </w:r>
      <w:bookmarkEnd w:id="234"/>
    </w:p>
    <w:p>
      <w:pPr>
        <w:pStyle w:val="Heading5"/>
        <w:numPr>
          <w:ilvl w:val="4"/>
          <w:numId w:val="1"/>
        </w:numPr>
        <w:rPr/>
      </w:pPr>
      <w:bookmarkStart w:id="235" w:name="__RefHeading___Toc8039617_1280447820"/>
      <w:bookmarkStart w:id="236" w:name="_Toc83"/>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تنفرد كلّ مدرسة فكريّة عادة بمسائل تختصّ بها، تجعلها تمتاز بها عن سائر المدارس، و هذا الأمر يشمل المدارس الفقهيّة أيضاً، فقد تنفرد بعض هذه المدارس بمسائل تشتهر بها و تصير عَلَماً عليها، كما قد تتحوّل هذه المسائل إلى ذريعة من قِبَل المدارس الأُخرى لمهاجمة هذه المدرسة، بدعوى المخالفة لِمَا توافَقَ عليه الفقهاء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تكن المدرسة الفقهيّة الإماميّة بمَنأى عن هذه الظاهرة، فقد انفردت بمسائل متعدّدة عن باقي المدارس الفقهيّة، حتّى أدّى الأمر إلى تأليف بعض المؤلّفات المختصّة بذلك؛ فمثلاً ألّف الشيخ المفيد رسالة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فيما اتّفقت عليه الإماميّة من الأحكام، و هي رسالة ألحقها بكتابه أوائل المقالات، تعرّض فيها إلى انفرادات الإماميّة، و ما اختصّوا به من فتاوىٰ و أحكام، ثمّ قام بشرح هذه الرسالة</w:t>
      </w:r>
      <w:r>
        <w:rPr>
          <w:rStyle w:val="FootnoteAnchor"/>
          <w:rtl w:val="true"/>
        </w:rPr>
        <w:footnoteReference w:id="1164"/>
      </w:r>
      <w:r>
        <w:rPr>
          <w:rFonts w:ascii="Amiri" w:hAnsi="Amiri" w:eastAsia="Amiri" w:cs="Amiri"/>
          <w:color w:val="111111"/>
          <w:sz w:val="28"/>
          <w:sz w:val="28"/>
          <w:szCs w:val="28"/>
          <w:rtl w:val="true"/>
          <w:lang w:bidi="ar-SA"/>
        </w:rPr>
        <w:t>، ولكن هذا الشرح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ألّف الشريف المرتضى في هذا المجال كتابه المهمّ جدّاً الانتصار، و الذي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ما انفردت به الشيعة الإماميّة من المسائل الفقهيّة</w:t>
      </w:r>
      <w:r>
        <w:rPr>
          <w:rStyle w:val="FootnoteAnchor"/>
          <w:rtl w:val="true"/>
        </w:rPr>
        <w:footnoteReference w:id="1165"/>
      </w:r>
      <w:r>
        <w:rPr>
          <w:rFonts w:ascii="Amiri" w:hAnsi="Amiri" w:eastAsia="Amiri" w:cs="Amiri"/>
          <w:color w:val="111111"/>
          <w:sz w:val="28"/>
          <w:sz w:val="28"/>
          <w:szCs w:val="28"/>
          <w:rtl w:val="true"/>
          <w:lang w:bidi="ar-SA"/>
        </w:rPr>
        <w:t>، و الذي يسمّى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انفرادات الإماميّة، و هو كتاب استدلاليّ مفصّل و مهمّ حول هذا الموضوع، حيث انتصر فيه الشريف المرتضى لآراء الإماميّة التي انفردت فيها، و دافع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يمكن اعتباره عِلماً برأسه، و يمكن تسميته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الانفرادات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يبدو أنّه لم يلق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اهتماماً كبيراً بعد الشريف المرتضى، فنحن لا نكاد نرى كتاباً فقهيّاً مهمّاً قد تعرّض لهذا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الكتب أو الرسائل التي تطرّق فيها الشريف المرتضى إلى موضوع الانفرادات هو أجوبة المسائل الموصليّات الثانية</w:t>
      </w:r>
      <w:r>
        <w:rPr>
          <w:rStyle w:val="FootnoteAnchor"/>
          <w:rtl w:val="true"/>
        </w:rPr>
        <w:footnoteReference w:id="1166"/>
      </w:r>
      <w:r>
        <w:rPr>
          <w:rFonts w:ascii="Amiri" w:hAnsi="Amiri" w:eastAsia="Amiri" w:cs="Amiri"/>
          <w:color w:val="111111"/>
          <w:sz w:val="28"/>
          <w:sz w:val="28"/>
          <w:szCs w:val="28"/>
          <w:rtl w:val="true"/>
          <w:lang w:bidi="ar-SA"/>
        </w:rPr>
        <w:t>، حيث تعرّض فيها إلى موضوع الانفرادات حول تسعة مواضيع فقهيّة مختلفة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مقدّمة المسائل حيث يتكلّم الشريف المرتضى مع جماعة، و هذا يعني أنّ مَن أرسل المسائل كانوا جماعة، لا سائل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قرأوا رسالة أو كتاباً حول متفرّدات الإماميّة، فأثارت بعض المواضيع المطروحة هناك عندهم بعض التساؤلات، فأرسلوا أسئلتهم إلى الشريف المرتضى للإجابة عليها؛ فإنّه قد جاء في بداية المسألة الأُولى من الموصليّات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في المسائل الفقهيّة التي تفرّدت بها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كلّ مسألة من المسائل التسع تبدأ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يدلّ على أنّهم يسألون عن مسائل مطروحة في نصّ معيّن و يمكننا أن نتعرّف علىٰ هذا النصّ، و هو نصّ كتاب الإعلام مع شرحه للشيخ المفيد كما تقدّم فهو كتاب يحتوي علىٰ انفرادات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وجود تطابق كبير بين عبارات كتاب الإعلام و بين ما جاء في المسائل الموصليّات التسع التي تقدّم آنفاً أنّها تنقل كلاماً من نصّ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وجد اختلاف فهو قد يرجع إلىٰ اختلاف النسخ أو سقوط عبارات من نسخ كتاب الإعلام التي </w:t>
      </w:r>
      <w:bookmarkStart w:id="237" w:name="pg16437_172515"/>
    </w:p>
    <w:p>
      <w:pPr>
        <w:pStyle w:val="BookText"/>
        <w:rPr/>
      </w:pPr>
      <w:bookmarkEnd w:id="237"/>
      <w:r>
        <w:rPr>
          <w:rFonts w:ascii="Amiri" w:hAnsi="Amiri" w:eastAsia="Amiri" w:cs="Amiri"/>
          <w:color w:val="111111"/>
          <w:sz w:val="28"/>
          <w:sz w:val="28"/>
          <w:szCs w:val="28"/>
          <w:rtl w:val="true"/>
          <w:lang w:bidi="ar-SA"/>
        </w:rPr>
        <w:t>وصلت إلينا، أو نقل السائلين الموصليّين من كتاب شرح كتاب الإعلام الذي تقدّم أنّه مفقود و لم يصلنا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يمكن اعتبار الموصليّات الثانية تعليقة للشريف المرتضى على كتاب الإعلام للشيخ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الشريف المرتضى على هذه المسائل، و علّق على النصّ الفقهيّ المرسل إليه، حيث اتّفق معه على انفراد الإماميّة ببعض المسائل، و اختلف معه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إجابته عن المسائل بالتفصيل، و هو يدلّ على أهمّيّة هذه المسائل و أهمّيّة الأشخاص المرسِلين، حيث وصفهم الشريف المرتضى في المقدّمة بجودة النظر و دقّة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قد أُرسلت ثلاث مجموعات مسائل من الموصل إلى الشريف المرتضى، فقام بالإجابة عليها؛ أمّا الأُولى منها، فقد أجاب عنها في شبابه في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نيّف</w:t>
      </w:r>
      <w:r>
        <w:rPr>
          <w:rStyle w:val="FootnoteAnchor"/>
          <w:rtl w:val="true"/>
        </w:rPr>
        <w:footnoteReference w:id="1167"/>
      </w:r>
      <w:r>
        <w:rPr>
          <w:rFonts w:ascii="Amiri" w:hAnsi="Amiri" w:eastAsia="Amiri" w:cs="Amiri"/>
          <w:color w:val="111111"/>
          <w:sz w:val="28"/>
          <w:sz w:val="28"/>
          <w:szCs w:val="28"/>
          <w:rtl w:val="true"/>
          <w:lang w:bidi="ar-SA"/>
        </w:rPr>
        <w:t>، و هي ثلاث مسائل فقط، تدور حول مسائل الوعيد، و القياس، و الاعتماد</w:t>
      </w:r>
      <w:r>
        <w:rPr>
          <w:rStyle w:val="FootnoteAnchor"/>
          <w:rtl w:val="true"/>
        </w:rPr>
        <w:footnoteReference w:id="1168"/>
      </w:r>
      <w:r>
        <w:rPr>
          <w:rFonts w:ascii="Amiri" w:hAnsi="Amiri" w:eastAsia="Amiri" w:cs="Amiri"/>
          <w:color w:val="111111"/>
          <w:sz w:val="28"/>
          <w:sz w:val="28"/>
          <w:szCs w:val="28"/>
          <w:rtl w:val="true"/>
          <w:lang w:bidi="ar-SA"/>
        </w:rPr>
        <w:t>فهي مسائل كلاميّة و أُصوليّة، و ليست فيها مسائل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الموصليّات الثانية و الثالثة فهي مسائل فقهيّة، و قد أجاب عن الثالثة منها في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8039619_1280447820"/>
      <w:bookmarkStart w:id="239" w:name="_Toc84"/>
      <w:bookmarkEnd w:id="238"/>
      <w:r>
        <w:rPr>
          <w:rtl w:val="true"/>
        </w:rPr>
        <w:t>عنوان الرسالة و نسبتها إلى المؤلف</w:t>
      </w:r>
      <w:bookmarkEnd w:id="23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الجدير بالذكر أنّ هناك بحثاً مهمّاً حول تسمية المسائل الموصليّات، طرحناه بشيء من التفصيل في مكتبة الشريف المرتضى</w:t>
      </w:r>
      <w:r>
        <w:rPr>
          <w:rStyle w:val="FootnoteAnchor"/>
          <w:rtl w:val="true"/>
        </w:rPr>
        <w:footnoteReference w:id="1170"/>
      </w:r>
      <w:r>
        <w:rPr>
          <w:rFonts w:ascii="Amiri" w:hAnsi="Amiri" w:eastAsia="Amiri" w:cs="Amiri"/>
          <w:color w:val="111111"/>
          <w:sz w:val="28"/>
          <w:sz w:val="28"/>
          <w:szCs w:val="28"/>
          <w:rtl w:val="true"/>
          <w:lang w:bidi="ar-SA"/>
        </w:rPr>
        <w:t>، حيث توصّلنا هناك إلى أنّ الظاهر أنّ المسائل المعروفة بالموصليات الأُولى لا تسمّى أُولى، و إنّما تسمّى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p>
    <w:p>
      <w:pPr>
        <w:pStyle w:val="BookText"/>
        <w:rPr/>
      </w:pPr>
      <w:r>
        <w:rPr>
          <w:rFonts w:ascii="Amiri" w:hAnsi="Amiri" w:eastAsia="Amiri" w:cs="Amiri"/>
          <w:color w:val="111111"/>
          <w:sz w:val="28"/>
          <w:sz w:val="28"/>
          <w:szCs w:val="28"/>
          <w:rtl w:val="true"/>
          <w:lang w:bidi="ar-SA"/>
        </w:rPr>
        <w:t>و بصورة مطلقة، و أنّ الموصليّات الثانية و الثالثة تسمّى في الحقيقة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موصليّات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فعل ذلك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الشريف المرتضى نفسه</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تفصيل البحث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فنحن نلتزم بتسمية الموصليّات الثلاث بأسمائها المشهورة، تجنّباً من حصول خلط و أخطاء في خلال الإحالات و الإرجاعات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ذلك نرجع إلى الحديث عن المسائل محلّ بحثنا، و هي الموصليّات الثانية، فقد ذكرها البُصروي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 و أشار الشريف المرتضى إليها في الموصليّات الثالثة عدّة مرّات، و سمّاها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الأُولى، و مسائل الخلاف الواردة قبل هذه</w:t>
      </w:r>
      <w:r>
        <w:rPr>
          <w:rStyle w:val="FootnoteAnchor"/>
          <w:rtl w:val="true"/>
        </w:rPr>
        <w:footnoteReference w:id="1173"/>
      </w:r>
      <w:r>
        <w:rPr>
          <w:rFonts w:ascii="Amiri" w:hAnsi="Amiri" w:eastAsia="Amiri" w:cs="Amiri"/>
          <w:color w:val="111111"/>
          <w:sz w:val="28"/>
          <w:sz w:val="28"/>
          <w:szCs w:val="28"/>
          <w:rtl w:val="true"/>
          <w:lang w:bidi="ar-SA"/>
        </w:rPr>
        <w:t>، كما ذكرها في كتابه الانتصار، و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مسائل أهل الموصل التسع الفقهيّة</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في المسألتين الأُولىٰ و الثانية منها إلى كتابه مسائل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يعتبر قرائن مهمّة و قطعيّة على تصحيح نسبتها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تاريخ تأليف هذه المسائل يرجع إلى ما قبل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فإنّ الموصليّات الثالثة قد أُرسلت في هذه السنة كما تقدّم، فتكون الثانية قبل هذا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احتوت الموصليّات الثانية على فوائد و نكات متعدّدة،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الشريف المرتضى عدّة مرّات بالأخبار المتظافرة و الكثيرة، و بذلك لم يخرج من طريقته المعهودة من إنكار حجّيّة أخبار الآحاد في الأُصول و الفروع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في المسألة الخامسة إلى أنّ أهل اللغة إذا أرادوا تحريم شيء أدخلوا عليه </w:t>
      </w:r>
    </w:p>
    <w:p>
      <w:pPr>
        <w:pStyle w:val="BookText"/>
        <w:rPr/>
      </w:pPr>
      <w:r>
        <w:rPr>
          <w:rFonts w:ascii="Amiri" w:hAnsi="Amiri" w:eastAsia="Amiri" w:cs="Amiri"/>
          <w:color w:val="111111"/>
          <w:sz w:val="28"/>
          <w:sz w:val="28"/>
          <w:szCs w:val="28"/>
          <w:rtl w:val="true"/>
          <w:lang w:bidi="ar-SA"/>
        </w:rPr>
        <w:t>لفظ النفي، ليدلّ على تأكيد التحريم و تغليظه، و إذا أرادوا تأكيد الوجوب و تغليظه، استعملوا لفظ الخبر و الإثبات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في المسألة السادسة إلى قاعدة، و هي أنّه عند الضرورة يمكن أن نتعسّف التأويل، و هذا يبرر لنا وجود بعض التأويلات البعيدة التي يمكن مشاهدتها في تراث الشريف المرتضى، و التي قد تبدو تأويلات بعيدة عن الظاهر، فهو هنا قد أوضح أنّه إذا اتّضح المعنى الحقيقي فيمكن تأويل الظاهر بكلّ وسيلة ممكنة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في المسألة السابعة إلى أنّ أحكام الشريعة تتبع المعتاد من الأُمور لا المخالف للعادة، فعلى سبيل المثال أنّ المعتاد أن يكون أكثر الحمل تسعة أشهر، و ما قد يُدّعى من أنّه قد يكون أكثر من ذلك، فهو شاذّ نادر غير مستمرّ، و الشريعة تتبع المعتاد، لا المخالف للعادة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أفتى الشريف المرتضى في المسألة الثالثة بكراهة السجود على الثوب المنسوج من قطن أو كتان، و عدم تحريمه، لكنّه رجع عن ذلك في الموصليّات الثالثة، و الانتصار</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فتاويه التي ذكرها في الموصليّات الثانية حرمة الربا بين الوالد و ولده، و ذلك في المسألة الخامسة منها، و يبدو أنّه استمرّ على هذه الفتوى في الموصليّات الثالثة أيضاً</w:t>
      </w:r>
      <w:r>
        <w:rPr>
          <w:rStyle w:val="FootnoteAnchor"/>
          <w:rtl w:val="true"/>
        </w:rPr>
        <w:footnoteReference w:id="1176"/>
      </w:r>
      <w:r>
        <w:rPr>
          <w:rFonts w:ascii="Amiri" w:hAnsi="Amiri" w:eastAsia="Amiri" w:cs="Amiri"/>
          <w:color w:val="111111"/>
          <w:sz w:val="28"/>
          <w:sz w:val="28"/>
          <w:szCs w:val="28"/>
          <w:rtl w:val="true"/>
          <w:lang w:bidi="ar-SA"/>
        </w:rPr>
        <w:t>، إلّاأنّه رجع عنها في الانتصار، مشيراً هناك إلى فتواه المتقدّمة في الموصليّات، حيث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كتبتُ قديماً في جواب مسائل وردت من الموصل تأولت الأخبار التي يرويها أصحابنا المتضمّنة لنفي الربا بين من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اعتمدنا في نصرة هذا المذهب على عموم ظاهر القرآن، و أنّ اللّٰه تعالى حرّم الربا على كلّ متعاقدين، و </w:t>
      </w:r>
      <w:bookmarkStart w:id="240" w:name="pg16437_172518"/>
    </w:p>
    <w:p>
      <w:pPr>
        <w:pStyle w:val="BookText"/>
        <w:rPr/>
      </w:pPr>
      <w:bookmarkEnd w:id="240"/>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اَلرِّبَوا</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189</w:t>
      </w:r>
      <w:r>
        <w:rPr>
          <w:rFonts w:eastAsia="IRNazanin" w:cs="IRNazanin"/>
          <w:color w:val="111111"/>
          <w:sz w:val="28"/>
          <w:szCs w:val="28"/>
          <w:rtl w:val="true"/>
          <w:lang w:bidi="fa-IR"/>
        </w:rPr>
        <w:t>.</w:t>
      </w:r>
      <w:r>
        <w:rPr>
          <w:rStyle w:val="FootnoteAnchor"/>
          <w:rtl w:val="true"/>
        </w:rPr>
        <w:footnoteReference w:id="1178"/>
      </w:r>
      <w:r>
        <w:rPr>
          <w:rFonts w:ascii="Amiri" w:hAnsi="Amiri" w:eastAsia="Amiri" w:cs="Amiri"/>
          <w:color w:val="111111"/>
          <w:sz w:val="28"/>
          <w:sz w:val="28"/>
          <w:szCs w:val="28"/>
          <w:rtl w:val="true"/>
          <w:lang w:bidi="ar-SA"/>
        </w:rPr>
        <w:t>، و هذا الظاهر يدخل تحته الوالد و ولده، و الزوج 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تأمّلت ذلك، رجعت عن هذا المذهب؛ لأنّي وجدت أصحابنا مُجمعين على نفي الربا بين من ذكرناه، و غير مختلفين فيه في وقت من الأوقات، و إجماع هذه الطائفة قد ثبت أنّه حجّة، و يُخَصّ بمثله ظواهر الكتاب، و الصحيح نفي الربا بين من ذكرناه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أرجع في المسألة الرابعة و السادسة إلى كتاب مَن لا يحضره الفقيه للشيخ الصدوق، و كتاب الفقه الأحمدي لابن الجنيد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كانت هذه المسائل قد طبعت في ضمن رسائل الشريف المرتضى،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8039621_1280447820"/>
      <w:bookmarkStart w:id="242" w:name="_Toc85"/>
      <w:bookmarkEnd w:id="241"/>
      <w:r>
        <w:rPr>
          <w:rtl w:val="true"/>
        </w:rPr>
        <w:t>مخطوطات الرسالة</w:t>
      </w:r>
      <w:bookmarkEnd w:id="242"/>
    </w:p>
    <w:p>
      <w:pPr>
        <w:pStyle w:val="Heading6"/>
        <w:numPr>
          <w:ilvl w:val="5"/>
          <w:numId w:val="1"/>
        </w:numPr>
        <w:rPr/>
      </w:pPr>
      <w:bookmarkStart w:id="243" w:name="__RefHeading___Toc8039623_1280447820"/>
      <w:bookmarkStart w:id="244" w:name="_Toc86"/>
      <w:bookmarkEnd w:id="243"/>
      <w:r>
        <w:rPr>
          <w:rtl w:val="true"/>
        </w:rPr>
        <w:t>ألف</w:t>
      </w:r>
      <w:r>
        <w:rPr>
          <w:rtl w:val="true"/>
        </w:rPr>
        <w:t xml:space="preserve">) </w:t>
      </w:r>
      <w:r>
        <w:rPr>
          <w:rtl w:val="true"/>
        </w:rPr>
        <w:t>النسخ المعتمدة</w:t>
      </w:r>
      <w:r>
        <w:rPr>
          <w:rtl w:val="true"/>
        </w:rPr>
        <w:t>:</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 و هي ميكروفيلم من المخطوطة المرقّمة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مكتبة الروضة الرضويّة المقدّسة بمشهد، و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1080/6</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البروجردي رحمه اللّٰه بقمّ، المرقّمة </w:t>
      </w:r>
      <w:r>
        <w:rPr>
          <w:rFonts w:eastAsia="Amiri" w:cs="Amiri" w:ascii="Amiri" w:hAnsi="Amiri"/>
          <w:color w:val="111111"/>
          <w:sz w:val="28"/>
          <w:szCs w:val="28"/>
          <w:lang w:bidi="ar-SA"/>
        </w:rPr>
        <w:t>374/3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3324</w:t>
      </w:r>
      <w:r>
        <w:rPr>
          <w:rFonts w:ascii="Amiri" w:hAnsi="Amiri" w:eastAsia="Amiri" w:cs="Amiri"/>
          <w:color w:val="111111"/>
          <w:sz w:val="28"/>
          <w:sz w:val="28"/>
          <w:szCs w:val="28"/>
          <w:rtl w:val="true"/>
          <w:lang w:bidi="ar-SA"/>
        </w:rPr>
        <w:t xml:space="preserve">؛ تقع في </w:t>
      </w:r>
      <w:bookmarkStart w:id="245" w:name="pg16437_172519"/>
    </w:p>
    <w:p>
      <w:pPr>
        <w:pStyle w:val="BookText"/>
        <w:rPr/>
      </w:pPr>
      <w:bookmarkEnd w:id="245"/>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ملك بطهران، المرقّمة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8039625_1280447820"/>
      <w:bookmarkStart w:id="247" w:name="_Toc87"/>
      <w:bookmarkEnd w:id="246"/>
      <w:r>
        <w:rPr>
          <w:rtl w:val="true"/>
        </w:rPr>
        <w:t>ب</w:t>
      </w:r>
      <w:r>
        <w:rPr>
          <w:rtl w:val="true"/>
        </w:rPr>
        <w:t xml:space="preserve">) </w:t>
      </w:r>
      <w:r>
        <w:rPr>
          <w:rtl w:val="true"/>
        </w:rPr>
        <w:t>سائر النسخ</w:t>
      </w:r>
      <w:r>
        <w:rPr>
          <w:rtl w:val="true"/>
        </w:rPr>
        <w:t>:</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438/3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الإمام الخميني رحمه اللّٰه بقائن، المرقّمة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و يوجد ميكروفيلم منها في مكتبة مركز إحياء التراث الإسلامي بقمّ المرقّم </w:t>
      </w:r>
      <w:r>
        <w:rPr>
          <w:rFonts w:eastAsia="Amiri" w:cs="Amiri" w:ascii="Amiri" w:hAnsi="Amiri"/>
          <w:color w:val="111111"/>
          <w:sz w:val="28"/>
          <w:szCs w:val="28"/>
          <w:lang w:bidi="ar-SA"/>
        </w:rPr>
        <w:t>1690</w:t>
      </w:r>
      <w:r>
        <w:rPr>
          <w:rFonts w:ascii="Amiri" w:hAnsi="Amiri" w:eastAsia="Amiri" w:cs="Amiri"/>
          <w:color w:val="111111"/>
          <w:sz w:val="28"/>
          <w:sz w:val="28"/>
          <w:szCs w:val="28"/>
          <w:rtl w:val="true"/>
          <w:lang w:bidi="ar-SA"/>
        </w:rPr>
        <w:t xml:space="preserve">، و الرسالة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11432/18</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21003</w:t>
      </w:r>
      <w:r>
        <w:rPr>
          <w:rFonts w:ascii="Amiri" w:hAnsi="Amiri" w:eastAsia="Amiri" w:cs="Amiri"/>
          <w:color w:val="111111"/>
          <w:sz w:val="28"/>
          <w:sz w:val="28"/>
          <w:szCs w:val="28"/>
          <w:rtl w:val="true"/>
          <w:lang w:bidi="ar-SA"/>
        </w:rPr>
        <w:t xml:space="preserve">؛ نُسخت في عام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لم يعلم اسم ناسخها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الرسالة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6437_172521"/>
      <w:bookmarkStart w:id="249" w:name="pg16437_172521"/>
      <w:bookmarkEnd w:id="249"/>
    </w:p>
    <w:p>
      <w:pPr>
        <w:pStyle w:val="Heading4"/>
        <w:numPr>
          <w:ilvl w:val="3"/>
          <w:numId w:val="1"/>
        </w:numPr>
        <w:rPr/>
      </w:pPr>
      <w:bookmarkStart w:id="250" w:name="pg16437_172521"/>
      <w:bookmarkStart w:id="251" w:name="__RefHeading___Toc8039627_1280447820"/>
      <w:bookmarkStart w:id="252" w:name="_Toc88"/>
      <w:bookmarkEnd w:id="250"/>
      <w:bookmarkEnd w:id="251"/>
      <w:r>
        <w:rPr>
          <w:rtl w:val="true"/>
        </w:rPr>
        <w:t>جواباتُ المَسائلِ المَوصِليّاتِ الثانيةِ‌</w:t>
      </w:r>
      <w:bookmarkEnd w:id="252"/>
    </w:p>
    <w:p>
      <w:pPr>
        <w:pStyle w:val="Heading5"/>
        <w:numPr>
          <w:ilvl w:val="4"/>
          <w:numId w:val="1"/>
        </w:numPr>
        <w:rPr/>
      </w:pPr>
      <w:bookmarkStart w:id="253" w:name="__RefHeading___Toc8039629_1280447820"/>
      <w:bookmarkStart w:id="254" w:name="_Toc89"/>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جواباتُ المَسائلِ المَوصِليّاتِ الثانيةِ‌</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الموصليّة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جواب المسائل الموصليّات للسيّد النجيب الحسيب ذي المجدين عليّ بن الحسين الموسويّ، روَّحَ اللّٰه روحَه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جوابات المسائل الثالثة الواردة من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سيّدنا الشريف المرتضى علم الهدى، قدَّسَ اللّٰه روحَه و نوَّرَ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1181"/>
      </w:r>
    </w:p>
    <w:p>
      <w:pPr>
        <w:pStyle w:val="Heading5"/>
        <w:numPr>
          <w:ilvl w:val="4"/>
          <w:numId w:val="1"/>
        </w:numPr>
        <w:rPr/>
      </w:pPr>
      <w:bookmarkStart w:id="255" w:name="__RefHeading___Toc8039631_1280447820"/>
      <w:bookmarkStart w:id="256" w:name="_Toc90"/>
      <w:bookmarkEnd w:id="255"/>
      <w:r>
        <w:rPr>
          <w:rtl w:val="true"/>
        </w:rPr>
        <w:t>المقدِّمة</w:t>
      </w:r>
      <w:bookmarkEnd w:id="25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لكُم السلامةَ، و أسبَغَ عليكم الكَرامةَ، و جَعَلَكم أبَداً مِن نُصّارِ الحَقِّ و تابِعيه، و خُذّالِ‌</w:t>
      </w:r>
      <w:r>
        <w:rPr>
          <w:rStyle w:val="FootnoteAnchor"/>
          <w:rtl w:val="true"/>
        </w:rPr>
        <w:footnoteReference w:id="1182"/>
      </w:r>
      <w:r>
        <w:rPr>
          <w:rFonts w:ascii="Amiri" w:hAnsi="Amiri" w:eastAsia="Amiri" w:cs="Amiri"/>
          <w:color w:val="111111"/>
          <w:sz w:val="28"/>
          <w:sz w:val="28"/>
          <w:szCs w:val="28"/>
          <w:rtl w:val="true"/>
          <w:lang w:bidi="ar-SA"/>
        </w:rPr>
        <w:t xml:space="preserve">الباطلِ و مُجانِبيه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المَسائلِ التي وَصَلَت</w:t>
      </w:r>
      <w:r>
        <w:rPr>
          <w:rStyle w:val="FootnoteAnchor"/>
          <w:rtl w:val="true"/>
        </w:rPr>
        <w:footnoteReference w:id="1183"/>
      </w:r>
      <w:r>
        <w:rPr>
          <w:rFonts w:ascii="Amiri" w:hAnsi="Amiri" w:eastAsia="Amiri" w:cs="Amiri"/>
          <w:color w:val="111111"/>
          <w:sz w:val="28"/>
          <w:sz w:val="28"/>
          <w:szCs w:val="28"/>
          <w:rtl w:val="true"/>
          <w:lang w:bidi="ar-SA"/>
        </w:rPr>
        <w:t>إلَيَّ، جَواباً اختَصَرتُه</w:t>
      </w:r>
      <w:r>
        <w:rPr>
          <w:rStyle w:val="FootnoteAnchor"/>
          <w:rtl w:val="true"/>
        </w:rPr>
        <w:footnoteReference w:id="1184"/>
      </w:r>
      <w:r>
        <w:rPr>
          <w:rFonts w:ascii="Amiri" w:hAnsi="Amiri" w:eastAsia="Amiri" w:cs="Amiri"/>
          <w:color w:val="111111"/>
          <w:sz w:val="28"/>
          <w:sz w:val="28"/>
          <w:szCs w:val="28"/>
          <w:rtl w:val="true"/>
          <w:lang w:bidi="ar-SA"/>
        </w:rPr>
        <w:t>مِن غيرِ إخلالٍ بما يَجِبُ إيضاحُه و بيانُه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ما</w:t>
      </w:r>
      <w:r>
        <w:rPr>
          <w:rStyle w:val="FootnoteAnchor"/>
          <w:rtl w:val="true"/>
        </w:rPr>
        <w:footnoteReference w:id="1185"/>
      </w:r>
      <w:r>
        <w:rPr>
          <w:rFonts w:ascii="Amiri" w:hAnsi="Amiri" w:eastAsia="Amiri" w:cs="Amiri"/>
          <w:color w:val="111111"/>
          <w:sz w:val="28"/>
          <w:sz w:val="28"/>
          <w:szCs w:val="28"/>
          <w:rtl w:val="true"/>
          <w:lang w:bidi="ar-SA"/>
        </w:rPr>
        <w:t xml:space="preserve">أشكَلَ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أمَدَّكم</w:t>
      </w:r>
      <w:r>
        <w:rPr>
          <w:rStyle w:val="FootnoteAnchor"/>
          <w:rtl w:val="true"/>
        </w:rPr>
        <w:footnoteReference w:id="1186"/>
      </w:r>
      <w:r>
        <w:rPr>
          <w:rFonts w:ascii="Amiri" w:hAnsi="Amiri" w:eastAsia="Amiri" w:cs="Amiri"/>
          <w:color w:val="111111"/>
          <w:sz w:val="28"/>
          <w:sz w:val="28"/>
          <w:szCs w:val="28"/>
          <w:rtl w:val="true"/>
          <w:lang w:bidi="ar-SA"/>
        </w:rPr>
        <w:t xml:space="preserve">اللّٰهُ بالإرشادِ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المَسائلِ إلّاالمُشكِلُ، و لا بَعَثَكم علَى السؤالِ عنها و لا الاستيضاحِ لها إلّاجَودةُ النظَرِ و دقّةُ الفِكرِ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اللّٰهِ أَستَمِدُّ المَعونةَ و التوفيقَ في الأقوالِ و الأفعالِ، و أستَعينُه علىٰ سائرِ الأحوالِ</w:t>
      </w:r>
      <w:r>
        <w:rPr>
          <w:rFonts w:eastAsia="Amiri" w:cs="Amiri" w:ascii="Amiri" w:hAnsi="Amiri"/>
          <w:color w:val="111111"/>
          <w:sz w:val="28"/>
          <w:szCs w:val="28"/>
          <w:rtl w:val="true"/>
          <w:lang w:bidi="ar-SA"/>
        </w:rPr>
        <w:t xml:space="preserve">. </w:t>
      </w:r>
      <w:bookmarkStart w:id="257" w:name="pg16437_172523"/>
    </w:p>
    <w:p>
      <w:pPr>
        <w:pStyle w:val="Heading5"/>
        <w:numPr>
          <w:ilvl w:val="4"/>
          <w:numId w:val="1"/>
        </w:numPr>
        <w:rPr/>
      </w:pPr>
      <w:bookmarkStart w:id="258" w:name="__RefHeading___Toc8039633_1280447820"/>
      <w:bookmarkStart w:id="259" w:name="_Toc91"/>
      <w:bookmarkEnd w:id="257"/>
      <w:bookmarkEnd w:id="258"/>
      <w:r>
        <w:rPr>
          <w:rtl w:val="true"/>
        </w:rPr>
        <w:t>المَسألةُ الأُولىٰ حُكمُ المَذيِ و الوَديِ‌</w:t>
      </w:r>
      <w:bookmarkEnd w:id="259"/>
    </w:p>
    <w:p>
      <w:pPr>
        <w:pStyle w:val="BookText"/>
        <w:rPr/>
      </w:pP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الفقهيّةِ التي تَفرَّدَتَ بها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المَذْيَ و الوَدْيَ لَيسا بناقِضَينِ‌</w:t>
      </w:r>
      <w:r>
        <w:rPr>
          <w:rStyle w:val="FootnoteAnchor"/>
          <w:rtl w:val="true"/>
        </w:rPr>
        <w:footnoteReference w:id="1187"/>
      </w:r>
      <w:r>
        <w:rPr>
          <w:rFonts w:ascii="Amiri" w:hAnsi="Amiri" w:eastAsia="Amiri" w:cs="Amiri"/>
          <w:color w:val="111111"/>
          <w:sz w:val="28"/>
          <w:sz w:val="28"/>
          <w:szCs w:val="28"/>
          <w:rtl w:val="true"/>
          <w:lang w:bidi="ar-SA"/>
        </w:rPr>
        <w:t>للطهارةِ</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و ما بَيَّنَ العِلمَ بتعيينِهما</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بفَتحِ الميمِ و تسكينِ الذالِ؛ و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مَذَى الرجُلُ، فهو يَمذي، بغَيرِ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الشيءُ الخارجُ مِن ذَكَرِ الرجُلِ عندَ القُبلةِ أو المُلامَسةِ أو النظَرِ</w:t>
      </w:r>
      <w:r>
        <w:rPr>
          <w:rStyle w:val="FootnoteAnchor"/>
          <w:rtl w:val="true"/>
        </w:rPr>
        <w:footnoteReference w:id="1191"/>
      </w:r>
      <w:r>
        <w:rPr>
          <w:rFonts w:ascii="Amiri" w:hAnsi="Amiri" w:eastAsia="Amiri" w:cs="Amiri"/>
          <w:color w:val="111111"/>
          <w:sz w:val="28"/>
          <w:sz w:val="28"/>
          <w:szCs w:val="28"/>
          <w:rtl w:val="true"/>
          <w:lang w:bidi="ar-SA"/>
        </w:rPr>
        <w:t>بالشهوةِ الشديدةِ، الجاري مَجرَى البُصاقِ الرقيقِ القِوامِ، و يَكثُرُ في الشبابِ و ذَوي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ناقضٍ للوضوءِ، و غيرُ نَجِسٍ أيضاً، و لا يَجِبُ منه غَسلُ ثَوبٍ و لا بَدَنٍ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 تسكينِ الدالِ، و يَجري في غِلَظِ قِوامِه مَجرَى البَلغَمِ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يَكثُرُ في الشيوخِ و ذَوي الرطوباتِ الغالبةِ، و يَقِلُّ أو يُعدَمُ في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طريقتُنا إلىٰ صِحّةِ ذلكَ و الحُجّةُ علَى الحقيقةِ فيه هو</w:t>
      </w:r>
      <w:r>
        <w:rPr>
          <w:rStyle w:val="FootnoteAnchor"/>
          <w:rtl w:val="true"/>
        </w:rPr>
        <w:footnoteReference w:id="1192"/>
      </w:r>
      <w:r>
        <w:rPr>
          <w:rFonts w:ascii="Amiri" w:hAnsi="Amiri" w:eastAsia="Amiri" w:cs="Amiri"/>
          <w:color w:val="111111"/>
          <w:sz w:val="28"/>
          <w:sz w:val="28"/>
          <w:szCs w:val="28"/>
          <w:rtl w:val="true"/>
          <w:lang w:bidi="ar-SA"/>
        </w:rPr>
        <w:t>إجماعُ الشيعةِ الإماميّةِ عليه، و في إجماعِها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اختلافَ بَينَ الإماميّةِ أنّ المَذيَ و الوَديَ لا يَنقُضانِ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مُتَظاهِرةٌ‌</w:t>
      </w:r>
      <w:r>
        <w:rPr>
          <w:rStyle w:val="FootnoteAnchor"/>
          <w:rtl w:val="true"/>
        </w:rPr>
        <w:footnoteReference w:id="1193"/>
      </w:r>
      <w:r>
        <w:rPr>
          <w:rFonts w:ascii="Amiri" w:hAnsi="Amiri" w:eastAsia="Amiri" w:cs="Amiri"/>
          <w:color w:val="111111"/>
          <w:sz w:val="28"/>
          <w:sz w:val="28"/>
          <w:szCs w:val="28"/>
          <w:rtl w:val="true"/>
          <w:lang w:bidi="ar-SA"/>
        </w:rPr>
        <w:t>عن سادتِنا</w:t>
      </w:r>
      <w:r>
        <w:rPr>
          <w:rStyle w:val="FootnoteAnchor"/>
          <w:rtl w:val="true"/>
        </w:rPr>
        <w:footnoteReference w:id="1194"/>
      </w:r>
      <w:r>
        <w:rPr>
          <w:rFonts w:ascii="Amiri" w:hAnsi="Amiri" w:eastAsia="Amiri" w:cs="Amiri"/>
          <w:color w:val="111111"/>
          <w:sz w:val="28"/>
          <w:sz w:val="28"/>
          <w:szCs w:val="28"/>
          <w:rtl w:val="true"/>
          <w:lang w:bidi="ar-SA"/>
        </w:rPr>
        <w:t>و أئمّتِنا عليهم السلامُ بذلكَ، و كتُبُ الشيعةِ بها مشحونةٌ، و هي أكثَرُ مِن أن تُحصىٰ أو تُستَقصىٰ؛ لأنّهم قد نَصّوا فيما وَرَدَ عنهم مِن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المَذيَ و الوَديَ لا يَنقُضانِ الوضوءَ</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علىٰ سَبيلِ التعيينِ 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أخبارٍ أُخَرَ نَصّوا و عَيَّنوا نَواقِضَ الوضوءِ، فَذَكروا أشياءَ مخصوصةً لَيسَ المَذيُ و الوَديُ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نَصَرنا هذا المَذهَبَ فيما أملَيناه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w:t>
      </w:r>
      <w:r>
        <w:rPr>
          <w:rFonts w:eastAsia="Amiri" w:cs="Amiri" w:ascii="Amiri" w:hAnsi="Amiri"/>
          <w:color w:val="111111"/>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في الأحكامِ الشرعيّةِ، و ذَكَرنا الحُجَجَ الواضحةَ في صِحّتِه، و أبطَلنا شُبَهَ المُخالِفينَ، بَعدَ أن حَكَيناها و استَوفَينا الكلامَ عليها، و بيّنّا أنّ خروجَ ما يَخرُجُ مِن السبيلِ علىٰ وجهٍ غيرِ مُعتادٍ و لا جارٍ</w:t>
      </w:r>
      <w:r>
        <w:rPr>
          <w:rStyle w:val="FootnoteAnchor"/>
          <w:rtl w:val="true"/>
        </w:rPr>
        <w:footnoteReference w:id="1197"/>
      </w:r>
      <w:r>
        <w:rPr>
          <w:rFonts w:ascii="Amiri" w:hAnsi="Amiri" w:eastAsia="Amiri" w:cs="Amiri"/>
          <w:color w:val="111111"/>
          <w:sz w:val="28"/>
          <w:sz w:val="28"/>
          <w:szCs w:val="28"/>
          <w:rtl w:val="true"/>
          <w:lang w:bidi="ar-SA"/>
        </w:rPr>
        <w:t>مَجراه لا يَنقُضُ الوضوءَ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الأصلَ‌</w:t>
      </w:r>
      <w:r>
        <w:rPr>
          <w:rStyle w:val="FootnoteAnchor"/>
          <w:rtl w:val="true"/>
        </w:rPr>
        <w:footnoteReference w:id="1198"/>
      </w:r>
      <w:r>
        <w:rPr>
          <w:rFonts w:ascii="Amiri" w:hAnsi="Amiri" w:eastAsia="Amiri" w:cs="Amiri"/>
          <w:color w:val="111111"/>
          <w:sz w:val="28"/>
          <w:sz w:val="28"/>
          <w:szCs w:val="28"/>
          <w:rtl w:val="true"/>
          <w:lang w:bidi="ar-SA"/>
        </w:rPr>
        <w:t xml:space="preserve">في هذا الاستدلالِ الريحَ الخارجةَ مِن الذَّكَرِ، و أنّها لا تَنقُضُ </w:t>
      </w:r>
    </w:p>
    <w:p>
      <w:pPr>
        <w:pStyle w:val="BookText"/>
        <w:rPr/>
      </w:pPr>
      <w:r>
        <w:rPr>
          <w:rFonts w:ascii="Amiri" w:hAnsi="Amiri" w:eastAsia="Amiri" w:cs="Amiri"/>
          <w:color w:val="111111"/>
          <w:sz w:val="28"/>
          <w:sz w:val="28"/>
          <w:szCs w:val="28"/>
          <w:rtl w:val="true"/>
          <w:lang w:bidi="ar-SA"/>
        </w:rPr>
        <w:t>الوضوءَ إجماعاً؛ لأنّ خروجَها مِن القُبُلِ غيرُ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خَرَجَت مِن الدُّبُرِ لَنَقَضَت الوضوءَ بِلا شَكٍّ؛ مِن حَيثُ كانَ مُعتاداً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خروجُ المَذيِ و الوَديِ غيرُ مُعتادٍ؛ لأنّه علىٰ سَبيلِ المرضِ و غلبةِ الأخلاطِ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الوَديِ أوضَحُ‌</w:t>
      </w:r>
      <w:r>
        <w:rPr>
          <w:rStyle w:val="FootnoteAnchor"/>
          <w:rtl w:val="true"/>
        </w:rPr>
        <w:footnoteReference w:id="1199"/>
      </w:r>
      <w:r>
        <w:rPr>
          <w:rFonts w:ascii="Amiri" w:hAnsi="Amiri" w:eastAsia="Amiri" w:cs="Amiri"/>
          <w:color w:val="111111"/>
          <w:sz w:val="28"/>
          <w:sz w:val="28"/>
          <w:szCs w:val="28"/>
          <w:rtl w:val="true"/>
          <w:lang w:bidi="ar-SA"/>
        </w:rPr>
        <w:t>و أشهَرُ؛ لأنّه تابعٌ لزيادةِ الرطوباتِ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كُلُّه قد بيّنّاه في المَوضِعِ الذي أشَرنا إليه، فمَن أرادَ الاستقصاءَ فليأخُذْه</w:t>
      </w:r>
      <w:r>
        <w:rPr>
          <w:rStyle w:val="FootnoteAnchor"/>
          <w:rtl w:val="true"/>
        </w:rPr>
        <w:footnoteReference w:id="1200"/>
      </w:r>
      <w:r>
        <w:rPr>
          <w:rFonts w:ascii="Amiri" w:hAnsi="Amiri" w:eastAsia="Amiri" w:cs="Amiri"/>
          <w:color w:val="111111"/>
          <w:sz w:val="28"/>
          <w:sz w:val="28"/>
          <w:szCs w:val="28"/>
          <w:rtl w:val="true"/>
          <w:lang w:bidi="ar-SA"/>
        </w:rPr>
        <w:t>مِن مَوضِعِه</w:t>
      </w:r>
      <w:r>
        <w:rPr>
          <w:rFonts w:eastAsia="Amiri" w:cs="Amiri" w:ascii="Amiri" w:hAnsi="Amiri"/>
          <w:color w:val="111111"/>
          <w:sz w:val="28"/>
          <w:szCs w:val="28"/>
          <w:rtl w:val="true"/>
          <w:lang w:bidi="ar-SA"/>
        </w:rPr>
        <w:t xml:space="preserve">. </w:t>
      </w:r>
      <w:bookmarkStart w:id="260" w:name="pg16437_172526"/>
    </w:p>
    <w:p>
      <w:pPr>
        <w:pStyle w:val="Heading5"/>
        <w:numPr>
          <w:ilvl w:val="4"/>
          <w:numId w:val="1"/>
        </w:numPr>
        <w:rPr/>
      </w:pPr>
      <w:bookmarkStart w:id="261" w:name="__RefHeading___Toc8039635_1280447820"/>
      <w:bookmarkStart w:id="262" w:name="_Toc92"/>
      <w:bookmarkEnd w:id="260"/>
      <w:bookmarkEnd w:id="261"/>
      <w:r>
        <w:rPr>
          <w:rtl w:val="true"/>
        </w:rPr>
        <w:t>المَسألةُ الثانيةُ أكثَرُ النِّفاسِ و أقَلُّه</w:t>
      </w:r>
      <w:bookmarkEnd w:id="262"/>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1201"/>
      </w:r>
      <w:r>
        <w:rPr>
          <w:rFonts w:ascii="Amiri" w:hAnsi="Amiri" w:eastAsia="Amiri" w:cs="Amiri"/>
          <w:color w:val="111111"/>
          <w:sz w:val="28"/>
          <w:sz w:val="28"/>
          <w:szCs w:val="28"/>
          <w:rtl w:val="true"/>
          <w:lang w:bidi="ar-SA"/>
        </w:rPr>
        <w:t>أكثَرَ النِّفاسِ ثَمانيةَ عَشَرَ يَوماً</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 xml:space="preserve">و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الفقهِ</w:t>
      </w:r>
      <w:r>
        <w:rPr>
          <w:rFonts w:eastAsia="Amiri" w:cs="Amiri" w:ascii="Amiri" w:hAnsi="Amiri"/>
          <w:color w:val="111111"/>
          <w:sz w:val="28"/>
          <w:szCs w:val="28"/>
          <w:rtl w:val="true"/>
          <w:lang w:bidi="ar-SA"/>
        </w:rPr>
        <w:t>»</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يَوماً</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و لَم يَذكُرْ أقَلَّه</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المُعتَمَدَ عليه في أكثَرِ النِّفاسِ هو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أقَلُّ النِّفاسِ فهو انقطاعُ الدمِ، و لَيسَ لذلكَ حَدٌّ مُقدَّرٌ بزَمانٍ، بَل الاعتبارُ فيه بانقطاعِ الدمِ؛ سَواءٌ كانَ انقطاعُه سَريعاً، أو بَطيئاً</w:t>
      </w:r>
      <w:r>
        <w:rPr>
          <w:rFonts w:eastAsia="Amiri" w:cs="Amiri" w:ascii="Amiri" w:hAnsi="Amiri"/>
          <w:color w:val="111111"/>
          <w:sz w:val="28"/>
          <w:szCs w:val="28"/>
          <w:rtl w:val="true"/>
          <w:lang w:bidi="ar-SA"/>
        </w:rPr>
        <w:t>.</w:t>
      </w:r>
      <w:r>
        <w:rPr>
          <w:rStyle w:val="FootnoteAnchor"/>
          <w:rtl w:val="true"/>
        </w:rPr>
        <w:footnoteReference w:id="120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الأخبارُ المُتَظاهِرةُ‌</w:t>
      </w:r>
      <w:r>
        <w:rPr>
          <w:rStyle w:val="FootnoteAnchor"/>
          <w:rtl w:val="true"/>
        </w:rPr>
        <w:footnoteReference w:id="1207"/>
      </w:r>
      <w:r>
        <w:rPr>
          <w:rFonts w:ascii="Amiri" w:hAnsi="Amiri" w:eastAsia="Amiri" w:cs="Amiri"/>
          <w:color w:val="111111"/>
          <w:sz w:val="28"/>
          <w:sz w:val="28"/>
          <w:szCs w:val="28"/>
          <w:rtl w:val="true"/>
          <w:lang w:bidi="ar-SA"/>
        </w:rPr>
        <w:t>عن الصادقينَ عليهمُ السلامُ‌</w:t>
      </w:r>
      <w:r>
        <w:rPr>
          <w:rStyle w:val="FootnoteAnchor"/>
          <w:rtl w:val="true"/>
        </w:rPr>
        <w:footnoteReference w:id="1208"/>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 في نِفاسِ المَرأةِ أكثَرُ أيّامِ حَيضِها، و تَستَظهِرُ في ذلكَ بيَومٍ و اثنَينِ</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و أكثَرُ ما يَبعُدُ النِّفاسُ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الآثارُ مُتظاهِرةً‌</w:t>
      </w:r>
      <w:r>
        <w:rPr>
          <w:rStyle w:val="FootnoteAnchor"/>
          <w:rtl w:val="true"/>
        </w:rPr>
        <w:footnoteReference w:id="1210"/>
      </w:r>
      <w:r>
        <w:rPr>
          <w:rFonts w:ascii="Amiri" w:hAnsi="Amiri" w:eastAsia="Amiri" w:cs="Amiri"/>
          <w:color w:val="111111"/>
          <w:sz w:val="28"/>
          <w:sz w:val="28"/>
          <w:szCs w:val="28"/>
          <w:rtl w:val="true"/>
          <w:lang w:bidi="ar-SA"/>
        </w:rPr>
        <w:t>عن سادتِنا</w:t>
      </w:r>
      <w:r>
        <w:rPr>
          <w:rStyle w:val="FootnoteAnchor"/>
          <w:rtl w:val="true"/>
        </w:rPr>
        <w:footnoteReference w:id="1211"/>
      </w:r>
      <w:r>
        <w:rPr>
          <w:rFonts w:ascii="Amiri" w:hAnsi="Amiri" w:eastAsia="Amiri" w:cs="Amiri"/>
          <w:color w:val="111111"/>
          <w:sz w:val="28"/>
          <w:sz w:val="28"/>
          <w:szCs w:val="28"/>
          <w:rtl w:val="true"/>
          <w:lang w:bidi="ar-SA"/>
        </w:rPr>
        <w:t>عليهمُ السلامُ بأنّ أسماءَ بِنتَ عُمَيسٍ نُفِسَت بمُحمّدِ بنِ أبي بَكرٍ، فأمَرَها رسولُ اللّٰهِ‌</w:t>
      </w:r>
      <w:r>
        <w:rPr>
          <w:rStyle w:val="FootnoteAnchor"/>
          <w:rtl w:val="true"/>
        </w:rPr>
        <w:footnoteReference w:id="1212"/>
      </w:r>
      <w:r>
        <w:rPr>
          <w:rFonts w:ascii="Amiri" w:hAnsi="Amiri" w:eastAsia="Amiri" w:cs="Amiri"/>
          <w:color w:val="111111"/>
          <w:sz w:val="28"/>
          <w:sz w:val="28"/>
          <w:szCs w:val="28"/>
          <w:rtl w:val="true"/>
          <w:lang w:bidi="ar-SA"/>
        </w:rPr>
        <w:t>صَلَّى اللّٰهُ عليه و آلِه حينَ أرادَت الإحرامَ بذي الحُلَيفةِ أن تَحتَشيَ بالكُرسُفِ و تُهِلَّ بالحَجِّ، فلمّا أتَت لها ثَمانيةَ عَشَرَ يَوماً أمَرَها رسولُ اللّٰهِ صَلَّى اللّٰهُ عليه و آلِه أن تَطوفَ بالبَيتِ و تُصلّيَ و لَم يَنقطِعْ عنها الدمُ، ففَعَلَت ذلكَ</w:t>
      </w:r>
      <w:r>
        <w:rPr>
          <w:rFonts w:eastAsia="Amiri" w:cs="Amiri" w:ascii="Amiri" w:hAnsi="Amiri"/>
          <w:color w:val="111111"/>
          <w:sz w:val="28"/>
          <w:szCs w:val="28"/>
          <w:rtl w:val="true"/>
          <w:lang w:bidi="ar-SA"/>
        </w:rPr>
        <w:t>.</w:t>
      </w:r>
      <w:r>
        <w:rPr>
          <w:rStyle w:val="FootnoteAnchor"/>
          <w:rtl w:val="true"/>
        </w:rPr>
        <w:footnoteReference w:id="121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أيضاً ممّا</w:t>
      </w:r>
      <w:r>
        <w:rPr>
          <w:rStyle w:val="FootnoteAnchor"/>
          <w:rtl w:val="true"/>
        </w:rPr>
        <w:footnoteReference w:id="1214"/>
      </w:r>
      <w:r>
        <w:rPr>
          <w:rFonts w:ascii="Amiri" w:hAnsi="Amiri" w:eastAsia="Amiri" w:cs="Amiri"/>
          <w:color w:val="111111"/>
          <w:sz w:val="28"/>
          <w:sz w:val="28"/>
          <w:szCs w:val="28"/>
          <w:rtl w:val="true"/>
          <w:lang w:bidi="ar-SA"/>
        </w:rPr>
        <w:t>قد استَقصَينا الكلامَ فيه</w:t>
      </w:r>
      <w:r>
        <w:rPr>
          <w:rStyle w:val="FootnoteAnchor"/>
          <w:rtl w:val="true"/>
        </w:rPr>
        <w:footnoteReference w:id="121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أبا حَنيفةَ و أصحابَه و الثوريَّ‌</w:t>
      </w:r>
      <w:r>
        <w:rPr>
          <w:rStyle w:val="FootnoteAnchor"/>
          <w:rtl w:val="true"/>
        </w:rPr>
        <w:footnoteReference w:id="1216"/>
      </w:r>
      <w:r>
        <w:rPr>
          <w:rFonts w:ascii="Amiri" w:hAnsi="Amiri" w:eastAsia="Amiri" w:cs="Amiri"/>
          <w:color w:val="111111"/>
          <w:sz w:val="28"/>
          <w:sz w:val="28"/>
          <w:szCs w:val="28"/>
          <w:rtl w:val="true"/>
          <w:lang w:bidi="ar-SA"/>
        </w:rPr>
        <w:t>و الليثَ‌</w:t>
      </w:r>
      <w:r>
        <w:rPr>
          <w:rStyle w:val="FootnoteAnchor"/>
          <w:rtl w:val="true"/>
        </w:rPr>
        <w:footnoteReference w:id="1217"/>
      </w:r>
      <w:r>
        <w:rPr>
          <w:rFonts w:ascii="Amiri" w:hAnsi="Amiri" w:eastAsia="Amiri" w:cs="Amiri"/>
          <w:color w:val="111111"/>
          <w:sz w:val="28"/>
          <w:sz w:val="28"/>
          <w:szCs w:val="28"/>
          <w:rtl w:val="true"/>
          <w:lang w:bidi="ar-SA"/>
        </w:rPr>
        <w:t>يَذهَبونَ إلىٰ أنّ أكثَرَ النِّفاسِ أربَعونَ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الشافعيُّ و عُبيدُ اللّٰهِ بنُ الحَسَنِ العَنْبَريُّ‌</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و الرجل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الحسن بن الحُصَين العنبريّ، من فقهاء العامّة، من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قضاءَ البصرة سنة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عُزل سنة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توفّي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مالكٌ في قولِه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النِّفاسِ سِتّونَ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أنّ في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حُكيَ عن البَصريِّ‌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أكثَرَه خَمسونَ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الكلامُ علىٰ هذه المَذاهبِ، و ما يُحتَجُّ به لها</w:t>
      </w:r>
      <w:r>
        <w:rPr>
          <w:rStyle w:val="FootnoteAnchor"/>
          <w:rtl w:val="true"/>
        </w:rPr>
        <w:footnoteReference w:id="1219"/>
      </w:r>
      <w:r>
        <w:rPr>
          <w:rFonts w:ascii="IRNazanin" w:hAnsi="IRNazanin" w:eastAsia="IRNazanin"/>
          <w:color w:val="111111"/>
          <w:sz w:val="28"/>
          <w:sz w:val="28"/>
          <w:szCs w:val="28"/>
          <w:rtl w:val="true"/>
          <w:lang w:bidi="fa-IR"/>
        </w:rPr>
        <w:t>و</w:t>
      </w:r>
      <w:r>
        <w:rPr>
          <w:rStyle w:val="FootnoteAnchor"/>
          <w:rtl w:val="true"/>
        </w:rPr>
        <w:footnoteReference w:id="1220"/>
      </w:r>
      <w:r>
        <w:rPr>
          <w:rFonts w:ascii="Amiri" w:hAnsi="Amiri" w:eastAsia="Amiri" w:cs="Amiri"/>
          <w:color w:val="111111"/>
          <w:sz w:val="28"/>
          <w:sz w:val="28"/>
          <w:szCs w:val="28"/>
          <w:rtl w:val="true"/>
          <w:lang w:bidi="ar-SA"/>
        </w:rPr>
        <w:t xml:space="preserve">عليها، قد استَوفَيناه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انتَهَينا فيه إلىٰ أبعَدِ الغاياتِ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بَيَّنَ مِن طريقِ الاستدلالِ صِحّةَ مَذهبِنا في أكثَرِ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الاتّفاقَ مِن الأُمّةِ حاصلٌ علىٰ أنّ الأيّامَ التي قَدَّرنا</w:t>
      </w:r>
      <w:r>
        <w:rPr>
          <w:rStyle w:val="FootnoteAnchor"/>
          <w:rtl w:val="true"/>
        </w:rPr>
        <w:footnoteReference w:id="1221"/>
      </w:r>
      <w:r>
        <w:rPr>
          <w:rFonts w:ascii="Amiri" w:hAnsi="Amiri" w:eastAsia="Amiri" w:cs="Amiri"/>
          <w:color w:val="111111"/>
          <w:sz w:val="28"/>
          <w:sz w:val="28"/>
          <w:szCs w:val="28"/>
          <w:rtl w:val="true"/>
          <w:lang w:bidi="ar-SA"/>
        </w:rPr>
        <w:t>بها النِّفاسَ لَحِقَها</w:t>
      </w:r>
      <w:r>
        <w:rPr>
          <w:rStyle w:val="FootnoteAnchor"/>
          <w:rtl w:val="true"/>
        </w:rPr>
        <w:footnoteReference w:id="1222"/>
      </w:r>
      <w:r>
        <w:rPr>
          <w:rFonts w:ascii="Amiri" w:hAnsi="Amiri" w:eastAsia="Amiri" w:cs="Amiri"/>
          <w:color w:val="111111"/>
          <w:sz w:val="28"/>
          <w:sz w:val="28"/>
          <w:szCs w:val="28"/>
          <w:rtl w:val="true"/>
          <w:lang w:bidi="ar-SA"/>
        </w:rPr>
        <w:t xml:space="preserve">حُكمُ النِّفاسِ، و لَم يَحصُلْ </w:t>
      </w:r>
    </w:p>
    <w:p>
      <w:pPr>
        <w:pStyle w:val="BookText"/>
        <w:rPr/>
      </w:pPr>
      <w:r>
        <w:rPr>
          <w:rFonts w:ascii="Amiri" w:hAnsi="Amiri" w:eastAsia="Amiri" w:cs="Amiri"/>
          <w:color w:val="111111"/>
          <w:sz w:val="28"/>
          <w:sz w:val="28"/>
          <w:szCs w:val="28"/>
          <w:rtl w:val="true"/>
          <w:lang w:bidi="ar-SA"/>
        </w:rPr>
        <w:t>فيما زادَ علىٰ ذلكَ اتّفاقٌ و 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القياسُ لا يَصِحُّ إثباتُ المَقاديرِ به؛ فيَجِبُ القولُ بما ذَكَرناه دونَ ما عَداه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داخلةٌ في عمومِ الأمرِ بالصلاةِ و الصومِ، و إنّما نُخرِجُها في الأيّامِ التي حَدَّدناها مِن عمومِ الأمرِ بالإجماعِ؛ و لا إجماعَ و لا دليلَ فيما زادَ علىٰ ذلكَ، فيَجِبُ الحُكمُ بدخولِها تَحتَ عمومِ الأمرِ</w:t>
      </w:r>
      <w:r>
        <w:rPr>
          <w:rFonts w:eastAsia="Amiri" w:cs="Amiri" w:ascii="Amiri" w:hAnsi="Amiri"/>
          <w:color w:val="111111"/>
          <w:sz w:val="28"/>
          <w:szCs w:val="28"/>
          <w:rtl w:val="true"/>
          <w:lang w:bidi="ar-SA"/>
        </w:rPr>
        <w:t xml:space="preserve">. </w:t>
      </w:r>
      <w:bookmarkStart w:id="263" w:name="pg16437_172530"/>
    </w:p>
    <w:p>
      <w:pPr>
        <w:pStyle w:val="Heading5"/>
        <w:numPr>
          <w:ilvl w:val="4"/>
          <w:numId w:val="1"/>
        </w:numPr>
        <w:rPr/>
      </w:pPr>
      <w:bookmarkStart w:id="264" w:name="__RefHeading___Toc8039637_1280447820"/>
      <w:bookmarkStart w:id="265" w:name="_Toc93"/>
      <w:bookmarkEnd w:id="263"/>
      <w:bookmarkEnd w:id="264"/>
      <w:r>
        <w:rPr>
          <w:rtl w:val="true"/>
        </w:rPr>
        <w:t>المسألةُ الثالثةُ كَراهةُ السُّجودِ علَى الثَّوبِ المنسوجِ‌</w:t>
      </w:r>
      <w:bookmarkEnd w:id="265"/>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السجودَ لا يَجوزُ علىٰ ثَوبٍ منسوجٍ، ثُمَّ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إلّاعندَ الضرورةِ؛</w:t>
      </w:r>
      <w:r>
        <w:rPr>
          <w:rStyle w:val="FootnoteAnchor"/>
          <w:rtl w:val="true"/>
        </w:rPr>
        <w:footnoteReference w:id="1223"/>
      </w:r>
      <w:r>
        <w:rPr>
          <w:rFonts w:ascii="Amiri" w:hAnsi="Amiri" w:eastAsia="Amiri" w:cs="Amiri"/>
          <w:color w:val="111111"/>
          <w:sz w:val="28"/>
          <w:sz w:val="28"/>
          <w:szCs w:val="28"/>
          <w:rtl w:val="true"/>
          <w:lang w:bidi="ar-SA"/>
        </w:rPr>
        <w:t>و لِمَ‌</w:t>
      </w:r>
      <w:r>
        <w:rPr>
          <w:rStyle w:val="FootnoteAnchor"/>
          <w:rtl w:val="true"/>
        </w:rPr>
        <w:footnoteReference w:id="1224"/>
      </w:r>
      <w:r>
        <w:rPr>
          <w:rFonts w:ascii="Amiri" w:hAnsi="Amiri" w:eastAsia="Amiri" w:cs="Amiri"/>
          <w:color w:val="111111"/>
          <w:sz w:val="28"/>
          <w:sz w:val="28"/>
          <w:szCs w:val="28"/>
          <w:rtl w:val="true"/>
          <w:lang w:bidi="ar-SA"/>
        </w:rPr>
        <w:t>صارَت الضرورةُ تُجوِّزُ ما لا يَجوزُ؟</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السُّجودَ علَى</w:t>
      </w:r>
      <w:r>
        <w:rPr>
          <w:rStyle w:val="FootnoteAnchor"/>
          <w:rtl w:val="true"/>
        </w:rPr>
        <w:footnoteReference w:id="1225"/>
      </w:r>
      <w:r>
        <w:rPr>
          <w:rFonts w:ascii="Amiri" w:hAnsi="Amiri" w:eastAsia="Amiri" w:cs="Amiri"/>
          <w:color w:val="111111"/>
          <w:sz w:val="28"/>
          <w:sz w:val="28"/>
          <w:szCs w:val="28"/>
          <w:rtl w:val="true"/>
          <w:lang w:bidi="ar-SA"/>
        </w:rPr>
        <w:t xml:space="preserve">الثوبِ المنسوجِ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قُطنٍ أو 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طاهِراً يُكرَهُ؛</w:t>
      </w:r>
      <w:r>
        <w:rPr>
          <w:rStyle w:val="FootnoteAnchor"/>
          <w:rtl w:val="true"/>
        </w:rPr>
        <w:footnoteReference w:id="1226"/>
      </w:r>
      <w:r>
        <w:rPr>
          <w:rFonts w:ascii="Amiri" w:hAnsi="Amiri" w:eastAsia="Amiri" w:cs="Amiri"/>
          <w:color w:val="111111"/>
          <w:sz w:val="28"/>
          <w:sz w:val="28"/>
          <w:szCs w:val="28"/>
          <w:rtl w:val="true"/>
          <w:lang w:bidi="ar-SA"/>
        </w:rPr>
        <w:t>كَراهيةَ‌</w:t>
      </w:r>
      <w:r>
        <w:rPr>
          <w:rStyle w:val="FootnoteAnchor"/>
          <w:rtl w:val="true"/>
        </w:rPr>
        <w:footnoteReference w:id="1227"/>
      </w:r>
      <w:r>
        <w:rPr>
          <w:rFonts w:ascii="Amiri" w:hAnsi="Amiri" w:eastAsia="Amiri" w:cs="Amiri"/>
          <w:color w:val="111111"/>
          <w:sz w:val="28"/>
          <w:sz w:val="28"/>
          <w:szCs w:val="28"/>
          <w:rtl w:val="true"/>
          <w:lang w:bidi="ar-SA"/>
        </w:rPr>
        <w:t>تنزيهٍ‌</w:t>
      </w:r>
      <w:r>
        <w:rPr>
          <w:rStyle w:val="FootnoteAnchor"/>
          <w:rtl w:val="true"/>
        </w:rPr>
        <w:footnoteReference w:id="1228"/>
      </w:r>
      <w:r>
        <w:rPr>
          <w:rFonts w:ascii="Amiri" w:hAnsi="Amiri" w:eastAsia="Amiri" w:cs="Amiri"/>
          <w:color w:val="111111"/>
          <w:sz w:val="28"/>
          <w:sz w:val="28"/>
          <w:szCs w:val="28"/>
          <w:rtl w:val="true"/>
          <w:lang w:bidi="ar-SA"/>
        </w:rPr>
        <w:t>و طَلَبَ فَضلٍ، لا أنّه محظورٌ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يَجري السُّجودُ علَى الثوبِ المنسوجِ في القُبحِ و الحَظرِ عندَ أحَدٍ مَجرَى السُّجودِ علَى المكانِ النجِسِ، و إن كانَ أصحابُنا لَم يُفصِّلوا هذا التفصيلَ، و أطلَقوا القولَ إطلاقاً، و الصحيحُ ما ذَكَرناه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تأمَّلَ حَقَّ التأمُّلِ عَلِمَ أنّه علىٰ ما فَصَّلناه و أَوضَحناه؛ لأنّه لَو كانَ السُّجودُ </w:t>
      </w:r>
    </w:p>
    <w:p>
      <w:pPr>
        <w:pStyle w:val="BookText"/>
        <w:rPr/>
      </w:pPr>
      <w:r>
        <w:rPr>
          <w:rFonts w:ascii="Amiri" w:hAnsi="Amiri" w:eastAsia="Amiri" w:cs="Amiri"/>
          <w:color w:val="111111"/>
          <w:sz w:val="28"/>
          <w:sz w:val="28"/>
          <w:szCs w:val="28"/>
          <w:rtl w:val="true"/>
          <w:lang w:bidi="ar-SA"/>
        </w:rPr>
        <w:t>علَى الثوبِ المنسوجِ مُحرَّماً محظوراً، لَجَرىٰ في القُبحِ و وجوبِ إعادةِ الصلاةِ و استئنافِها مَجرَى السُّجودِ علَى النَّجاسةِ، و معلومٌ أنّ أحَداً لا يَنتَهي إلىٰ ذلكَ؛ فعُلِمَ أنّه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علىٰ سَبيلِ التنَزُّهِ‌</w:t>
      </w:r>
      <w:r>
        <w:rPr>
          <w:rStyle w:val="FootnoteAnchor"/>
          <w:rtl w:val="true"/>
        </w:rPr>
        <w:footnoteReference w:id="1229"/>
      </w:r>
      <w:r>
        <w:rPr>
          <w:rFonts w:ascii="Amiri" w:hAnsi="Amiri" w:eastAsia="Amiri" w:cs="Amiri"/>
          <w:color w:val="111111"/>
          <w:sz w:val="28"/>
          <w:sz w:val="28"/>
          <w:szCs w:val="28"/>
          <w:rtl w:val="true"/>
          <w:lang w:bidi="ar-SA"/>
        </w:rPr>
        <w:t>لا سَبيلِ الحَظرِ و التحريمِ، فالأعذارُ</w:t>
      </w:r>
      <w:r>
        <w:rPr>
          <w:rStyle w:val="FootnoteAnchor"/>
          <w:rtl w:val="true"/>
        </w:rPr>
        <w:footnoteReference w:id="1230"/>
      </w:r>
      <w:r>
        <w:rPr>
          <w:rFonts w:ascii="Amiri" w:hAnsi="Amiri" w:eastAsia="Amiri" w:cs="Amiri"/>
          <w:color w:val="111111"/>
          <w:sz w:val="28"/>
          <w:sz w:val="28"/>
          <w:szCs w:val="28"/>
          <w:rtl w:val="true"/>
          <w:lang w:bidi="ar-SA"/>
        </w:rPr>
        <w:t>الضعيفةُ فيه</w:t>
      </w:r>
      <w:r>
        <w:rPr>
          <w:rStyle w:val="FootnoteAnchor"/>
          <w:rtl w:val="true"/>
        </w:rPr>
        <w:footnoteReference w:id="1231"/>
      </w:r>
      <w:r>
        <w:rPr>
          <w:rFonts w:ascii="Amiri" w:hAnsi="Amiri" w:eastAsia="Amiri" w:cs="Amiri"/>
          <w:color w:val="111111"/>
          <w:sz w:val="28"/>
          <w:sz w:val="28"/>
          <w:szCs w:val="28"/>
          <w:rtl w:val="true"/>
          <w:lang w:bidi="ar-SA"/>
        </w:rPr>
        <w:t>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التعجُّبُ مِن أن تَكونَ‌</w:t>
      </w:r>
      <w:r>
        <w:rPr>
          <w:rStyle w:val="FootnoteAnchor"/>
          <w:rtl w:val="true"/>
        </w:rPr>
        <w:footnoteReference w:id="1232"/>
      </w:r>
      <w:r>
        <w:rPr>
          <w:rFonts w:ascii="Amiri" w:hAnsi="Amiri" w:eastAsia="Amiri" w:cs="Amiri"/>
          <w:color w:val="111111"/>
          <w:sz w:val="28"/>
          <w:sz w:val="28"/>
          <w:szCs w:val="28"/>
          <w:rtl w:val="true"/>
          <w:lang w:bidi="ar-SA"/>
        </w:rPr>
        <w:t>الضرورةُ يَجوزُ</w:t>
      </w:r>
      <w:r>
        <w:rPr>
          <w:rStyle w:val="FootnoteAnchor"/>
          <w:rtl w:val="true"/>
        </w:rPr>
        <w:footnoteReference w:id="1233"/>
      </w:r>
      <w:r>
        <w:rPr>
          <w:rFonts w:ascii="Amiri" w:hAnsi="Amiri" w:eastAsia="Amiri" w:cs="Amiri"/>
          <w:color w:val="111111"/>
          <w:sz w:val="28"/>
          <w:sz w:val="28"/>
          <w:szCs w:val="28"/>
          <w:rtl w:val="true"/>
          <w:lang w:bidi="ar-SA"/>
        </w:rPr>
        <w:t>معها ما لا يَجوزُ</w:t>
      </w:r>
      <w:r>
        <w:rPr>
          <w:rStyle w:val="FootnoteAnchor"/>
          <w:rtl w:val="true"/>
        </w:rPr>
        <w:footnoteReference w:id="1234"/>
      </w:r>
      <w:r>
        <w:rPr>
          <w:rFonts w:ascii="Amiri" w:hAnsi="Amiri" w:eastAsia="Amiri" w:cs="Amiri"/>
          <w:color w:val="111111"/>
          <w:sz w:val="28"/>
          <w:sz w:val="28"/>
          <w:szCs w:val="28"/>
          <w:rtl w:val="true"/>
          <w:lang w:bidi="ar-SA"/>
        </w:rPr>
        <w:t>مع فَقدِها ففي غيرِ مَوضِعِه؛ لأنّ الضروراتِ أبَداً تُسقِطُ التكليفَ، و تُعتَبَرُ في جَميعِ‌</w:t>
      </w:r>
      <w:r>
        <w:rPr>
          <w:rStyle w:val="FootnoteAnchor"/>
          <w:rtl w:val="true"/>
        </w:rPr>
        <w:footnoteReference w:id="1235"/>
      </w:r>
      <w:r>
        <w:rPr>
          <w:rFonts w:ascii="Amiri" w:hAnsi="Amiri" w:eastAsia="Amiri" w:cs="Amiri"/>
          <w:color w:val="111111"/>
          <w:sz w:val="28"/>
          <w:sz w:val="28"/>
          <w:szCs w:val="28"/>
          <w:rtl w:val="true"/>
          <w:lang w:bidi="ar-SA"/>
        </w:rPr>
        <w:t>أحكامِ الشريعةِ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المَيتةَ تَحِلُّ مع الضرورةِ و تَحرُمُ مع الاختيارِ، و الصلاةَ بغَيرِ طهارةٍ بالماءِ تَحِلُّ مع الضرورةِ و تَحرُمُ مع الاختيارِ؟ و أمثالُ ذلكَ أكثَرُ مِن أن نُحصِيَه</w:t>
      </w:r>
      <w:r>
        <w:rPr>
          <w:rFonts w:eastAsia="Amiri" w:cs="Amiri" w:ascii="Amiri" w:hAnsi="Amiri"/>
          <w:color w:val="111111"/>
          <w:sz w:val="28"/>
          <w:szCs w:val="28"/>
          <w:rtl w:val="true"/>
          <w:lang w:bidi="ar-SA"/>
        </w:rPr>
        <w:t xml:space="preserve">. </w:t>
      </w:r>
      <w:bookmarkStart w:id="266" w:name="pg16437_172532"/>
    </w:p>
    <w:p>
      <w:pPr>
        <w:pStyle w:val="Heading5"/>
        <w:numPr>
          <w:ilvl w:val="4"/>
          <w:numId w:val="1"/>
        </w:numPr>
        <w:rPr/>
      </w:pPr>
      <w:bookmarkStart w:id="267" w:name="__RefHeading___Toc8039639_1280447820"/>
      <w:bookmarkStart w:id="268" w:name="_Toc94"/>
      <w:bookmarkEnd w:id="266"/>
      <w:bookmarkEnd w:id="267"/>
      <w:r>
        <w:rPr>
          <w:rtl w:val="true"/>
        </w:rPr>
        <w:t>المَسألةُ الرابِعةُ مَسائلُ في الشُّفعةِ‌</w:t>
      </w:r>
      <w:bookmarkEnd w:id="268"/>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شُفعةَ‌</w:t>
      </w:r>
      <w:r>
        <w:rPr>
          <w:rStyle w:val="FootnoteAnchor"/>
          <w:rtl w:val="true"/>
        </w:rPr>
        <w:footnoteReference w:id="1236"/>
      </w:r>
      <w:r>
        <w:rPr>
          <w:rFonts w:ascii="Amiri" w:hAnsi="Amiri" w:eastAsia="Amiri" w:cs="Amiri"/>
          <w:color w:val="111111"/>
          <w:sz w:val="28"/>
          <w:sz w:val="28"/>
          <w:szCs w:val="28"/>
          <w:rtl w:val="true"/>
          <w:lang w:bidi="ar-SA"/>
        </w:rPr>
        <w:t>تَصِحُّ في العَقارِ</w:t>
      </w:r>
      <w:r>
        <w:rPr>
          <w:rStyle w:val="FootnoteAnchor"/>
          <w:rtl w:val="true"/>
        </w:rPr>
        <w:footnoteReference w:id="1237"/>
      </w:r>
      <w:r>
        <w:rPr>
          <w:rFonts w:ascii="Amiri" w:hAnsi="Amiri" w:eastAsia="Amiri" w:cs="Amiri"/>
          <w:color w:val="111111"/>
          <w:sz w:val="28"/>
          <w:sz w:val="28"/>
          <w:szCs w:val="28"/>
          <w:rtl w:val="true"/>
          <w:lang w:bidi="ar-SA"/>
        </w:rPr>
        <w:t>بَينَ أكثَرَ مِن اثنَينِ‌</w:t>
      </w:r>
      <w:r>
        <w:rPr>
          <w:rStyle w:val="FootnoteAnchor"/>
          <w:rtl w:val="true"/>
        </w:rPr>
        <w:footnoteReference w:id="1238"/>
      </w:r>
      <w:r>
        <w:rPr>
          <w:rFonts w:ascii="Amiri" w:hAnsi="Amiri" w:eastAsia="Amiri" w:cs="Amiri"/>
          <w:color w:val="111111"/>
          <w:sz w:val="28"/>
          <w:sz w:val="28"/>
          <w:szCs w:val="28"/>
          <w:rtl w:val="true"/>
          <w:lang w:bidi="ar-SA"/>
        </w:rPr>
        <w:t>، و إذا تَحيَّزَت</w:t>
      </w:r>
      <w:r>
        <w:rPr>
          <w:rStyle w:val="FootnoteAnchor"/>
          <w:rtl w:val="true"/>
        </w:rPr>
        <w:footnoteReference w:id="1239"/>
      </w:r>
      <w:r>
        <w:rPr>
          <w:rFonts w:ascii="Amiri" w:hAnsi="Amiri" w:eastAsia="Amiri" w:cs="Amiri"/>
          <w:color w:val="111111"/>
          <w:sz w:val="28"/>
          <w:sz w:val="28"/>
          <w:szCs w:val="28"/>
          <w:rtl w:val="true"/>
          <w:lang w:bidi="ar-SA"/>
        </w:rPr>
        <w:t>الأملاكُ‌</w:t>
      </w:r>
      <w:r>
        <w:rPr>
          <w:rStyle w:val="FootnoteAnchor"/>
          <w:rtl w:val="true"/>
        </w:rPr>
        <w:footnoteReference w:id="1240"/>
      </w:r>
      <w:r>
        <w:rPr>
          <w:rFonts w:ascii="Amiri" w:hAnsi="Amiri" w:eastAsia="Amiri" w:cs="Amiri"/>
          <w:color w:val="111111"/>
          <w:sz w:val="28"/>
          <w:sz w:val="28"/>
          <w:szCs w:val="28"/>
          <w:rtl w:val="true"/>
          <w:lang w:bidi="ar-SA"/>
        </w:rPr>
        <w:t>فلا شُفعةَ‌</w:t>
      </w:r>
      <w:r>
        <w:rPr>
          <w:rStyle w:val="FootnoteAnchor"/>
          <w:rtl w:val="true"/>
        </w:rPr>
        <w:footnoteReference w:id="1241"/>
      </w:r>
      <w:r>
        <w:rPr>
          <w:rFonts w:ascii="Amiri" w:hAnsi="Amiri" w:eastAsia="Amiri" w:cs="Amiri"/>
          <w:color w:val="111111"/>
          <w:sz w:val="28"/>
          <w:sz w:val="28"/>
          <w:szCs w:val="28"/>
          <w:rtl w:val="true"/>
          <w:lang w:bidi="ar-SA"/>
        </w:rPr>
        <w:t>، و الشُّفعةُ تَجِبُ بالسِّربِ‌</w:t>
      </w:r>
      <w:r>
        <w:rPr>
          <w:rStyle w:val="FootnoteAnchor"/>
          <w:rtl w:val="true"/>
        </w:rPr>
        <w:footnoteReference w:id="1242"/>
      </w:r>
      <w:r>
        <w:rPr>
          <w:rFonts w:ascii="Amiri" w:hAnsi="Amiri" w:eastAsia="Amiri" w:cs="Amiri"/>
          <w:color w:val="111111"/>
          <w:sz w:val="28"/>
          <w:sz w:val="28"/>
          <w:szCs w:val="28"/>
          <w:rtl w:val="true"/>
          <w:lang w:bidi="ar-SA"/>
        </w:rPr>
        <w:t>و الطريقِ</w:t>
      </w:r>
      <w:r>
        <w:rPr>
          <w:rFonts w:eastAsia="Amiri" w:cs="Amiri" w:ascii="Amiri" w:hAnsi="Amiri"/>
          <w:color w:val="111111"/>
          <w:sz w:val="28"/>
          <w:szCs w:val="28"/>
          <w:rtl w:val="true"/>
          <w:lang w:bidi="ar-SA"/>
        </w:rPr>
        <w:t>.</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المَسألةُ الأولىٰ مِن مَسائلِ الشُّفعةِ، و هي اعتبارُها في الاثنَينِ و إسقاطُها فيما زادَ عليهما مِن عَدَدِ الشُّرَكاءِ، فلَعَمري إنّه ممّا</w:t>
      </w:r>
      <w:r>
        <w:rPr>
          <w:rStyle w:val="FootnoteAnchor"/>
          <w:rtl w:val="true"/>
        </w:rPr>
        <w:footnoteReference w:id="1244"/>
      </w:r>
      <w:r>
        <w:rPr>
          <w:rFonts w:ascii="Amiri" w:hAnsi="Amiri" w:eastAsia="Amiri" w:cs="Amiri"/>
          <w:color w:val="111111"/>
          <w:sz w:val="28"/>
          <w:sz w:val="28"/>
          <w:szCs w:val="28"/>
          <w:rtl w:val="true"/>
          <w:lang w:bidi="ar-SA"/>
        </w:rPr>
        <w:t>تَفرَّدَ به الشيعةُ الإماميّةُ‌</w:t>
      </w:r>
      <w:r>
        <w:rPr>
          <w:rStyle w:val="FootnoteAnchor"/>
          <w:rtl w:val="true"/>
        </w:rPr>
        <w:footnoteReference w:id="124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أطبَقَ‌</w:t>
      </w:r>
      <w:r>
        <w:rPr>
          <w:rStyle w:val="FootnoteAnchor"/>
          <w:rtl w:val="true"/>
        </w:rPr>
        <w:footnoteReference w:id="1246"/>
      </w:r>
      <w:r>
        <w:rPr>
          <w:rFonts w:ascii="Amiri" w:hAnsi="Amiri" w:eastAsia="Amiri" w:cs="Amiri"/>
          <w:color w:val="111111"/>
          <w:sz w:val="28"/>
          <w:sz w:val="28"/>
          <w:szCs w:val="28"/>
          <w:rtl w:val="true"/>
          <w:lang w:bidi="ar-SA"/>
        </w:rPr>
        <w:t>مُخالِفونا</w:t>
      </w:r>
      <w:r>
        <w:rPr>
          <w:rStyle w:val="FootnoteAnchor"/>
          <w:rtl w:val="true"/>
        </w:rPr>
        <w:footnoteReference w:id="1247"/>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بَينَ الإماميّةِ خِلافاً في هذه المَسألةِ معروفاً؛ فإنّ أبا جَعفَرٍ محمّدَ بنَ عليِّ بنِ الحُسَينِ بنِ بابَوَيهِ قالَ في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الشُّفعةِ لمّا رَوىٰ أنّ‌</w:t>
      </w:r>
      <w:r>
        <w:rPr>
          <w:rStyle w:val="FootnoteAnchor"/>
          <w:rtl w:val="true"/>
        </w:rPr>
        <w:footnoteReference w:id="1249"/>
      </w:r>
      <w:r>
        <w:rPr>
          <w:rFonts w:ascii="Amiri" w:hAnsi="Amiri" w:eastAsia="Amiri" w:cs="Amiri"/>
          <w:color w:val="111111"/>
          <w:sz w:val="28"/>
          <w:sz w:val="28"/>
          <w:szCs w:val="28"/>
          <w:rtl w:val="true"/>
          <w:lang w:bidi="ar-SA"/>
        </w:rPr>
        <w:t>الصادقَ عليه السلامُ سُئلَ عن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هي؟ و في أيِّ شيءٍ هي؟ و هَل يكونُ‌</w:t>
      </w:r>
      <w:r>
        <w:rPr>
          <w:rStyle w:val="FootnoteAnchor"/>
          <w:rtl w:val="true"/>
        </w:rPr>
        <w:footnoteReference w:id="1250"/>
      </w:r>
      <w:r>
        <w:rPr>
          <w:rFonts w:ascii="Amiri" w:hAnsi="Amiri" w:eastAsia="Amiri" w:cs="Amiri"/>
          <w:color w:val="111111"/>
          <w:sz w:val="28"/>
          <w:sz w:val="28"/>
          <w:szCs w:val="28"/>
          <w:rtl w:val="true"/>
          <w:lang w:bidi="ar-SA"/>
        </w:rPr>
        <w:t>في الحَيَوانِ شُفعةٌ؟ و كَيفَ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الشُّفعةُ واجبةٌ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حَيَوانٍ، أو أرضٍ، أو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بَينَ شَريكَينِ لا غيرِهما، فباعَ أحَدُهما نَصيبَه، فشَريكُه أحَقُّ به مِن غيرِه، فإن</w:t>
      </w:r>
      <w:r>
        <w:rPr>
          <w:rStyle w:val="FootnoteAnchor"/>
          <w:rtl w:val="true"/>
        </w:rPr>
        <w:footnoteReference w:id="1251"/>
      </w:r>
      <w:r>
        <w:rPr>
          <w:rFonts w:ascii="Amiri" w:hAnsi="Amiri" w:eastAsia="Amiri" w:cs="Amiri"/>
          <w:color w:val="111111"/>
          <w:sz w:val="28"/>
          <w:sz w:val="28"/>
          <w:szCs w:val="28"/>
          <w:rtl w:val="true"/>
          <w:lang w:bidi="ar-SA"/>
        </w:rPr>
        <w:t>زادَ علَى الِاثنَينِ فلا شُفعةَ لأحَدٍ منهم</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الشُّفعةَ في الحَيَوانِ‌</w:t>
      </w:r>
      <w:r>
        <w:rPr>
          <w:rStyle w:val="FootnoteAnchor"/>
          <w:rtl w:val="true"/>
        </w:rPr>
        <w:footnoteReference w:id="1254"/>
      </w:r>
      <w:r>
        <w:rPr>
          <w:rFonts w:ascii="Amiri" w:hAnsi="Amiri" w:eastAsia="Amiri" w:cs="Amiri"/>
          <w:color w:val="111111"/>
          <w:sz w:val="28"/>
          <w:sz w:val="28"/>
          <w:szCs w:val="28"/>
          <w:rtl w:val="true"/>
          <w:lang w:bidi="ar-SA"/>
        </w:rPr>
        <w:t>، فأمّا في غيرِ الحَيَوانِ فالشُّفعةُ واجبةٌ للشُّرَكاءِ و إن</w:t>
      </w:r>
      <w:r>
        <w:rPr>
          <w:rStyle w:val="FootnoteAnchor"/>
          <w:rtl w:val="true"/>
        </w:rPr>
        <w:footnoteReference w:id="1255"/>
      </w:r>
      <w:r>
        <w:rPr>
          <w:rFonts w:ascii="Amiri" w:hAnsi="Amiri" w:eastAsia="Amiri" w:cs="Amiri"/>
          <w:color w:val="111111"/>
          <w:sz w:val="28"/>
          <w:sz w:val="28"/>
          <w:szCs w:val="28"/>
          <w:rtl w:val="true"/>
          <w:lang w:bidi="ar-SA"/>
        </w:rPr>
        <w:t>كانوا أكثَرَ مِن اثنَينِ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ذلكَ ما رَواه أحمَدُ بنُ‌</w:t>
      </w:r>
      <w:r>
        <w:rPr>
          <w:rStyle w:val="FootnoteAnchor"/>
          <w:rtl w:val="true"/>
        </w:rPr>
        <w:footnoteReference w:id="1256"/>
      </w:r>
      <w:r>
        <w:rPr>
          <w:rFonts w:ascii="Amiri" w:hAnsi="Amiri" w:eastAsia="Amiri" w:cs="Amiri"/>
          <w:color w:val="111111"/>
          <w:sz w:val="28"/>
          <w:sz w:val="28"/>
          <w:szCs w:val="28"/>
          <w:rtl w:val="true"/>
          <w:lang w:bidi="ar-SA"/>
        </w:rPr>
        <w:t>أبي نَصرٍ البَزَنطيُّ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Style w:val="FootnoteAnchor"/>
          <w:rtl w:val="true"/>
        </w:rPr>
        <w:footnoteReference w:id="1257"/>
      </w:r>
      <w:r>
        <w:rPr>
          <w:rFonts w:ascii="Amiri" w:hAnsi="Amiri" w:eastAsia="Amiri" w:cs="Amiri"/>
          <w:color w:val="111111"/>
          <w:sz w:val="28"/>
          <w:sz w:val="28"/>
          <w:szCs w:val="28"/>
          <w:rtl w:val="true"/>
          <w:lang w:bidi="ar-SA"/>
        </w:rPr>
        <w:t>عن مملوكٍ بَينَ شُرَكاءَ، أرادَ أحَدُهم بَيعَ‌</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نَصيبِه؛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يَبيعُه</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كانا اثنَينِ، فأرادَ أحَدُهما بَيعَ‌</w:t>
      </w:r>
      <w:r>
        <w:rPr>
          <w:rStyle w:val="FootnoteAnchor"/>
          <w:rtl w:val="true"/>
        </w:rPr>
        <w:footnoteReference w:id="1260"/>
      </w:r>
      <w:r>
        <w:rPr>
          <w:rFonts w:ascii="Amiri" w:hAnsi="Amiri" w:eastAsia="Amiri" w:cs="Amiri"/>
          <w:color w:val="111111"/>
          <w:sz w:val="28"/>
          <w:sz w:val="28"/>
          <w:szCs w:val="28"/>
          <w:rtl w:val="true"/>
          <w:lang w:bidi="ar-SA"/>
        </w:rPr>
        <w:t>نَصيبِه، فلمّا أقدَمَ علَى البَيعِ قالَ له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شُفعةَ في حَيَوانٍ، إلّاأن يَكونَ الشريكُ فيه واحِداً</w:t>
      </w:r>
      <w:r>
        <w:rPr>
          <w:rFonts w:eastAsia="Amiri" w:cs="Amiri" w:ascii="Amiri" w:hAnsi="Amiri"/>
          <w:color w:val="111111"/>
          <w:sz w:val="28"/>
          <w:szCs w:val="28"/>
          <w:rtl w:val="true"/>
          <w:lang w:bidi="ar-SA"/>
        </w:rPr>
        <w:t>».</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و هذا الذي حَكَيناه إنّما</w:t>
      </w:r>
      <w:r>
        <w:rPr>
          <w:rStyle w:val="FootnoteAnchor"/>
          <w:rtl w:val="true"/>
        </w:rPr>
        <w:footnoteReference w:id="1262"/>
      </w:r>
      <w:r>
        <w:rPr>
          <w:rFonts w:ascii="Amiri" w:hAnsi="Amiri" w:eastAsia="Amiri" w:cs="Amiri"/>
          <w:color w:val="111111"/>
          <w:sz w:val="28"/>
          <w:sz w:val="28"/>
          <w:szCs w:val="28"/>
          <w:rtl w:val="true"/>
          <w:lang w:bidi="ar-SA"/>
        </w:rPr>
        <w:t>يُستَفادُ مِنه</w:t>
      </w:r>
      <w:r>
        <w:rPr>
          <w:rStyle w:val="FootnoteAnchor"/>
          <w:rtl w:val="true"/>
        </w:rPr>
        <w:footnoteReference w:id="1263"/>
      </w:r>
      <w:r>
        <w:rPr>
          <w:rFonts w:ascii="Amiri" w:hAnsi="Amiri" w:eastAsia="Amiri" w:cs="Amiri"/>
          <w:color w:val="111111"/>
          <w:sz w:val="28"/>
          <w:sz w:val="28"/>
          <w:szCs w:val="28"/>
          <w:rtl w:val="true"/>
          <w:lang w:bidi="ar-SA"/>
        </w:rPr>
        <w:t xml:space="preserve">خِلافُ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المَذهَبِ، و أنّه</w:t>
      </w:r>
      <w:r>
        <w:rPr>
          <w:rStyle w:val="FootnoteAnchor"/>
          <w:rtl w:val="true"/>
        </w:rPr>
        <w:footnoteReference w:id="1264"/>
      </w:r>
      <w:r>
        <w:rPr>
          <w:rFonts w:ascii="Amiri" w:hAnsi="Amiri" w:eastAsia="Amiri" w:cs="Amiri"/>
          <w:color w:val="111111"/>
          <w:sz w:val="28"/>
          <w:sz w:val="28"/>
          <w:szCs w:val="28"/>
          <w:rtl w:val="true"/>
          <w:lang w:bidi="ar-SA"/>
        </w:rPr>
        <w:t>يوجِبُ الشُّفعةَ للشُّرَكاءِ في المَبيعاتِ و إن زادوا علَى اثنَينِ، إلّافي الحَيَوانِ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فيما احتَجَّ به و ظَنَّ أنّه يُصدِّقُ بمَذهبِه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الذي رَواه</w:t>
      </w:r>
      <w:r>
        <w:rPr>
          <w:rStyle w:val="FootnoteAnchor"/>
          <w:rtl w:val="true"/>
        </w:rPr>
        <w:footnoteReference w:id="1265"/>
      </w:r>
      <w:r>
        <w:rPr>
          <w:rFonts w:ascii="Amiri" w:hAnsi="Amiri" w:eastAsia="Amiri" w:cs="Amiri"/>
          <w:color w:val="111111"/>
          <w:sz w:val="28"/>
          <w:sz w:val="28"/>
          <w:szCs w:val="28"/>
          <w:rtl w:val="true"/>
          <w:lang w:bidi="ar-SA"/>
        </w:rPr>
        <w:t xml:space="preserve">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صَريحةٌ فيما ذَهَبَ إليه؛ لأنّ نَفيَه عليه السلامُ حَقَّ الشُّفعةِ في المملوكِ إذا كانَ فيه شُرَكاءُ جَماعةٌ و إثباتُها بَينَ الشريكَينِ فيه لا يَدُلُّ علىٰ أنّ الأمرَ في المَبيعاتِ بخِلافِ هذا الحُكمِ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الأَولىٰ به لمّا أرادَ أن يَذكُرَ ما رُويَ مِن الروايةِ في نُصرةِ المَذهبِ الذي رَواه عن نَفسِه أن يَذكُرَ ما رَواه إسماعيلُ بنُ مُسلِمٍ عن جَعفَرِ بنِ مُحمّدٍ عليهما السلامُ عن أبيه قالَ‌</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و هذا الخبرُ صَريحٌ في أنّ الشُّفعةَ تَثبُتُ مع زيادةِ عَدَدِ الشُّرَكاءِ علَى اثنَينِ، و لَو كانَ حقُّ الشُّفعةِ يَسقُطُ بالزيادةِ علَى اثنَينِ لَما كانَ 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لأنّ الشفيعَ لا يَكونُ إلّاواحداً، فإذا زادَ العَدَدُ بَطَلَت الشُّفعةُ علَى المَذهبِ الذي حَكَيناه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أيضاً أن يَحتَجَّ بما رَواه عُقبةُ بنُ خالدٍ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بالشُّفعةِ بَينَ الشُّرَكاءِ في الأرَضينَ و المَساكِنِ،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إضرارَ</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جَمعٍ، و هو يَقتَضي بموجَبِ اللُّغةِ أكثَرَ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الخبرانِ قد رَواهما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الذي أشَرنا إليه، غيرَ أنّه لَم يَحتَجَّ‌</w:t>
      </w:r>
      <w:r>
        <w:rPr>
          <w:rStyle w:val="FootnoteAnchor"/>
          <w:rtl w:val="true"/>
        </w:rPr>
        <w:footnoteReference w:id="1270"/>
      </w:r>
      <w:r>
        <w:rPr>
          <w:rFonts w:ascii="Amiri" w:hAnsi="Amiri" w:eastAsia="Amiri" w:cs="Amiri"/>
          <w:color w:val="111111"/>
          <w:sz w:val="28"/>
          <w:sz w:val="28"/>
          <w:szCs w:val="28"/>
          <w:rtl w:val="true"/>
          <w:lang w:bidi="ar-SA"/>
        </w:rPr>
        <w:t>بهما علىٰ مَذهبِه الذي حَكاه عن نَفسِه، و احتَجَّ بغَيرِهما فيما قد</w:t>
      </w:r>
      <w:r>
        <w:rPr>
          <w:rStyle w:val="FootnoteAnchor"/>
          <w:rtl w:val="true"/>
        </w:rPr>
        <w:footnoteReference w:id="1271"/>
      </w:r>
      <w:r>
        <w:rPr>
          <w:rFonts w:ascii="Amiri" w:hAnsi="Amiri" w:eastAsia="Amiri" w:cs="Amiri"/>
          <w:color w:val="111111"/>
          <w:sz w:val="28"/>
          <w:sz w:val="28"/>
          <w:szCs w:val="28"/>
          <w:rtl w:val="true"/>
          <w:lang w:bidi="ar-SA"/>
        </w:rPr>
        <w:t>بيّنّا أنّه لا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يُمكِنُه أن يَحتَجَّ أيضاً في تأييدِ هذا المَذهبِ بعُمومِ الأخبارِ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الشُّفعةَ واجبةٌ في كُلِّ مُشتَرَكٍ لَم يُقسَّمْ‌</w:t>
      </w:r>
      <w:r>
        <w:rPr>
          <w:rStyle w:val="FootnoteAnchor"/>
          <w:rtl w:val="true"/>
        </w:rPr>
        <w:footnoteReference w:id="1272"/>
      </w: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هذه الأخبارِ لَم يُفصَّلْ فيه</w:t>
      </w:r>
      <w:r>
        <w:rPr>
          <w:rStyle w:val="FootnoteAnchor"/>
          <w:rtl w:val="true"/>
        </w:rPr>
        <w:footnoteReference w:id="1273"/>
      </w:r>
      <w:r>
        <w:rPr>
          <w:rFonts w:ascii="Amiri" w:hAnsi="Amiri" w:eastAsia="Amiri" w:cs="Amiri"/>
          <w:color w:val="111111"/>
          <w:sz w:val="28"/>
          <w:sz w:val="28"/>
          <w:szCs w:val="28"/>
          <w:rtl w:val="true"/>
          <w:lang w:bidi="ar-SA"/>
        </w:rPr>
        <w:t>بَينَ الِاثنَينِ و الجَماعةِ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وَرَدَت أخبارٌ بأنّه إذا سَمَحَ بعضُ‌</w:t>
      </w:r>
      <w:r>
        <w:rPr>
          <w:rStyle w:val="FootnoteAnchor"/>
          <w:rtl w:val="true"/>
        </w:rPr>
        <w:footnoteReference w:id="1274"/>
      </w:r>
      <w:r>
        <w:rPr>
          <w:rFonts w:ascii="Amiri" w:hAnsi="Amiri" w:eastAsia="Amiri" w:cs="Amiri"/>
          <w:color w:val="111111"/>
          <w:sz w:val="28"/>
          <w:sz w:val="28"/>
          <w:szCs w:val="28"/>
          <w:rtl w:val="true"/>
          <w:lang w:bidi="ar-SA"/>
        </w:rPr>
        <w:t xml:space="preserve">الشُّرَكاءِ بحُقوقِهم مِن الشُّفعةِ، كانَ لِمَن </w:t>
      </w:r>
    </w:p>
    <w:p>
      <w:pPr>
        <w:pStyle w:val="BookText"/>
        <w:rPr/>
      </w:pPr>
      <w:r>
        <w:rPr>
          <w:rFonts w:ascii="Amiri" w:hAnsi="Amiri" w:eastAsia="Amiri" w:cs="Amiri"/>
          <w:color w:val="111111"/>
          <w:sz w:val="28"/>
          <w:sz w:val="28"/>
          <w:szCs w:val="28"/>
          <w:rtl w:val="true"/>
          <w:lang w:bidi="ar-SA"/>
        </w:rPr>
        <w:t>لَم</w:t>
      </w:r>
      <w:r>
        <w:rPr>
          <w:rStyle w:val="FootnoteAnchor"/>
          <w:rtl w:val="true"/>
        </w:rPr>
        <w:footnoteReference w:id="1275"/>
      </w:r>
      <w:r>
        <w:rPr>
          <w:rFonts w:ascii="Amiri" w:hAnsi="Amiri" w:eastAsia="Amiri" w:cs="Amiri"/>
          <w:color w:val="111111"/>
          <w:sz w:val="28"/>
          <w:sz w:val="28"/>
          <w:szCs w:val="28"/>
          <w:rtl w:val="true"/>
          <w:lang w:bidi="ar-SA"/>
        </w:rPr>
        <w:t>يَسمَحْ بحَقِّه علىٰ قَدرِ حَقِّه مِنها؛ و هذا يَدُلُّ علىٰ أنّ الشُّفعةَ‌</w:t>
      </w:r>
      <w:r>
        <w:rPr>
          <w:rStyle w:val="FootnoteAnchor"/>
          <w:rtl w:val="true"/>
        </w:rPr>
        <w:footnoteReference w:id="1276"/>
      </w:r>
      <w:r>
        <w:rPr>
          <w:rFonts w:ascii="Amiri" w:hAnsi="Amiri" w:eastAsia="Amiri" w:cs="Amiri"/>
          <w:color w:val="111111"/>
          <w:sz w:val="28"/>
          <w:sz w:val="28"/>
          <w:szCs w:val="28"/>
          <w:rtl w:val="true"/>
          <w:lang w:bidi="ar-SA"/>
        </w:rPr>
        <w:t>تَثبُتُ‌</w:t>
      </w:r>
      <w:r>
        <w:rPr>
          <w:rStyle w:val="FootnoteAnchor"/>
          <w:rtl w:val="true"/>
        </w:rPr>
        <w:footnoteReference w:id="1277"/>
      </w:r>
      <w:r>
        <w:rPr>
          <w:rFonts w:ascii="Amiri" w:hAnsi="Amiri" w:eastAsia="Amiri" w:cs="Amiri"/>
          <w:color w:val="111111"/>
          <w:sz w:val="28"/>
          <w:sz w:val="28"/>
          <w:szCs w:val="28"/>
          <w:rtl w:val="true"/>
          <w:lang w:bidi="ar-SA"/>
        </w:rPr>
        <w:t>مع كَثرةِ عَدَدِ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عليٍّ ابنُ الجُنَيدِ</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نُقصانَ العَدَدِ و لا زيادتَه</w:t>
      </w:r>
      <w:r>
        <w:rPr>
          <w:rStyle w:val="FootnoteAnchor"/>
          <w:rtl w:val="true"/>
        </w:rPr>
        <w:footnoteReference w:id="1279"/>
      </w:r>
      <w:r>
        <w:rPr>
          <w:rFonts w:ascii="Amiri" w:hAnsi="Amiri" w:eastAsia="Amiri" w:cs="Amiri"/>
          <w:color w:val="111111"/>
          <w:sz w:val="28"/>
          <w:sz w:val="28"/>
          <w:szCs w:val="28"/>
          <w:rtl w:val="true"/>
          <w:lang w:bidi="ar-SA"/>
        </w:rPr>
        <w:t>في الشُّفعةِ، و كتُبُه المُصنَّفةُ المعروفةُ‌</w:t>
      </w:r>
      <w:r>
        <w:rPr>
          <w:rStyle w:val="FootnoteAnchor"/>
          <w:rtl w:val="true"/>
        </w:rPr>
        <w:footnoteReference w:id="1280"/>
      </w:r>
      <w:r>
        <w:rPr>
          <w:rFonts w:ascii="Amiri" w:hAnsi="Amiri" w:eastAsia="Amiri" w:cs="Amiri"/>
          <w:color w:val="111111"/>
          <w:sz w:val="28"/>
          <w:sz w:val="28"/>
          <w:szCs w:val="28"/>
          <w:rtl w:val="true"/>
          <w:lang w:bidi="ar-SA"/>
        </w:rPr>
        <w:t>تَدُلُّ علىٰ ذلكَ و تَشهَدُ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w:t>
      </w:r>
      <w:r>
        <w:rPr>
          <w:rStyle w:val="FootnoteAnchor"/>
          <w:rtl w:val="true"/>
        </w:rPr>
        <w:footnoteReference w:id="1281"/>
      </w:r>
      <w:r>
        <w:rPr>
          <w:rFonts w:ascii="Amiri" w:hAnsi="Amiri" w:eastAsia="Amiri" w:cs="Amiri"/>
          <w:color w:val="111111"/>
          <w:sz w:val="28"/>
          <w:sz w:val="28"/>
          <w:szCs w:val="28"/>
          <w:rtl w:val="true"/>
          <w:lang w:bidi="ar-SA"/>
        </w:rPr>
        <w:t>المَذهبَينِ تَذهَبونَ‌</w:t>
      </w:r>
      <w:r>
        <w:rPr>
          <w:rStyle w:val="FootnoteAnchor"/>
          <w:rtl w:val="true"/>
        </w:rPr>
        <w:footnoteReference w:id="1282"/>
      </w:r>
      <w:r>
        <w:rPr>
          <w:rFonts w:ascii="Amiri" w:hAnsi="Amiri" w:eastAsia="Amiri" w:cs="Amiri"/>
          <w:color w:val="111111"/>
          <w:sz w:val="28"/>
          <w:sz w:val="28"/>
          <w:szCs w:val="28"/>
          <w:rtl w:val="true"/>
          <w:lang w:bidi="ar-SA"/>
        </w:rPr>
        <w:t>؟ و بأيِّهما تُفتونَ؟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الشُّفعةِ في الحَيَوانِ‌</w:t>
      </w:r>
      <w:r>
        <w:rPr>
          <w:rStyle w:val="FootnoteAnchor"/>
          <w:rtl w:val="true"/>
        </w:rPr>
        <w:footnoteReference w:id="1283"/>
      </w:r>
      <w:r>
        <w:rPr>
          <w:rFonts w:ascii="Amiri" w:hAnsi="Amiri" w:eastAsia="Amiri" w:cs="Amiri"/>
          <w:color w:val="111111"/>
          <w:sz w:val="28"/>
          <w:sz w:val="28"/>
          <w:szCs w:val="28"/>
          <w:rtl w:val="true"/>
          <w:lang w:bidi="ar-SA"/>
        </w:rPr>
        <w:t>خاصّةً بَينَ الشريكَينِ، و انتفاؤها فيما زادَ عليهما</w:t>
      </w:r>
      <w:r>
        <w:rPr>
          <w:rStyle w:val="FootnoteAnchor"/>
          <w:rtl w:val="true"/>
        </w:rPr>
        <w:footnoteReference w:id="1284"/>
      </w:r>
      <w:r>
        <w:rPr>
          <w:rFonts w:ascii="Amiri" w:hAnsi="Amiri" w:eastAsia="Amiri" w:cs="Amiri"/>
          <w:color w:val="111111"/>
          <w:sz w:val="28"/>
          <w:sz w:val="28"/>
          <w:szCs w:val="28"/>
          <w:rtl w:val="true"/>
          <w:lang w:bidi="ar-SA"/>
        </w:rPr>
        <w:t>مِن العَدَدِ، فهو</w:t>
      </w:r>
      <w:r>
        <w:rPr>
          <w:rStyle w:val="FootnoteAnchor"/>
          <w:rtl w:val="true"/>
        </w:rPr>
        <w:footnoteReference w:id="1285"/>
      </w:r>
      <w:r>
        <w:rPr>
          <w:rFonts w:ascii="Amiri" w:hAnsi="Amiri" w:eastAsia="Amiri" w:cs="Amiri"/>
          <w:color w:val="111111"/>
          <w:sz w:val="28"/>
          <w:sz w:val="28"/>
          <w:szCs w:val="28"/>
          <w:rtl w:val="true"/>
          <w:lang w:bidi="ar-SA"/>
        </w:rPr>
        <w:t>إجماعُ الفِرقةِ المُحِقّةِ التي هي الإماميّةُ؛ لأنّه لا خِلافَ بَينَ أحَدٍ مِنهم في هذه الجُملةِ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ثُبوتُ حَقِّ الشُّفعةِ في غيرِ الحَيَوانِ بَينَ الشريكَينِ اللذَينِ لَم يَقتَسِما؛ فهذا أيضاً إجماعٌ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اختَلَفوا إذا زادَ العَدَدُ في غيرِ الحَيَوانِ بَينَ الشُّرَكاءِ؛ فمِنهم مَن أثبَتَ حَقَّ الشُّفعةِ مع الزيادةِ في العَدَدِ، و مِنهم مَن أسقَطَها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الحُجّةُ فيما</w:t>
      </w:r>
      <w:r>
        <w:rPr>
          <w:rStyle w:val="FootnoteAnchor"/>
          <w:rtl w:val="true"/>
        </w:rPr>
        <w:footnoteReference w:id="1286"/>
      </w:r>
      <w:r>
        <w:rPr>
          <w:rFonts w:ascii="Amiri" w:hAnsi="Amiri" w:eastAsia="Amiri" w:cs="Amiri"/>
          <w:color w:val="111111"/>
          <w:sz w:val="28"/>
          <w:sz w:val="28"/>
          <w:szCs w:val="28"/>
          <w:rtl w:val="true"/>
          <w:lang w:bidi="ar-SA"/>
        </w:rPr>
        <w:t xml:space="preserve">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ناطقٍ، و سُنّةٍ معلومةٍ مقطوعٍ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Style w:val="FootnoteAnchor"/>
          <w:rtl w:val="true"/>
        </w:rPr>
        <w:footnoteReference w:id="1287"/>
      </w:r>
      <w:r>
        <w:rPr>
          <w:rFonts w:ascii="Amiri" w:hAnsi="Amiri" w:eastAsia="Amiri" w:cs="Amiri"/>
          <w:color w:val="111111"/>
          <w:sz w:val="28"/>
          <w:sz w:val="28"/>
          <w:szCs w:val="28"/>
          <w:rtl w:val="true"/>
          <w:lang w:bidi="ar-SA"/>
        </w:rPr>
        <w:t>إجماعَ هذه الفِرقةِ، وَجَبَ أن نُثبِتَ الشُّفعةَ في المَواضِعِ التي أجمَعوا علىٰ ثُبوتِها فيها، و نُسقِطَها فيما سِوىٰ ذلكَ؛ لأنّ الشُّفعةَ حُكمٌ شَرعيٌّ لا يَثبُتُ إلّا بدَليلٍ شَرعيٍّ، و يَجِبُ نَفيُه في الشريعةِ بنَفيِ‌</w:t>
      </w:r>
      <w:r>
        <w:rPr>
          <w:rStyle w:val="FootnoteAnchor"/>
          <w:rtl w:val="true"/>
        </w:rPr>
        <w:footnoteReference w:id="1288"/>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Style w:val="FootnoteAnchor"/>
          <w:rtl w:val="true"/>
        </w:rPr>
        <w:footnoteReference w:id="1289"/>
      </w:r>
      <w:r>
        <w:rPr>
          <w:rFonts w:ascii="Amiri" w:hAnsi="Amiri" w:eastAsia="Amiri" w:cs="Amiri"/>
          <w:color w:val="111111"/>
          <w:sz w:val="28"/>
          <w:sz w:val="28"/>
          <w:szCs w:val="28"/>
          <w:rtl w:val="true"/>
          <w:lang w:bidi="ar-SA"/>
        </w:rPr>
        <w:t xml:space="preserve">استَدلَلتم بعُمومِ الأخبارِ التي ذَكرتموها، و بظاهرِ الخبرَينِ اللذَينِ نَبَّهتم علىٰ عُدولِ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 بِهِما؟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Style w:val="FootnoteAnchor"/>
          <w:rtl w:val="true"/>
        </w:rPr>
        <w:footnoteReference w:id="1290"/>
      </w:r>
      <w:r>
        <w:rPr>
          <w:rFonts w:ascii="Amiri" w:hAnsi="Amiri" w:eastAsia="Amiri" w:cs="Amiri"/>
          <w:color w:val="111111"/>
          <w:sz w:val="28"/>
          <w:sz w:val="28"/>
          <w:szCs w:val="28"/>
          <w:rtl w:val="true"/>
          <w:lang w:bidi="ar-SA"/>
        </w:rPr>
        <w:t xml:space="preserve">نَحتَجُّ بالعمومِ إذا ثَبَتَ أنّه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أو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الذي يَكونُ اللفظُ فيه معلوماً مقطوعاً عليه؛ فأمّا أخبارُ الآحادِ التي هي مظنونةُ الصحّةِ لا معلومةٌ، فلا يَجوزُ الاحتجاجُ بعُمومِها علىٰ ما يُقطَعُ به مِن الأحكامِ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المسألةُ الثانيةُ مِن مَسائلِ الشُّفعةِ،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تَحَيَّزَت</w:t>
      </w:r>
      <w:r>
        <w:rPr>
          <w:rStyle w:val="FootnoteAnchor"/>
          <w:rtl w:val="true"/>
        </w:rPr>
        <w:footnoteReference w:id="1291"/>
      </w:r>
      <w:r>
        <w:rPr>
          <w:rFonts w:ascii="Amiri" w:hAnsi="Amiri" w:eastAsia="Amiri" w:cs="Amiri"/>
          <w:color w:val="111111"/>
          <w:sz w:val="28"/>
          <w:sz w:val="28"/>
          <w:szCs w:val="28"/>
          <w:rtl w:val="true"/>
          <w:lang w:bidi="ar-SA"/>
        </w:rPr>
        <w:t>الأملاكُ فلا 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مَذهَبُنا الصحيحُ بِلا خِلافٍ، إلّاأنّه لا يَجوزُ أن تُذكَرَ</w:t>
      </w:r>
      <w:r>
        <w:rPr>
          <w:rStyle w:val="FootnoteAnchor"/>
          <w:rtl w:val="true"/>
        </w:rPr>
        <w:footnoteReference w:id="1292"/>
      </w:r>
      <w:r>
        <w:rPr>
          <w:rFonts w:ascii="Amiri" w:hAnsi="Amiri" w:eastAsia="Amiri" w:cs="Amiri"/>
          <w:color w:val="111111"/>
          <w:sz w:val="28"/>
          <w:sz w:val="28"/>
          <w:szCs w:val="28"/>
          <w:rtl w:val="true"/>
          <w:lang w:bidi="ar-SA"/>
        </w:rPr>
        <w:t>هذه المَسألةُ في جُملةِ ما تَفرَّدَ به الشيعةُ الإماميّةُ؛ لأنّ هذا المَذهبَ مَذهبُ الشافعيِّ‌</w:t>
      </w:r>
      <w:r>
        <w:rPr>
          <w:rStyle w:val="FootnoteAnchor"/>
          <w:rtl w:val="true"/>
        </w:rPr>
        <w:footnoteReference w:id="1293"/>
      </w:r>
      <w:r>
        <w:rPr>
          <w:rFonts w:ascii="Amiri" w:hAnsi="Amiri" w:eastAsia="Amiri" w:cs="Amiri"/>
          <w:color w:val="111111"/>
          <w:sz w:val="28"/>
          <w:sz w:val="28"/>
          <w:szCs w:val="28"/>
          <w:rtl w:val="true"/>
          <w:lang w:bidi="ar-SA"/>
        </w:rPr>
        <w:t xml:space="preserve">، و هي </w:t>
      </w:r>
    </w:p>
    <w:p>
      <w:pPr>
        <w:pStyle w:val="BookText"/>
        <w:rPr/>
      </w:pPr>
      <w:r>
        <w:rPr>
          <w:rFonts w:ascii="Amiri" w:hAnsi="Amiri" w:eastAsia="Amiri" w:cs="Amiri"/>
          <w:color w:val="111111"/>
          <w:sz w:val="28"/>
          <w:sz w:val="28"/>
          <w:szCs w:val="28"/>
          <w:rtl w:val="true"/>
          <w:lang w:bidi="ar-SA"/>
        </w:rPr>
        <w:t>مَسألةُ‌</w:t>
      </w:r>
      <w:r>
        <w:rPr>
          <w:rStyle w:val="FootnoteAnchor"/>
          <w:rtl w:val="true"/>
        </w:rPr>
        <w:footnoteReference w:id="1294"/>
      </w:r>
      <w:r>
        <w:rPr>
          <w:rFonts w:ascii="Amiri" w:hAnsi="Amiri" w:eastAsia="Amiri" w:cs="Amiri"/>
          <w:color w:val="111111"/>
          <w:sz w:val="28"/>
          <w:sz w:val="28"/>
          <w:szCs w:val="28"/>
          <w:rtl w:val="true"/>
          <w:lang w:bidi="ar-SA"/>
        </w:rPr>
        <w:t>الخِلافِ بَينَه و بَينَ أبي حَنيفةَ‌</w:t>
      </w:r>
      <w:r>
        <w:rPr>
          <w:rStyle w:val="FootnoteAnchor"/>
          <w:rtl w:val="true"/>
        </w:rPr>
        <w:footnoteReference w:id="1295"/>
      </w:r>
      <w:r>
        <w:rPr>
          <w:rFonts w:ascii="Amiri" w:hAnsi="Amiri" w:eastAsia="Amiri" w:cs="Amiri"/>
          <w:color w:val="111111"/>
          <w:sz w:val="28"/>
          <w:sz w:val="28"/>
          <w:szCs w:val="28"/>
          <w:rtl w:val="true"/>
          <w:lang w:bidi="ar-SA"/>
        </w:rPr>
        <w:t>فكَيفَ تُسطَرُ فيما تَفرَّدَ به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w:t>
      </w:r>
      <w:r>
        <w:rPr>
          <w:rStyle w:val="FootnoteAnchor"/>
          <w:rtl w:val="true"/>
        </w:rPr>
        <w:footnoteReference w:id="1296"/>
      </w:r>
      <w:r>
        <w:rPr>
          <w:rFonts w:ascii="Amiri" w:hAnsi="Amiri" w:eastAsia="Amiri" w:cs="Amiri"/>
          <w:color w:val="111111"/>
          <w:sz w:val="28"/>
          <w:sz w:val="28"/>
          <w:szCs w:val="28"/>
          <w:rtl w:val="true"/>
          <w:lang w:bidi="ar-SA"/>
        </w:rPr>
        <w:t>يَذهَبُ مالكٌ، و الأَوزاعيُّ،</w:t>
      </w:r>
      <w:r>
        <w:rPr>
          <w:rStyle w:val="FootnoteAnchor"/>
          <w:rtl w:val="true"/>
        </w:rPr>
        <w:footnoteReference w:id="1297"/>
      </w:r>
      <w:r>
        <w:rPr>
          <w:rFonts w:ascii="Amiri" w:hAnsi="Amiri" w:eastAsia="Amiri" w:cs="Amiri"/>
          <w:color w:val="111111"/>
          <w:sz w:val="28"/>
          <w:sz w:val="28"/>
          <w:szCs w:val="28"/>
          <w:rtl w:val="true"/>
          <w:lang w:bidi="ar-SA"/>
        </w:rPr>
        <w:t>و أحمَدُ بنُ حَنبَلٍ، و أكثَرُ الفقهاءِ المُتقدِّمينَ و المُتأخِّرينَ</w:t>
      </w:r>
      <w:r>
        <w:rPr>
          <w:rFonts w:eastAsia="Amiri" w:cs="Amiri" w:ascii="Amiri" w:hAnsi="Amiri"/>
          <w:color w:val="111111"/>
          <w:sz w:val="28"/>
          <w:szCs w:val="28"/>
          <w:rtl w:val="true"/>
          <w:lang w:bidi="ar-SA"/>
        </w:rPr>
        <w:t>.</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و أمّا المسألةُ الثالثةُ،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الشُّفعةَ تَجِبُ بالسِّربِ و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أيضاً ممّا لَم تَنفَرِدْ به الإماميّةُ؛ لأنّ أبا حَنيفةَ و أصحابَه يوجِبونَ الشُّفعةَ بالشِّركةِ في الطريقِ الذي لَيسَ بنافذٍ، و يُسَمّونَ ذلكَ بأنّه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المَبيعِ</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فذِكرُ هاتَينِ المسألتَينِ في جُملةِ ما تَفرَّدَ به الإماميّةُ ضَربٌ مِن السَّهوِ</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الحُجّةُ لنا فيهما الإجماعُ‌</w:t>
      </w:r>
      <w:r>
        <w:rPr>
          <w:rStyle w:val="FootnoteAnchor"/>
          <w:rtl w:val="true"/>
        </w:rPr>
        <w:footnoteReference w:id="1300"/>
      </w:r>
      <w:r>
        <w:rPr>
          <w:rFonts w:ascii="Amiri" w:hAnsi="Amiri" w:eastAsia="Amiri" w:cs="Amiri"/>
          <w:color w:val="111111"/>
          <w:sz w:val="28"/>
          <w:sz w:val="28"/>
          <w:szCs w:val="28"/>
          <w:rtl w:val="true"/>
          <w:lang w:bidi="ar-SA"/>
        </w:rPr>
        <w:t>الذي أشَرنا إليه، و ظَواهِرُ أخبارٍ كَثيرةٍ؛ ممّا اختَصَّت بروايتِه</w:t>
      </w:r>
      <w:r>
        <w:rPr>
          <w:rStyle w:val="FootnoteAnchor"/>
          <w:rtl w:val="true"/>
        </w:rPr>
        <w:footnoteReference w:id="1301"/>
      </w:r>
      <w:r>
        <w:rPr>
          <w:rFonts w:ascii="Amiri" w:hAnsi="Amiri" w:eastAsia="Amiri" w:cs="Amiri"/>
          <w:color w:val="111111"/>
          <w:sz w:val="28"/>
          <w:sz w:val="28"/>
          <w:szCs w:val="28"/>
          <w:rtl w:val="true"/>
          <w:lang w:bidi="ar-SA"/>
        </w:rPr>
        <w:t>الشيعةُ، و ممّا رَوَته العامّةُ عن النبيِّ صَلَّى اللّٰهُ عليه و آلِه، فهو كَثيرٌ</w:t>
      </w:r>
      <w:r>
        <w:rPr>
          <w:rStyle w:val="FootnoteAnchor"/>
          <w:rtl w:val="true"/>
        </w:rPr>
        <w:footnoteReference w:id="1302"/>
      </w:r>
      <w:r>
        <w:rPr>
          <w:rFonts w:ascii="Amiri" w:hAnsi="Amiri" w:eastAsia="Amiri" w:cs="Amiri"/>
          <w:color w:val="111111"/>
          <w:sz w:val="28"/>
          <w:sz w:val="28"/>
          <w:szCs w:val="28"/>
          <w:rtl w:val="true"/>
          <w:lang w:bidi="ar-SA"/>
        </w:rPr>
        <w:t>فمَن أرادَه</w:t>
      </w:r>
      <w:r>
        <w:rPr>
          <w:rStyle w:val="FootnoteAnchor"/>
          <w:rtl w:val="true"/>
        </w:rPr>
        <w:footnoteReference w:id="1303"/>
      </w:r>
      <w:r>
        <w:rPr>
          <w:rFonts w:ascii="Amiri" w:hAnsi="Amiri" w:eastAsia="Amiri" w:cs="Amiri"/>
          <w:color w:val="111111"/>
          <w:sz w:val="28"/>
          <w:sz w:val="28"/>
          <w:szCs w:val="28"/>
          <w:rtl w:val="true"/>
          <w:lang w:bidi="ar-SA"/>
        </w:rPr>
        <w:t>فليأخُذْه مِن مَواضِعِه</w:t>
      </w:r>
      <w:r>
        <w:rPr>
          <w:rFonts w:eastAsia="Amiri" w:cs="Amiri" w:ascii="Amiri" w:hAnsi="Amiri"/>
          <w:color w:val="111111"/>
          <w:sz w:val="28"/>
          <w:szCs w:val="28"/>
          <w:rtl w:val="true"/>
          <w:lang w:bidi="ar-SA"/>
        </w:rPr>
        <w:t xml:space="preserve">. </w:t>
      </w:r>
      <w:bookmarkStart w:id="269" w:name="pg16437_172539"/>
    </w:p>
    <w:p>
      <w:pPr>
        <w:pStyle w:val="Heading5"/>
        <w:numPr>
          <w:ilvl w:val="4"/>
          <w:numId w:val="1"/>
        </w:numPr>
        <w:rPr/>
      </w:pPr>
      <w:bookmarkStart w:id="270" w:name="__RefHeading___Toc8039641_1280447820"/>
      <w:bookmarkStart w:id="271" w:name="_Toc95"/>
      <w:bookmarkEnd w:id="269"/>
      <w:bookmarkEnd w:id="270"/>
      <w:r>
        <w:rPr>
          <w:rtl w:val="true"/>
        </w:rPr>
        <w:t>المَسألةُ الخامسةُ مَن لا رِبا بَينَهما</w:t>
      </w:r>
      <w:bookmarkEnd w:id="271"/>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رِبا بَينَ الوالدِ و وَلَدِه، و لا بَينَ الزوجِ و زَوجتِه، و لا بَينَ المُسلِمِ و الذِّمّيِّ</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كَثيراً مِن أصحابِنا قد ذَهَبوا إلىٰ نَفيِ الرِّبا بَينَ الوالدِ و وَلَدِه، و</w:t>
      </w:r>
      <w:r>
        <w:rPr>
          <w:rStyle w:val="FootnoteAnchor"/>
          <w:rtl w:val="true"/>
        </w:rPr>
        <w:footnoteReference w:id="1305"/>
      </w:r>
      <w:r>
        <w:rPr>
          <w:rFonts w:ascii="Amiri" w:hAnsi="Amiri" w:eastAsia="Amiri" w:cs="Amiri"/>
          <w:color w:val="111111"/>
          <w:sz w:val="28"/>
          <w:sz w:val="28"/>
          <w:szCs w:val="28"/>
          <w:rtl w:val="true"/>
          <w:lang w:bidi="ar-SA"/>
        </w:rPr>
        <w:t>الزوجِ و زوجتِه، و الذِّمّيِّ و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قومٌ مِن فقهاءِ أصحابِنا في هذا المَوضِعِ شرطاً؛ و هو أن يَكونَ الفَضلُ مع الوالدِ، إلّاأن يَكونَ له وارثٌ أو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رِبا بَينَ العبدِ و سَيِّدِه إذا كانَ لا شَريكَ له فيه، و إن كانَ له فيه</w:t>
      </w:r>
      <w:r>
        <w:rPr>
          <w:rStyle w:val="FootnoteAnchor"/>
          <w:rtl w:val="true"/>
        </w:rPr>
        <w:footnoteReference w:id="1306"/>
      </w:r>
      <w:r>
        <w:rPr>
          <w:rFonts w:ascii="Amiri" w:hAnsi="Amiri" w:eastAsia="Amiri" w:cs="Amiri"/>
          <w:color w:val="111111"/>
          <w:sz w:val="28"/>
          <w:sz w:val="28"/>
          <w:szCs w:val="28"/>
          <w:rtl w:val="true"/>
          <w:lang w:bidi="ar-SA"/>
        </w:rPr>
        <w:t>شَريكٌ حَرُم الرِّبا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العبدُ المأذونُ له في التجارةِ، حَرُمَ الرِّبا بَينَه و بَينَ سَيِّدِه إذا كانَ العبدُ قد استَدانَ مالاً عليه</w:t>
      </w:r>
      <w:r>
        <w:rPr>
          <w:rFonts w:eastAsia="Amiri" w:cs="Amiri" w:ascii="Amiri" w:hAnsi="Amiri"/>
          <w:color w:val="111111"/>
          <w:sz w:val="28"/>
          <w:szCs w:val="28"/>
          <w:rtl w:val="true"/>
          <w:lang w:bidi="ar-SA"/>
        </w:rPr>
        <w:t>.</w:t>
      </w:r>
      <w:r>
        <w:rPr>
          <w:rStyle w:val="FootnoteAnchor"/>
          <w:rtl w:val="true"/>
        </w:rPr>
        <w:footnoteReference w:id="130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عَوَّلوا في ذلكَ علىٰ ما رُويَ عن أميرِ المؤمنينَ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بَينَ الرجُلِ و بَينَ وَلَدِه رِباً، و لَيسَ بَينَ السيِّدِ و بَينَ عَبدِه رِباً</w:t>
      </w:r>
      <w:r>
        <w:rPr>
          <w:rFonts w:eastAsia="Amiri" w:cs="Amiri" w:ascii="Amiri" w:hAnsi="Amiri"/>
          <w:color w:val="111111"/>
          <w:sz w:val="28"/>
          <w:szCs w:val="28"/>
          <w:rtl w:val="true"/>
          <w:lang w:bidi="ar-SA"/>
        </w:rPr>
        <w:t>».</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و رَوَوا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المُسلِمِ و بَينَ الذِّمّيِّ رِباً، و لا بَينَ المَرأةِ و زَوجِها</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1310"/>
      </w:r>
      <w:r>
        <w:rPr>
          <w:rFonts w:ascii="Amiri" w:hAnsi="Amiri" w:eastAsia="Amiri" w:cs="Amiri"/>
          <w:color w:val="111111"/>
          <w:sz w:val="28"/>
          <w:sz w:val="28"/>
          <w:szCs w:val="28"/>
          <w:rtl w:val="true"/>
          <w:lang w:bidi="ar-SA"/>
        </w:rPr>
        <w:t>العبدُ و سَيِّدُه فلا شُبهةَ في انتفاءِ الرِّبا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يُوافِقُنا علىٰ ذلكَ أبو حَنيفةَ و أصحابُه، و الثَّوريُّ،</w:t>
      </w:r>
      <w:r>
        <w:rPr>
          <w:rStyle w:val="FootnoteAnchor"/>
          <w:rtl w:val="true"/>
        </w:rPr>
        <w:footnoteReference w:id="1311"/>
      </w:r>
      <w:r>
        <w:rPr>
          <w:rFonts w:ascii="Amiri" w:hAnsi="Amiri" w:eastAsia="Amiri" w:cs="Amiri"/>
          <w:color w:val="111111"/>
          <w:sz w:val="28"/>
          <w:sz w:val="28"/>
          <w:szCs w:val="28"/>
          <w:rtl w:val="true"/>
          <w:lang w:bidi="ar-SA"/>
        </w:rPr>
        <w:t>و اللَّيثُ،</w:t>
      </w:r>
      <w:r>
        <w:rPr>
          <w:rStyle w:val="FootnoteAnchor"/>
          <w:rtl w:val="true"/>
        </w:rPr>
        <w:footnoteReference w:id="1312"/>
      </w:r>
      <w:r>
        <w:rPr>
          <w:rFonts w:ascii="Amiri" w:hAnsi="Amiri" w:eastAsia="Amiri" w:cs="Amiri"/>
          <w:color w:val="111111"/>
          <w:sz w:val="28"/>
          <w:sz w:val="28"/>
          <w:szCs w:val="28"/>
          <w:rtl w:val="true"/>
          <w:lang w:bidi="ar-SA"/>
        </w:rPr>
        <w:t>و الحَسَنُ بنُ صالحِ بنِ حَيٍّ،</w:t>
      </w:r>
      <w:r>
        <w:rPr>
          <w:rStyle w:val="FootnoteAnchor"/>
          <w:rtl w:val="true"/>
        </w:rPr>
        <w:footnoteReference w:id="1313"/>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w:t>
      </w:r>
      <w:r>
        <w:rPr>
          <w:rStyle w:val="FootnoteAnchor"/>
          <w:rtl w:val="true"/>
        </w:rPr>
        <w:footnoteReference w:id="1314"/>
      </w:r>
      <w:r>
        <w:rPr>
          <w:rFonts w:ascii="Amiri" w:hAnsi="Amiri" w:eastAsia="Amiri" w:cs="Amiri"/>
          <w:color w:val="111111"/>
          <w:sz w:val="28"/>
          <w:sz w:val="28"/>
          <w:szCs w:val="28"/>
          <w:rtl w:val="true"/>
          <w:lang w:bidi="ar-SA"/>
        </w:rPr>
        <w:t>يُخالِفُ مالِكٌ الجَماعةَ في هذه المَسألةِ؛ لأنّ مالِكاً</w:t>
      </w:r>
      <w:r>
        <w:rPr>
          <w:rStyle w:val="FootnoteAnchor"/>
          <w:rtl w:val="true"/>
        </w:rPr>
        <w:footnoteReference w:id="1315"/>
      </w:r>
      <w:r>
        <w:rPr>
          <w:rFonts w:ascii="Amiri" w:hAnsi="Amiri" w:eastAsia="Amiri" w:cs="Amiri"/>
          <w:color w:val="111111"/>
          <w:sz w:val="28"/>
          <w:sz w:val="28"/>
          <w:szCs w:val="28"/>
          <w:rtl w:val="true"/>
          <w:lang w:bidi="ar-SA"/>
        </w:rPr>
        <w:t>يَذهبُ إلىٰ أنّ العبدَ يَملِكُ ما في يَدِه مع الرِّقِّ، و الجَماعةَ التي ذَكَرناها تَذهبُ إلىٰ أنّ الرِّقَّ يَمنَعُ مِن المِلكِ؛</w:t>
      </w:r>
      <w:r>
        <w:rPr>
          <w:rStyle w:val="FootnoteAnchor"/>
          <w:rtl w:val="true"/>
        </w:rPr>
        <w:footnoteReference w:id="1316"/>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كانَ ما في يَدِ العبدِ مِن المالِ‌</w:t>
      </w:r>
      <w:r>
        <w:rPr>
          <w:rStyle w:val="FootnoteAnchor"/>
          <w:rtl w:val="true"/>
        </w:rPr>
        <w:footnoteReference w:id="1317"/>
      </w:r>
      <w:r>
        <w:rPr>
          <w:rFonts w:ascii="Amiri" w:hAnsi="Amiri" w:eastAsia="Amiri" w:cs="Amiri"/>
          <w:color w:val="111111"/>
          <w:sz w:val="28"/>
          <w:sz w:val="28"/>
          <w:szCs w:val="28"/>
          <w:rtl w:val="true"/>
          <w:lang w:bidi="ar-SA"/>
        </w:rPr>
        <w:t>مِلكاً لِمَولاه لَم يَدخُلِ الرِّبا بَينَهما؛ لأنّ المالَينِ في الحُكمِ مالٌ واحدٌ، و المالِكَ واحدٌ؛ و لهذا يَتغيَّرُ</w:t>
      </w:r>
      <w:r>
        <w:rPr>
          <w:rStyle w:val="FootnoteAnchor"/>
          <w:rtl w:val="true"/>
        </w:rPr>
        <w:footnoteReference w:id="1318"/>
      </w:r>
      <w:r>
        <w:rPr>
          <w:rFonts w:ascii="Amiri" w:hAnsi="Amiri" w:eastAsia="Amiri" w:cs="Amiri"/>
          <w:color w:val="111111"/>
          <w:sz w:val="28"/>
          <w:sz w:val="28"/>
          <w:szCs w:val="28"/>
          <w:rtl w:val="true"/>
          <w:lang w:bidi="ar-SA"/>
        </w:rPr>
        <w:t>حُكمُ المأذونِ له في التجارةِ بتَعلُّقِ‌</w:t>
      </w:r>
      <w:r>
        <w:rPr>
          <w:rStyle w:val="FootnoteAnchor"/>
          <w:rtl w:val="true"/>
        </w:rPr>
        <w:footnoteReference w:id="1319"/>
      </w:r>
      <w:r>
        <w:rPr>
          <w:rFonts w:ascii="Amiri" w:hAnsi="Amiri" w:eastAsia="Amiri" w:cs="Amiri"/>
          <w:color w:val="111111"/>
          <w:sz w:val="28"/>
          <w:sz w:val="28"/>
          <w:szCs w:val="28"/>
          <w:rtl w:val="true"/>
          <w:lang w:bidi="ar-SA"/>
        </w:rPr>
        <w:t>حقِّ‌</w:t>
      </w:r>
      <w:r>
        <w:rPr>
          <w:rStyle w:val="FootnoteAnchor"/>
          <w:rtl w:val="true"/>
        </w:rPr>
        <w:footnoteReference w:id="1320"/>
      </w:r>
      <w:r>
        <w:rPr>
          <w:rFonts w:ascii="Amiri" w:hAnsi="Amiri" w:eastAsia="Amiri" w:cs="Amiri"/>
          <w:color w:val="111111"/>
          <w:sz w:val="28"/>
          <w:sz w:val="28"/>
          <w:szCs w:val="28"/>
          <w:rtl w:val="true"/>
          <w:lang w:bidi="ar-SA"/>
        </w:rPr>
        <w:t>الغُرَماءِ بما في يَدِه، و كذلكَ يَتغيَّرُ في هذا الحُكمِ حالُ العبدِ بَينَ 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فالشُّبهةُ في انتفاءِ الرِّبا بَينَ العبدِ و سَيّدِه مُرتَفِعةٌ، و إنّما الكلامُ في باقي المَسائلِ التي ذَكَرناها؛ فالأمرُ فيها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يَقوىٰ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الرِّبا مُحرَّمٌ بَينَ الوالدِ و وَلَدِه، و الزوجِ و زَوجتِه، و الذِّميِّ و المُسلِمِ، كتحريمِه بَينَ غَريبَينِ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الأخبارُ التي وَرَدَت، و في ظاهرِها أنّه لا رِبا في هذه المَواضِعِ، فإذا</w:t>
      </w:r>
      <w:r>
        <w:rPr>
          <w:rStyle w:val="FootnoteAnchor"/>
          <w:rtl w:val="true"/>
        </w:rPr>
        <w:footnoteReference w:id="1321"/>
      </w:r>
      <w:r>
        <w:rPr>
          <w:rFonts w:ascii="Amiri" w:hAnsi="Amiri" w:eastAsia="Amiri" w:cs="Amiri"/>
          <w:color w:val="111111"/>
          <w:sz w:val="28"/>
          <w:sz w:val="28"/>
          <w:szCs w:val="28"/>
          <w:rtl w:val="true"/>
          <w:lang w:bidi="ar-SA"/>
        </w:rPr>
        <w:t xml:space="preserve">جازَ العملُ بها جازَ أن نَحمِلَها علىٰ تغليظِ تحريمِ الرِّبا في هذه المَواضِعِ،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 و لَم يُرِدْ أنّ الرَّفَثَ في حينِ‌</w:t>
      </w:r>
      <w:r>
        <w:rPr>
          <w:rStyle w:val="FootnoteAnchor"/>
          <w:rtl w:val="true"/>
        </w:rPr>
        <w:footnoteReference w:id="1323"/>
      </w:r>
      <w:r>
        <w:rPr>
          <w:rFonts w:ascii="Amiri" w:hAnsi="Amiri" w:eastAsia="Amiri" w:cs="Amiri"/>
          <w:color w:val="111111"/>
          <w:sz w:val="28"/>
          <w:sz w:val="28"/>
          <w:szCs w:val="28"/>
          <w:rtl w:val="true"/>
          <w:lang w:bidi="ar-SA"/>
        </w:rPr>
        <w:t>الحَجِّ لا يَكونُ رَفَثاً و لا مُحرَّماً، و كذلكَ الفُسوقُ؛ و إنّما أرادَ بذلكَ تغليظَ تحريمِه و النهيِ عنه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شأنِ أهلِ اللغةِ إذا أكَّدوا التحريمَ‌</w:t>
      </w:r>
      <w:r>
        <w:rPr>
          <w:rStyle w:val="FootnoteAnchor"/>
          <w:rtl w:val="true"/>
        </w:rPr>
        <w:footnoteReference w:id="1324"/>
      </w:r>
      <w:r>
        <w:rPr>
          <w:rFonts w:ascii="Amiri" w:hAnsi="Amiri" w:eastAsia="Amiri" w:cs="Amiri"/>
          <w:color w:val="111111"/>
          <w:sz w:val="28"/>
          <w:sz w:val="28"/>
          <w:szCs w:val="28"/>
          <w:rtl w:val="true"/>
          <w:lang w:bidi="ar-SA"/>
        </w:rPr>
        <w:t>، أدخَلوا فيه لفظَ النفيِ، ليُنبئَ عن تحقيقِ التحريمِ و تأكيدِه و تغليظِه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w:t>
      </w:r>
      <w:r>
        <w:rPr>
          <w:rStyle w:val="FootnoteAnchor"/>
          <w:rtl w:val="true"/>
        </w:rPr>
        <w:footnoteReference w:id="1325"/>
      </w:r>
      <w:r>
        <w:rPr>
          <w:rFonts w:ascii="Amiri" w:hAnsi="Amiri" w:eastAsia="Amiri" w:cs="Amiri"/>
          <w:color w:val="111111"/>
          <w:sz w:val="28"/>
          <w:sz w:val="28"/>
          <w:szCs w:val="28"/>
          <w:rtl w:val="true"/>
          <w:lang w:bidi="ar-SA"/>
        </w:rPr>
        <w:t>في مُقابَلةِ ذلكَ إذا أرادوا أن يؤكِّدوا و يغلِّظوا الإيجابَ، استَعمَلوا فيه لفظَ الخبرِ و الإثباتِ،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Style w:val="FootnoteAnchor"/>
          <w:rtl w:val="true"/>
        </w:rPr>
        <w:footnoteReference w:id="1327"/>
      </w:r>
      <w:r>
        <w:rPr>
          <w:rFonts w:ascii="Amiri" w:hAnsi="Amiri" w:eastAsia="Amiri" w:cs="Amiri"/>
          <w:color w:val="111111"/>
          <w:sz w:val="28"/>
          <w:sz w:val="28"/>
          <w:szCs w:val="28"/>
          <w:rtl w:val="true"/>
          <w:lang w:bidi="ar-SA"/>
        </w:rPr>
        <w:t>، و إنّما أكَّدَ بذلكَ وجوبَ أمانِه، و كانَ هذا القولُ آكَدَ مِن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مَن دَخَلَه و لا تُخيفوه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العاريةُ مردودةٌ، و الزعيمُ غارمٌ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المُرادُ به أنّه يَجِبُ رَدُّ العاريةِ، و غَرامةُ الزعيمِ الذي هو الضامنُ؛ و إخراجُ‌</w:t>
      </w:r>
      <w:r>
        <w:rPr>
          <w:rStyle w:val="FootnoteAnchor"/>
          <w:rtl w:val="true"/>
        </w:rPr>
        <w:footnoteReference w:id="1328"/>
      </w:r>
      <w:r>
        <w:rPr>
          <w:rFonts w:ascii="Amiri" w:hAnsi="Amiri" w:eastAsia="Amiri" w:cs="Amiri"/>
          <w:color w:val="111111"/>
          <w:sz w:val="28"/>
          <w:sz w:val="28"/>
          <w:szCs w:val="28"/>
          <w:rtl w:val="true"/>
          <w:lang w:bidi="ar-SA"/>
        </w:rPr>
        <w:t>الكلامِ مَخرَجَ الخبرِ للتأكيدِ و التغليظِ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في بابِ الإيجابِ نَظيرُ ما ذَكَرناه</w:t>
      </w:r>
      <w:r>
        <w:rPr>
          <w:rStyle w:val="FootnoteAnchor"/>
          <w:rtl w:val="true"/>
        </w:rPr>
        <w:footnoteReference w:id="1329"/>
      </w:r>
      <w:r>
        <w:rPr>
          <w:rFonts w:ascii="Amiri" w:hAnsi="Amiri" w:eastAsia="Amiri" w:cs="Amiri"/>
          <w:color w:val="111111"/>
          <w:sz w:val="28"/>
          <w:sz w:val="28"/>
          <w:szCs w:val="28"/>
          <w:rtl w:val="true"/>
          <w:lang w:bidi="ar-SA"/>
        </w:rPr>
        <w:t>في بابِ الحَظرِ 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فائدةٍ في تخصيصِ هذه المَواضِعِ بنَفيِ‌</w:t>
      </w:r>
      <w:r>
        <w:rPr>
          <w:rStyle w:val="FootnoteAnchor"/>
          <w:rtl w:val="true"/>
        </w:rPr>
        <w:footnoteReference w:id="1330"/>
      </w:r>
      <w:r>
        <w:rPr>
          <w:rFonts w:ascii="Amiri" w:hAnsi="Amiri" w:eastAsia="Amiri" w:cs="Amiri"/>
          <w:color w:val="111111"/>
          <w:sz w:val="28"/>
          <w:sz w:val="28"/>
          <w:szCs w:val="28"/>
          <w:rtl w:val="true"/>
          <w:lang w:bidi="ar-SA"/>
        </w:rPr>
        <w:t>الربا فيها مع إرادةِ التحريمِ و التغليظِ، و الربا مُحرَّمٌ مِن</w:t>
      </w:r>
      <w:r>
        <w:rPr>
          <w:rStyle w:val="FootnoteAnchor"/>
          <w:rtl w:val="true"/>
        </w:rPr>
        <w:footnoteReference w:id="1331"/>
      </w:r>
      <w:r>
        <w:rPr>
          <w:rFonts w:ascii="Amiri" w:hAnsi="Amiri" w:eastAsia="Amiri" w:cs="Amiri"/>
          <w:color w:val="111111"/>
          <w:sz w:val="28"/>
          <w:sz w:val="28"/>
          <w:szCs w:val="28"/>
          <w:rtl w:val="true"/>
          <w:lang w:bidi="ar-SA"/>
        </w:rPr>
        <w:t>كُلِّ واحدٍ</w:t>
      </w:r>
      <w:r>
        <w:rPr>
          <w:rStyle w:val="FootnoteAnchor"/>
          <w:rtl w:val="true"/>
        </w:rPr>
        <w:footnoteReference w:id="1332"/>
      </w:r>
      <w:r>
        <w:rPr>
          <w:rFonts w:ascii="Amiri" w:hAnsi="Amiri" w:eastAsia="Amiri" w:cs="Amiri"/>
          <w:color w:val="111111"/>
          <w:sz w:val="28"/>
          <w:sz w:val="28"/>
          <w:szCs w:val="28"/>
          <w:rtl w:val="true"/>
          <w:lang w:bidi="ar-SA"/>
        </w:rPr>
        <w:t>و في كُلِّ مَوضِعٍ؟</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r>
        <w:rPr>
          <w:rStyle w:val="FootnoteAnchor"/>
          <w:rtl w:val="true"/>
        </w:rPr>
        <w:footnoteReference w:id="1333"/>
      </w:r>
      <w:r>
        <w:rPr>
          <w:rFonts w:ascii="Amiri" w:hAnsi="Amiri" w:eastAsia="Amiri" w:cs="Amiri"/>
          <w:color w:val="111111"/>
          <w:sz w:val="28"/>
          <w:sz w:val="28"/>
          <w:szCs w:val="28"/>
          <w:rtl w:val="true"/>
          <w:lang w:bidi="ar-SA"/>
        </w:rPr>
        <w:t>في تخصيصِ بعضِ‌</w:t>
      </w:r>
      <w:r>
        <w:rPr>
          <w:rStyle w:val="FootnoteAnchor"/>
          <w:rtl w:val="true"/>
        </w:rPr>
        <w:footnoteReference w:id="1334"/>
      </w:r>
      <w:r>
        <w:rPr>
          <w:rFonts w:ascii="Amiri" w:hAnsi="Amiri" w:eastAsia="Amiri" w:cs="Amiri"/>
          <w:color w:val="111111"/>
          <w:sz w:val="28"/>
          <w:sz w:val="28"/>
          <w:szCs w:val="28"/>
          <w:rtl w:val="true"/>
          <w:lang w:bidi="ar-SA"/>
        </w:rPr>
        <w:t>المَواضعِ بالذِّكرِ ما</w:t>
      </w:r>
      <w:r>
        <w:rPr>
          <w:rStyle w:val="FootnoteAnchor"/>
          <w:rtl w:val="true"/>
        </w:rPr>
        <w:footnoteReference w:id="1335"/>
      </w:r>
      <w:r>
        <w:rPr>
          <w:rFonts w:ascii="Amiri" w:hAnsi="Amiri" w:eastAsia="Amiri" w:cs="Amiri"/>
          <w:color w:val="111111"/>
          <w:sz w:val="28"/>
          <w:sz w:val="28"/>
          <w:szCs w:val="28"/>
          <w:rtl w:val="true"/>
          <w:lang w:bidi="ar-SA"/>
        </w:rPr>
        <w:t xml:space="preserve">يَدُلُّ علىٰ أنّ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بخِلافِها؛ و هذا مَذهبٌ قد اختَلَفَ فيه أصحابُ أُصولِ الفقهِ، و الصحيحُ ما ذَكَرناه</w:t>
      </w:r>
      <w:r>
        <w:rPr>
          <w:rFonts w:eastAsia="Amiri" w:cs="Amiri" w:ascii="Amiri" w:hAnsi="Amiri"/>
          <w:color w:val="111111"/>
          <w:sz w:val="28"/>
          <w:szCs w:val="28"/>
          <w:rtl w:val="true"/>
          <w:lang w:bidi="ar-SA"/>
        </w:rPr>
        <w:t>.</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و مع هذا فغَيرُ مُمتَنِعٍ أن يَكونَ للتخصيصِ فائدةٌ؛</w:t>
      </w:r>
    </w:p>
    <w:p>
      <w:pPr>
        <w:pStyle w:val="BookText"/>
        <w:rPr/>
      </w:pPr>
      <w:r>
        <w:rPr>
          <w:rFonts w:ascii="Amiri" w:hAnsi="Amiri" w:eastAsia="Amiri" w:cs="Amiri"/>
          <w:color w:val="111111"/>
          <w:sz w:val="28"/>
          <w:sz w:val="28"/>
          <w:szCs w:val="28"/>
          <w:rtl w:val="true"/>
          <w:lang w:bidi="ar-SA"/>
        </w:rPr>
        <w:t>أمّا الوالدُ و وَلَدُه، فالحُرمةُ‌</w:t>
      </w:r>
      <w:r>
        <w:rPr>
          <w:rStyle w:val="FootnoteAnchor"/>
          <w:rtl w:val="true"/>
        </w:rPr>
        <w:footnoteReference w:id="1337"/>
      </w:r>
      <w:r>
        <w:rPr>
          <w:rFonts w:ascii="Amiri" w:hAnsi="Amiri" w:eastAsia="Amiri" w:cs="Amiri"/>
          <w:color w:val="111111"/>
          <w:sz w:val="28"/>
          <w:sz w:val="28"/>
          <w:szCs w:val="28"/>
          <w:rtl w:val="true"/>
          <w:lang w:bidi="ar-SA"/>
        </w:rPr>
        <w:t>بَينَهما عَظيمةٌ مُتأكِّدةٌ؛ فما حُظِرَ بَينَ غيرِهما و قَبُحَ في الشريعةِ، فهو للحُرمةِ‌</w:t>
      </w:r>
      <w:r>
        <w:rPr>
          <w:rStyle w:val="FootnoteAnchor"/>
          <w:rtl w:val="true"/>
        </w:rPr>
        <w:footnoteReference w:id="1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أقبَحُ و أشَدُّ حَظْراً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الزوجُ 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لهذا المعنىٰ وَقَعَ التخصيصُ للذِّكرِ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الذِّمّيُّ و المُسلِمُ، فيُمكِنُ أن يَكونَ وجهُ تخصيصِهما</w:t>
      </w:r>
      <w:r>
        <w:rPr>
          <w:rStyle w:val="FootnoteAnchor"/>
          <w:rtl w:val="true"/>
        </w:rPr>
        <w:footnoteReference w:id="1339"/>
      </w:r>
      <w:r>
        <w:rPr>
          <w:rFonts w:ascii="Amiri" w:hAnsi="Amiri" w:eastAsia="Amiri" w:cs="Amiri"/>
          <w:color w:val="111111"/>
          <w:sz w:val="28"/>
          <w:sz w:val="28"/>
          <w:szCs w:val="28"/>
          <w:rtl w:val="true"/>
          <w:lang w:bidi="ar-SA"/>
        </w:rPr>
        <w:t xml:space="preserve">هو أنّ الشريعةَ قد أباحَت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الإسلامِ و شَرَفِه علىٰ سائرِ المِلَلِ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يَرِثَ المُسلِمُ الذِّمّيَّ و الكافِرَ، و إن لَم يَرِثِ الذِّمّيُّ المُسلِمَ؛ و يَثبُتَ‌</w:t>
      </w:r>
      <w:r>
        <w:rPr>
          <w:rStyle w:val="FootnoteAnchor"/>
          <w:rtl w:val="true"/>
        </w:rPr>
        <w:footnoteReference w:id="1340"/>
      </w:r>
      <w:r>
        <w:rPr>
          <w:rFonts w:ascii="Amiri" w:hAnsi="Amiri" w:eastAsia="Amiri" w:cs="Amiri"/>
          <w:color w:val="111111"/>
          <w:sz w:val="28"/>
          <w:sz w:val="28"/>
          <w:szCs w:val="28"/>
          <w:rtl w:val="true"/>
          <w:lang w:bidi="ar-SA"/>
        </w:rPr>
        <w:t>حَقُّ الشُّفعةِ للمُسلِمِ علَى الذِّمّيِّ، و لا يَثبُتَ‌</w:t>
      </w:r>
      <w:r>
        <w:rPr>
          <w:rStyle w:val="FootnoteAnchor"/>
          <w:rtl w:val="true"/>
        </w:rPr>
        <w:footnoteReference w:id="1341"/>
      </w:r>
      <w:r>
        <w:rPr>
          <w:rFonts w:ascii="Amiri" w:hAnsi="Amiri" w:eastAsia="Amiri" w:cs="Amiri"/>
          <w:color w:val="111111"/>
          <w:sz w:val="28"/>
          <w:sz w:val="28"/>
          <w:szCs w:val="28"/>
          <w:rtl w:val="true"/>
          <w:lang w:bidi="ar-SA"/>
        </w:rPr>
        <w:t>للذِّمّيِّ علَى المُسلِمِ‌</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 نَفيُ الربا بالذِّمّيِّ و المُسلِمِ علىٰ سَبيلِ الحَظْرِ؛ لئلّا يَظُنَّ ظانٌّ أنّه</w:t>
      </w:r>
      <w:r>
        <w:rPr>
          <w:rStyle w:val="FootnoteAnchor"/>
          <w:rtl w:val="true"/>
        </w:rPr>
        <w:footnoteReference w:id="1343"/>
      </w:r>
      <w:r>
        <w:rPr>
          <w:rFonts w:ascii="Amiri" w:hAnsi="Amiri" w:eastAsia="Amiri" w:cs="Amiri"/>
          <w:color w:val="111111"/>
          <w:sz w:val="28"/>
          <w:sz w:val="28"/>
          <w:szCs w:val="28"/>
          <w:rtl w:val="true"/>
          <w:lang w:bidi="ar-SA"/>
        </w:rPr>
        <w:t>يَجوزُ للمُسلِمِ أن يأخُذَ مِن الذِّمّيِّ الفَضلَ في المَواضِعِ‌</w:t>
      </w:r>
      <w:r>
        <w:rPr>
          <w:rStyle w:val="FootnoteAnchor"/>
          <w:rtl w:val="true"/>
        </w:rPr>
        <w:footnoteReference w:id="1344"/>
      </w:r>
      <w:r>
        <w:rPr>
          <w:rFonts w:ascii="Amiri" w:hAnsi="Amiri" w:eastAsia="Amiri" w:cs="Amiri"/>
          <w:color w:val="111111"/>
          <w:sz w:val="28"/>
          <w:sz w:val="28"/>
          <w:szCs w:val="28"/>
          <w:rtl w:val="true"/>
          <w:lang w:bidi="ar-SA"/>
        </w:rPr>
        <w:t>التي</w:t>
      </w:r>
      <w:r>
        <w:rPr>
          <w:rStyle w:val="FootnoteAnchor"/>
          <w:rtl w:val="true"/>
        </w:rPr>
        <w:footnoteReference w:id="1345"/>
      </w:r>
      <w:r>
        <w:rPr>
          <w:rFonts w:ascii="Amiri" w:hAnsi="Amiri" w:eastAsia="Amiri" w:cs="Amiri"/>
          <w:color w:val="111111"/>
          <w:sz w:val="28"/>
          <w:sz w:val="28"/>
          <w:szCs w:val="28"/>
          <w:rtl w:val="true"/>
          <w:lang w:bidi="ar-SA"/>
        </w:rPr>
        <w:t>يَكونُ فيها</w:t>
      </w:r>
      <w:r>
        <w:rPr>
          <w:rStyle w:val="FootnoteAnchor"/>
          <w:rtl w:val="true"/>
        </w:rPr>
        <w:footnoteReference w:id="1346"/>
      </w:r>
      <w:r>
        <w:rPr>
          <w:rFonts w:ascii="Amiri" w:hAnsi="Amiri" w:eastAsia="Amiri" w:cs="Amiri"/>
          <w:color w:val="111111"/>
          <w:sz w:val="28"/>
          <w:sz w:val="28"/>
          <w:szCs w:val="28"/>
          <w:rtl w:val="true"/>
          <w:lang w:bidi="ar-SA"/>
        </w:rPr>
        <w:t xml:space="preserve">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يَجُزْ ذلكَ للذِّمّيِّ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جازَ في الميراثِ و الشُّفعةِ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يَدعو إلَى الانصرافِ عن ظواهرِ الأخبارِ المَرويّةِ في نَفيِ الربا بَينَ الجَماعةِ المذكورةِ إلىٰ هذا التعسُّفِ مِن التأويلِ؟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عَدَلنا عن ظاهرٍ إلىٰ تأويلٍ مُتعسِّفٍ؛ لأنّ لفظةَ النفيِ في الشريعةِ إذا وَرَدَت في مِثلِ هذه المَواضعِ التي ذَكَرناها، لَم يَكُن ظاهرُها للإباحةِ دونَ التحريمِ و التغليظِ؛ بَل هي مُحتَمِلةٌ لكُلِّ واحدٍ مِن الأمرَينِ احتمالاً واحداً، و لا تَعسُّفَ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احتَمَلَت الأمرَينِ، فلِمَ حَمَلتموها علىٰ أحَدِهما بغَيرِ دليلٍ؟</w:t>
      </w:r>
    </w:p>
    <w:p>
      <w:pPr>
        <w:pStyle w:val="BookText"/>
        <w:rPr/>
      </w:pPr>
      <w:r>
        <w:rPr>
          <w:rFonts w:ascii="Amiri" w:hAnsi="Amiri" w:eastAsia="Amiri" w:cs="Amiri"/>
          <w:color w:val="111111"/>
          <w:sz w:val="28"/>
          <w:sz w:val="28"/>
          <w:szCs w:val="28"/>
          <w:rtl w:val="true"/>
          <w:lang w:bidi="ar-SA"/>
        </w:rPr>
        <w:t>و هاهُنا دليلٌ يَقتَضي ما فَعَلناه؛ و هو أنّ اللّٰهَ تَعالىٰ حَرَّمَ الربا في آياتٍ مُحكَماتٍ مِن الكتابِ لا إشكالَ فيها،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اَلرِّبَوا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الواردةُ عن رسولِ اللّٰهِ صَلَّى اللّٰهُ عليه و آلِه و عن وُلدِه مِن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 الربا و حَظْرِه، و النهيِ عن أكلِه، و الوعيدِ الشديدِ علىٰ مَن خالَفَ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تُحصىٰ‌</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عَلِمنا</w:t>
      </w:r>
      <w:r>
        <w:rPr>
          <w:rStyle w:val="FootnoteAnchor"/>
          <w:rtl w:val="true"/>
        </w:rPr>
        <w:footnoteReference w:id="1351"/>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معناها</w:t>
      </w:r>
      <w:r>
        <w:rPr>
          <w:rStyle w:val="FootnoteAnchor"/>
          <w:rtl w:val="true"/>
        </w:rPr>
        <w:footnoteReference w:id="1352"/>
      </w:r>
      <w:r>
        <w:rPr>
          <w:rFonts w:ascii="Amiri" w:hAnsi="Amiri" w:eastAsia="Amiri" w:cs="Amiri"/>
          <w:color w:val="111111"/>
          <w:sz w:val="28"/>
          <w:sz w:val="28"/>
          <w:szCs w:val="28"/>
          <w:rtl w:val="true"/>
          <w:lang w:bidi="ar-SA"/>
        </w:rPr>
        <w:t xml:space="preserve">الزيادةُ، و قَرَّرَت الشريعةُ في هذه اللفظةِ أنّها زيادةٌ في أجناسٍ و أعيانٍ مخصوصةٍ؛ و خِطابُ اللّٰهِ تَعالىٰ و خِطابُ </w:t>
      </w:r>
    </w:p>
    <w:p>
      <w:pPr>
        <w:pStyle w:val="BookText"/>
        <w:rPr/>
      </w:pPr>
      <w:r>
        <w:rPr>
          <w:rFonts w:ascii="Amiri" w:hAnsi="Amiri" w:eastAsia="Amiri" w:cs="Amiri"/>
          <w:color w:val="111111"/>
          <w:sz w:val="28"/>
          <w:sz w:val="28"/>
          <w:szCs w:val="28"/>
          <w:rtl w:val="true"/>
          <w:lang w:bidi="ar-SA"/>
        </w:rPr>
        <w:t xml:space="preserve">رَسولِه يَجِبُ حَملُهما علَى العُرفِ الشرعيِّ دونَ اللُّغويِّ، فيَجِبُ علىٰ هذا أن يُفهَمَ مِن ظواهرِ الآياتِ و الأخبارِ أنّ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التفاضُلُ في الأجناسِ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علىٰ جميعِ المُخاطَبينَ بالكتابِ علَى العُمومِ؛ فيَدخُلُ في ذلكَ الوَلَدُ، و الزوجُ، و الذِّمّيُّ مع المُسلِمِ، و كُلُّ مَن أخَذَ و أعطىٰ فَضلاً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وَرَدَت</w:t>
      </w:r>
      <w:r>
        <w:rPr>
          <w:rStyle w:val="FootnoteAnchor"/>
          <w:rtl w:val="true"/>
        </w:rPr>
        <w:footnoteReference w:id="1353"/>
      </w:r>
      <w:r>
        <w:rPr>
          <w:rFonts w:ascii="Amiri" w:hAnsi="Amiri" w:eastAsia="Amiri" w:cs="Amiri"/>
          <w:color w:val="111111"/>
          <w:sz w:val="28"/>
          <w:sz w:val="28"/>
          <w:szCs w:val="28"/>
          <w:rtl w:val="true"/>
          <w:lang w:bidi="ar-SA"/>
        </w:rPr>
        <w:t>أخبارٌ بنَفيِ الربا بَينَ بعضِ مَن تَناوَلَه ذلكَ العمومُ، حَمَلنا النفيَ فيها علىٰ ما ذَكَرناه ممّا</w:t>
      </w:r>
      <w:r>
        <w:rPr>
          <w:rStyle w:val="FootnoteAnchor"/>
          <w:rtl w:val="true"/>
        </w:rPr>
        <w:footnoteReference w:id="1354"/>
      </w:r>
      <w:r>
        <w:rPr>
          <w:rFonts w:ascii="Amiri" w:hAnsi="Amiri" w:eastAsia="Amiri" w:cs="Amiri"/>
          <w:color w:val="111111"/>
          <w:sz w:val="28"/>
          <w:sz w:val="28"/>
          <w:szCs w:val="28"/>
          <w:rtl w:val="true"/>
          <w:lang w:bidi="ar-SA"/>
        </w:rPr>
        <w:t>يُطابِقُ تلكَ الآياتِ و يوافِقُها، و لا يوجِبُ تخصيصَها و تَرْكَ ظواهرِها</w:t>
      </w:r>
      <w:r>
        <w:rPr>
          <w:rFonts w:eastAsia="Amiri" w:cs="Amiri" w:ascii="Amiri" w:hAnsi="Amiri"/>
          <w:color w:val="111111"/>
          <w:sz w:val="28"/>
          <w:szCs w:val="28"/>
          <w:rtl w:val="true"/>
          <w:lang w:bidi="ar-SA"/>
        </w:rPr>
        <w:t>.</w:t>
      </w:r>
      <w:r>
        <w:rPr>
          <w:rStyle w:val="FootnoteAnchor"/>
          <w:rtl w:val="true"/>
        </w:rPr>
        <w:footnoteReference w:id="1355"/>
      </w:r>
      <w:bookmarkStart w:id="272" w:name="pg16437_172546"/>
    </w:p>
    <w:p>
      <w:pPr>
        <w:pStyle w:val="Heading5"/>
        <w:numPr>
          <w:ilvl w:val="4"/>
          <w:numId w:val="1"/>
        </w:numPr>
        <w:rPr/>
      </w:pPr>
      <w:bookmarkStart w:id="273" w:name="__RefHeading___Toc8039643_1280447820"/>
      <w:bookmarkStart w:id="274" w:name="_Toc96"/>
      <w:bookmarkEnd w:id="272"/>
      <w:bookmarkEnd w:id="273"/>
      <w:r>
        <w:rPr>
          <w:rtl w:val="true"/>
        </w:rPr>
        <w:t>المَسألةُ السادسةُ عِدّةُ الحاملِ‌</w:t>
      </w:r>
      <w:bookmarkEnd w:id="274"/>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عِدّةَ الحامِلِ المُطلَّقةِ أقرَبُ الأجَلَينِ</w:t>
      </w:r>
      <w:r>
        <w:rPr>
          <w:rFonts w:eastAsia="Amiri" w:cs="Amiri" w:ascii="Amiri" w:hAnsi="Amiri"/>
          <w:color w:val="111111"/>
          <w:sz w:val="28"/>
          <w:szCs w:val="28"/>
          <w:rtl w:val="true"/>
          <w:lang w:bidi="ar-SA"/>
        </w:rPr>
        <w:t>.</w:t>
      </w:r>
      <w:r>
        <w:rPr>
          <w:rStyle w:val="FootnoteAnchor"/>
          <w:rtl w:val="true"/>
        </w:rPr>
        <w:footnoteReference w:id="1356"/>
      </w:r>
      <w:r>
        <w:rPr>
          <w:rFonts w:ascii="Amiri" w:hAnsi="Amiri" w:eastAsia="Amiri" w:cs="Amiri"/>
          <w:color w:val="111111"/>
          <w:sz w:val="28"/>
          <w:sz w:val="28"/>
          <w:szCs w:val="28"/>
          <w:rtl w:val="true"/>
          <w:lang w:bidi="ar-SA"/>
        </w:rPr>
        <w:t>و هو مُشكِلٌ؛ لأنّه قد يَصِحُّ أن تَبقىٰ حاملاً بَعدَ خُروجِها مِن عِدّةِ الطلاقِ شُهوراً،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اَلْأَحْمٰالِ أَجَلُهُنَّ أَنْ يَضَعْنَ حَمْلَهُنَّ</w:t>
      </w:r>
      <w:r>
        <w:rPr>
          <w:rFonts w:eastAsia="Amiri" w:cs="Amiri" w:ascii="Amiri" w:hAnsi="Amiri"/>
          <w:color w:val="111111"/>
          <w:sz w:val="28"/>
          <w:szCs w:val="28"/>
          <w:rtl w:val="true"/>
          <w:lang w:bidi="ar-SA"/>
        </w:rPr>
        <w:t>»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الحامِلِ المُتَوفّىٰ عنها زَوجُها أبعَدُ الأجَلَينِ</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و هو في الإشكالِ مِثلُ صاحبِه؛ لِما بَيَّنَ اللّٰهُ تَعالىٰ مِن عِدّةِ‌</w:t>
      </w:r>
      <w:r>
        <w:rPr>
          <w:rStyle w:val="FootnoteAnchor"/>
          <w:rtl w:val="true"/>
        </w:rPr>
        <w:footnoteReference w:id="1359"/>
      </w:r>
      <w:r>
        <w:rPr>
          <w:rFonts w:ascii="Amiri" w:hAnsi="Amiri" w:eastAsia="Amiri" w:cs="Amiri"/>
          <w:color w:val="111111"/>
          <w:sz w:val="28"/>
          <w:sz w:val="28"/>
          <w:szCs w:val="28"/>
          <w:rtl w:val="true"/>
          <w:lang w:bidi="ar-SA"/>
        </w:rPr>
        <w:t>الحَملِ، و يَصِحُّ أن تَضَعَ بَعدَ وفاةِ زَوجِها بساعةٍ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القولُ بأنّ عِدّةَ‌</w:t>
      </w:r>
      <w:r>
        <w:rPr>
          <w:rStyle w:val="FootnoteAnchor"/>
          <w:rtl w:val="true"/>
        </w:rPr>
        <w:footnoteReference w:id="1360"/>
      </w:r>
      <w:r>
        <w:rPr>
          <w:rFonts w:ascii="Amiri" w:hAnsi="Amiri" w:eastAsia="Amiri" w:cs="Amiri"/>
          <w:color w:val="111111"/>
          <w:sz w:val="28"/>
          <w:sz w:val="28"/>
          <w:szCs w:val="28"/>
          <w:rtl w:val="true"/>
          <w:lang w:bidi="ar-SA"/>
        </w:rPr>
        <w:t xml:space="preserve">الحاملِ المُطلَّقةِ أقرَبُ الأجَلَينِ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ممّا يُفتي به أكثَرُ أصحابِنا، و كُتُبُهم تَنطِقُ‌</w:t>
      </w:r>
      <w:r>
        <w:rPr>
          <w:rStyle w:val="FootnoteAnchor"/>
          <w:rtl w:val="true"/>
        </w:rPr>
        <w:footnoteReference w:id="1361"/>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w:t>
      </w:r>
      <w:r>
        <w:rPr>
          <w:rStyle w:val="FootnoteAnchor"/>
          <w:rtl w:val="true"/>
        </w:rPr>
        <w:footnoteReference w:id="136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ذَهَبَ إليه عَوّلَ علىٰ خبرٍ رَواه زُرارةُ عن أبي جَعفَرٍ عليه السلامُ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الحاملِ واحدةٌ‌</w:t>
      </w:r>
      <w:r>
        <w:rPr>
          <w:rStyle w:val="FootnoteAnchor"/>
          <w:rtl w:val="true"/>
        </w:rPr>
        <w:footnoteReference w:id="1363"/>
      </w:r>
      <w:r>
        <w:rPr>
          <w:rFonts w:ascii="Amiri" w:hAnsi="Amiri" w:eastAsia="Amiri" w:cs="Amiri"/>
          <w:color w:val="111111"/>
          <w:sz w:val="28"/>
          <w:sz w:val="28"/>
          <w:szCs w:val="28"/>
          <w:rtl w:val="true"/>
          <w:lang w:bidi="ar-SA"/>
        </w:rPr>
        <w:t>، فإذا وَضَعَت ما في بَطنِها فقَد بانَت منه؛ و قالَ اللّٰهُ‌</w:t>
      </w:r>
      <w:r>
        <w:rPr>
          <w:rStyle w:val="FootnoteAnchor"/>
          <w:rtl w:val="true"/>
        </w:rPr>
        <w:footnoteReference w:id="1364"/>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أُولاٰتُ اَلْأَحْمٰالِ أَجَلُهُنَّ أَنْ يَضَعْنَ حَمْلَهُنَّ</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 فإذا طَلَّقَها الرجُلُ و وَضَعَت مِن يَومِها أو مِن غَدٍ، فقَد انقَضىٰ أجَلُها، و جازَ</w:t>
      </w:r>
      <w:r>
        <w:rPr>
          <w:rStyle w:val="FootnoteAnchor"/>
          <w:rtl w:val="true"/>
        </w:rPr>
        <w:footnoteReference w:id="1366"/>
      </w:r>
      <w:r>
        <w:rPr>
          <w:rFonts w:ascii="Amiri" w:hAnsi="Amiri" w:eastAsia="Amiri" w:cs="Amiri"/>
          <w:color w:val="111111"/>
          <w:sz w:val="28"/>
          <w:sz w:val="28"/>
          <w:szCs w:val="28"/>
          <w:rtl w:val="true"/>
          <w:lang w:bidi="ar-SA"/>
        </w:rPr>
        <w:t xml:space="preserve">لها أن تَتزوَّجَ، و لكِنْ لا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حَتّىٰ تَطهُرَ</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الحُبلَى المُطلَّقةُ تَعتَدُّ بأقرَبِ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مَضَت</w:t>
      </w:r>
      <w:r>
        <w:rPr>
          <w:rStyle w:val="FootnoteAnchor"/>
          <w:rtl w:val="true"/>
        </w:rPr>
        <w:footnoteReference w:id="1369"/>
      </w:r>
      <w:r>
        <w:rPr>
          <w:rFonts w:ascii="IRNazanin" w:hAnsi="IRNazanin" w:eastAsia="IRNazanin"/>
          <w:color w:val="111111"/>
          <w:sz w:val="28"/>
          <w:sz w:val="28"/>
          <w:szCs w:val="28"/>
          <w:rtl w:val="true"/>
          <w:lang w:bidi="fa-IR"/>
        </w:rPr>
        <w:t>لها</w:t>
      </w:r>
      <w:r>
        <w:rPr>
          <w:rStyle w:val="FootnoteAnchor"/>
          <w:rtl w:val="true"/>
        </w:rPr>
        <w:footnoteReference w:id="1370"/>
      </w:r>
      <w:r>
        <w:rPr>
          <w:rFonts w:ascii="Amiri" w:hAnsi="Amiri" w:eastAsia="Amiri" w:cs="Amiri"/>
          <w:color w:val="111111"/>
          <w:sz w:val="28"/>
          <w:sz w:val="28"/>
          <w:szCs w:val="28"/>
          <w:rtl w:val="true"/>
          <w:lang w:bidi="ar-SA"/>
        </w:rPr>
        <w:t>ثَلاثةُ أشهُرٍ قَبلَ أن تَضَعَ فقَد انقَضَت عِدّتُها منه، و لكِنَّها لا تَتزوَّجُ حتّىٰ تَضَعَ، فإن وَضَعَت ما في بَطنِها قَبلَ انقضاءِ ثَلاثةِ أشهُرٍ فقَد انقَضىٰ أجَلُها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الحُبلَى المُتَوفّىٰ عنها زَوجُها تَعتَدُّ بأبعَدِ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وَضَعَت قَبلَ أن تَمضيَ أربعةُ أشهُرٍ و عَشرةُ أيّامٍ لَم تَنقَضِ عِدّتُها حتّىٰ تَمضيَ أربعةُ أشهُرٍ و عَشرةُ أيّامٍ، فإن</w:t>
      </w:r>
      <w:r>
        <w:rPr>
          <w:rStyle w:val="FootnoteAnchor"/>
          <w:rtl w:val="true"/>
        </w:rPr>
        <w:footnoteReference w:id="1371"/>
      </w:r>
      <w:r>
        <w:rPr>
          <w:rFonts w:ascii="Amiri" w:hAnsi="Amiri" w:eastAsia="Amiri" w:cs="Amiri"/>
          <w:color w:val="111111"/>
          <w:sz w:val="28"/>
          <w:sz w:val="28"/>
          <w:szCs w:val="28"/>
          <w:rtl w:val="true"/>
          <w:lang w:bidi="ar-SA"/>
        </w:rPr>
        <w:t>مَضَت لها أربعةُ أشهُرٍ و عَشرةُ أيّامٍ قَبلَ أن تَضَعَ لَم تَنقَضِ عِدّتُها</w:t>
      </w:r>
      <w:r>
        <w:rPr>
          <w:rStyle w:val="FootnoteAnchor"/>
          <w:rtl w:val="true"/>
        </w:rPr>
        <w:footnoteReference w:id="1372"/>
      </w:r>
      <w:r>
        <w:rPr>
          <w:rFonts w:ascii="Amiri" w:hAnsi="Amiri" w:eastAsia="Amiri" w:cs="Amiri"/>
          <w:color w:val="111111"/>
          <w:sz w:val="28"/>
          <w:sz w:val="28"/>
          <w:szCs w:val="28"/>
          <w:rtl w:val="true"/>
          <w:lang w:bidi="ar-SA"/>
        </w:rPr>
        <w:t>حتّىٰ تَضَعَ الحَملَ‌</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فعلىٰ هذا الخبرِ عَوَّلَ مَن ذَهَبَ في المُطلَّقةِ الحاملِ إلىٰ أنّ عِدّتَها أقرَبُ الأجَلَينِ؛ و نحنُ نُبيِّنُ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صَدرُ الخبرِ، فصَريحٌ في أنّ الحامِلَ المُطلَّقةَ تَمضي عِدّتُها و يَنقَضي</w:t>
      </w:r>
      <w:r>
        <w:rPr>
          <w:rStyle w:val="FootnoteAnchor"/>
          <w:rtl w:val="true"/>
        </w:rPr>
        <w:footnoteReference w:id="1375"/>
      </w:r>
      <w:r>
        <w:rPr>
          <w:rFonts w:ascii="Amiri" w:hAnsi="Amiri" w:eastAsia="Amiri" w:cs="Amiri"/>
          <w:color w:val="111111"/>
          <w:sz w:val="28"/>
          <w:sz w:val="28"/>
          <w:szCs w:val="28"/>
          <w:rtl w:val="true"/>
          <w:lang w:bidi="ar-SA"/>
        </w:rPr>
        <w:t>أجَلُها بوَضعِ الحَملِ، حتَّى احتُجَّ لهذا الحُكمِ بالقُرآنِ، و لَيسَ يَجوزُ أن يَليَ هذا الحُكمَ ما يُضادُّه و يُناقِضُه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اشتَبَهَ علىٰ مَن ذَهَبَ إلىٰ هذا المَذهبِ مِن هذا الخبرِ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الحُبلَى المُطلَّقةُ تَعتَدُّ بأقرَبِ الأجَلَينِ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w:t>
      </w:r>
      <w:r>
        <w:rPr>
          <w:rStyle w:val="FootnoteAnchor"/>
          <w:rtl w:val="true"/>
        </w:rPr>
        <w:footnoteReference w:id="1376"/>
      </w:r>
      <w:r>
        <w:rPr>
          <w:rFonts w:ascii="Amiri" w:hAnsi="Amiri" w:eastAsia="Amiri" w:cs="Amiri"/>
          <w:color w:val="111111"/>
          <w:sz w:val="28"/>
          <w:sz w:val="28"/>
          <w:szCs w:val="28"/>
          <w:rtl w:val="true"/>
          <w:lang w:bidi="ar-SA"/>
        </w:rPr>
        <w:t>وَضَعَت ما في بَطنِها قَبلَ انقضاءِ ثَلاثةِ أشهُرٍ فقَد انقَضىٰ أجَلُها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يَجِبُ أن يَشتَبِهَ هذا المَوضِعُ علىٰ مُتأمِّلٍ‌</w:t>
      </w:r>
      <w:r>
        <w:rPr>
          <w:rStyle w:val="FootnoteAnchor"/>
          <w:rtl w:val="true"/>
        </w:rPr>
        <w:footnoteReference w:id="1377"/>
      </w:r>
      <w:r>
        <w:rPr>
          <w:rFonts w:ascii="Amiri" w:hAnsi="Amiri" w:eastAsia="Amiri" w:cs="Amiri"/>
          <w:color w:val="111111"/>
          <w:sz w:val="28"/>
          <w:sz w:val="28"/>
          <w:szCs w:val="28"/>
          <w:rtl w:val="true"/>
          <w:lang w:bidi="ar-SA"/>
        </w:rPr>
        <w:t>لأنّه لَو كانَ بأقرَبِ الأجَلَينِ مُعتَبَرٌ، لَوَجَبَ في الحاملِ المُطلَّقةِ إذا مَضَت عليها ثَلاثةُ أشهُرٍ قَبلَ أن تَضَعَ حَملَها أن تَنقَضيَ عِدّتُها و تَحِلَّ للأزواجِ؛ و قد صُرِّحَ في هذا الخبرِ بأنّها لا تَتزوَّجَ حتّىٰ تَضَعَ؛ فلَو كانَت العِدّةُ قد انقَضَت لَما كانَ التزويجُ محظوراً، و لا انتظارُ الحَملِ‌</w:t>
      </w:r>
      <w:r>
        <w:rPr>
          <w:rStyle w:val="FootnoteAnchor"/>
          <w:rtl w:val="true"/>
        </w:rPr>
        <w:footnoteReference w:id="1378"/>
      </w:r>
      <w:r>
        <w:rPr>
          <w:rFonts w:ascii="Amiri" w:hAnsi="Amiri" w:eastAsia="Amiri" w:cs="Amiri"/>
          <w:color w:val="111111"/>
          <w:sz w:val="28"/>
          <w:sz w:val="28"/>
          <w:szCs w:val="28"/>
          <w:rtl w:val="true"/>
          <w:lang w:bidi="ar-SA"/>
        </w:rPr>
        <w:t>مُعتَبَراً؛ ألا تَرىٰ أنّها إذا وَضَعَت ما في بَطنِها قَبلَ انقضاءِ ثَلاثةِ أشهُرٍ، فقَد انقَضَت عِدّتُها و حَلَّت للأزواجِ‌</w:t>
      </w:r>
      <w:r>
        <w:rPr>
          <w:rStyle w:val="FootnoteAnchor"/>
          <w:rtl w:val="true"/>
        </w:rPr>
        <w:footnoteReference w:id="1379"/>
      </w:r>
      <w:r>
        <w:rPr>
          <w:rFonts w:ascii="Amiri" w:hAnsi="Amiri" w:eastAsia="Amiri" w:cs="Amiri"/>
          <w:color w:val="111111"/>
          <w:sz w:val="28"/>
          <w:sz w:val="28"/>
          <w:szCs w:val="28"/>
          <w:rtl w:val="true"/>
          <w:lang w:bidi="ar-SA"/>
        </w:rPr>
        <w:t>و هذا أيضاً في صَريحِ الخبرِ و لفظِه</w:t>
      </w:r>
      <w:r>
        <w:rPr>
          <w:rStyle w:val="FootnoteAnchor"/>
          <w:rtl w:val="true"/>
        </w:rPr>
        <w:footnoteReference w:id="1380"/>
      </w:r>
      <w:r>
        <w:rPr>
          <w:rFonts w:ascii="Amiri" w:hAnsi="Amiri" w:eastAsia="Amiri" w:cs="Amiri"/>
          <w:color w:val="111111"/>
          <w:sz w:val="28"/>
          <w:sz w:val="28"/>
          <w:szCs w:val="28"/>
          <w:rtl w:val="true"/>
          <w:lang w:bidi="ar-SA"/>
        </w:rPr>
        <w:t xml:space="preserve">فلَو لا أنّ المُعتَبَرَ بوَضعِ الحَملِ في الحاملِ المُطلَّقةِ دونَ مُضيِّ الأشهُرِ، لما كانَ لهذه التفرقةِ معنىً، و </w:t>
      </w:r>
    </w:p>
    <w:p>
      <w:pPr>
        <w:pStyle w:val="BookText"/>
        <w:rPr/>
      </w:pPr>
      <w:r>
        <w:rPr>
          <w:rFonts w:ascii="Amiri" w:hAnsi="Amiri" w:eastAsia="Amiri" w:cs="Amiri"/>
          <w:color w:val="111111"/>
          <w:sz w:val="28"/>
          <w:sz w:val="28"/>
          <w:szCs w:val="28"/>
          <w:rtl w:val="true"/>
          <w:lang w:bidi="ar-SA"/>
        </w:rPr>
        <w:t>لَما كانَت ممنوعةً مِن أن تَتزوَّجَ بَعدَ مُضيِّ الأشهُرِ الثلاثةِ و قَبلَ أن تَضَعَ، كما أنّها</w:t>
      </w:r>
      <w:r>
        <w:rPr>
          <w:rStyle w:val="FootnoteAnchor"/>
          <w:rtl w:val="true"/>
        </w:rPr>
        <w:footnoteReference w:id="1381"/>
      </w:r>
      <w:r>
        <w:rPr>
          <w:rFonts w:ascii="Amiri" w:hAnsi="Amiri" w:eastAsia="Amiri" w:cs="Amiri"/>
          <w:color w:val="111111"/>
          <w:sz w:val="28"/>
          <w:sz w:val="28"/>
          <w:szCs w:val="28"/>
          <w:rtl w:val="true"/>
          <w:lang w:bidi="ar-SA"/>
        </w:rPr>
        <w:t>لَيسَت بممنوعةٍ مِن التزويجِ بعد الوَضعِ و قَبلَ انقضاءِ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بهذه الجُملةِ أنّ قولَه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الحُبلَى المُطلَّقةُ تَعتَدُّ بأقرَبِ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ظاهرِه؛ لأنّه لَو كانَ علىٰ ظاهرِه لَكانَ قَبلَ كُلِّ‌</w:t>
      </w:r>
      <w:r>
        <w:rPr>
          <w:rStyle w:val="FootnoteAnchor"/>
          <w:rtl w:val="true"/>
        </w:rPr>
        <w:footnoteReference w:id="1382"/>
      </w:r>
      <w:r>
        <w:rPr>
          <w:rFonts w:ascii="Amiri" w:hAnsi="Amiri" w:eastAsia="Amiri" w:cs="Amiri"/>
          <w:color w:val="111111"/>
          <w:sz w:val="28"/>
          <w:sz w:val="28"/>
          <w:szCs w:val="28"/>
          <w:rtl w:val="true"/>
          <w:lang w:bidi="ar-SA"/>
        </w:rPr>
        <w:t>شَيءٍ ناقِضاً لِما تَقدَّمَه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 مِن يَومِها فقَد انقَضىٰ‌</w:t>
      </w:r>
      <w:r>
        <w:rPr>
          <w:rStyle w:val="FootnoteAnchor"/>
          <w:rtl w:val="true"/>
        </w:rPr>
        <w:footnoteReference w:id="1383"/>
      </w:r>
      <w:r>
        <w:rPr>
          <w:rFonts w:ascii="Amiri" w:hAnsi="Amiri" w:eastAsia="Amiri" w:cs="Amiri"/>
          <w:color w:val="111111"/>
          <w:sz w:val="28"/>
          <w:sz w:val="28"/>
          <w:szCs w:val="28"/>
          <w:rtl w:val="true"/>
          <w:lang w:bidi="ar-SA"/>
        </w:rPr>
        <w:t>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كانَ لا معنىٰ لمَنعِها مِن التزويجِ بَعدَ انقضاءِ الأشهُرِ إن كانَ مُعتَبَراً بأقرَبِ الأجَلَينِ؛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الكلامُ المُتوَسِّطُ لذِكرِ حُكمِ عِدّةِ المُطلَّقةِ الحاملِ التي تَبينُ في صَدرِ الخبرِ، و لذِكرِ عِدّةِ الحُبلَى المُتوَفّىٰ عنها زَوجُها، علىٰ غيرِ ظاهرِه، حتّىٰ يَسلَمَ الخبرُ مِن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مَضَت ثلاثةُ أشهُرٍ قَبلَ أن تَضَعَ فقَد انقَضَت عِدّتُها منه، و لكِنَّها لا تَتزوَّجُ حتّىٰ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عِدّتَها تَنقَضي لَو كانَت مُطلَّقةً غيرَ حاملٍ، لأنّ المُعتَبَرَ في طلاقِ‌</w:t>
      </w:r>
      <w:r>
        <w:rPr>
          <w:rStyle w:val="FootnoteAnchor"/>
          <w:rtl w:val="true"/>
        </w:rPr>
        <w:footnoteReference w:id="1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Style w:val="FootnoteAnchor"/>
          <w:rtl w:val="true"/>
        </w:rPr>
        <w:footnoteReference w:id="1385"/>
      </w:r>
      <w:r>
        <w:rPr>
          <w:rFonts w:ascii="Amiri" w:hAnsi="Amiri" w:eastAsia="Amiri" w:cs="Amiri"/>
          <w:color w:val="111111"/>
          <w:sz w:val="28"/>
          <w:sz w:val="28"/>
          <w:szCs w:val="28"/>
          <w:rtl w:val="true"/>
          <w:lang w:bidi="ar-SA"/>
        </w:rPr>
        <w:t>الحاملِ الأقراءُ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معنىً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بأقرَبِ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بوَضعِ الحَملِ؛ فلا اعتبارَ بسِواه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يُريدَ بأقرَبِ الأجَلَينِ وَضْعَ الحَملِ، و إنّما</w:t>
      </w:r>
      <w:r>
        <w:rPr>
          <w:rStyle w:val="FootnoteAnchor"/>
          <w:rtl w:val="true"/>
        </w:rPr>
        <w:footnoteReference w:id="1386"/>
      </w:r>
      <w:r>
        <w:rPr>
          <w:rFonts w:ascii="Amiri" w:hAnsi="Amiri" w:eastAsia="Amiri" w:cs="Amiri"/>
          <w:color w:val="111111"/>
          <w:sz w:val="28"/>
          <w:sz w:val="28"/>
          <w:szCs w:val="28"/>
          <w:rtl w:val="true"/>
          <w:lang w:bidi="ar-SA"/>
        </w:rPr>
        <w:t xml:space="preserve">سَمّاه أقرَبَ مِن غيرِه؛ لأنّ المُعتَدّةَ بالأقراءِ لا يُمكِنُ علىٰ وجهٍ مِن الوجوهِ أن تَخرُجَ مِن عِدّتِها </w:t>
      </w:r>
    </w:p>
    <w:p>
      <w:pPr>
        <w:pStyle w:val="BookText"/>
        <w:rPr/>
      </w:pPr>
      <w:r>
        <w:rPr>
          <w:rFonts w:ascii="Amiri" w:hAnsi="Amiri" w:eastAsia="Amiri" w:cs="Amiri"/>
          <w:color w:val="111111"/>
          <w:sz w:val="28"/>
          <w:sz w:val="28"/>
          <w:szCs w:val="28"/>
          <w:rtl w:val="true"/>
          <w:lang w:bidi="ar-SA"/>
        </w:rPr>
        <w:t>في يَومِها و غَدِها، و لا بُدَّ مِن صَبرِها إلَى المُدّةِ المُنتَظَرةِ؛</w:t>
      </w:r>
      <w:r>
        <w:rPr>
          <w:rStyle w:val="FootnoteAnchor"/>
          <w:rtl w:val="true"/>
        </w:rPr>
        <w:footnoteReference w:id="1387"/>
      </w:r>
      <w:r>
        <w:rPr>
          <w:rFonts w:ascii="Amiri" w:hAnsi="Amiri" w:eastAsia="Amiri" w:cs="Amiri"/>
          <w:color w:val="111111"/>
          <w:sz w:val="28"/>
          <w:sz w:val="28"/>
          <w:szCs w:val="28"/>
          <w:rtl w:val="true"/>
          <w:lang w:bidi="ar-SA"/>
        </w:rPr>
        <w:t>و المُعتَدّةُ بوَضعِ الحَملِ يُمكِنُ أن تَخرُجَ مِن العِدّةِ في</w:t>
      </w:r>
      <w:r>
        <w:rPr>
          <w:rStyle w:val="FootnoteAnchor"/>
          <w:rtl w:val="true"/>
        </w:rPr>
        <w:footnoteReference w:id="1388"/>
      </w:r>
      <w:r>
        <w:rPr>
          <w:rFonts w:ascii="Amiri" w:hAnsi="Amiri" w:eastAsia="Amiri" w:cs="Amiri"/>
          <w:color w:val="111111"/>
          <w:sz w:val="28"/>
          <w:sz w:val="28"/>
          <w:szCs w:val="28"/>
          <w:rtl w:val="true"/>
          <w:lang w:bidi="ar-SA"/>
        </w:rPr>
        <w:t>يَومِها أو غَدِها، فصارَ هذا الأجَلُ أقرَبَ لا مَحالةَ مِن غيرِه؛ للوجهِ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يَنسِبَ هذا التأويلَ إلَى التعسُّفِ؛ لأنّه عندَ التأمُّلِ لا تَعسُّفَ فيه، فلَنا</w:t>
      </w:r>
      <w:r>
        <w:rPr>
          <w:rStyle w:val="FootnoteAnchor"/>
          <w:rtl w:val="true"/>
        </w:rPr>
        <w:footnoteReference w:id="1389"/>
      </w:r>
      <w:r>
        <w:rPr>
          <w:rFonts w:ascii="Amiri" w:hAnsi="Amiri" w:eastAsia="Amiri" w:cs="Amiri"/>
          <w:color w:val="111111"/>
          <w:sz w:val="28"/>
          <w:sz w:val="28"/>
          <w:szCs w:val="28"/>
          <w:rtl w:val="true"/>
          <w:lang w:bidi="ar-SA"/>
        </w:rPr>
        <w:t>أن نَتعسَّفَ التأوُّلَ عندَ الضرورةِ؛ لتَسلَمَ الظواهرُ الصحيحةُ و الخِطابُ الواضحُ، كما نَفعَلُ ذلك في مُتَشابِهِ القُرآنِ الواردِ بما في ظاهرِه جَبرٌ و 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وَجَدتُ أبا عليٍّ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r>
        <w:rPr>
          <w:rStyle w:val="FootnoteAnchor"/>
          <w:rtl w:val="true"/>
        </w:rPr>
        <w:footnoteReference w:id="1390"/>
      </w:r>
      <w:r>
        <w:rPr>
          <w:rFonts w:ascii="Amiri" w:hAnsi="Amiri" w:eastAsia="Amiri" w:cs="Amiri"/>
          <w:color w:val="111111"/>
          <w:sz w:val="28"/>
          <w:sz w:val="28"/>
          <w:szCs w:val="28"/>
          <w:rtl w:val="true"/>
          <w:lang w:bidi="ar-SA"/>
        </w:rPr>
        <w:t>شَيئاً ما وَجَدتُه</w:t>
      </w:r>
      <w:r>
        <w:rPr>
          <w:rStyle w:val="FootnoteAnchor"/>
          <w:rtl w:val="true"/>
        </w:rPr>
        <w:footnoteReference w:id="1391"/>
      </w:r>
      <w:r>
        <w:rPr>
          <w:rFonts w:ascii="Amiri" w:hAnsi="Amiri" w:eastAsia="Amiri" w:cs="Amiri"/>
          <w:color w:val="111111"/>
          <w:sz w:val="28"/>
          <w:sz w:val="28"/>
          <w:szCs w:val="28"/>
          <w:rtl w:val="true"/>
          <w:lang w:bidi="ar-SA"/>
        </w:rPr>
        <w:t>لغَيرِه؛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المُطلَّقةُ إذا ماتَ زَوجُها قَبلَ خروجِها مِن عِدّتِها اعتَدَّت بأبعَدِ</w:t>
      </w:r>
      <w:r>
        <w:rPr>
          <w:rStyle w:val="FootnoteAnchor"/>
          <w:rtl w:val="true"/>
        </w:rPr>
        <w:footnoteReference w:id="1392"/>
      </w:r>
      <w:r>
        <w:rPr>
          <w:rFonts w:ascii="Amiri" w:hAnsi="Amiri" w:eastAsia="Amiri" w:cs="Amiri"/>
          <w:color w:val="111111"/>
          <w:sz w:val="28"/>
          <w:sz w:val="28"/>
          <w:szCs w:val="28"/>
          <w:rtl w:val="true"/>
          <w:lang w:bidi="ar-SA"/>
        </w:rPr>
        <w:t>الأجَلَينِ مِن يَومِ ماتَ</w:t>
      </w:r>
      <w:r>
        <w:rPr>
          <w:rFonts w:eastAsia="Amiri" w:cs="Amiri" w:ascii="Amiri" w:hAnsi="Amiri"/>
          <w:color w:val="111111"/>
          <w:sz w:val="28"/>
          <w:szCs w:val="28"/>
          <w:rtl w:val="true"/>
          <w:lang w:bidi="ar-SA"/>
        </w:rPr>
        <w:t>:</w:t>
      </w:r>
      <w:r>
        <w:rPr>
          <w:rStyle w:val="FootnoteAnchor"/>
          <w:rtl w:val="true"/>
        </w:rPr>
        <w:footnoteReference w:id="1393"/>
      </w:r>
      <w:r>
        <w:rPr>
          <w:rFonts w:ascii="Amiri" w:hAnsi="Amiri" w:eastAsia="Amiri" w:cs="Amiri"/>
          <w:color w:val="111111"/>
          <w:sz w:val="28"/>
          <w:sz w:val="28"/>
          <w:szCs w:val="28"/>
          <w:rtl w:val="true"/>
          <w:lang w:bidi="ar-SA"/>
        </w:rPr>
        <w:t>بَقيّةَ عِدّتِها، أو أربعةَ أشهُرٍ و عَشراً، أو وَضْعَها حَمْلَها</w:t>
      </w:r>
      <w:r>
        <w:rPr>
          <w:rStyle w:val="FootnoteAnchor"/>
          <w:rtl w:val="true"/>
        </w:rPr>
        <w:footnoteReference w:id="1394"/>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كانَ بها حَملٌ</w:t>
      </w:r>
      <w:r>
        <w:rPr>
          <w:rFonts w:eastAsia="Amiri" w:cs="Amiri" w:ascii="Amiri" w:hAnsi="Amiri"/>
          <w:color w:val="111111"/>
          <w:sz w:val="28"/>
          <w:szCs w:val="28"/>
          <w:rtl w:val="true"/>
          <w:lang w:bidi="ar-SA"/>
        </w:rPr>
        <w:t>.</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و أوّلُ ما في كلامِه هذا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بأبعَدِ الأجَلَينِ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آجالاً</w:t>
      </w:r>
      <w:r>
        <w:rPr>
          <w:rStyle w:val="FootnoteAnchor"/>
          <w:rtl w:val="true"/>
        </w:rPr>
        <w:footnoteReference w:id="1396"/>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يَنبَغي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بأبعَدِ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بَيَّنَها و رَتَّبَها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قالَ هذا عن أثَرٍ و روايةٍ، جازَ العملُ به إذا لَم يُمكِنْ تأويلُه؛ و إن كانَ قالَه مِن تِلقاءِ نفسِه و علىٰ سَبيلِ الِاستدلالِ و الِاستحسانِ، فلا مُعوَّلَ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أنّ عِدّةَ الحاملِ المُتَوفّىٰ عنها زَوجُها أبعَدُ الأجَلَينِ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صورةُ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المَرأةَ إن وَضَعَت حَمْلَها قَبلَ أن تَنقَضيَ‌</w:t>
      </w:r>
      <w:r>
        <w:rPr>
          <w:rStyle w:val="FootnoteAnchor"/>
          <w:rtl w:val="true"/>
        </w:rPr>
        <w:footnoteReference w:id="1397"/>
      </w:r>
      <w:r>
        <w:rPr>
          <w:rFonts w:ascii="Amiri" w:hAnsi="Amiri" w:eastAsia="Amiri" w:cs="Amiri"/>
          <w:color w:val="111111"/>
          <w:sz w:val="28"/>
          <w:sz w:val="28"/>
          <w:szCs w:val="28"/>
          <w:rtl w:val="true"/>
          <w:lang w:bidi="ar-SA"/>
        </w:rPr>
        <w:t>أربعةُ أشهُرٍ و عَشرةُ أيّامٍ، لَم يُحكَمْ بانقضاءِ عِدّتِها حتّىٰ تَمضيَ أربعةُ أشهُرٍ و عَشرةُ أيّامٍ؛ و إنِ انقَضَت عنها أربعةُ أشهُرٍ و عَشرةُ أيّامٍ‌</w:t>
      </w:r>
      <w:r>
        <w:rPr>
          <w:rStyle w:val="FootnoteAnchor"/>
          <w:rtl w:val="true"/>
        </w:rPr>
        <w:footnoteReference w:id="1398"/>
      </w:r>
      <w:r>
        <w:rPr>
          <w:rFonts w:ascii="Amiri" w:hAnsi="Amiri" w:eastAsia="Amiri" w:cs="Amiri"/>
          <w:color w:val="111111"/>
          <w:sz w:val="28"/>
          <w:sz w:val="28"/>
          <w:szCs w:val="28"/>
          <w:rtl w:val="true"/>
          <w:lang w:bidi="ar-SA"/>
        </w:rPr>
        <w:t>و لَم تَضَعْ حَمْلَها، لَم يُحكَمْ بانقضاءِ عِدّتِها حتّىٰ تَضَعَ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 بها يُفتي</w:t>
      </w:r>
      <w:r>
        <w:rPr>
          <w:rStyle w:val="FootnoteAnchor"/>
          <w:rtl w:val="true"/>
        </w:rPr>
        <w:footnoteReference w:id="1399"/>
      </w:r>
      <w:r>
        <w:rPr>
          <w:rFonts w:ascii="Amiri" w:hAnsi="Amiri" w:eastAsia="Amiri" w:cs="Amiri"/>
          <w:color w:val="111111"/>
          <w:sz w:val="28"/>
          <w:sz w:val="28"/>
          <w:szCs w:val="28"/>
          <w:rtl w:val="true"/>
          <w:lang w:bidi="ar-SA"/>
        </w:rPr>
        <w:t xml:space="preserve">جميعُ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مسطورةٌ في كُتُبِهم، و موجودةٌ في رواياتِهم و أحاديثِهم؛ و حَديثُ زُرارةَ عن أبي جَعفَرٍ عليه السلامُ يَنطِقُ بهذا الحُكمِ الذي ذَكَرناه و يَشهَدُ له؛ و لَو لَم يَكُن في هذا المَذهبِ إلّا الِاستظهارُ لِانقضاءِ أيّامِ العِدّةِ، لَكَفىٰ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هذا المَذهبُ ممّا تَفرَّدَت به الإماميّةُ، و خالَفَت جميعَ الفقهاءِ المتقدِّمينَ </w:t>
      </w:r>
    </w:p>
    <w:p>
      <w:pPr>
        <w:pStyle w:val="BookText"/>
        <w:rPr/>
      </w:pPr>
      <w:r>
        <w:rPr>
          <w:rFonts w:ascii="Amiri" w:hAnsi="Amiri" w:eastAsia="Amiri" w:cs="Amiri"/>
          <w:color w:val="111111"/>
          <w:sz w:val="28"/>
          <w:sz w:val="28"/>
          <w:szCs w:val="28"/>
          <w:rtl w:val="true"/>
          <w:lang w:bidi="ar-SA"/>
        </w:rPr>
        <w:t>و المتأخِّرينَ؛ لأنّ مُخالِفيها مِن الفقهاءِ قد ذَكَروا في كُتُبِهم و مَسائلِ‌</w:t>
      </w:r>
      <w:r>
        <w:rPr>
          <w:rStyle w:val="FootnoteAnchor"/>
          <w:rtl w:val="true"/>
        </w:rPr>
        <w:footnoteReference w:id="1400"/>
      </w:r>
      <w:r>
        <w:rPr>
          <w:rFonts w:ascii="Amiri" w:hAnsi="Amiri" w:eastAsia="Amiri" w:cs="Amiri"/>
          <w:color w:val="111111"/>
          <w:sz w:val="28"/>
          <w:sz w:val="28"/>
          <w:szCs w:val="28"/>
          <w:rtl w:val="true"/>
          <w:lang w:bidi="ar-SA"/>
        </w:rPr>
        <w:t>خِلافِهم أنّ هذا المَذهبَ كانَ يَذهبُ إليه أميرُ المؤمنينَ عليه السلامُ، و ابنُ عبّاسٍ رَضيَ اللّٰهُ عنه</w:t>
      </w:r>
      <w:r>
        <w:rPr>
          <w:rFonts w:eastAsia="Amiri" w:cs="Amiri" w:ascii="Amiri" w:hAnsi="Amiri"/>
          <w:color w:val="111111"/>
          <w:sz w:val="28"/>
          <w:szCs w:val="28"/>
          <w:rtl w:val="true"/>
          <w:lang w:bidi="ar-SA"/>
        </w:rPr>
        <w:t>.</w:t>
      </w:r>
      <w:r>
        <w:rPr>
          <w:rStyle w:val="FootnoteAnchor"/>
          <w:rtl w:val="true"/>
        </w:rPr>
        <w:footnoteReference w:id="140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الاحتجاجُ لضَعفِه</w:t>
      </w:r>
      <w:r>
        <w:rPr>
          <w:rStyle w:val="FootnoteAnchor"/>
          <w:rtl w:val="true"/>
        </w:rPr>
        <w:footnoteReference w:id="1402"/>
      </w:r>
      <w:r>
        <w:rPr>
          <w:rFonts w:ascii="Amiri" w:hAnsi="Amiri" w:eastAsia="Amiri" w:cs="Amiri"/>
          <w:color w:val="111111"/>
          <w:sz w:val="28"/>
          <w:sz w:val="28"/>
          <w:szCs w:val="28"/>
          <w:rtl w:val="true"/>
          <w:lang w:bidi="ar-SA"/>
        </w:rPr>
        <w:t>بظاهرِ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اَلْأَحْمٰالِ أَجَلُهُنَّ أَنْ يَضَعْنَ حَمْلَهُنَّ</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فلَيسَ بشَيءٍ؛ لأنّ العمومَ قد يُختَصُّ بدَليلٍ، و يُترَكُ ظاهرُه بما يَقتَضي تَرْكَ‌</w:t>
      </w:r>
      <w:r>
        <w:rPr>
          <w:rStyle w:val="FootnoteAnchor"/>
          <w:rtl w:val="true"/>
        </w:rPr>
        <w:footnoteReference w:id="1404"/>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كُنّا قد بيّنّا إجماعَ الطائفةِ علىٰ هذا</w:t>
      </w:r>
      <w:r>
        <w:rPr>
          <w:rStyle w:val="FootnoteAnchor"/>
          <w:rtl w:val="true"/>
        </w:rPr>
        <w:footnoteReference w:id="1405"/>
      </w:r>
      <w:r>
        <w:rPr>
          <w:rFonts w:ascii="Amiri" w:hAnsi="Amiri" w:eastAsia="Amiri" w:cs="Amiri"/>
          <w:color w:val="111111"/>
          <w:sz w:val="28"/>
          <w:sz w:val="28"/>
          <w:szCs w:val="28"/>
          <w:rtl w:val="true"/>
          <w:lang w:bidi="ar-SA"/>
        </w:rPr>
        <w:t>المَذهبِ، و وَرَدَت الآثارُ القَويّةُ‌</w:t>
      </w:r>
      <w:r>
        <w:rPr>
          <w:rStyle w:val="FootnoteAnchor"/>
          <w:rtl w:val="true"/>
        </w:rPr>
        <w:footnoteReference w:id="1406"/>
      </w:r>
      <w:r>
        <w:rPr>
          <w:rFonts w:ascii="Amiri" w:hAnsi="Amiri" w:eastAsia="Amiri" w:cs="Amiri"/>
          <w:color w:val="111111"/>
          <w:sz w:val="28"/>
          <w:sz w:val="28"/>
          <w:szCs w:val="28"/>
          <w:rtl w:val="true"/>
          <w:lang w:bidi="ar-SA"/>
        </w:rPr>
        <w:t>المعمولُ‌</w:t>
      </w:r>
      <w:r>
        <w:rPr>
          <w:rStyle w:val="FootnoteAnchor"/>
          <w:rtl w:val="true"/>
        </w:rPr>
        <w:footnoteReference w:id="1407"/>
      </w:r>
      <w:r>
        <w:rPr>
          <w:rFonts w:ascii="Amiri" w:hAnsi="Amiri" w:eastAsia="Amiri" w:cs="Amiri"/>
          <w:color w:val="111111"/>
          <w:sz w:val="28"/>
          <w:sz w:val="28"/>
          <w:szCs w:val="28"/>
          <w:rtl w:val="true"/>
          <w:lang w:bidi="ar-SA"/>
        </w:rPr>
        <w:t>بها فيه؛ فيَقضي</w:t>
      </w:r>
      <w:r>
        <w:rPr>
          <w:rStyle w:val="FootnoteAnchor"/>
          <w:rtl w:val="true"/>
        </w:rPr>
        <w:footnoteReference w:id="1408"/>
      </w:r>
      <w:r>
        <w:rPr>
          <w:rFonts w:ascii="Amiri" w:hAnsi="Amiri" w:eastAsia="Amiri" w:cs="Amiri"/>
          <w:color w:val="111111"/>
          <w:sz w:val="28"/>
          <w:sz w:val="28"/>
          <w:szCs w:val="28"/>
          <w:rtl w:val="true"/>
          <w:lang w:bidi="ar-SA"/>
        </w:rPr>
        <w:t>ذلكَ بتَركِ الظاهرِ</w:t>
      </w:r>
      <w:r>
        <w:rPr>
          <w:rFonts w:eastAsia="Amiri" w:cs="Amiri" w:ascii="Amiri" w:hAnsi="Amiri"/>
          <w:color w:val="111111"/>
          <w:sz w:val="28"/>
          <w:szCs w:val="28"/>
          <w:rtl w:val="true"/>
          <w:lang w:bidi="ar-SA"/>
        </w:rPr>
        <w:t xml:space="preserve">. </w:t>
      </w:r>
      <w:bookmarkStart w:id="275" w:name="pg16437_172553"/>
    </w:p>
    <w:p>
      <w:pPr>
        <w:pStyle w:val="Heading5"/>
        <w:numPr>
          <w:ilvl w:val="4"/>
          <w:numId w:val="1"/>
        </w:numPr>
        <w:rPr/>
      </w:pPr>
      <w:bookmarkStart w:id="276" w:name="__RefHeading___Toc8039645_1280447820"/>
      <w:bookmarkStart w:id="277" w:name="_Toc97"/>
      <w:bookmarkEnd w:id="275"/>
      <w:bookmarkEnd w:id="276"/>
      <w:r>
        <w:rPr>
          <w:rtl w:val="true"/>
        </w:rPr>
        <w:t>المسألةُ السابعةُ أقَلُّ مُدّةِ الحَملِ و أكثَرُها</w:t>
      </w:r>
      <w:bookmarkEnd w:id="277"/>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 ما يَخرُجُ‌</w:t>
      </w:r>
      <w:r>
        <w:rPr>
          <w:rStyle w:val="FootnoteAnchor"/>
          <w:rtl w:val="true"/>
        </w:rPr>
        <w:footnoteReference w:id="1409"/>
      </w:r>
      <w:r>
        <w:rPr>
          <w:rFonts w:ascii="Amiri" w:hAnsi="Amiri" w:eastAsia="Amiri" w:cs="Amiri"/>
          <w:color w:val="111111"/>
          <w:sz w:val="28"/>
          <w:sz w:val="28"/>
          <w:szCs w:val="28"/>
          <w:rtl w:val="true"/>
          <w:lang w:bidi="ar-SA"/>
        </w:rPr>
        <w:t>الحَملُ حَيّاً مُستَهِلاًّ لسِتّةِ أشهُرٍ</w:t>
      </w:r>
      <w:r>
        <w:rPr>
          <w:rFonts w:eastAsia="Amiri" w:cs="Amiri" w:ascii="Amiri" w:hAnsi="Amiri"/>
          <w:color w:val="111111"/>
          <w:sz w:val="28"/>
          <w:szCs w:val="28"/>
          <w:rtl w:val="true"/>
          <w:lang w:bidi="ar-SA"/>
        </w:rPr>
        <w:t>.</w:t>
      </w:r>
      <w:r>
        <w:rPr>
          <w:rStyle w:val="FootnoteAnchor"/>
          <w:rtl w:val="true"/>
        </w:rPr>
        <w:footnoteReference w:id="141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له وَلَدٌ لأِقَلَّ مِن سِتّةِ أشهُرٍ، فلَيسَ بوَلَدٍ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بالخِيارِ في الإقرارِ به</w:t>
      </w:r>
      <w:r>
        <w:rPr>
          <w:rStyle w:val="FootnoteAnchor"/>
          <w:rtl w:val="true"/>
        </w:rPr>
        <w:footnoteReference w:id="1411"/>
      </w:r>
      <w:r>
        <w:rPr>
          <w:rFonts w:ascii="Amiri" w:hAnsi="Amiri" w:eastAsia="Amiri" w:cs="Amiri"/>
          <w:color w:val="111111"/>
          <w:sz w:val="28"/>
          <w:sz w:val="28"/>
          <w:szCs w:val="28"/>
          <w:rtl w:val="true"/>
          <w:lang w:bidi="ar-SA"/>
        </w:rPr>
        <w:t>أو نَفيِه</w:t>
      </w:r>
      <w:r>
        <w:rPr>
          <w:rFonts w:eastAsia="Amiri" w:cs="Amiri" w:ascii="Amiri" w:hAnsi="Amiri"/>
          <w:color w:val="111111"/>
          <w:sz w:val="28"/>
          <w:szCs w:val="28"/>
          <w:rtl w:val="true"/>
          <w:lang w:bidi="ar-SA"/>
        </w:rPr>
        <w:t>.</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و كَيفَ‌</w:t>
      </w:r>
      <w:r>
        <w:rPr>
          <w:rStyle w:val="FootnoteAnchor"/>
          <w:rtl w:val="true"/>
        </w:rPr>
        <w:footnoteReference w:id="1413"/>
      </w:r>
      <w:r>
        <w:rPr>
          <w:rFonts w:ascii="Amiri" w:hAnsi="Amiri" w:eastAsia="Amiri" w:cs="Amiri"/>
          <w:color w:val="111111"/>
          <w:sz w:val="28"/>
          <w:sz w:val="28"/>
          <w:szCs w:val="28"/>
          <w:rtl w:val="true"/>
          <w:lang w:bidi="ar-SA"/>
        </w:rPr>
        <w:t>يَكونُ بالخِيارِ فيما لَيسَ له؟ و كَيفَ إذا اختارَ يَجِبُ، فيَكونُ اختيارُه سبباً للواجبِ‌</w:t>
      </w:r>
      <w:r>
        <w:rPr>
          <w:rStyle w:val="FootnoteAnchor"/>
          <w:rtl w:val="true"/>
        </w:rPr>
        <w:footnoteReference w:id="1414"/>
      </w:r>
      <w:r>
        <w:rPr>
          <w:rFonts w:ascii="Amiri" w:hAnsi="Amiri" w:eastAsia="Amiri" w:cs="Amiri"/>
          <w:color w:val="111111"/>
          <w:sz w:val="28"/>
          <w:sz w:val="28"/>
          <w:szCs w:val="28"/>
          <w:rtl w:val="true"/>
          <w:lang w:bidi="ar-SA"/>
        </w:rPr>
        <w:t>؟ لأنّ الواجِبَ واجِبٌ‌</w:t>
      </w:r>
      <w:r>
        <w:rPr>
          <w:rStyle w:val="FootnoteAnchor"/>
          <w:rtl w:val="true"/>
        </w:rPr>
        <w:footnoteReference w:id="1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لاخِيارَ و لا اختيارَ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الحَملِ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الشيعةِ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أصحابُ الحَديثِ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هَرِمَ‌</w:t>
      </w:r>
      <w:r>
        <w:rPr>
          <w:rStyle w:val="FootnoteAnchor"/>
          <w:rtl w:val="true"/>
        </w:rPr>
        <w:footnoteReference w:id="1416"/>
      </w:r>
      <w:r>
        <w:rPr>
          <w:rFonts w:ascii="Amiri" w:hAnsi="Amiri" w:eastAsia="Amiri" w:cs="Amiri"/>
          <w:color w:val="111111"/>
          <w:sz w:val="28"/>
          <w:sz w:val="28"/>
          <w:szCs w:val="28"/>
          <w:rtl w:val="true"/>
          <w:lang w:bidi="ar-SA"/>
        </w:rPr>
        <w:t>بنَ حَيّانَ‌</w:t>
      </w:r>
      <w:r>
        <w:rPr>
          <w:rStyle w:val="FootnoteAnchor"/>
          <w:rtl w:val="true"/>
        </w:rPr>
        <w:footnoteReference w:id="1417"/>
      </w:r>
      <w:r>
        <w:rPr>
          <w:rFonts w:ascii="Amiri" w:hAnsi="Amiri" w:eastAsia="Amiri" w:cs="Amiri"/>
          <w:color w:val="111111"/>
          <w:sz w:val="28"/>
          <w:sz w:val="28"/>
          <w:szCs w:val="28"/>
          <w:rtl w:val="true"/>
          <w:lang w:bidi="ar-SA"/>
        </w:rPr>
        <w:t xml:space="preserve">وَلَدَته أُمُّه لثَمانِ سِنينَ، </w:t>
      </w:r>
    </w:p>
    <w:p>
      <w:pPr>
        <w:pStyle w:val="BookText"/>
        <w:rPr/>
      </w:pPr>
      <w:r>
        <w:rPr>
          <w:rFonts w:ascii="Amiri" w:hAnsi="Amiri" w:eastAsia="Amiri" w:cs="Amiri"/>
          <w:color w:val="111111"/>
          <w:sz w:val="28"/>
          <w:sz w:val="28"/>
          <w:szCs w:val="28"/>
          <w:rtl w:val="true"/>
          <w:lang w:bidi="ar-SA"/>
        </w:rPr>
        <w:t>و قد ثُغِرَ</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أكثَرَ مِن تِسعةِ أشهُرٍ</w:t>
      </w:r>
      <w:r>
        <w:rPr>
          <w:rFonts w:eastAsia="Amiri" w:cs="Amiri" w:ascii="Amiri" w:hAnsi="Amiri"/>
          <w:color w:val="111111"/>
          <w:sz w:val="28"/>
          <w:szCs w:val="28"/>
          <w:rtl w:val="true"/>
          <w:lang w:bidi="ar-SA"/>
        </w:rPr>
        <w:t>.</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فائدةَ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الحَملِ كَذا و كَذا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متىٰ أتَت بوَلَدٍ علىٰ فِراشِ بَعلٍ في أقَلَّ مِن</w:t>
      </w:r>
      <w:r>
        <w:rPr>
          <w:rStyle w:val="FootnoteAnchor"/>
          <w:rtl w:val="true"/>
        </w:rPr>
        <w:footnoteReference w:id="1420"/>
      </w:r>
      <w:r>
        <w:rPr>
          <w:rFonts w:ascii="Amiri" w:hAnsi="Amiri" w:eastAsia="Amiri" w:cs="Amiri"/>
          <w:color w:val="111111"/>
          <w:sz w:val="28"/>
          <w:sz w:val="28"/>
          <w:szCs w:val="28"/>
          <w:rtl w:val="true"/>
          <w:lang w:bidi="ar-SA"/>
        </w:rPr>
        <w:t>هذه المُدّةِ المحدودةِ لأقَلِّ الحَملِ، فلَيسَ بوَلَدٍ لهذا البَعلِ في حُكمِ الشريعةِ؛ لأنّ المُدّةَ التي أتَت</w:t>
      </w:r>
      <w:r>
        <w:rPr>
          <w:rStyle w:val="FootnoteAnchor"/>
          <w:rtl w:val="true"/>
        </w:rPr>
        <w:footnoteReference w:id="1421"/>
      </w:r>
      <w:r>
        <w:rPr>
          <w:rFonts w:ascii="IRNazanin" w:hAnsi="IRNazanin" w:eastAsia="IRNazanin"/>
          <w:color w:val="111111"/>
          <w:sz w:val="28"/>
          <w:sz w:val="28"/>
          <w:szCs w:val="28"/>
          <w:rtl w:val="true"/>
          <w:lang w:bidi="fa-IR"/>
        </w:rPr>
        <w:t>به</w:t>
      </w:r>
      <w:r>
        <w:rPr>
          <w:rStyle w:val="FootnoteAnchor"/>
          <w:rtl w:val="true"/>
        </w:rPr>
        <w:footnoteReference w:id="1422"/>
      </w:r>
      <w:r>
        <w:rPr>
          <w:rFonts w:ascii="Amiri" w:hAnsi="Amiri" w:eastAsia="Amiri" w:cs="Amiri"/>
          <w:color w:val="111111"/>
          <w:sz w:val="28"/>
          <w:sz w:val="28"/>
          <w:szCs w:val="28"/>
          <w:rtl w:val="true"/>
          <w:lang w:bidi="ar-SA"/>
        </w:rPr>
        <w:t>فيها ناقِصةٌ عن الحَدِّ المضروبِ لأقَلِّ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الفائدةِ هي لقَولِنا</w:t>
      </w:r>
      <w:r>
        <w:rPr>
          <w:rStyle w:val="FootnoteAnchor"/>
          <w:rtl w:val="true"/>
        </w:rPr>
        <w:footnoteReference w:id="14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الحَملِ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الرجُلَ إذا طَلَّقَ زَوجتَه، ثُمَّ أتَت بوَلَدٍ بَعدَ الطلاقِ لأكثَرَ مِن ذلكَ الحَدِّ المضروبِ، لَم يَلحَقْه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أقَلُّ الحَملِ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أطبَقَت عليه طائفتُنا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ستّةُ أشهُرٍ؛ و ما نَعرِفُ أيضاً مُخالِفاً مِن فقهاءِ العامّةِ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الحكايةُ عن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بالخِيارِ في الإقرارِ به أو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الاعترافِ بأنّ أقَلَّ الحَملِ ستّةُ أشهُرٍ، فمُناقَضةٌ ظاهرةٌ؛ لأنّه إذا كانَ الحَدُّ المضروبُ في الشريعةِ ستّةَ أشهُرٍ، فما نَقَصَ عن هذا الحَدِّ لا يُلحَقُ معه الوَلَدُ، و لا يَجوزُ إضافتُه إلىٰ مَن وُلِدَ علىٰ فِراشِه؛ فأيُّ خِيارٍ له في الإقرارِ بمَن</w:t>
      </w:r>
      <w:r>
        <w:rPr>
          <w:rStyle w:val="FootnoteAnchor"/>
          <w:rtl w:val="true"/>
        </w:rPr>
        <w:footnoteReference w:id="1424"/>
      </w:r>
      <w:r>
        <w:rPr>
          <w:rFonts w:ascii="Amiri" w:hAnsi="Amiri" w:eastAsia="Amiri" w:cs="Amiri"/>
          <w:color w:val="111111"/>
          <w:sz w:val="28"/>
          <w:sz w:val="28"/>
          <w:szCs w:val="28"/>
          <w:rtl w:val="true"/>
          <w:lang w:bidi="ar-SA"/>
        </w:rPr>
        <w:t>توجِبُ الشريعةُ نَفيَه عنه، و أن لا يَكونَ لاحِقاً به؟</w:t>
      </w:r>
    </w:p>
    <w:p>
      <w:pPr>
        <w:pStyle w:val="BookText"/>
        <w:rPr/>
      </w:pPr>
      <w:r>
        <w:rPr>
          <w:rFonts w:ascii="Amiri" w:hAnsi="Amiri" w:eastAsia="Amiri" w:cs="Amiri"/>
          <w:color w:val="111111"/>
          <w:sz w:val="28"/>
          <w:sz w:val="28"/>
          <w:szCs w:val="28"/>
          <w:rtl w:val="true"/>
          <w:lang w:bidi="ar-SA"/>
        </w:rPr>
        <w:t>و أمّا أكثَرُ الحَملِ فالمشهورُ عندَ أصحابِنا أنّه تسعةُ أشهُرٍ</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و قد ذَهَبَ قومٌ إلىٰ سَنةٍ‌</w:t>
      </w:r>
      <w:r>
        <w:rPr>
          <w:rStyle w:val="FootnoteAnchor"/>
          <w:rtl w:val="true"/>
        </w:rPr>
        <w:footnoteReference w:id="1426"/>
      </w:r>
      <w:r>
        <w:rPr>
          <w:rFonts w:ascii="Amiri" w:hAnsi="Amiri" w:eastAsia="Amiri" w:cs="Amiri"/>
          <w:color w:val="111111"/>
          <w:sz w:val="28"/>
          <w:sz w:val="28"/>
          <w:szCs w:val="28"/>
          <w:rtl w:val="true"/>
          <w:lang w:bidi="ar-SA"/>
        </w:rPr>
        <w:t>مِن</w:t>
      </w:r>
      <w:r>
        <w:rPr>
          <w:rStyle w:val="FootnoteAnchor"/>
          <w:rtl w:val="true"/>
        </w:rPr>
        <w:footnoteReference w:id="1427"/>
      </w:r>
      <w:r>
        <w:rPr>
          <w:rFonts w:ascii="Amiri" w:hAnsi="Amiri" w:eastAsia="Amiri" w:cs="Amiri"/>
          <w:color w:val="111111"/>
          <w:sz w:val="28"/>
          <w:sz w:val="28"/>
          <w:szCs w:val="28"/>
          <w:rtl w:val="true"/>
          <w:lang w:bidi="ar-SA"/>
        </w:rPr>
        <w:t>غيرِ أصلٍ مُعتَمَدٍ، و المشهورُ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1428"/>
      </w:r>
      <w:r>
        <w:rPr>
          <w:rFonts w:ascii="Amiri" w:hAnsi="Amiri" w:eastAsia="Amiri" w:cs="Amiri"/>
          <w:color w:val="111111"/>
          <w:sz w:val="28"/>
          <w:sz w:val="28"/>
          <w:szCs w:val="28"/>
          <w:rtl w:val="true"/>
          <w:lang w:bidi="ar-SA"/>
        </w:rPr>
        <w:t xml:space="preserve">ما حَكىٰ عن الشيعةِ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أنّ بعضَهم يَقولُ</w:t>
      </w:r>
      <w:r>
        <w:rPr>
          <w:rFonts w:eastAsia="Amiri" w:cs="Amiri" w:ascii="Amiri" w:hAnsi="Amiri"/>
          <w:color w:val="111111"/>
          <w:sz w:val="28"/>
          <w:szCs w:val="28"/>
          <w:rtl w:val="true"/>
          <w:lang w:bidi="ar-SA"/>
        </w:rPr>
        <w:t>:</w:t>
      </w:r>
      <w:r>
        <w:rPr>
          <w:rStyle w:val="FootnoteAnchor"/>
          <w:rtl w:val="true"/>
        </w:rPr>
        <w:footnoteReference w:id="1429"/>
      </w:r>
      <w:r>
        <w:rPr>
          <w:rFonts w:ascii="Amiri" w:hAnsi="Amiri" w:eastAsia="Amiri" w:cs="Amiri"/>
          <w:color w:val="111111"/>
          <w:sz w:val="28"/>
          <w:sz w:val="28"/>
          <w:szCs w:val="28"/>
          <w:rtl w:val="true"/>
          <w:lang w:bidi="ar-SA"/>
        </w:rPr>
        <w:t>سَنَتان،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Style w:val="FootnoteAnchor"/>
          <w:rtl w:val="true"/>
        </w:rPr>
        <w:footnoteReference w:id="1430"/>
      </w:r>
      <w:r>
        <w:rPr>
          <w:rFonts w:ascii="Amiri" w:hAnsi="Amiri" w:eastAsia="Amiri" w:cs="Amiri"/>
          <w:color w:val="111111"/>
          <w:sz w:val="28"/>
          <w:sz w:val="28"/>
          <w:szCs w:val="28"/>
          <w:rtl w:val="true"/>
          <w:lang w:bidi="ar-SA"/>
        </w:rPr>
        <w:t>، 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وَهمٌ و غَلَطٌ علَى الشيعةِ؛ لأنّ الشيعةَ لا تَقولُ هذا</w:t>
      </w:r>
      <w:r>
        <w:rPr>
          <w:rStyle w:val="FootnoteAnchor"/>
          <w:rtl w:val="true"/>
        </w:rPr>
        <w:footnoteReference w:id="1431"/>
      </w:r>
      <w:r>
        <w:rPr>
          <w:rFonts w:ascii="Amiri" w:hAnsi="Amiri" w:eastAsia="Amiri" w:cs="Amiri"/>
          <w:color w:val="111111"/>
          <w:sz w:val="28"/>
          <w:sz w:val="28"/>
          <w:szCs w:val="28"/>
          <w:rtl w:val="true"/>
          <w:lang w:bidi="ar-SA"/>
        </w:rPr>
        <w:t>، و إنّما يَختلِفُ فيه مُخالِفوهم مِن الفقهاءِ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w:t>
      </w:r>
      <w:r>
        <w:rPr>
          <w:rStyle w:val="FootnoteAnchor"/>
          <w:rtl w:val="true"/>
        </w:rPr>
        <w:footnoteReference w:id="1432"/>
      </w:r>
      <w:r>
        <w:rPr>
          <w:rFonts w:ascii="Amiri" w:hAnsi="Amiri" w:eastAsia="Amiri" w:cs="Amiri"/>
          <w:color w:val="111111"/>
          <w:sz w:val="28"/>
          <w:sz w:val="28"/>
          <w:szCs w:val="28"/>
          <w:rtl w:val="true"/>
          <w:lang w:bidi="ar-SA"/>
        </w:rPr>
        <w:t>الشافعيُّ و أصحابُه إلىٰ‌</w:t>
      </w:r>
      <w:r>
        <w:rPr>
          <w:rStyle w:val="FootnoteAnchor"/>
          <w:rtl w:val="true"/>
        </w:rPr>
        <w:footnoteReference w:id="1433"/>
      </w:r>
      <w:r>
        <w:rPr>
          <w:rFonts w:ascii="Amiri" w:hAnsi="Amiri" w:eastAsia="Amiri" w:cs="Amiri"/>
          <w:color w:val="111111"/>
          <w:sz w:val="28"/>
          <w:sz w:val="28"/>
          <w:szCs w:val="28"/>
          <w:rtl w:val="true"/>
          <w:lang w:bidi="ar-SA"/>
        </w:rPr>
        <w:t>أنّ أكثَرَ الحَملِ أربعُ سِنينَ</w:t>
      </w:r>
      <w:r>
        <w:rPr>
          <w:rFonts w:eastAsia="Amiri" w:cs="Amiri" w:ascii="Amiri" w:hAnsi="Amiri"/>
          <w:color w:val="111111"/>
          <w:sz w:val="28"/>
          <w:szCs w:val="28"/>
          <w:rtl w:val="true"/>
          <w:lang w:bidi="ar-SA"/>
        </w:rPr>
        <w:t>.</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و زَعَمَ الزُّهريُّ و اللَّيثُ‌</w:t>
      </w:r>
      <w:r>
        <w:rPr>
          <w:rStyle w:val="FootnoteAnchor"/>
          <w:rtl w:val="true"/>
        </w:rPr>
        <w:footnoteReference w:id="1435"/>
      </w:r>
      <w:r>
        <w:rPr>
          <w:rFonts w:ascii="Amiri" w:hAnsi="Amiri" w:eastAsia="Amiri" w:cs="Amiri"/>
          <w:color w:val="111111"/>
          <w:sz w:val="28"/>
          <w:sz w:val="28"/>
          <w:szCs w:val="28"/>
          <w:rtl w:val="true"/>
          <w:lang w:bidi="ar-SA"/>
        </w:rPr>
        <w:t>و رَبيعةُ‌</w:t>
      </w:r>
      <w:r>
        <w:rPr>
          <w:rStyle w:val="FootnoteAnchor"/>
          <w:rtl w:val="true"/>
        </w:rPr>
        <w:footnoteReference w:id="1436"/>
      </w:r>
      <w:r>
        <w:rPr>
          <w:rFonts w:ascii="Amiri" w:hAnsi="Amiri" w:eastAsia="Amiri" w:cs="Amiri"/>
          <w:color w:val="111111"/>
          <w:sz w:val="28"/>
          <w:sz w:val="28"/>
          <w:szCs w:val="28"/>
          <w:rtl w:val="true"/>
          <w:lang w:bidi="ar-SA"/>
        </w:rPr>
        <w:t>أنّ أكثَرَه سَبعُ سِنينَ</w:t>
      </w:r>
      <w:r>
        <w:rPr>
          <w:rFonts w:eastAsia="Amiri" w:cs="Amiri" w:ascii="Amiri" w:hAnsi="Amiri"/>
          <w:color w:val="111111"/>
          <w:sz w:val="28"/>
          <w:szCs w:val="28"/>
          <w:rtl w:val="true"/>
          <w:lang w:bidi="ar-SA"/>
        </w:rPr>
        <w:t>.</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و قال أبو حَنيفةَ و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أكثَرَه سَنَتانِ</w:t>
      </w:r>
      <w:r>
        <w:rPr>
          <w:rFonts w:eastAsia="Amiri" w:cs="Amiri" w:ascii="Amiri" w:hAnsi="Amiri"/>
          <w:color w:val="111111"/>
          <w:sz w:val="28"/>
          <w:szCs w:val="28"/>
          <w:rtl w:val="true"/>
          <w:lang w:bidi="ar-SA"/>
        </w:rPr>
        <w:t>.</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و عن مالكٍ ثَلاثُ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إحداهُنَّ مِثلُ قولِ الشافعيِّ، و الثانيةُ خَمسُ سِنينَ، و الثالثةُ سَبعُ سِنينَ</w:t>
      </w:r>
      <w:r>
        <w:rPr>
          <w:rFonts w:eastAsia="Amiri" w:cs="Amiri" w:ascii="Amiri" w:hAnsi="Amiri"/>
          <w:color w:val="111111"/>
          <w:sz w:val="28"/>
          <w:szCs w:val="28"/>
          <w:rtl w:val="true"/>
          <w:lang w:bidi="ar-SA"/>
        </w:rPr>
        <w:t>.</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فهذا الخِلافُ علىٰ ما تَرىٰ هو بَينَ مُخالِفينا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المُعتَمَدةُ في هذا</w:t>
      </w:r>
      <w:r>
        <w:rPr>
          <w:rStyle w:val="FootnoteAnchor"/>
          <w:rtl w:val="true"/>
        </w:rPr>
        <w:footnoteReference w:id="1440"/>
      </w:r>
      <w:r>
        <w:rPr>
          <w:rFonts w:ascii="Amiri" w:hAnsi="Amiri" w:eastAsia="Amiri" w:cs="Amiri"/>
          <w:color w:val="111111"/>
          <w:sz w:val="28"/>
          <w:sz w:val="28"/>
          <w:szCs w:val="28"/>
          <w:rtl w:val="true"/>
          <w:lang w:bidi="ar-SA"/>
        </w:rPr>
        <w:t>كُلِّه هو إجماعُ الفِرقةِ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شُبهةَ في أنّ المُعتادَ في أكثَرِ الحَملِ هو تسعةُ أشهُرٍ، و ما يُدَّعىٰ مِن زيادةٍ علىٰ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نادرٌ غيرُ مُستَمِرٍّ و لا مُستَدامٍ؛ و أحكامُ الشريعةِ تَتبَعُ المُعتادَ مِن الأمورِ، لا الخارقَ للعادةِ و الخارجَ عنها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أنّ الأشهُرَ التسعةَ مُدّةُ الحَملِ، و إنّما الخِلافُ فيما زادَ عليها؛ فصارَ ما ذَهَبنا إليه في مُدّتِه مُجمَعاً عليه، و ما زادَ علىٰ ذلكَ لا إجماعَ فيه</w:t>
      </w:r>
      <w:r>
        <w:rPr>
          <w:rStyle w:val="FootnoteAnchor"/>
          <w:rtl w:val="true"/>
        </w:rPr>
        <w:footnoteReference w:id="1441"/>
      </w:r>
      <w:r>
        <w:rPr>
          <w:rFonts w:ascii="Amiri" w:hAnsi="Amiri" w:eastAsia="Amiri" w:cs="Amiri"/>
          <w:color w:val="111111"/>
          <w:sz w:val="28"/>
          <w:sz w:val="28"/>
          <w:szCs w:val="28"/>
          <w:rtl w:val="true"/>
          <w:lang w:bidi="ar-SA"/>
        </w:rPr>
        <w:t>و لا دليلَ، فوَجَبَ‌</w:t>
      </w:r>
      <w:r>
        <w:rPr>
          <w:rStyle w:val="FootnoteAnchor"/>
          <w:rtl w:val="true"/>
        </w:rPr>
        <w:footnoteReference w:id="1442"/>
      </w:r>
      <w:r>
        <w:rPr>
          <w:rFonts w:ascii="Amiri" w:hAnsi="Amiri" w:eastAsia="Amiri" w:cs="Amiri"/>
          <w:color w:val="111111"/>
          <w:sz w:val="28"/>
          <w:sz w:val="28"/>
          <w:szCs w:val="28"/>
          <w:rtl w:val="true"/>
          <w:lang w:bidi="ar-SA"/>
        </w:rPr>
        <w:t>اطِّراحُه</w:t>
      </w:r>
      <w:r>
        <w:rPr>
          <w:rFonts w:eastAsia="Amiri" w:cs="Amiri" w:ascii="Amiri" w:hAnsi="Amiri"/>
          <w:color w:val="111111"/>
          <w:sz w:val="28"/>
          <w:szCs w:val="28"/>
          <w:rtl w:val="true"/>
          <w:lang w:bidi="ar-SA"/>
        </w:rPr>
        <w:t xml:space="preserve">. </w:t>
      </w:r>
      <w:bookmarkStart w:id="278" w:name="pg16437_172557"/>
    </w:p>
    <w:p>
      <w:pPr>
        <w:pStyle w:val="Heading5"/>
        <w:numPr>
          <w:ilvl w:val="4"/>
          <w:numId w:val="1"/>
        </w:numPr>
        <w:rPr/>
      </w:pPr>
      <w:bookmarkStart w:id="279" w:name="__RefHeading___Toc8039647_1280447820"/>
      <w:bookmarkStart w:id="280" w:name="_Toc98"/>
      <w:bookmarkEnd w:id="278"/>
      <w:bookmarkEnd w:id="279"/>
      <w:r>
        <w:rPr>
          <w:rtl w:val="true"/>
        </w:rPr>
        <w:t>المسألةُ الثامِنةُ حُكمُ المُطلَّقةِ في مرضِ بَعلِها</w:t>
      </w:r>
      <w:bookmarkEnd w:id="280"/>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المُطلَّقةَ في المرضِ تَرِثُ زَوجَها المُطلِّقَ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تَتزوَّجْ، أو يَبرأْ هو مِن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w:t>
      </w:r>
      <w:r>
        <w:rPr>
          <w:rStyle w:val="FootnoteAnchor"/>
          <w:rtl w:val="true"/>
        </w:rPr>
        <w:footnoteReference w:id="1443"/>
      </w:r>
      <w:r>
        <w:rPr>
          <w:rFonts w:ascii="Amiri" w:hAnsi="Amiri" w:eastAsia="Amiri" w:cs="Amiri"/>
          <w:color w:val="111111"/>
          <w:sz w:val="28"/>
          <w:sz w:val="28"/>
          <w:szCs w:val="28"/>
          <w:rtl w:val="true"/>
          <w:lang w:bidi="ar-SA"/>
        </w:rPr>
        <w:t>و بَينَ سَنةٍ</w:t>
      </w:r>
      <w:r>
        <w:rPr>
          <w:rFonts w:eastAsia="Amiri" w:cs="Amiri" w:ascii="Amiri" w:hAnsi="Amiri"/>
          <w:color w:val="111111"/>
          <w:sz w:val="28"/>
          <w:szCs w:val="28"/>
          <w:rtl w:val="true"/>
          <w:lang w:bidi="ar-SA"/>
        </w:rPr>
        <w:t>.</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المَذهبَ أيضاً عليه اتّفاقُ أصحابِنا، و قد وَرَدَت في الأُصولِ رواياتٌ كثيرةٌ 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 اللّٰهِ بنُ مُسكانَ، عن الفَضلِ بنِ عَبدِ المَلِكِ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طَلَّقَ امرأتَه و هو مَريضٌ؛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مرضِه</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سَنةٍ إن ماتَ في</w:t>
      </w:r>
      <w:r>
        <w:rPr>
          <w:rStyle w:val="FootnoteAnchor"/>
          <w:rtl w:val="true"/>
        </w:rPr>
        <w:footnoteReference w:id="1446"/>
      </w:r>
      <w:r>
        <w:rPr>
          <w:rFonts w:ascii="Amiri" w:hAnsi="Amiri" w:eastAsia="Amiri" w:cs="Amiri"/>
          <w:color w:val="111111"/>
          <w:sz w:val="28"/>
          <w:sz w:val="28"/>
          <w:szCs w:val="28"/>
          <w:rtl w:val="true"/>
          <w:lang w:bidi="ar-SA"/>
        </w:rPr>
        <w:t xml:space="preserve">مرضِه ذلكَ، و تَعتَدُّ مِن يَومِ طَلَّقَها عِدّةَ المُطلَّقةِ، ثُمَّ تَتزوَّجُ إذا انقَضَت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عِدّتُها</w:t>
      </w:r>
      <w:r>
        <w:rPr>
          <w:rFonts w:eastAsia="Amiri" w:cs="Amiri" w:ascii="Amiri" w:hAnsi="Amiri"/>
          <w:color w:val="111111"/>
          <w:sz w:val="28"/>
          <w:szCs w:val="28"/>
          <w:rtl w:val="true"/>
          <w:lang w:bidi="ar-SA"/>
        </w:rPr>
        <w:t>]</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تَرِثُه ما بَينَها و بَينَ سَنةٍ إن ماتَ في </w:t>
      </w:r>
    </w:p>
    <w:p>
      <w:pPr>
        <w:pStyle w:val="BookText"/>
        <w:rPr/>
      </w:pPr>
      <w:r>
        <w:rPr>
          <w:rFonts w:ascii="Amiri" w:hAnsi="Amiri" w:eastAsia="Amiri" w:cs="Amiri"/>
          <w:color w:val="111111"/>
          <w:sz w:val="28"/>
          <w:sz w:val="28"/>
          <w:szCs w:val="28"/>
          <w:rtl w:val="true"/>
          <w:lang w:bidi="ar-SA"/>
        </w:rPr>
        <w:t>مرضِه ذلكَ، فإن ماتَ بَعدَ ما تَمضي سَنةٌ لَم يَكُن لها ميراثٌ</w:t>
      </w:r>
      <w:r>
        <w:rPr>
          <w:rFonts w:eastAsia="Amiri" w:cs="Amiri" w:ascii="Amiri" w:hAnsi="Amiri"/>
          <w:color w:val="111111"/>
          <w:sz w:val="28"/>
          <w:szCs w:val="28"/>
          <w:rtl w:val="true"/>
          <w:lang w:bidi="ar-SA"/>
        </w:rPr>
        <w:t>».</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و رَوَى</w:t>
      </w:r>
      <w:r>
        <w:rPr>
          <w:rStyle w:val="FootnoteAnchor"/>
          <w:rtl w:val="true"/>
        </w:rPr>
        <w:footnoteReference w:id="1449"/>
      </w:r>
      <w:r>
        <w:rPr>
          <w:rFonts w:ascii="Amiri" w:hAnsi="Amiri" w:eastAsia="Amiri" w:cs="Amiri"/>
          <w:color w:val="111111"/>
          <w:sz w:val="28"/>
          <w:sz w:val="28"/>
          <w:szCs w:val="28"/>
          <w:rtl w:val="true"/>
          <w:lang w:bidi="ar-SA"/>
        </w:rPr>
        <w:t>الحَسَنُ بنُ محبوبٍ، عن رَبيعٍ الأصَمِّ، عن أبي عُبَيدةَ‌</w:t>
      </w:r>
      <w:r>
        <w:rPr>
          <w:rStyle w:val="FootnoteAnchor"/>
          <w:rtl w:val="true"/>
        </w:rPr>
        <w:footnoteReference w:id="1450"/>
      </w:r>
      <w:r>
        <w:rPr>
          <w:rFonts w:ascii="Amiri" w:hAnsi="Amiri" w:eastAsia="Amiri" w:cs="Amiri"/>
          <w:color w:val="111111"/>
          <w:sz w:val="28"/>
          <w:sz w:val="28"/>
          <w:szCs w:val="28"/>
          <w:rtl w:val="true"/>
          <w:lang w:bidi="ar-SA"/>
        </w:rPr>
        <w:t>الحَذّاءِ؛ و مالكِ بن عَطيّةَ‌</w:t>
      </w:r>
      <w:r>
        <w:rPr>
          <w:rStyle w:val="FootnoteAnchor"/>
          <w:rtl w:val="true"/>
        </w:rPr>
        <w:footnoteReference w:id="14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الوَردِ</w:t>
      </w:r>
      <w:r>
        <w:rPr>
          <w:rFonts w:eastAsia="Amiri" w:cs="Amiri" w:ascii="Amiri" w:hAnsi="Amiri"/>
          <w:color w:val="111111"/>
          <w:sz w:val="28"/>
          <w:szCs w:val="28"/>
          <w:rtl w:val="true"/>
          <w:lang w:bidi="ar-SA"/>
        </w:rPr>
        <w:t>]</w:t>
      </w:r>
      <w:r>
        <w:rPr>
          <w:rStyle w:val="FootnoteAnchor"/>
          <w:rtl w:val="true"/>
        </w:rPr>
        <w:footnoteReference w:id="1452"/>
      </w:r>
      <w:r>
        <w:rPr>
          <w:rFonts w:ascii="Amiri" w:hAnsi="Amiri" w:eastAsia="Amiri" w:cs="Amiri"/>
          <w:color w:val="111111"/>
          <w:sz w:val="28"/>
          <w:sz w:val="28"/>
          <w:szCs w:val="28"/>
          <w:rtl w:val="true"/>
          <w:lang w:bidi="ar-SA"/>
        </w:rPr>
        <w:t>كِلاهُما عن مُحمّدِ بنِ عليٍّ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w:t>
      </w:r>
      <w:r>
        <w:rPr>
          <w:rStyle w:val="FootnoteAnchor"/>
          <w:rtl w:val="true"/>
        </w:rPr>
        <w:footnoteReference w:id="1453"/>
      </w:r>
      <w:r>
        <w:rPr>
          <w:rFonts w:ascii="Amiri" w:hAnsi="Amiri" w:eastAsia="Amiri" w:cs="Amiri"/>
          <w:color w:val="111111"/>
          <w:sz w:val="28"/>
          <w:sz w:val="28"/>
          <w:szCs w:val="28"/>
          <w:rtl w:val="true"/>
          <w:lang w:bidi="ar-SA"/>
        </w:rPr>
        <w:t xml:space="preserve">الرجُلُ امرأتَه تطليقةً 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مَكَثَ في مرضِه</w:t>
      </w:r>
      <w:r>
        <w:rPr>
          <w:rFonts w:eastAsia="Amiri" w:cs="Amiri" w:ascii="Amiri" w:hAnsi="Amiri"/>
          <w:color w:val="111111"/>
          <w:sz w:val="28"/>
          <w:szCs w:val="28"/>
          <w:rtl w:val="true"/>
          <w:lang w:bidi="ar-SA"/>
        </w:rPr>
        <w:t>]</w:t>
      </w:r>
      <w:r>
        <w:rPr>
          <w:rStyle w:val="FootnoteAnchor"/>
          <w:rtl w:val="true"/>
        </w:rPr>
        <w:footnoteReference w:id="1454"/>
      </w:r>
      <w:r>
        <w:rPr>
          <w:rFonts w:ascii="Amiri" w:hAnsi="Amiri" w:eastAsia="Amiri" w:cs="Amiri"/>
          <w:color w:val="111111"/>
          <w:sz w:val="28"/>
          <w:sz w:val="28"/>
          <w:szCs w:val="28"/>
          <w:rtl w:val="true"/>
          <w:lang w:bidi="ar-SA"/>
        </w:rPr>
        <w:t>حَتَّى انقَضَت عِدّتُها، ثُمَّ ماتَ في ذلكَ المرضِ بَعدَ انقضاءِ العِدّةِ‌</w:t>
      </w:r>
      <w:r>
        <w:rPr>
          <w:rStyle w:val="FootnoteAnchor"/>
          <w:rtl w:val="true"/>
        </w:rPr>
        <w:footnoteReference w:id="1455"/>
      </w:r>
      <w:r>
        <w:rPr>
          <w:rFonts w:ascii="Amiri" w:hAnsi="Amiri" w:eastAsia="Amiri" w:cs="Amiri"/>
          <w:color w:val="111111"/>
          <w:sz w:val="28"/>
          <w:sz w:val="28"/>
          <w:szCs w:val="28"/>
          <w:rtl w:val="true"/>
          <w:lang w:bidi="ar-SA"/>
        </w:rPr>
        <w:t xml:space="preserve">، فإنّها تَرِثُه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تَتزوَّجْ؛ فإذا كانَت تَزوَّجَت بَعدَ انقضاءِ العِدّةِ، فإِنّها لا تَرِثُه</w:t>
      </w:r>
      <w:r>
        <w:rPr>
          <w:rFonts w:eastAsia="Amiri" w:cs="Amiri" w:ascii="Amiri" w:hAnsi="Amiri"/>
          <w:color w:val="111111"/>
          <w:sz w:val="28"/>
          <w:szCs w:val="28"/>
          <w:rtl w:val="true"/>
          <w:lang w:bidi="ar-SA"/>
        </w:rPr>
        <w:t>]».</w:t>
      </w:r>
      <w:r>
        <w:rPr>
          <w:rStyle w:val="FootnoteAnchor"/>
          <w:rtl w:val="true"/>
        </w:rPr>
        <w:footnoteReference w:id="145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Style w:val="FootnoteAnchor"/>
          <w:rtl w:val="true"/>
        </w:rPr>
        <w:footnoteReference w:id="1457"/>
      </w:r>
      <w:r>
        <w:rPr>
          <w:rFonts w:ascii="Amiri" w:hAnsi="Amiri" w:eastAsia="Amiri" w:cs="Amiri"/>
          <w:color w:val="111111"/>
          <w:sz w:val="28"/>
          <w:sz w:val="28"/>
          <w:szCs w:val="28"/>
          <w:rtl w:val="true"/>
          <w:lang w:bidi="ar-SA"/>
        </w:rPr>
        <w:t>ابنُ أَبي عُمَيرٍ عن أبانٍ، أنّ أبا عبدِ اللّٰهِ عليه السلامُ قالَ في رَجُلٍ طَلَّقَ تطليقتَينِ في صِحّةٍ، ثُمَّ طَلَّقَ التطليقةَ الثالثةَ و هو مَريضٌ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تَرِثُه ما دامَ في مرضِه، و إن كانَ إلىٰ سَنةٍ</w:t>
      </w:r>
      <w:r>
        <w:rPr>
          <w:rFonts w:eastAsia="Amiri" w:cs="Amiri" w:ascii="Amiri" w:hAnsi="Amiri"/>
          <w:color w:val="111111"/>
          <w:sz w:val="28"/>
          <w:szCs w:val="28"/>
          <w:rtl w:val="true"/>
          <w:lang w:bidi="ar-SA"/>
        </w:rPr>
        <w:t>».</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و يُشبِهُ أن يَكونَ الوجهُ في توريثِها له ما لَم تَتزَوَّجْ أو تَنقَضيَ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w:t>
      </w:r>
      <w:r>
        <w:rPr>
          <w:rStyle w:val="FootnoteAnchor"/>
          <w:rtl w:val="true"/>
        </w:rPr>
        <w:footnoteReference w:id="1459"/>
      </w:r>
      <w:r>
        <w:rPr>
          <w:rFonts w:ascii="Amiri" w:hAnsi="Amiri" w:eastAsia="Amiri" w:cs="Amiri"/>
          <w:color w:val="111111"/>
          <w:sz w:val="28"/>
          <w:sz w:val="28"/>
          <w:szCs w:val="28"/>
          <w:rtl w:val="true"/>
          <w:lang w:bidi="ar-SA"/>
        </w:rPr>
        <w:t>في المرضِ في الأكثَرِ و الأغلَبِ‌</w:t>
      </w:r>
      <w:r>
        <w:rPr>
          <w:rStyle w:val="FootnoteAnchor"/>
          <w:rtl w:val="true"/>
        </w:rPr>
        <w:footnoteReference w:id="1460"/>
      </w:r>
      <w:r>
        <w:rPr>
          <w:rFonts w:ascii="Amiri" w:hAnsi="Amiri" w:eastAsia="Amiri" w:cs="Amiri"/>
          <w:color w:val="111111"/>
          <w:sz w:val="28"/>
          <w:sz w:val="28"/>
          <w:szCs w:val="28"/>
          <w:rtl w:val="true"/>
          <w:lang w:bidi="ar-SA"/>
        </w:rPr>
        <w:t>يُريدُ الإضرارَ بزَوجتِه و حِرمانَها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كُرِّهَ‌</w:t>
      </w:r>
      <w:r>
        <w:rPr>
          <w:rStyle w:val="FootnoteAnchor"/>
          <w:rtl w:val="true"/>
        </w:rPr>
        <w:footnoteReference w:id="1461"/>
      </w:r>
      <w:r>
        <w:rPr>
          <w:rFonts w:ascii="Amiri" w:hAnsi="Amiri" w:eastAsia="Amiri" w:cs="Amiri"/>
          <w:color w:val="111111"/>
          <w:sz w:val="28"/>
          <w:sz w:val="28"/>
          <w:szCs w:val="28"/>
          <w:rtl w:val="true"/>
          <w:lang w:bidi="ar-SA"/>
        </w:rPr>
        <w:t>في رواياتٍ كثيرةٍ التطليقُ‌</w:t>
      </w:r>
      <w:r>
        <w:rPr>
          <w:rStyle w:val="FootnoteAnchor"/>
          <w:rtl w:val="true"/>
        </w:rPr>
        <w:footnoteReference w:id="1462"/>
      </w:r>
      <w:r>
        <w:rPr>
          <w:rFonts w:ascii="Amiri" w:hAnsi="Amiri" w:eastAsia="Amiri" w:cs="Amiri"/>
          <w:color w:val="111111"/>
          <w:sz w:val="28"/>
          <w:sz w:val="28"/>
          <w:szCs w:val="28"/>
          <w:rtl w:val="true"/>
          <w:lang w:bidi="ar-SA"/>
        </w:rPr>
        <w:t>في المرضِ؛ بأنّه يوهِمُ 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 الميراثَ إلىٰ‌</w:t>
      </w:r>
      <w:r>
        <w:rPr>
          <w:rStyle w:val="FootnoteAnchor"/>
          <w:rtl w:val="true"/>
        </w:rPr>
        <w:footnoteReference w:id="1463"/>
      </w:r>
      <w:r>
        <w:rPr>
          <w:rFonts w:ascii="Amiri" w:hAnsi="Amiri" w:eastAsia="Amiri" w:cs="Amiri"/>
          <w:color w:val="111111"/>
          <w:sz w:val="28"/>
          <w:sz w:val="28"/>
          <w:szCs w:val="28"/>
          <w:rtl w:val="true"/>
          <w:lang w:bidi="ar-SA"/>
        </w:rPr>
        <w:t>سَنةٍ؛ تغليظاً و زَجراً عن قَصدِ الإضرارِ و الحِرمانِ للميراثِ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جاءَت روايةٌ تَشهَدُ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و هو مريضٌ،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تَرِثُه ما دامَت في عِدّتِها، فإن طَلَّقَها في حالِ الإضرارِ فهي تَرِثُه إلىٰ سَنةٍ، فإن زادَ علَى السَّنةِ يَوماً واحداً لَم تَرِثْه</w:t>
      </w:r>
      <w:r>
        <w:rPr>
          <w:rFonts w:eastAsia="Amiri" w:cs="Amiri" w:ascii="Amiri" w:hAnsi="Amiri"/>
          <w:color w:val="111111"/>
          <w:sz w:val="28"/>
          <w:szCs w:val="28"/>
          <w:rtl w:val="true"/>
          <w:lang w:bidi="ar-SA"/>
        </w:rPr>
        <w:t>».</w:t>
      </w:r>
      <w:r>
        <w:rPr>
          <w:rStyle w:val="FootnoteAnchor"/>
          <w:rtl w:val="true"/>
        </w:rPr>
        <w:footnoteReference w:id="146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يُشعِرُ بما أشَرنا إليه</w:t>
      </w:r>
      <w:r>
        <w:rPr>
          <w:rFonts w:eastAsia="Amiri" w:cs="Amiri" w:ascii="Amiri" w:hAnsi="Amiri"/>
          <w:color w:val="111111"/>
          <w:sz w:val="28"/>
          <w:szCs w:val="28"/>
          <w:rtl w:val="true"/>
          <w:lang w:bidi="ar-SA"/>
        </w:rPr>
        <w:t xml:space="preserve">. </w:t>
      </w:r>
      <w:bookmarkStart w:id="281" w:name="pg16437_172560"/>
    </w:p>
    <w:p>
      <w:pPr>
        <w:pStyle w:val="Heading5"/>
        <w:numPr>
          <w:ilvl w:val="4"/>
          <w:numId w:val="1"/>
        </w:numPr>
        <w:rPr/>
      </w:pPr>
      <w:bookmarkStart w:id="282" w:name="__RefHeading___Toc8039649_1280447820"/>
      <w:bookmarkStart w:id="283" w:name="_Toc99"/>
      <w:bookmarkEnd w:id="281"/>
      <w:bookmarkEnd w:id="282"/>
      <w:r>
        <w:rPr>
          <w:rtl w:val="true"/>
        </w:rPr>
        <w:t>المَسألةُ التاسعةُ حُكمُ عِتقِ عَبدِ المُكاتَبِ و توريثِه</w:t>
      </w:r>
      <w:bookmarkEnd w:id="283"/>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المُكاتَبَ يَموتُ نَسيبُه و له مالٌ، يَرِثُ منه بحِسابِ ما عُتِقَ منه مِن أدائه مُكاتَبتَه</w:t>
      </w:r>
      <w:r>
        <w:rPr>
          <w:rFonts w:eastAsia="Amiri" w:cs="Amiri" w:ascii="Amiri" w:hAnsi="Amiri"/>
          <w:color w:val="111111"/>
          <w:sz w:val="28"/>
          <w:szCs w:val="28"/>
          <w:rtl w:val="true"/>
          <w:lang w:bidi="ar-SA"/>
        </w:rPr>
        <w:t>.</w:t>
      </w:r>
      <w:r>
        <w:rPr>
          <w:rStyle w:val="FootnoteAnchor"/>
          <w:rtl w:val="true"/>
        </w:rPr>
        <w:footnoteReference w:id="1465"/>
      </w:r>
      <w:r>
        <w:rPr>
          <w:rFonts w:ascii="Amiri" w:hAnsi="Amiri" w:eastAsia="Amiri" w:cs="Amiri"/>
          <w:color w:val="111111"/>
          <w:sz w:val="28"/>
          <w:sz w:val="28"/>
          <w:szCs w:val="28"/>
          <w:rtl w:val="true"/>
          <w:lang w:bidi="ar-SA"/>
        </w:rPr>
        <w:t>و الخُصومُ يَروونَ عن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المُكاتَبُ رِقٌّ ما بَقيَ عليه دِرهَمٌ</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المسألةُ فجميعُ الفقهاءِ المُخالِفينَ لنا يَقولونَ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المُكاتَبَ إذا أدّىٰ بعضَ المالِ لَم يُعتَقْ شَيءٌ منه البَتّةَ</w:t>
      </w:r>
      <w:r>
        <w:rPr>
          <w:rFonts w:eastAsia="Amiri" w:cs="Amiri" w:ascii="Amiri" w:hAnsi="Amiri"/>
          <w:color w:val="111111"/>
          <w:sz w:val="28"/>
          <w:szCs w:val="28"/>
          <w:rtl w:val="true"/>
          <w:lang w:bidi="ar-SA"/>
        </w:rPr>
        <w:t>.</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و حُكيَ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قَدرَ قيمتِه عُتِقَ، و كانَ ما بَقيَ مِن مالِ الكتابةِ دَيناً في ذِمّتِه</w:t>
      </w:r>
      <w:r>
        <w:rPr>
          <w:rFonts w:eastAsia="Amiri" w:cs="Amiri" w:ascii="Amiri" w:hAnsi="Amiri"/>
          <w:color w:val="111111"/>
          <w:sz w:val="28"/>
          <w:szCs w:val="28"/>
          <w:rtl w:val="true"/>
          <w:lang w:bidi="ar-SA"/>
        </w:rPr>
        <w:t>.</w:t>
      </w:r>
      <w:r>
        <w:rPr>
          <w:rStyle w:val="FootnoteAnchor"/>
          <w:rtl w:val="true"/>
        </w:rPr>
        <w:footnoteReference w:id="146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مُخالِفونا مِن الفقهاءِ عن أميرِ المؤمنينَ عليه السلامُ روايتَينِ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w:t>
      </w:r>
      <w:r>
        <w:rPr>
          <w:rStyle w:val="FootnoteAnchor"/>
          <w:rtl w:val="true"/>
        </w:rPr>
        <w:footnoteReference w:id="1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أدّىٰ نِصفَ مالِ الكتابةِ عُتِقَ، و كانَ الباقي دَيناً</w:t>
      </w:r>
      <w:r>
        <w:rPr>
          <w:rFonts w:eastAsia="Amiri" w:cs="Amiri" w:ascii="Amiri" w:hAnsi="Amiri"/>
          <w:color w:val="111111"/>
          <w:sz w:val="28"/>
          <w:szCs w:val="28"/>
          <w:rtl w:val="true"/>
          <w:lang w:bidi="ar-SA"/>
        </w:rPr>
        <w:t>.</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و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أدّىٰ جُزءاً عُتِقَ بقَدرِ ذلكَ الجُزءِ منه</w:t>
      </w:r>
      <w:r>
        <w:rPr>
          <w:rFonts w:eastAsia="Amiri" w:cs="Amiri" w:ascii="Amiri" w:hAnsi="Amiri"/>
          <w:color w:val="111111"/>
          <w:sz w:val="28"/>
          <w:szCs w:val="28"/>
          <w:rtl w:val="true"/>
          <w:lang w:bidi="ar-SA"/>
        </w:rPr>
        <w:t>.</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و حُكيَ عن شُرَيحٍ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ثُلُثَ مالِ الكتابةِ عُتِقَ، و إن نَقَصَ لَم يُعتَقْ</w:t>
      </w:r>
      <w:r>
        <w:rPr>
          <w:rFonts w:eastAsia="Amiri" w:cs="Amiri" w:ascii="Amiri" w:hAnsi="Amiri"/>
          <w:color w:val="111111"/>
          <w:sz w:val="28"/>
          <w:szCs w:val="28"/>
          <w:rtl w:val="true"/>
          <w:lang w:bidi="ar-SA"/>
        </w:rPr>
        <w:t>.</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و الذي يُطبِقُ عليه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يُعتَقُ‌</w:t>
      </w:r>
      <w:r>
        <w:rPr>
          <w:rStyle w:val="FootnoteAnchor"/>
          <w:rtl w:val="true"/>
        </w:rPr>
        <w:footnoteReference w:id="1473"/>
      </w:r>
      <w:r>
        <w:rPr>
          <w:rFonts w:ascii="Amiri" w:hAnsi="Amiri" w:eastAsia="Amiri" w:cs="Amiri"/>
          <w:color w:val="111111"/>
          <w:sz w:val="28"/>
          <w:sz w:val="28"/>
          <w:szCs w:val="28"/>
          <w:rtl w:val="true"/>
          <w:lang w:bidi="ar-SA"/>
        </w:rPr>
        <w:t>منه بقَدرِ ما أدّىٰ مِن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شُرِطَ في أصلِ الكتابةِ أنّه إن عَجَزَ عن شَيءٍ مِن مالِ الكتابةِ عادَت رَقَبتُه إلَى الرِّقِّ، فإنّه متىٰ شُرِطَ هذا الشرطُ كانَ العملُ عليه و لَم يُعتَقْ منه شَيءٌ</w:t>
      </w:r>
      <w:r>
        <w:rPr>
          <w:rFonts w:eastAsia="Amiri" w:cs="Amiri" w:ascii="Amiri" w:hAnsi="Amiri"/>
          <w:color w:val="111111"/>
          <w:sz w:val="28"/>
          <w:szCs w:val="28"/>
          <w:rtl w:val="true"/>
          <w:lang w:bidi="ar-SA"/>
        </w:rPr>
        <w:t>.</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فيَقولُ أصحابُنا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لهذا</w:t>
      </w:r>
      <w:r>
        <w:rPr>
          <w:rStyle w:val="FootnoteAnchor"/>
          <w:rtl w:val="true"/>
        </w:rPr>
        <w:footnoteReference w:id="1475"/>
      </w:r>
      <w:r>
        <w:rPr>
          <w:rFonts w:ascii="Amiri" w:hAnsi="Amiri" w:eastAsia="Amiri" w:cs="Amiri"/>
          <w:color w:val="111111"/>
          <w:sz w:val="28"/>
          <w:sz w:val="28"/>
          <w:szCs w:val="28"/>
          <w:rtl w:val="true"/>
          <w:lang w:bidi="ar-SA"/>
        </w:rPr>
        <w:t>المؤَدّي بعضَ مالِ الكتابةِ نَسيبٌ‌</w:t>
      </w:r>
      <w:r>
        <w:rPr>
          <w:rStyle w:val="FootnoteAnchor"/>
          <w:rtl w:val="true"/>
        </w:rPr>
        <w:footnoteReference w:id="1476"/>
      </w:r>
      <w:r>
        <w:rPr>
          <w:rFonts w:ascii="Amiri" w:hAnsi="Amiri" w:eastAsia="Amiri" w:cs="Amiri"/>
          <w:color w:val="111111"/>
          <w:sz w:val="28"/>
          <w:sz w:val="28"/>
          <w:szCs w:val="28"/>
          <w:rtl w:val="true"/>
          <w:lang w:bidi="ar-SA"/>
        </w:rPr>
        <w:t>، وَرِثَ منه بحِسابِ الحُرّيّةِ فيه</w:t>
      </w:r>
      <w:r>
        <w:rPr>
          <w:rStyle w:val="FootnoteAnchor"/>
          <w:rtl w:val="true"/>
        </w:rPr>
        <w:footnoteReference w:id="1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زَنَى المُكاتَبُ يُجلَدُ بحِسابِ الحُرّيّةِ مِن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قَتَلَ لَأُخِذَ منه بحِسابِ الحُرّيّةِ الديةُ، و لَزِمَ مَولاه الباقي</w:t>
      </w:r>
      <w:r>
        <w:rPr>
          <w:rFonts w:eastAsia="Amiri" w:cs="Amiri" w:ascii="Amiri" w:hAnsi="Amiri"/>
          <w:color w:val="111111"/>
          <w:sz w:val="28"/>
          <w:szCs w:val="28"/>
          <w:rtl w:val="true"/>
          <w:lang w:bidi="ar-SA"/>
        </w:rPr>
        <w:t>.</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و الحُجّةُ في الحَقيقةِ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w:t>
      </w:r>
      <w:r>
        <w:rPr>
          <w:rStyle w:val="FootnoteAnchor"/>
          <w:rtl w:val="true"/>
        </w:rPr>
        <w:footnoteReference w:id="1479"/>
      </w:r>
      <w:r>
        <w:rPr>
          <w:rFonts w:ascii="Amiri" w:hAnsi="Amiri" w:eastAsia="Amiri" w:cs="Amiri"/>
          <w:color w:val="111111"/>
          <w:sz w:val="28"/>
          <w:sz w:val="28"/>
          <w:szCs w:val="28"/>
          <w:rtl w:val="true"/>
          <w:lang w:bidi="ar-SA"/>
        </w:rPr>
        <w:t>إجماعِها الحُجّةُ مِن طائفتِنا، و الرواياتُ التي تَشهَدُ بهذا المَذهبِ في أُصولِنا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مُخالِفونا في كُتُبِهم عن شُيوخِهم عن النبيِّ صَلَّى اللّٰهُ عليه و آلهِ أنّه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 يؤَدّي ما فيه مِن الحُرّيّةِ بحِسابِ الحُرِّ، و ما فيه مِن الرِّقِّ بحِسابِ العَبدِ</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المرادُ بذلكَ أنّه إذا قَتَلَ يَجِبُ عليه مِن الديَةِ بقِسطِ ما فيه مِن الحُرّيّةِ، و مِن القيمةِ بقِسطِ ما فيه مِن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أنّ بعضَه يُعتَقُ، و يَكونُ الباقي رَقيقاً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روايتُهم عن النبيِّ عليه السلامُ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المُكاتَبَ رِقٌّ ما بَقيَ عليه دِرهَمٌ</w:t>
      </w:r>
      <w:r>
        <w:rPr>
          <w:rFonts w:eastAsia="Amiri" w:cs="Amiri" w:ascii="Amiri" w:hAnsi="Amiri"/>
          <w:color w:val="111111"/>
          <w:sz w:val="28"/>
          <w:szCs w:val="28"/>
          <w:rtl w:val="true"/>
          <w:lang w:bidi="ar-SA"/>
        </w:rPr>
        <w:t>»</w:t>
      </w:r>
      <w:r>
        <w:rPr>
          <w:rStyle w:val="FootnoteAnchor"/>
          <w:rtl w:val="true"/>
        </w:rPr>
        <w:footnoteReference w:id="1481"/>
      </w:r>
      <w:r>
        <w:rPr>
          <w:rFonts w:ascii="Amiri" w:hAnsi="Amiri" w:eastAsia="Amiri" w:cs="Amiri"/>
          <w:color w:val="111111"/>
          <w:sz w:val="28"/>
          <w:sz w:val="28"/>
          <w:szCs w:val="28"/>
          <w:rtl w:val="true"/>
          <w:lang w:bidi="ar-SA"/>
        </w:rPr>
        <w:t>، فالمُرادُ به أنّه مع هذه البَقيّةِ في أَسرِ الرِّقِّ، و لَم يَزُلْ جميعُ الرِّقِّ عنه؛ فقَد ذَهَبَ قومٌ إلىٰ أنّه إذا أدّىٰ مِن مالِ كتابتِه بقَدرِ قيمتِه عُتِقَ‌</w:t>
      </w:r>
      <w:r>
        <w:rPr>
          <w:rStyle w:val="FootnoteAnchor"/>
          <w:rtl w:val="true"/>
        </w:rPr>
        <w:footnoteReference w:id="1482"/>
      </w:r>
      <w:r>
        <w:rPr>
          <w:rFonts w:ascii="Amiri" w:hAnsi="Amiri" w:eastAsia="Amiri" w:cs="Amiri"/>
          <w:color w:val="111111"/>
          <w:sz w:val="28"/>
          <w:sz w:val="28"/>
          <w:szCs w:val="28"/>
          <w:rtl w:val="true"/>
          <w:lang w:bidi="ar-SA"/>
        </w:rPr>
        <w:t>، فيَكونُ هذا القولُ رَدّاً</w:t>
      </w:r>
      <w:r>
        <w:rPr>
          <w:rStyle w:val="FootnoteAnchor"/>
          <w:rtl w:val="true"/>
        </w:rPr>
        <w:footnoteReference w:id="1483"/>
      </w:r>
      <w:r>
        <w:rPr>
          <w:rFonts w:ascii="Amiri" w:hAnsi="Amiri" w:eastAsia="Amiri" w:cs="Amiri"/>
          <w:color w:val="111111"/>
          <w:sz w:val="28"/>
          <w:sz w:val="28"/>
          <w:szCs w:val="28"/>
          <w:rtl w:val="true"/>
          <w:lang w:bidi="ar-SA"/>
        </w:rPr>
        <w:t>علىٰ مَن 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روايتُهم عن النبيِّ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كاتَبَ عَبداً علىٰ مائةِ دينارٍ، فأدّاها</w:t>
      </w:r>
      <w:r>
        <w:rPr>
          <w:rStyle w:val="FootnoteAnchor"/>
          <w:rtl w:val="true"/>
        </w:rPr>
        <w:footnoteReference w:id="1484"/>
      </w:r>
      <w:r>
        <w:rPr>
          <w:rFonts w:ascii="Amiri" w:hAnsi="Amiri" w:eastAsia="Amiri" w:cs="Amiri"/>
          <w:color w:val="111111"/>
          <w:sz w:val="28"/>
          <w:sz w:val="28"/>
          <w:szCs w:val="28"/>
          <w:rtl w:val="true"/>
          <w:lang w:bidi="ar-SA"/>
        </w:rPr>
        <w:t>إلّاعَشرةَ دَنانيرَ، فهو 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أيُّما رَجُلٍ كاتَبَ عَبداً علىٰ مائةِ أُوقيّةٍ، فأدّاها إلّاعَشْرَ</w:t>
      </w:r>
      <w:r>
        <w:rPr>
          <w:rStyle w:val="FootnoteAnchor"/>
          <w:rtl w:val="true"/>
        </w:rPr>
        <w:footnoteReference w:id="1485"/>
      </w:r>
      <w:r>
        <w:rPr>
          <w:rFonts w:ascii="Amiri" w:hAnsi="Amiri" w:eastAsia="Amiri" w:cs="Amiri"/>
          <w:color w:val="111111"/>
          <w:sz w:val="28"/>
          <w:sz w:val="28"/>
          <w:szCs w:val="28"/>
          <w:rtl w:val="true"/>
          <w:lang w:bidi="ar-SA"/>
        </w:rPr>
        <w:t>أَواقيَّ‌</w:t>
      </w:r>
      <w:r>
        <w:rPr>
          <w:rStyle w:val="FootnoteAnchor"/>
          <w:rtl w:val="true"/>
        </w:rPr>
        <w:footnoteReference w:id="1486"/>
      </w:r>
      <w:r>
        <w:rPr>
          <w:rFonts w:ascii="Amiri" w:hAnsi="Amiri" w:eastAsia="Amiri" w:cs="Amiri"/>
          <w:color w:val="111111"/>
          <w:sz w:val="28"/>
          <w:sz w:val="28"/>
          <w:szCs w:val="28"/>
          <w:rtl w:val="true"/>
          <w:lang w:bidi="ar-SA"/>
        </w:rPr>
        <w:t>، فهو مُكاتَبٌ</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فلا صَريحَ‌</w:t>
      </w:r>
      <w:r>
        <w:rPr>
          <w:rStyle w:val="FootnoteAnchor"/>
          <w:rtl w:val="true"/>
        </w:rPr>
        <w:footnoteReference w:id="1488"/>
      </w:r>
      <w:r>
        <w:rPr>
          <w:rFonts w:ascii="Amiri" w:hAnsi="Amiri" w:eastAsia="Amiri" w:cs="Amiri"/>
          <w:color w:val="111111"/>
          <w:sz w:val="28"/>
          <w:sz w:val="28"/>
          <w:szCs w:val="28"/>
          <w:rtl w:val="true"/>
          <w:lang w:bidi="ar-SA"/>
        </w:rPr>
        <w:t>فيه علىٰ ما يُنافي مَذهبَنا، و لا حُجّةَ لهم في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الكتابةِ باقٍ لَم</w:t>
      </w:r>
      <w:r>
        <w:rPr>
          <w:rStyle w:val="FootnoteAnchor"/>
          <w:rtl w:val="true"/>
        </w:rPr>
        <w:footnoteReference w:id="1489"/>
      </w:r>
      <w:r>
        <w:rPr>
          <w:rFonts w:ascii="Amiri" w:hAnsi="Amiri" w:eastAsia="Amiri" w:cs="Amiri"/>
          <w:color w:val="111111"/>
          <w:sz w:val="28"/>
          <w:sz w:val="28"/>
          <w:szCs w:val="28"/>
          <w:rtl w:val="true"/>
          <w:lang w:bidi="ar-SA"/>
        </w:rPr>
        <w:t>يَزُلْ؛ لأنّ العبدَ إذا أدّىٰ بعضَ ما عليه فهو مُستَرَقٌّ بقَدرِ ما بَقيَ‌</w:t>
      </w:r>
      <w:r>
        <w:rPr>
          <w:rStyle w:val="FootnoteAnchor"/>
          <w:rtl w:val="true"/>
        </w:rPr>
        <w:footnoteReference w:id="1490"/>
      </w:r>
      <w:r>
        <w:rPr>
          <w:rFonts w:ascii="Amiri" w:hAnsi="Amiri" w:eastAsia="Amiri" w:cs="Amiri"/>
          <w:color w:val="111111"/>
          <w:sz w:val="28"/>
          <w:sz w:val="28"/>
          <w:szCs w:val="28"/>
          <w:rtl w:val="true"/>
          <w:lang w:bidi="ar-SA"/>
        </w:rPr>
        <w:t xml:space="preserve">عليه مِن مالِ مُكاتَبتِه، و يُطلَقُ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بَيِّنٌ لِمَن تَأمَّلهَ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المَسائُل بحَمدِ اللّٰهِ و عَونِه و مَنِّه</w:t>
      </w:r>
      <w:r>
        <w:rPr>
          <w:rFonts w:eastAsia="Amiri" w:cs="Amiri" w:ascii="Amiri" w:hAnsi="Amiri"/>
          <w:color w:val="111111"/>
          <w:sz w:val="28"/>
          <w:szCs w:val="28"/>
          <w:rtl w:val="true"/>
          <w:lang w:bidi="ar-SA"/>
        </w:rPr>
        <w:t xml:space="preserve">. </w:t>
      </w:r>
      <w:bookmarkStart w:id="284" w:name="pg16437_172563"/>
    </w:p>
    <w:p>
      <w:pPr>
        <w:pStyle w:val="Heading3"/>
        <w:numPr>
          <w:ilvl w:val="2"/>
          <w:numId w:val="1"/>
        </w:numPr>
        <w:rPr/>
      </w:pPr>
      <w:bookmarkStart w:id="285" w:name="__RefHeading___Toc8039651_1280447820"/>
      <w:bookmarkStart w:id="286" w:name="_Toc100"/>
      <w:bookmarkEnd w:id="284"/>
      <w:bookmarkEnd w:id="285"/>
      <w:r>
        <w:rPr>
          <w:rtl w:val="true"/>
        </w:rPr>
        <w:t>(</w:t>
      </w:r>
      <w:r>
        <w:rPr/>
        <w:t>78</w:t>
      </w:r>
      <w:r>
        <w:rPr>
          <w:rtl w:val="true"/>
        </w:rPr>
        <w:t xml:space="preserve">) </w:t>
      </w:r>
      <w:r>
        <w:rPr>
          <w:rtl w:val="true"/>
        </w:rPr>
        <w:t>جَواباتُ المَسائلِ المَوصِليّاتِ الثالِثةِ‌</w:t>
      </w:r>
      <w:bookmarkEnd w:id="28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7" w:name="__RefHeading___Toc8039653_1280447820"/>
      <w:bookmarkStart w:id="288" w:name="_Toc101"/>
      <w:bookmarkEnd w:id="287"/>
      <w:r>
        <w:rPr>
          <w:rtl w:val="true"/>
        </w:rPr>
        <w:t>اشارة</w:t>
      </w:r>
      <w:bookmarkEnd w:id="28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16437_172565"/>
      <w:bookmarkStart w:id="290" w:name="pg16437_172565"/>
      <w:bookmarkEnd w:id="290"/>
    </w:p>
    <w:p>
      <w:pPr>
        <w:pStyle w:val="Heading4"/>
        <w:numPr>
          <w:ilvl w:val="3"/>
          <w:numId w:val="1"/>
        </w:numPr>
        <w:rPr/>
      </w:pPr>
      <w:bookmarkStart w:id="291" w:name="pg16437_172565"/>
      <w:bookmarkStart w:id="292" w:name="__RefHeading___Toc8039655_1280447820"/>
      <w:bookmarkStart w:id="293" w:name="_Toc102"/>
      <w:bookmarkEnd w:id="291"/>
      <w:bookmarkEnd w:id="292"/>
      <w:r>
        <w:rPr>
          <w:rtl w:val="true"/>
        </w:rPr>
        <w:t>مقدّمة التحقيق</w:t>
      </w:r>
      <w:bookmarkEnd w:id="293"/>
    </w:p>
    <w:p>
      <w:pPr>
        <w:pStyle w:val="Heading5"/>
        <w:numPr>
          <w:ilvl w:val="4"/>
          <w:numId w:val="1"/>
        </w:numPr>
        <w:rPr/>
      </w:pPr>
      <w:bookmarkStart w:id="294" w:name="__RefHeading___Toc8039657_1280447820"/>
      <w:bookmarkStart w:id="295" w:name="_Toc103"/>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وردت على الشريف المرتضى في شهر ربيع الأوّل من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مجموعة أُخرى من المسائل الفقهيّة، عُرفت بالموصليّات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المجموعة أكبر حجماً من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الشريف المرتضى على جميع المسائل، حيث فصّل الإجابة تارة، و اختصرها اخرى، و قدّم لجوابه على المسائل مقدّمة مطوّلة بعض الشيء، و هو أمر لم نعهده في أجوبة مسائله الأُخرى، حيث عوّدنا الشريف المرتضى على الإجابة مباشرة عن المسائل؛ أمّا هنا فقد قام بتقديم مقدّمة حول كيفيّة استنباط الأحكام، حتّى يمكن اعتبار هذه المقدّمة رسالة قائمة بذاتها من رسائل الشريف المرتضى الكثيرة، و يمكن نشرها على حدة، و بصورة منفصلة عن باقي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أنّ لكلّ من جوابات المسائل الموصليّات الثالثة و مقدّمتها وزنه الخاصّ و قيمته العلميّة المتميّزة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 الشريف المرتضى في المقدّمة موقفه من استنباط الأحكام الفقهيّة، فأشار إلى الأساس الذي وضعه، و بنى عليه كلّ منظومته الفكريّة، و هذا الأساس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قام الشريف المرتضى بتأسيس 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فكره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رصين و محكم،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يمكن أن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يعتمد في أحكامه 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غدا العِلمُ مظلّة كبيرة تمدّ ظلّها على كلّ فكر الشريف المرتضى؛ فكلّ شيء دخل تحتها آمَن به، و كلّ ما خرج منها رفضه و لم يؤمن به أبداً؛ فإنّ العالِم إذا أقدم على ما لا عِلم له فيه، لم يأمن من الوقوع في الفساد، فيقبح الإقدام عليه</w:t>
      </w:r>
      <w:r>
        <w:rPr>
          <w:rFonts w:eastAsia="Amiri" w:cs="Amiri" w:ascii="Amiri" w:hAnsi="Amiri"/>
          <w:color w:val="111111"/>
          <w:sz w:val="28"/>
          <w:szCs w:val="28"/>
          <w:rtl w:val="true"/>
          <w:lang w:bidi="ar-SA"/>
        </w:rPr>
        <w:t xml:space="preserve">. </w:t>
      </w:r>
      <w:bookmarkStart w:id="296" w:name="pg16437_172566"/>
    </w:p>
    <w:p>
      <w:pPr>
        <w:pStyle w:val="BookText"/>
        <w:rPr/>
      </w:pPr>
      <w:bookmarkEnd w:id="296"/>
      <w:r>
        <w:rPr>
          <w:rFonts w:ascii="Amiri" w:hAnsi="Amiri" w:eastAsia="Amiri" w:cs="Amiri"/>
          <w:color w:val="111111"/>
          <w:sz w:val="28"/>
          <w:sz w:val="28"/>
          <w:szCs w:val="28"/>
          <w:rtl w:val="true"/>
          <w:lang w:bidi="ar-SA"/>
        </w:rPr>
        <w:t>و على هذا الأساس رفض حجّيّة أخبار الآحاد، و القياس، و آمن بحجّيّة الكتاب، و السنّة المتواترة، و الإجماع، و العقل؛ لأنّ الأُولى تؤدّي إلى نتائج ظنيّة، بينما الأخيرة تنتهي إلى نتائج علميّة و يقينيّة</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8039659_1280447820"/>
      <w:bookmarkStart w:id="298" w:name="_Toc104"/>
      <w:bookmarkEnd w:id="297"/>
      <w:r>
        <w:rPr>
          <w:rtl w:val="true"/>
        </w:rPr>
        <w:t xml:space="preserve">بين الموصليّات الثالثة و كتاب </w:t>
      </w:r>
      <w:r>
        <w:rPr>
          <w:rtl w:val="true"/>
        </w:rPr>
        <w:t>«</w:t>
      </w:r>
      <w:r>
        <w:rPr>
          <w:rtl w:val="true"/>
        </w:rPr>
        <w:t>الإعلام</w:t>
      </w:r>
      <w:r>
        <w:rPr>
          <w:rtl w:val="true"/>
        </w:rPr>
        <w:t>»</w:t>
      </w:r>
      <w:bookmarkEnd w:id="298"/>
    </w:p>
    <w:p>
      <w:pPr>
        <w:pStyle w:val="BookText"/>
        <w:rPr/>
      </w:pPr>
      <w:r>
        <w:rPr>
          <w:rFonts w:ascii="Amiri" w:hAnsi="Amiri" w:eastAsia="Amiri" w:cs="Amiri"/>
          <w:color w:val="111111"/>
          <w:sz w:val="28"/>
          <w:sz w:val="28"/>
          <w:szCs w:val="28"/>
          <w:rtl w:val="true"/>
          <w:lang w:bidi="ar-SA"/>
        </w:rPr>
        <w:t>قام الشيخ المفيد بتأليف كتاب فقهي مختصر جعله تتمّة لكتابه أوائل المقالات، و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الإعلام بما اتّفقت عليه الإماميّة من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استعرض فيه المسائل الفقهيّة التي اتّفق عليها الإماميّة و أجمعت العامّة فيها على مخالفتهم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مطالعة المسائل الموصليّات الثالثة لفت نظرنا وجود ارتباط قوي بينها و بين ما جاء في كتاب الشيخ المفيد، فقمنا بمقارنة بينهما، فوجدنا أنّ الشريف المرتضى قد تتبّع في هذه المسائل كتابَ الإعلام مسألة مسألة، و بيّن رأيه فيها، فهناك تطابق كبير و مدهش بين المسائل المطروحة و عباراتها، حتّى إنّ جميع المسائل التي صرّح الشيخ المفيد بأنّه لم يتعرّض لها، لم يتمّ التعرّض لها كلّها أيضاً في الموصليّات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أنّ السائلين المَوصليّين انتزعوا تلك المسائل من كتاب الإعلام و أرسلوها إلى الشريف المرتضى كي يبيّن رأيه فيها، و لذلك لم تطرح هذه المسائل بشكل أسئلة، بل طرحت بصورة نصّ 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يظهر أنّهم نقلوا تارة عين عبارة الإعلام، فيما اكتفوا بنقلها بالمضمون تارة أُخرى، و ربما كانت نسختهم من كتاب الإعلام مختلفة بعض الشيء مع ما هو موجود بين أيدينا من هذا الكتاب، كما سقطت مسألتان أو ثلاث كانت موجودة في الإعلام و لكن لم تُذكر في هذه المسائل و لم يتّضح لنا الوجه في ذلك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يمكن اعتبار الموصليّات الثالثة شرحاً أو تعليقة على كتاب الإعلام</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bookmarkStart w:id="299" w:name="pg16437_172567"/>
    </w:p>
    <w:p>
      <w:pPr>
        <w:pStyle w:val="BookText"/>
        <w:rPr/>
      </w:pPr>
      <w:bookmarkEnd w:id="299"/>
      <w:r>
        <w:rPr>
          <w:rFonts w:ascii="Amiri" w:hAnsi="Amiri" w:eastAsia="Amiri" w:cs="Amiri"/>
          <w:color w:val="111111"/>
          <w:sz w:val="28"/>
          <w:sz w:val="28"/>
          <w:szCs w:val="28"/>
          <w:rtl w:val="true"/>
          <w:lang w:bidi="ar-SA"/>
        </w:rPr>
        <w:t>و هذه الحالة نشاهدها أيضاً في الموصليّات الثانية، و لكنّها قد تعرّضت هناك إلى شرح تسع مسائل فقط من كتاب الإعلام، بينما الموصليّات الثالثة تعرّضت إلى معظمها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 هناك بعض المسائل المذكورة في الموصليّات الثالثة، و لكنّها ساقطة من نسخ كتاب الإعلام، فقد أشار محقّق كتاب الإعلام في أكثر من موضع إلى وجود سقط في النسخ يصل إلى عدّة صفحات</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من خلال المقارنة مع الموصليّات الثالثة معرفة المسائل الساقطة من كتاب الإعلام، و بالتالي إعادة ترتيب هذا الكتاب بشكل جديد</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8039661_1280447820"/>
      <w:bookmarkStart w:id="301" w:name="_Toc105"/>
      <w:bookmarkEnd w:id="300"/>
      <w:r>
        <w:rPr>
          <w:rtl w:val="true"/>
        </w:rPr>
        <w:t>فوائد مستلّة من المسائل</w:t>
      </w:r>
      <w:bookmarkEnd w:id="301"/>
    </w:p>
    <w:p>
      <w:pPr>
        <w:pStyle w:val="BookText"/>
        <w:rPr/>
      </w:pPr>
      <w:r>
        <w:rPr>
          <w:rFonts w:ascii="Amiri" w:hAnsi="Amiri" w:eastAsia="Amiri" w:cs="Amiri"/>
          <w:color w:val="111111"/>
          <w:sz w:val="28"/>
          <w:sz w:val="28"/>
          <w:szCs w:val="28"/>
          <w:rtl w:val="true"/>
          <w:lang w:bidi="ar-SA"/>
        </w:rPr>
        <w:t>احتوت الموصليّات الثالثة على بعض الفوائد،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صرّح الشريف المرتضى في المقدّمة بأنّ كلّ أصحاب الإماميّة سلفهم و خلفهم، و متقدّمهم و متأخّرهم، يَمنعون من العمل بأخبار الآحاد و القياس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أنّ اللّٰه تعالى لا يُخلي المكلّف من حجّة و طريق إلى العلم بما كُلّف به؛ من إجماع، أو دليل قاطع من الكتاب، أو سنّة مقطوع بها، فإن اتّفق أن لا يوجد شيء من ذلك، فالمرجع حينئذٍ هو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على معظم المسائل المطروحة بإجماع الإماميّة، كما استدلّ في كثير من الأحيان بطريقة الاحتياط</w:t>
      </w:r>
      <w:r>
        <w:rPr>
          <w:rFonts w:eastAsia="Amiri" w:cs="Amiri" w:ascii="Amiri" w:hAnsi="Amiri"/>
          <w:color w:val="111111"/>
          <w:sz w:val="28"/>
          <w:szCs w:val="28"/>
          <w:rtl w:val="true"/>
          <w:lang w:bidi="ar-SA"/>
        </w:rPr>
        <w:t xml:space="preserve">. </w:t>
      </w:r>
      <w:bookmarkStart w:id="302" w:name="pg16437_172568"/>
    </w:p>
    <w:p>
      <w:pPr>
        <w:pStyle w:val="BookText"/>
        <w:rPr/>
      </w:pPr>
      <w:bookmarkEnd w:id="30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أفتى في المسألة الأُولىٰ بأنّ الابتداء بالمرفقين في غَسل اليدين في الوضوء هو المسنون، و خلافه مكروه، لكنّه لا ينقض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فتاويه في المسألة الثانية أنّ مسح مقدَّم الرأس في الوضوء غيرَ مستقبل الشعر مسنون أيضاً، و تكره مخالفته، لكن إذا استقبل الشعر جاز و أبيحت بمثله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أفتى في المسألة الثالثة و العشرين بوجوب الغُسل على تارك صلاة الآيات عمداً مع احتراق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أفتى في المسألة الخامسة و الخمسين بجواز التخيير في الطلاق، بأن يقول الرجل للمرأة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خيّرتكِ، أو قد جعلت أمركِ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أفتى في المسألة التسعين بأنّ ما يختصّ به الولد الأكبر من الحبوة يُعطى إليه، و لكنّه يُحسب عليه من نصيبه من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أفتى في المسألة الثالثة و التسعين بأنّ الزوجة لا ترث من الرباع شيئاً، لكنّها تُعطى قيمتها من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في المسألة الخامسة و الخمسين عبارة للشيخ الصدوق الأب من كتاب مَن لا يحضره الفقيه، و هي عبارة نقلها الشيخ الصدوق الابن من رسالة أبيه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في المسألة الثامنة و العشرين إلى أنّ الجاهل بولاية أمير المؤمنين عليه السلامُ و إمامته في حكم المرتدّ، و لا يجزي إعطاء الزكاة له</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8039663_1280447820"/>
      <w:bookmarkStart w:id="304" w:name="_Toc106"/>
      <w:bookmarkEnd w:id="303"/>
      <w:r>
        <w:rPr>
          <w:rtl w:val="true"/>
        </w:rPr>
        <w:t>نسبتها إلى المؤلّف</w:t>
      </w:r>
      <w:bookmarkEnd w:id="30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ذكرها كلّ من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93"/>
      </w:r>
      <w:r>
        <w:rPr>
          <w:rFonts w:ascii="Amiri" w:hAnsi="Amiri" w:eastAsia="Amiri" w:cs="Amiri"/>
          <w:color w:val="111111"/>
          <w:sz w:val="28"/>
          <w:sz w:val="28"/>
          <w:szCs w:val="28"/>
          <w:rtl w:val="true"/>
          <w:lang w:bidi="ar-SA"/>
        </w:rPr>
        <w:t xml:space="preserve">، كما أرجع الشريف المرتضى في مقدّمتها إلى المسائل التبّانيّات، و أحال في خاتمتها إلى </w:t>
      </w:r>
      <w:bookmarkStart w:id="305" w:name="pg16437_172569"/>
    </w:p>
    <w:p>
      <w:pPr>
        <w:pStyle w:val="BookText"/>
        <w:rPr/>
      </w:pPr>
      <w:bookmarkEnd w:id="305"/>
      <w:r>
        <w:rPr>
          <w:rFonts w:ascii="Amiri" w:hAnsi="Amiri" w:eastAsia="Amiri" w:cs="Amiri"/>
          <w:color w:val="111111"/>
          <w:sz w:val="28"/>
          <w:sz w:val="28"/>
          <w:szCs w:val="28"/>
          <w:rtl w:val="true"/>
          <w:lang w:bidi="ar-SA"/>
        </w:rPr>
        <w:t xml:space="preserve">كتابه مسائل الخلاف، كما أرجع في المقدّمة إلى بحث القياس من الموصليّات الأُولى، و أشار إلى أنّها أُرسلت في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أرجع أيضاً إلى الموصليّات الثانية، و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قرائن داخليّة مهمّة تدلّ على تصحيح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كانت هذه المسائل قد طبعت في ضمن رسائل الشريف المرتضى،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الجدير بالذكر أنّ الطبعة السابقة كانت تحتوي علىٰ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بينما هذه الطبعة تحتوي علىٰ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و السبب في ذلك يعود إلىٰ أنّ المسألة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السابقة عُدّت مسألتين، مع أنّ النسخ اعتبرتها مسألة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زادت الطبعة السابقة علىٰ ما في النسخ و علىٰ الطبعة الحاليّة بمسألة واحدة</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8039665_1280447820"/>
      <w:bookmarkStart w:id="307" w:name="_Toc107"/>
      <w:bookmarkEnd w:id="306"/>
      <w:r>
        <w:rPr>
          <w:rtl w:val="true"/>
        </w:rPr>
        <w:t>مخطوطات الرسالة</w:t>
      </w:r>
      <w:bookmarkEnd w:id="307"/>
    </w:p>
    <w:p>
      <w:pPr>
        <w:pStyle w:val="Heading6"/>
        <w:numPr>
          <w:ilvl w:val="5"/>
          <w:numId w:val="1"/>
        </w:numPr>
        <w:rPr/>
      </w:pPr>
      <w:bookmarkStart w:id="308" w:name="__RefHeading___Toc8039667_1280447820"/>
      <w:bookmarkStart w:id="309" w:name="_Toc108"/>
      <w:bookmarkEnd w:id="308"/>
      <w:r>
        <w:rPr>
          <w:rtl w:val="true"/>
        </w:rPr>
        <w:t>ألف</w:t>
      </w:r>
      <w:r>
        <w:rPr>
          <w:rtl w:val="true"/>
        </w:rPr>
        <w:t xml:space="preserve">) </w:t>
      </w:r>
      <w:r>
        <w:rPr>
          <w:rtl w:val="true"/>
        </w:rPr>
        <w:t>النسخ المعتمدة</w:t>
      </w:r>
      <w:r>
        <w:rPr>
          <w:rtl w:val="true"/>
        </w:rPr>
        <w:t>:</w:t>
      </w:r>
      <w:bookmarkEnd w:id="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 و هي ميكروفيلم من المخطوطة المرقّمة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مكتبة الروضة الرضويّة المقدّسة بمشهد، و الرسالة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1080/6</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3324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مَلِك بطهران، المرقّمة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و الرسالة عنونت في فهرس المكتبة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الموصليّات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سهو، و تقع في </w:t>
      </w:r>
      <w:bookmarkStart w:id="310" w:name="pg16437_172570"/>
    </w:p>
    <w:p>
      <w:pPr>
        <w:pStyle w:val="BookText"/>
        <w:rPr/>
      </w:pPr>
      <w:bookmarkEnd w:id="310"/>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8039669_1280447820"/>
      <w:bookmarkStart w:id="312" w:name="_Toc109"/>
      <w:bookmarkEnd w:id="311"/>
      <w:r>
        <w:rPr>
          <w:rtl w:val="true"/>
        </w:rPr>
        <w:t>ب</w:t>
      </w:r>
      <w:r>
        <w:rPr>
          <w:rtl w:val="true"/>
        </w:rPr>
        <w:t xml:space="preserve">) </w:t>
      </w:r>
      <w:r>
        <w:rPr>
          <w:rtl w:val="true"/>
        </w:rPr>
        <w:t>سائر النسخ</w:t>
      </w:r>
      <w:r>
        <w:rPr>
          <w:rtl w:val="true"/>
        </w:rPr>
        <w:t>:</w:t>
      </w:r>
      <w:bookmarkEnd w:id="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البروجردي رحمه اللّٰه بقمّ، المرقّمة </w:t>
      </w:r>
      <w:r>
        <w:rPr>
          <w:rFonts w:eastAsia="Amiri" w:cs="Amiri" w:ascii="Amiri" w:hAnsi="Amiri"/>
          <w:color w:val="111111"/>
          <w:sz w:val="28"/>
          <w:szCs w:val="28"/>
          <w:lang w:bidi="ar-SA"/>
        </w:rPr>
        <w:t>374/4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11432</w:t>
      </w:r>
      <w:r>
        <w:rPr>
          <w:rFonts w:ascii="Amiri" w:hAnsi="Amiri" w:eastAsia="Amiri" w:cs="Amiri"/>
          <w:color w:val="111111"/>
          <w:sz w:val="28"/>
          <w:sz w:val="28"/>
          <w:szCs w:val="28"/>
          <w:rtl w:val="true"/>
          <w:lang w:bidi="ar-SA"/>
        </w:rPr>
        <w:t xml:space="preserve">؛ و الرسالة عنونت في فهرس المكتبة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الموصليّات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سهو، و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21004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و الرسالة عنونت في فهرس المكتبة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الموصليّات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سهو، و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و الرسالة عنونت في فهرس المكتبة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الموصليّات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سهو، و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438/2</w:t>
      </w:r>
      <w:r>
        <w:rPr>
          <w:rFonts w:ascii="Amiri" w:hAnsi="Amiri" w:eastAsia="Amiri" w:cs="Amiri"/>
          <w:color w:val="111111"/>
          <w:sz w:val="28"/>
          <w:sz w:val="28"/>
          <w:szCs w:val="28"/>
          <w:rtl w:val="true"/>
          <w:lang w:bidi="ar-SA"/>
        </w:rPr>
        <w:t xml:space="preserve">؛ و الرسالة عنونت في فهرس المكتبة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الموصليّات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سهو، و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الإمام الخميني رحمه اللّٰه بقائن، المرقّمة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و يوجد ميكروفيلم منها في مكتبة مركز إحياء التراث الإسلامي بقمّ و يحمل الرقم </w:t>
      </w:r>
      <w:r>
        <w:rPr>
          <w:rFonts w:eastAsia="Amiri" w:cs="Amiri" w:ascii="Amiri" w:hAnsi="Amiri"/>
          <w:color w:val="111111"/>
          <w:sz w:val="28"/>
          <w:szCs w:val="28"/>
          <w:lang w:bidi="ar-SA"/>
        </w:rPr>
        <w:t>1690</w:t>
      </w:r>
      <w:r>
        <w:rPr>
          <w:rFonts w:ascii="Amiri" w:hAnsi="Amiri" w:eastAsia="Amiri" w:cs="Amiri"/>
          <w:color w:val="111111"/>
          <w:sz w:val="28"/>
          <w:sz w:val="28"/>
          <w:szCs w:val="28"/>
          <w:rtl w:val="true"/>
          <w:lang w:bidi="ar-SA"/>
        </w:rPr>
        <w:t xml:space="preserve">، و الرسالة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bookmarkStart w:id="313" w:name="pg16437_172571"/>
    </w:p>
    <w:p>
      <w:pPr>
        <w:pStyle w:val="Heading4"/>
        <w:numPr>
          <w:ilvl w:val="3"/>
          <w:numId w:val="1"/>
        </w:numPr>
        <w:rPr/>
      </w:pPr>
      <w:bookmarkStart w:id="314" w:name="__RefHeading___Toc8039671_1280447820"/>
      <w:bookmarkStart w:id="315" w:name="_Toc110"/>
      <w:bookmarkEnd w:id="313"/>
      <w:bookmarkEnd w:id="314"/>
      <w:r>
        <w:rPr>
          <w:rtl w:val="true"/>
        </w:rPr>
        <w:t>جَواباتُ المَسائلِ المَوصِليّاتِ الثالِثةِ‌</w:t>
      </w:r>
      <w:bookmarkEnd w:id="315"/>
    </w:p>
    <w:p>
      <w:pPr>
        <w:pStyle w:val="Heading5"/>
        <w:numPr>
          <w:ilvl w:val="4"/>
          <w:numId w:val="1"/>
        </w:numPr>
        <w:rPr/>
      </w:pPr>
      <w:bookmarkStart w:id="316" w:name="__RefHeading___Toc8039673_1280447820"/>
      <w:bookmarkStart w:id="317" w:name="_Toc111"/>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قد أجَبتُ عن المَسائلِ الواردةِ في شَهرِ رَبيعٍ الأوّلِ مِن سَنةِ عِشرينَ و أربَعِمِائةٍ بما اختَصَرتُ ألفاظَه، و بَلَغتُ الطريقَ إلىٰ نُصرةِ هذه المَسائلِ بما يُغني المُتأمِّلَ عمّا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مُقدِّمةً يُعرَفُ بها الطريقُ الموصِلُ إلَى العِلمِ بجميعِ أحكامِ الشريعةِ في جميعِ مَسائلِ الفقهِ، فيَجِبُ الاعتمادُ عليها و التمسُّكُ بها؛ فمَن أَبىٰ عن هذا الطريقِ عَسَفَ و خَبَطَ، و فارَقَ قولُه مِن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تَعالىٰ يُمِدُّكُم بالتوفيقِ و التسديدِ، و يُحسِنُ مَعونَتَكم علىٰ طَلَبِ الحَقِّ و إرادتِه، و رَفضِ الباطلِ و إبادتِه</w:t>
      </w:r>
      <w:r>
        <w:rPr>
          <w:rStyle w:val="FootnoteAnchor"/>
          <w:rtl w:val="true"/>
        </w:rPr>
        <w:footnoteReference w:id="1494"/>
      </w:r>
      <w:r>
        <w:rPr>
          <w:rFonts w:ascii="Amiri" w:hAnsi="Amiri" w:eastAsia="Amiri" w:cs="Amiri"/>
          <w:color w:val="111111"/>
          <w:sz w:val="28"/>
          <w:sz w:val="28"/>
          <w:szCs w:val="28"/>
          <w:rtl w:val="true"/>
          <w:lang w:bidi="ar-SA"/>
        </w:rPr>
        <w:t>إنّه سَميعٌ مُجيبٌ</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8039675_1280447820"/>
      <w:bookmarkStart w:id="319" w:name="_Toc112"/>
      <w:bookmarkEnd w:id="318"/>
      <w:r>
        <w:rPr>
          <w:rtl w:val="true"/>
        </w:rPr>
        <w:t>مقدِّمة</w:t>
      </w:r>
      <w:bookmarkEnd w:id="31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لا بُدَّ في الأحكامِ الشرعيّةِ مِن طريقٍ توصِلُ‌</w:t>
      </w:r>
      <w:r>
        <w:rPr>
          <w:rStyle w:val="FootnoteAnchor"/>
          <w:rtl w:val="true"/>
        </w:rPr>
        <w:footnoteReference w:id="1495"/>
      </w:r>
      <w:r>
        <w:rPr>
          <w:rFonts w:ascii="Amiri" w:hAnsi="Amiri" w:eastAsia="Amiri" w:cs="Amiri"/>
          <w:color w:val="111111"/>
          <w:sz w:val="28"/>
          <w:sz w:val="28"/>
          <w:szCs w:val="28"/>
          <w:rtl w:val="true"/>
          <w:lang w:bidi="ar-SA"/>
        </w:rPr>
        <w:t>إلَى العِلمِ بها؛ لأنّا متىٰ لَم نَعلَمِ الحُكمَ و نَقطَعْ بالعِلمِ علىٰ أنّه مَصلَحةٌ لنا، جَوَّزنا كَونَه مَفسَدةً لنا، فيَقبُحُ الإقدامُ مِنّا عليه؛ لأنّ الإقدامَ علىٰ ما لا نأمَنُ كَونَه فَساداً، كالإقدامِ علىٰ ما نَقطَعُ علىٰ‌</w:t>
      </w:r>
      <w:r>
        <w:rPr>
          <w:rStyle w:val="FootnoteAnchor"/>
          <w:rtl w:val="true"/>
        </w:rPr>
        <w:footnoteReference w:id="1496"/>
      </w:r>
      <w:r>
        <w:rPr>
          <w:rFonts w:ascii="Amiri" w:hAnsi="Amiri" w:eastAsia="Amiri" w:cs="Amiri"/>
          <w:color w:val="111111"/>
          <w:sz w:val="28"/>
          <w:sz w:val="28"/>
          <w:szCs w:val="28"/>
          <w:rtl w:val="true"/>
          <w:lang w:bidi="ar-SA"/>
        </w:rPr>
        <w:t>كَونِه فَساداً</w:t>
      </w:r>
      <w:r>
        <w:rPr>
          <w:rFonts w:eastAsia="Amiri" w:cs="Amiri" w:ascii="Amiri" w:hAnsi="Amiri"/>
          <w:color w:val="111111"/>
          <w:sz w:val="28"/>
          <w:szCs w:val="28"/>
          <w:rtl w:val="true"/>
          <w:lang w:bidi="ar-SA"/>
        </w:rPr>
        <w:t xml:space="preserve">. </w:t>
      </w:r>
      <w:bookmarkStart w:id="320" w:name="pg16437_172572"/>
    </w:p>
    <w:p>
      <w:pPr>
        <w:pStyle w:val="Heading5"/>
        <w:numPr>
          <w:ilvl w:val="4"/>
          <w:numId w:val="1"/>
        </w:numPr>
        <w:rPr/>
      </w:pPr>
      <w:bookmarkStart w:id="321" w:name="__RefHeading___Toc8039677_1280447820"/>
      <w:bookmarkStart w:id="322" w:name="_Toc113"/>
      <w:bookmarkEnd w:id="320"/>
      <w:bookmarkEnd w:id="321"/>
      <w:r>
        <w:rPr>
          <w:rtl w:val="true"/>
        </w:rPr>
        <w:t>بُطلانُ العملِ بالقياسِ و خبرِ الواحدِ</w:t>
      </w:r>
      <w:bookmarkEnd w:id="322"/>
    </w:p>
    <w:p>
      <w:pPr>
        <w:pStyle w:val="BookText"/>
        <w:rPr/>
      </w:pPr>
      <w:r>
        <w:rPr>
          <w:rFonts w:ascii="Amiri" w:hAnsi="Amiri" w:eastAsia="Amiri" w:cs="Amiri"/>
          <w:color w:val="111111"/>
          <w:sz w:val="28"/>
          <w:sz w:val="28"/>
          <w:szCs w:val="28"/>
          <w:rtl w:val="true"/>
          <w:lang w:bidi="ar-SA"/>
        </w:rPr>
        <w:t xml:space="preserve">و لهذه الجُملةِ أبطَلنا أن يَكونَ القياسُ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يَذهَبُ مُخالِفونا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إلى الأحكامِ الشرعيّةِ؛ مِن حَيثُ كانَ القياسُ يوجِبُ الظنَّ، و لا يَقتَضي العِلمَ؛ ألا تَرىٰ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Style w:val="FootnoteAnchor"/>
          <w:rtl w:val="true"/>
        </w:rPr>
        <w:footnoteReference w:id="1497"/>
      </w:r>
      <w:r>
        <w:rPr>
          <w:rFonts w:ascii="Amiri" w:hAnsi="Amiri" w:eastAsia="Amiri" w:cs="Amiri"/>
          <w:color w:val="111111"/>
          <w:sz w:val="28"/>
          <w:sz w:val="28"/>
          <w:szCs w:val="28"/>
          <w:rtl w:val="true"/>
          <w:lang w:bidi="ar-SA"/>
        </w:rPr>
        <w:t xml:space="preserve">الفَرعِ في التحريمِ علىٰ أصلٍ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بشَبَهٍ يَجمَعُ‌</w:t>
      </w:r>
      <w:r>
        <w:rPr>
          <w:rStyle w:val="FootnoteAnchor"/>
          <w:rtl w:val="true"/>
        </w:rPr>
        <w:footnoteReference w:id="1498"/>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مُحرَّمٌ مِثلُ أصلِه،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ظَنَنّا أنّه يُشبِهُ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مُحرَّمٌ؟</w:t>
      </w:r>
    </w:p>
    <w:p>
      <w:pPr>
        <w:pStyle w:val="BookText"/>
        <w:rPr/>
      </w:pPr>
      <w:r>
        <w:rPr>
          <w:rFonts w:ascii="Amiri" w:hAnsi="Amiri" w:eastAsia="Amiri" w:cs="Amiri"/>
          <w:color w:val="111111"/>
          <w:sz w:val="28"/>
          <w:sz w:val="28"/>
          <w:szCs w:val="28"/>
          <w:rtl w:val="true"/>
          <w:lang w:bidi="ar-SA"/>
        </w:rPr>
        <w:t>و كذلكَ إذا</w:t>
      </w:r>
      <w:r>
        <w:rPr>
          <w:rStyle w:val="FootnoteAnchor"/>
          <w:rtl w:val="true"/>
        </w:rPr>
        <w:footnoteReference w:id="1499"/>
      </w:r>
      <w:r>
        <w:rPr>
          <w:rFonts w:ascii="Amiri" w:hAnsi="Amiri" w:eastAsia="Amiri" w:cs="Amiri"/>
          <w:color w:val="111111"/>
          <w:sz w:val="28"/>
          <w:sz w:val="28"/>
          <w:szCs w:val="28"/>
          <w:rtl w:val="true"/>
          <w:lang w:bidi="ar-SA"/>
        </w:rPr>
        <w:t>أبطَلنا العملَ في الشريعةِ بأخبارِ الآحادِ؛ لأنّها لا توجِبُ عِلماً و لا عملاً، و أوجَبنا أن يَكونَ العملُ تابعاً للعِلمِ؛ لأنّ خبرَ الواحدِ إذا كانَ عدلاً فغايةُ ما يَقتَضيهِ الظنُّ بصِدقِه، و مَن ظَنَنتَ صِدقَه يَجوزُ أن يَكونَ كاذباً، و إن ظَنَنتَ به الصدقَ؛ فإنّ الظنَّ لا يَمنَعُ مِن التجويزِ، فعادَ الأمرُ في العملِ بأخبارِ الآحادِ إلىٰ أنّه إقدامٌ علىٰ ما لا نأمَنُ كَونَه فَساداً و غيرَ</w:t>
      </w:r>
      <w:r>
        <w:rPr>
          <w:rStyle w:val="FootnoteAnchor"/>
          <w:rtl w:val="true"/>
        </w:rPr>
        <w:footnoteReference w:id="1500"/>
      </w: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تَجاوَزَ قومٌ مِن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القياسِ في الشريعةِ و العملِ بأخبارِ الآحادِ،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مُستَحيلٌ مِن طريقِ العقولِ العبادةُ بالقياسِ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أحالوا أيضاً مِن طريقِ العقولِ العبادةَ‌</w:t>
      </w:r>
      <w:r>
        <w:rPr>
          <w:rStyle w:val="FootnoteAnchor"/>
          <w:rtl w:val="true"/>
        </w:rPr>
        <w:footnoteReference w:id="1501"/>
      </w:r>
      <w:r>
        <w:rPr>
          <w:rFonts w:ascii="Amiri" w:hAnsi="Amiri" w:eastAsia="Amiri" w:cs="Amiri"/>
          <w:color w:val="111111"/>
          <w:sz w:val="28"/>
          <w:sz w:val="28"/>
          <w:szCs w:val="28"/>
          <w:rtl w:val="true"/>
          <w:lang w:bidi="ar-SA"/>
        </w:rPr>
        <w:t>بالعملِ‌</w:t>
      </w:r>
      <w:r>
        <w:rPr>
          <w:rStyle w:val="FootnoteAnchor"/>
          <w:rtl w:val="true"/>
        </w:rPr>
        <w:footnoteReference w:id="1502"/>
      </w:r>
      <w:r>
        <w:rPr>
          <w:rFonts w:ascii="Amiri" w:hAnsi="Amiri" w:eastAsia="Amiri" w:cs="Amiri"/>
          <w:color w:val="111111"/>
          <w:sz w:val="28"/>
          <w:sz w:val="28"/>
          <w:szCs w:val="28"/>
          <w:rtl w:val="true"/>
          <w:lang w:bidi="ar-SA"/>
        </w:rPr>
        <w:t>بأخبارِ الآحادِ</w:t>
      </w:r>
      <w:r>
        <w:rPr>
          <w:rStyle w:val="FootnoteAnchor"/>
          <w:rtl w:val="true"/>
        </w:rPr>
        <w:footnoteReference w:id="1503"/>
      </w:r>
      <w:r>
        <w:rPr>
          <w:rFonts w:ascii="Amiri" w:hAnsi="Amiri" w:eastAsia="Amiri" w:cs="Amiri"/>
          <w:color w:val="111111"/>
          <w:sz w:val="28"/>
          <w:sz w:val="28"/>
          <w:szCs w:val="28"/>
          <w:rtl w:val="true"/>
          <w:lang w:bidi="ar-SA"/>
        </w:rPr>
        <w:t>و عَوَّلوا علىٰ أنّ العملَ يَجِبُ أن يَكونَ تابعاً للعِلمِ، و إذا كانَ غيرَ مُتيقَّنٍ في القياسِ و أخبارِ الآحادِ، لَم تَجُزِ</w:t>
      </w:r>
      <w:r>
        <w:rPr>
          <w:rStyle w:val="FootnoteAnchor"/>
          <w:rtl w:val="true"/>
        </w:rPr>
        <w:footnoteReference w:id="1504"/>
      </w:r>
      <w:r>
        <w:rPr>
          <w:rFonts w:ascii="Amiri" w:hAnsi="Amiri" w:eastAsia="Amiri" w:cs="Amiri"/>
          <w:color w:val="111111"/>
          <w:sz w:val="28"/>
          <w:sz w:val="28"/>
          <w:szCs w:val="28"/>
          <w:rtl w:val="true"/>
          <w:lang w:bidi="ar-SA"/>
        </w:rPr>
        <w:t>العبادةُ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المَذهبُ الصحيحُ هو غيرُ هذا؛ لأنّ العقلَ لا يَمنَعُ مِن العبادةِ بالقياسِ و العملِ بخبرِ الواحدِ، و لَو تَعبَّدَ اللّٰهُ تَعالىٰ بذلكَ لَساغَ و لَدَخَلَ في بابِ الصحّةِ؛ لأنّ عبادتَه تَعالىٰ بذلك توجِبُ‌</w:t>
      </w:r>
      <w:r>
        <w:rPr>
          <w:rStyle w:val="FootnoteAnchor"/>
          <w:rtl w:val="true"/>
        </w:rPr>
        <w:footnoteReference w:id="1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بُدَّ أن يَكونَ العملُ تابعاً له؛ فإنّه لا فَرقَ بَينَ أن يَقولَ عليه السلامُ‌</w:t>
      </w:r>
      <w:r>
        <w:rPr>
          <w:rStyle w:val="FootnoteAnchor"/>
          <w:rtl w:val="true"/>
        </w:rPr>
        <w:footnoteReference w:id="15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حَرَّمتُ عليكم كَذا و كَذا،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أخبَرَكم عَنّي</w:t>
      </w:r>
      <w:r>
        <w:rPr>
          <w:rStyle w:val="FootnoteAnchor"/>
          <w:rtl w:val="true"/>
        </w:rPr>
        <w:footnoteReference w:id="1507"/>
      </w:r>
      <w:r>
        <w:rPr>
          <w:rFonts w:ascii="Amiri" w:hAnsi="Amiri" w:eastAsia="Amiri" w:cs="Amiri"/>
          <w:color w:val="111111"/>
          <w:sz w:val="28"/>
          <w:sz w:val="28"/>
          <w:szCs w:val="28"/>
          <w:rtl w:val="true"/>
          <w:lang w:bidi="ar-SA"/>
        </w:rPr>
        <w:t>مُخبِرٌ له صِفةُ العَدالةِ بتَحريمِه فحَرِّموه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الطريقِ إلَى العِلمِ بتحريمِه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غَلَبَ في ظَنِّكم شَبَهُ‌</w:t>
      </w:r>
      <w:r>
        <w:rPr>
          <w:rStyle w:val="FootnoteAnchor"/>
          <w:rtl w:val="true"/>
        </w:rPr>
        <w:footnoteReference w:id="1508"/>
      </w:r>
      <w:r>
        <w:rPr>
          <w:rFonts w:ascii="Amiri" w:hAnsi="Amiri" w:eastAsia="Amiri" w:cs="Amiri"/>
          <w:color w:val="111111"/>
          <w:sz w:val="28"/>
          <w:sz w:val="28"/>
          <w:szCs w:val="28"/>
          <w:rtl w:val="true"/>
          <w:lang w:bidi="ar-SA"/>
        </w:rPr>
        <w:t>بعضِ الفروعِ ببعضِ الأُصولِ في صفةٍ تَقتَضي التحريمَ فحَرِّموه؛ فقد حَرَّمتُه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هذا أيضاً طريقاً إلَى العِلمِ بتحريمِه و ارتفاعِ الشكِّ و التجويزِ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مُتناوَلُ العِلمِ هاهُنا هو مُتناوَلَ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يَعتقِدُه قومٌ لا يَتأمَّلون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مُتناوَلَ الظنِّ هاهُنا هو صِدقُ الراوي إذا كانَ واحداً، و مُتناوَلَ العِلمِ هو تحريمُ الفعلِ المخصوصِ الذي تَضمَّنَه الخبرُ؛ فما</w:t>
      </w:r>
      <w:r>
        <w:rPr>
          <w:rStyle w:val="FootnoteAnchor"/>
          <w:rtl w:val="true"/>
        </w:rPr>
        <w:footnoteReference w:id="1509"/>
      </w:r>
      <w:r>
        <w:rPr>
          <w:rFonts w:ascii="Amiri" w:hAnsi="Amiri" w:eastAsia="Amiri" w:cs="Amiri"/>
          <w:color w:val="111111"/>
          <w:sz w:val="28"/>
          <w:sz w:val="28"/>
          <w:szCs w:val="28"/>
          <w:rtl w:val="true"/>
          <w:lang w:bidi="ar-SA"/>
        </w:rPr>
        <w:t>عَلِمناه</w:t>
      </w:r>
      <w:r>
        <w:rPr>
          <w:rStyle w:val="FootnoteAnchor"/>
          <w:rtl w:val="true"/>
        </w:rPr>
        <w:footnoteReference w:id="1510"/>
      </w:r>
      <w:r>
        <w:rPr>
          <w:rFonts w:ascii="Amiri" w:hAnsi="Amiri" w:eastAsia="Amiri" w:cs="Amiri"/>
          <w:color w:val="111111"/>
          <w:sz w:val="28"/>
          <w:sz w:val="28"/>
          <w:szCs w:val="28"/>
          <w:rtl w:val="true"/>
          <w:lang w:bidi="ar-SA"/>
        </w:rPr>
        <w:t>غيرُ ما ظَنَنّاه</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في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مُتناوَلُ الظنِّ شَبَهُ الفَرعِ‌</w:t>
      </w:r>
      <w:r>
        <w:rPr>
          <w:rStyle w:val="FootnoteAnchor"/>
          <w:rtl w:val="true"/>
        </w:rPr>
        <w:footnoteReference w:id="1512"/>
      </w:r>
      <w:r>
        <w:rPr>
          <w:rFonts w:ascii="Amiri" w:hAnsi="Amiri" w:eastAsia="Amiri" w:cs="Amiri"/>
          <w:color w:val="111111"/>
          <w:sz w:val="28"/>
          <w:sz w:val="28"/>
          <w:szCs w:val="28"/>
          <w:rtl w:val="true"/>
          <w:lang w:bidi="ar-SA"/>
        </w:rPr>
        <w:t>بالأصلِ في عِلّةِ التحريمِ، و مُتناوَلُ العِلمِ كَونُ الفَرعِ مُحرَّماً</w:t>
      </w:r>
      <w:r>
        <w:rPr>
          <w:rFonts w:eastAsia="Amiri" w:cs="Amiri" w:ascii="Amiri" w:hAnsi="Amiri"/>
          <w:color w:val="111111"/>
          <w:sz w:val="28"/>
          <w:szCs w:val="28"/>
          <w:rtl w:val="true"/>
          <w:lang w:bidi="ar-SA"/>
        </w:rPr>
        <w:t xml:space="preserve">. </w:t>
      </w:r>
      <w:bookmarkStart w:id="323" w:name="pg16437_172574"/>
    </w:p>
    <w:p>
      <w:pPr>
        <w:pStyle w:val="Heading5"/>
        <w:numPr>
          <w:ilvl w:val="4"/>
          <w:numId w:val="1"/>
        </w:numPr>
        <w:rPr/>
      </w:pPr>
      <w:bookmarkStart w:id="324" w:name="__RefHeading___Toc8039679_1280447820"/>
      <w:bookmarkStart w:id="325" w:name="_Toc114"/>
      <w:bookmarkEnd w:id="323"/>
      <w:bookmarkEnd w:id="324"/>
      <w:r>
        <w:rPr>
          <w:rtl w:val="true"/>
        </w:rPr>
        <w:t>الدليلُ علىٰ بُطلانِ العملِ بِهما</w:t>
      </w:r>
      <w:bookmarkEnd w:id="325"/>
    </w:p>
    <w:p>
      <w:pPr>
        <w:pStyle w:val="BookText"/>
        <w:rPr/>
      </w:pPr>
      <w:r>
        <w:rPr>
          <w:rFonts w:ascii="Amiri" w:hAnsi="Amiri" w:eastAsia="Amiri" w:cs="Amiri"/>
          <w:color w:val="111111"/>
          <w:sz w:val="28"/>
          <w:sz w:val="28"/>
          <w:szCs w:val="28"/>
          <w:rtl w:val="true"/>
          <w:lang w:bidi="ar-SA"/>
        </w:rPr>
        <w:t>و إنّما مَنَعنا مِن العملِ بالقياسِ في الشريعةِ و أخبارِ الآحادِ، مع تجويزِ العبادةِ بِهما مِن طريقِ العقولِ؛ لأنّ اللّٰهَ تَعالىٰ ما تَعبَّدَ بِهما، و لا نَصَبَ دليلاً عليهما؛ فمِن هذا الوجهِ اطَّرَحنا العملَ بهما، و نَفَينا كَونَهما طريقَينِ إلَى التحريمِ و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أَورَدنا بهذه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أصحابَنا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سَلَفَهم و خَلَفَهم، و مُتقدِّمَهم و مُتأخِّرَهم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يَمنَعونَ مِن العملِ بأخبارِ الآحادِ و مِن القياسِ في الشريعةِ، و يَعيبونَ أشَدَّ عَيبٍ الذاهبَ إليهما و المُتعلِّقَ في الشريعةِ بِهما؛ حتّىٰ صارَ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 و انتشارِه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ضَرورةً منهم، و غيرَ مشكوكٍ فيه مِن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استَقصَينا الكلامَ في القياسِ و فَرَّعناه و بَسَطناه و انتَهَينا فيه إلىٰ أبعَدِ الغاياتِ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مَسائلَ وَرَدَت مِن أهلِ المَوصِلِ</w:t>
      </w:r>
      <w:r>
        <w:rPr>
          <w:rFonts w:eastAsia="Amiri" w:cs="Amiri" w:ascii="Amiri" w:hAnsi="Amiri"/>
          <w:color w:val="111111"/>
          <w:sz w:val="28"/>
          <w:szCs w:val="28"/>
          <w:rtl w:val="true"/>
          <w:lang w:bidi="ar-SA"/>
        </w:rPr>
        <w:t>»</w:t>
      </w:r>
      <w:r>
        <w:rPr>
          <w:rStyle w:val="FootnoteAnchor"/>
          <w:rtl w:val="true"/>
        </w:rPr>
        <w:footnoteReference w:id="1513"/>
      </w:r>
      <w:r>
        <w:rPr>
          <w:rFonts w:ascii="Amiri" w:hAnsi="Amiri" w:eastAsia="Amiri" w:cs="Amiri"/>
          <w:color w:val="111111"/>
          <w:sz w:val="28"/>
          <w:sz w:val="28"/>
          <w:szCs w:val="28"/>
          <w:rtl w:val="true"/>
          <w:lang w:bidi="ar-SA"/>
        </w:rPr>
        <w:t>مُتقدِّمةٍ، أظُنُّها في سَنةِ نَيِّفٍ و ثَمانينَ و ثَلاثِمائةٍ؛ فمَن وَقَفَ عليها استَفادَ منها جميعَ ما يَحتاجُ إليه في هذا البابِ</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8039681_1280447820"/>
      <w:bookmarkStart w:id="327" w:name="_Toc115"/>
      <w:bookmarkEnd w:id="326"/>
      <w:r>
        <w:rPr>
          <w:rtl w:val="true"/>
        </w:rPr>
        <w:t>بيان الطريق إلى العلم بالأحكام الشرعيّة</w:t>
      </w:r>
      <w:bookmarkEnd w:id="327"/>
    </w:p>
    <w:p>
      <w:pPr>
        <w:pStyle w:val="BookText"/>
        <w:rPr/>
      </w:pPr>
      <w:r>
        <w:rPr>
          <w:rFonts w:ascii="Amiri" w:hAnsi="Amiri" w:eastAsia="Amiri" w:cs="Amiri"/>
          <w:color w:val="111111"/>
          <w:sz w:val="28"/>
          <w:sz w:val="28"/>
          <w:szCs w:val="28"/>
          <w:rtl w:val="true"/>
          <w:lang w:bidi="ar-SA"/>
        </w:rPr>
        <w:t xml:space="preserve">و إذا صَحَّ ما ذَكَرناه، فلا بُدَّ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نُثبِتُه مِن الأحكامِ، فيما نَذهبُ إليه مِن ضُروبِ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توجِبُ العِلمَ و تَقتَضي اليَقينَ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طُرُقُ العِلمِ في الشرعيّاتِ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قَطَعَ الدليلُ علىٰ صِحّتِها، و أَمَّنَ العقلُ مِن وقوعِها علىٰ شَيءٍ مِن جِهاتِ القُبحِ كُلِّها؛ كقَولِ اللّٰهِ‌</w:t>
      </w:r>
      <w:r>
        <w:rPr>
          <w:rStyle w:val="FootnoteAnchor"/>
          <w:rtl w:val="true"/>
        </w:rPr>
        <w:footnoteReference w:id="1514"/>
      </w:r>
      <w:r>
        <w:rPr>
          <w:rFonts w:ascii="Amiri" w:hAnsi="Amiri" w:eastAsia="Amiri" w:cs="Amiri"/>
          <w:color w:val="111111"/>
          <w:sz w:val="28"/>
          <w:sz w:val="28"/>
          <w:szCs w:val="28"/>
          <w:rtl w:val="true"/>
          <w:lang w:bidi="ar-SA"/>
        </w:rPr>
        <w:t xml:space="preserve">تَعالىٰ، و كقَولِ رسولِه </w:t>
      </w:r>
      <w:bookmarkStart w:id="328" w:name="pg16437_172575"/>
    </w:p>
    <w:p>
      <w:pPr>
        <w:pStyle w:val="BookText"/>
        <w:rPr/>
      </w:pPr>
      <w:bookmarkEnd w:id="328"/>
      <w:r>
        <w:rPr>
          <w:rFonts w:ascii="Amiri" w:hAnsi="Amiri" w:eastAsia="Amiri" w:cs="Amiri"/>
          <w:color w:val="111111"/>
          <w:sz w:val="28"/>
          <w:sz w:val="28"/>
          <w:szCs w:val="28"/>
          <w:rtl w:val="true"/>
          <w:lang w:bidi="ar-SA"/>
        </w:rPr>
        <w:t>صَلَّى اللّٰهُ عليه و آلِه، و الأئمّةِ الذينَ يَجرونَ في العصمةِ‌</w:t>
      </w:r>
      <w:r>
        <w:rPr>
          <w:rStyle w:val="FootnoteAnchor"/>
          <w:rtl w:val="true"/>
        </w:rPr>
        <w:footnoteReference w:id="1515"/>
      </w:r>
      <w:r>
        <w:rPr>
          <w:rFonts w:ascii="Amiri" w:hAnsi="Amiri" w:eastAsia="Amiri" w:cs="Amiri"/>
          <w:color w:val="111111"/>
          <w:sz w:val="28"/>
          <w:sz w:val="28"/>
          <w:szCs w:val="28"/>
          <w:rtl w:val="true"/>
          <w:lang w:bidi="ar-SA"/>
        </w:rPr>
        <w:t>مَجراه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لنا مِن طريقٍ إلىٰ إضافةِ الخِطابِ إلَى اللّٰهِ تَعالىٰ إذا كانَ خِطاباً له، و كذلكَ في إضافتِه إلَى الرسولِ أو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سَلَكَ قومٌ في إضافةِ خِطابِه إليه</w:t>
      </w:r>
      <w:r>
        <w:rPr>
          <w:rStyle w:val="FootnoteAnchor"/>
          <w:rtl w:val="true"/>
        </w:rPr>
        <w:footnoteReference w:id="1516"/>
      </w:r>
      <w:r>
        <w:rPr>
          <w:rFonts w:ascii="Amiri" w:hAnsi="Amiri" w:eastAsia="Amiri" w:cs="Amiri"/>
          <w:color w:val="111111"/>
          <w:sz w:val="28"/>
          <w:sz w:val="28"/>
          <w:szCs w:val="28"/>
          <w:rtl w:val="true"/>
          <w:lang w:bidi="ar-SA"/>
        </w:rPr>
        <w:t>طُرُقاً غيرَ مَرضيّةٍ</w:t>
      </w:r>
      <w:r>
        <w:rPr>
          <w:rFonts w:eastAsia="Amiri" w:cs="Amiri" w:ascii="Amiri" w:hAnsi="Amiri"/>
          <w:color w:val="111111"/>
          <w:sz w:val="28"/>
          <w:szCs w:val="28"/>
          <w:rtl w:val="true"/>
          <w:lang w:bidi="ar-SA"/>
        </w:rPr>
        <w:t>.</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فأصَحُّها و أبعَدُها مِن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الرسولُ صَلَّى اللّٰهُ عليه و آلِه المؤَيَّدُ بالمُعجِزاتِ في بعضِ الكلامِ أنّه كلامُ اللّٰهِ تَعالىٰ، فيُعلَمَ بشَهادتِه أنّه كلامُه؛ كما فَعَلَ نَبيُّنا صَلَّى اللّٰهُ عليه و آلِه في القُرآنِ، فَعلِمنا بإضافتِه إلىٰ ربِّه أنّه كلامُه، فصارَ جميعُ القُرآنِ دالاًّ علَى الأحكامِ و طريقاً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الطريقُ إلىٰ مَعرفةِ كَونِ الخِطابِ مُضافاً إلَى الرسولِ صَلَّى اللّٰهُ عليه و آلِه و الأئمّةِ عليهمُ السلامُ، فهو المُشافَهةُ و</w:t>
      </w:r>
      <w:r>
        <w:rPr>
          <w:rStyle w:val="FootnoteAnchor"/>
          <w:rtl w:val="true"/>
        </w:rPr>
        <w:footnoteReference w:id="1518"/>
      </w:r>
      <w:r>
        <w:rPr>
          <w:rFonts w:ascii="Amiri" w:hAnsi="Amiri" w:eastAsia="Amiri" w:cs="Amiri"/>
          <w:color w:val="111111"/>
          <w:sz w:val="28"/>
          <w:sz w:val="28"/>
          <w:szCs w:val="28"/>
          <w:rtl w:val="true"/>
          <w:lang w:bidi="ar-SA"/>
        </w:rPr>
        <w:t>المُشاهَدةُ لِمَن حاضَرَهم و عاصَرَهم؛ فأمّا مَن نأىٰ عنهم أو وُجِدَ بَعدَهم، فمِن الخبرِ</w:t>
      </w:r>
      <w:r>
        <w:rPr>
          <w:rStyle w:val="FootnoteAnchor"/>
          <w:rtl w:val="true"/>
        </w:rPr>
        <w:footnoteReference w:id="1519"/>
      </w:r>
      <w:r>
        <w:rPr>
          <w:rFonts w:ascii="Amiri" w:hAnsi="Amiri" w:eastAsia="Amiri" w:cs="Amiri"/>
          <w:color w:val="111111"/>
          <w:sz w:val="28"/>
          <w:sz w:val="28"/>
          <w:szCs w:val="28"/>
          <w:rtl w:val="true"/>
          <w:lang w:bidi="ar-SA"/>
        </w:rPr>
        <w:t>المُتَواتِرِ؛ المُفضي إلَى العِلمِ، المُزيلِ للشكِّ و الريبِ</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8039683_1280447820"/>
      <w:bookmarkStart w:id="330" w:name="_Toc116"/>
      <w:bookmarkEnd w:id="329"/>
      <w:r>
        <w:rPr>
          <w:rtl w:val="true"/>
        </w:rPr>
        <w:t>إثباتُ حُجّيّةِ الإجماعِ في الأحكامِ الشرعيّةِ‌</w:t>
      </w:r>
      <w:bookmarkEnd w:id="33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هاهُنا طريقٌ آخَرُ يُتوصَّلُ به إلَى الحَقِّ‌</w:t>
      </w:r>
      <w:r>
        <w:rPr>
          <w:rStyle w:val="FootnoteAnchor"/>
          <w:rtl w:val="true"/>
        </w:rPr>
        <w:footnoteReference w:id="1520"/>
      </w:r>
      <w:r>
        <w:rPr>
          <w:rFonts w:ascii="Amiri" w:hAnsi="Amiri" w:eastAsia="Amiri" w:cs="Amiri"/>
          <w:color w:val="111111"/>
          <w:sz w:val="28"/>
          <w:sz w:val="28"/>
          <w:szCs w:val="28"/>
          <w:rtl w:val="true"/>
          <w:lang w:bidi="ar-SA"/>
        </w:rPr>
        <w:t xml:space="preserve">و الصحيحِ مِن الأحكامِ الشرعيّةِ عندَ فَقدِ ظهورِ الإمامِ و تَميُّزِ شخصِه، و هو إجماعُ الفِرقةِ المُحِقّةِ مِن الإماميّةِ التي قد عَلِمنا </w:t>
      </w:r>
      <w:bookmarkStart w:id="331" w:name="pg16437_172576"/>
    </w:p>
    <w:p>
      <w:pPr>
        <w:pStyle w:val="BookText"/>
        <w:rPr/>
      </w:pPr>
      <w:bookmarkEnd w:id="331"/>
      <w:r>
        <w:rPr>
          <w:rFonts w:ascii="Amiri" w:hAnsi="Amiri" w:eastAsia="Amiri" w:cs="Amiri"/>
          <w:color w:val="111111"/>
          <w:sz w:val="28"/>
          <w:sz w:val="28"/>
          <w:szCs w:val="28"/>
          <w:rtl w:val="true"/>
          <w:lang w:bidi="ar-SA"/>
        </w:rPr>
        <w:t xml:space="preserve">أنّ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غيرَ مُتميِّزِ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أقوالِها و غيرُ خارجٍ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أطبَقوا علىٰ مَذهبٍ مِن المَذاهبِ، عَلِمنا أنّه هو الحَقُّ الواضحُ و الحُجّةُ القاطعةُ؛ لأنّ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أقوالِها، فكانَ الإمامُ قائلَه و مُنفَرِداً</w:t>
      </w:r>
      <w:r>
        <w:rPr>
          <w:rStyle w:val="FootnoteAnchor"/>
          <w:rtl w:val="true"/>
        </w:rPr>
        <w:footnoteReference w:id="1521"/>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معلومٌ أنّ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مُتميِّزِ</w:t>
      </w:r>
      <w:r>
        <w:rPr>
          <w:rStyle w:val="FootnoteAnchor"/>
          <w:rtl w:val="true"/>
        </w:rPr>
        <w:footnoteReference w:id="1522"/>
      </w:r>
      <w:r>
        <w:rPr>
          <w:rFonts w:ascii="Amiri" w:hAnsi="Amiri" w:eastAsia="Amiri" w:cs="Amiri"/>
          <w:color w:val="111111"/>
          <w:sz w:val="28"/>
          <w:sz w:val="28"/>
          <w:szCs w:val="28"/>
          <w:rtl w:val="true"/>
          <w:lang w:bidi="ar-SA"/>
        </w:rPr>
        <w:t xml:space="preserve">العَينِ و لا معروفِ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أقوالِ الإماميّةِ؛ لأنّا إذا كُنّا نَقطَعُ علىٰ وجودِ الإمامِ في زَمانِ الغَيبةِ بَينَ أظهُرِنا، و لا نَرتابُ بذلكَ، و نَقطَعُ أيضاً علىٰ أنّ الحَقَّ في الأُصولِ كُلِّها مع الإماميّةِ دونَ مُخالِفيها، و كانَ الإمامُ لا بُدَّ أن يَكونَ مُحِقّاً في جميعِ الأُصولِ؛ وَجَبَ أن يَكونَ الإمامُ علىٰ مَذاهبِ الإماميّةِ في جميعِ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عَرَفنا إجماعَ الإماميّةِ‌</w:t>
      </w:r>
      <w:r>
        <w:rPr>
          <w:rStyle w:val="FootnoteAnchor"/>
          <w:rtl w:val="true"/>
        </w:rPr>
        <w:footnoteReference w:id="1523"/>
      </w:r>
      <w:r>
        <w:rPr>
          <w:rFonts w:ascii="Amiri" w:hAnsi="Amiri" w:eastAsia="Amiri" w:cs="Amiri"/>
          <w:color w:val="111111"/>
          <w:sz w:val="28"/>
          <w:sz w:val="28"/>
          <w:szCs w:val="28"/>
          <w:rtl w:val="true"/>
          <w:lang w:bidi="ar-SA"/>
        </w:rPr>
        <w:t>جَميعِها علىٰ مَذهبٍ مِن المَذاهبِ في فُروعِ الشريعةِ، فلا بُدَّ مِن</w:t>
      </w:r>
      <w:r>
        <w:rPr>
          <w:rStyle w:val="FootnoteAnchor"/>
          <w:rtl w:val="true"/>
        </w:rPr>
        <w:footnoteReference w:id="1524"/>
      </w:r>
      <w:r>
        <w:rPr>
          <w:rFonts w:ascii="Amiri" w:hAnsi="Amiri" w:eastAsia="Amiri" w:cs="Amiri"/>
          <w:color w:val="111111"/>
          <w:sz w:val="28"/>
          <w:sz w:val="28"/>
          <w:szCs w:val="28"/>
          <w:rtl w:val="true"/>
          <w:lang w:bidi="ar-SA"/>
        </w:rPr>
        <w:t xml:space="preserve">أن يَكونَ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سَيِّدُ الإماميّةِ و أعلَمُها و أفقَهُها</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يَجوزُ فيما أجمَعَت عليه الإماميّةُ أن يَكونَ بعضُ علماءِ الإماميّةِ غيرَ قائلٍ به و لا ذاهبٍ إليه، فكذلكَ لا يَجوزُ مِثلُه في الإمامِ</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8039685_1280447820"/>
      <w:bookmarkStart w:id="333" w:name="_Toc117"/>
      <w:bookmarkEnd w:id="332"/>
      <w:r>
        <w:rPr>
          <w:rtl w:val="true"/>
        </w:rPr>
        <w:t>كَيفيّةُ تحصيلِ إجماعِ الطائفةِ‌</w:t>
      </w:r>
      <w:bookmarkEnd w:id="33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جَحدٌ</w:t>
      </w:r>
      <w:r>
        <w:rPr>
          <w:rStyle w:val="FootnoteAnchor"/>
          <w:rtl w:val="true"/>
        </w:rPr>
        <w:footnoteReference w:id="1526"/>
      </w:r>
      <w:r>
        <w:rPr>
          <w:rFonts w:ascii="Amiri" w:hAnsi="Amiri" w:eastAsia="Amiri" w:cs="Amiri"/>
          <w:color w:val="111111"/>
          <w:sz w:val="28"/>
          <w:sz w:val="28"/>
          <w:szCs w:val="28"/>
          <w:rtl w:val="true"/>
          <w:lang w:bidi="ar-SA"/>
        </w:rPr>
        <w:t xml:space="preserve">عظيمٌ منكم، يَقتَضي أنّكم قد عَرَفتم كُلَّ مُحِقٍّ في بَرٍّ </w:t>
      </w:r>
    </w:p>
    <w:p>
      <w:pPr>
        <w:pStyle w:val="BookText"/>
        <w:rPr/>
      </w:pPr>
      <w:r>
        <w:rPr>
          <w:rFonts w:ascii="Amiri" w:hAnsi="Amiri" w:eastAsia="Amiri" w:cs="Amiri"/>
          <w:color w:val="111111"/>
          <w:sz w:val="28"/>
          <w:sz w:val="28"/>
          <w:szCs w:val="28"/>
          <w:rtl w:val="true"/>
          <w:lang w:bidi="ar-SA"/>
        </w:rPr>
        <w:t>و بَحرٍ و سَهلٍ و جَبَلٍ، حتّىٰ مَيَّزتم أقوالَهم و مَذاهِبَهم</w:t>
      </w:r>
      <w:r>
        <w:rPr>
          <w:rStyle w:val="FootnoteAnchor"/>
          <w:rtl w:val="true"/>
        </w:rPr>
        <w:footnoteReference w:id="1527"/>
      </w:r>
      <w:r>
        <w:rPr>
          <w:rFonts w:ascii="Amiri" w:hAnsi="Amiri" w:eastAsia="Amiri" w:cs="Amiri"/>
          <w:color w:val="111111"/>
          <w:sz w:val="28"/>
          <w:sz w:val="28"/>
          <w:szCs w:val="28"/>
          <w:rtl w:val="true"/>
          <w:lang w:bidi="ar-SA"/>
        </w:rPr>
        <w:t>إمّا بأن لقَيتموهم، أو بأن تواتَرَت عنهم</w:t>
      </w:r>
      <w:r>
        <w:rPr>
          <w:rStyle w:val="FootnoteAnchor"/>
          <w:rtl w:val="true"/>
        </w:rPr>
        <w:footnoteReference w:id="1528"/>
      </w:r>
      <w:r>
        <w:rPr>
          <w:rFonts w:ascii="Amiri" w:hAnsi="Amiri" w:eastAsia="Amiri" w:cs="Amiri"/>
          <w:color w:val="111111"/>
          <w:sz w:val="28"/>
          <w:sz w:val="28"/>
          <w:szCs w:val="28"/>
          <w:rtl w:val="true"/>
          <w:lang w:bidi="ar-SA"/>
        </w:rPr>
        <w:t>إليكم الأخبارُ بمَذاهبِهم</w:t>
      </w:r>
      <w:r>
        <w:rPr>
          <w:rStyle w:val="FootnoteAnchor"/>
          <w:rtl w:val="true"/>
        </w:rPr>
        <w:footnoteReference w:id="1529"/>
      </w:r>
      <w:r>
        <w:rPr>
          <w:rFonts w:ascii="Amiri" w:hAnsi="Amiri" w:eastAsia="Amiri" w:cs="Amiri"/>
          <w:color w:val="111111"/>
          <w:sz w:val="28"/>
          <w:sz w:val="28"/>
          <w:szCs w:val="28"/>
          <w:rtl w:val="true"/>
          <w:lang w:bidi="ar-SA"/>
        </w:rPr>
        <w:t>و معلومٌ بُعدُ هذه الدعوىٰ عن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أجَبنا عن هذه المسألةِ بما فَرَّعناه</w:t>
      </w:r>
      <w:r>
        <w:rPr>
          <w:rStyle w:val="FootnoteAnchor"/>
          <w:rtl w:val="true"/>
        </w:rPr>
        <w:footnoteReference w:id="1530"/>
      </w:r>
      <w:r>
        <w:rPr>
          <w:rFonts w:ascii="Amiri" w:hAnsi="Amiri" w:eastAsia="Amiri" w:cs="Amiri"/>
          <w:color w:val="111111"/>
          <w:sz w:val="28"/>
          <w:sz w:val="28"/>
          <w:szCs w:val="28"/>
          <w:rtl w:val="true"/>
          <w:lang w:bidi="ar-SA"/>
        </w:rPr>
        <w:t>و استَوفَيناه و جَعَلناه كالشمسِ الطالعةِ في الوضوحِ و الجَلاءِ في مَسائلَ سَألَنا عنها أبو عَبدِ اللّٰهِ مُحمّدُ بنُ عَبدِ المَلِكِ التَّبّانُ‌</w:t>
      </w: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أخبارِ الآحادِ و طريقِ العِلمِ بالآحادِ، أجهَدَ فيها نفسَه، و أتعَبَ‌</w:t>
      </w:r>
      <w:r>
        <w:rPr>
          <w:rStyle w:val="FootnoteAnchor"/>
          <w:rtl w:val="true"/>
        </w:rPr>
        <w:footnoteReference w:id="1532"/>
      </w:r>
      <w:r>
        <w:rPr>
          <w:rFonts w:ascii="Amiri" w:hAnsi="Amiri" w:eastAsia="Amiri" w:cs="Amiri"/>
          <w:color w:val="111111"/>
          <w:sz w:val="28"/>
          <w:sz w:val="28"/>
          <w:szCs w:val="28"/>
          <w:rtl w:val="true"/>
          <w:lang w:bidi="ar-SA"/>
        </w:rPr>
        <w:t>بها عُمُرَه، و ما قَصَّرَ فيما أَورَدَه مِن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عن هذه المَسائلِ موجودٌ في يَدِ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يُقارِبُ مِائةَ وَرَقةٍ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اطُّلِعَ عليه عُرِفَ منه الطريقُ الصحيحُ إلَى العِلمِ بأحكامِ الشريعةِ علىٰ مَذاهبِ أصحابِنا، مع نَفيِهم القياسَ و العملَ بأخبارِ الآحادِ، و وُجِدَ في جوابِ 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تقريرِ المَذهبِ و تأسيسِه</w:t>
      </w:r>
      <w:r>
        <w:rPr>
          <w:rStyle w:val="FootnoteAnchor"/>
          <w:rtl w:val="true"/>
        </w:rPr>
        <w:footnoteReference w:id="1533"/>
      </w:r>
      <w:r>
        <w:rPr>
          <w:rFonts w:ascii="Amiri" w:hAnsi="Amiri" w:eastAsia="Amiri" w:cs="Amiri"/>
          <w:color w:val="111111"/>
          <w:sz w:val="28"/>
          <w:sz w:val="28"/>
          <w:szCs w:val="28"/>
          <w:rtl w:val="true"/>
          <w:lang w:bidi="ar-SA"/>
        </w:rPr>
        <w:t xml:space="preserve">، و الجَمعِ بَينَ أُصولِه و 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يوجَدُ في شَيءٍ مِن الكُتُبِ المُصنَّفةِ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نُخلي</w:t>
      </w:r>
      <w:r>
        <w:rPr>
          <w:rStyle w:val="FootnoteAnchor"/>
          <w:rtl w:val="true"/>
        </w:rPr>
        <w:footnoteReference w:id="1534"/>
      </w:r>
      <w:r>
        <w:rPr>
          <w:rFonts w:ascii="Amiri" w:hAnsi="Amiri" w:eastAsia="Amiri" w:cs="Amiri"/>
          <w:color w:val="111111"/>
          <w:sz w:val="28"/>
          <w:sz w:val="28"/>
          <w:szCs w:val="28"/>
          <w:rtl w:val="true"/>
          <w:lang w:bidi="ar-SA"/>
        </w:rPr>
        <w:t>السؤالَ الذي ذَكَرَه</w:t>
      </w:r>
      <w:r>
        <w:rPr>
          <w:rStyle w:val="FootnoteAnchor"/>
          <w:rtl w:val="true"/>
        </w:rPr>
        <w:footnoteReference w:id="1535"/>
      </w:r>
      <w:r>
        <w:rPr>
          <w:rFonts w:ascii="Amiri" w:hAnsi="Amiri" w:eastAsia="Amiri" w:cs="Amiri"/>
          <w:color w:val="111111"/>
          <w:sz w:val="28"/>
          <w:sz w:val="28"/>
          <w:szCs w:val="28"/>
          <w:rtl w:val="true"/>
          <w:lang w:bidi="ar-SA"/>
        </w:rPr>
        <w:t>مِن جوابٍ علىٰ كُلِّ حالٍ،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الطريقةُ المذكورةُ في السؤالِ هي طريقةُ مَن نَفىٰ إجماعَ الأُمّةِ، و ادَّعىٰ أنّه لا سَبيلَ إلَى العِلمِ بإجماعِها علىٰ قولٍ مِن الأقوالِ، مع تَباعُدِ الديارِ و تَفرُّقِ الأوطانِ و فَقدِ المَعرفةِ بكُلِّ واحدٍ منهم علَى التعيينِ و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طُولِ المُجالَسةِ و المُخالَطةِ، و امتدادِ العُصُرِ، و استمرارِ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تَقرُّرَ</w:t>
      </w:r>
      <w:r>
        <w:rPr>
          <w:rStyle w:val="FootnoteAnchor"/>
          <w:rtl w:val="true"/>
        </w:rPr>
        <w:footnoteReference w:id="1536"/>
      </w:r>
      <w:r>
        <w:rPr>
          <w:rFonts w:ascii="Amiri" w:hAnsi="Amiri" w:eastAsia="Amiri" w:cs="Amiri"/>
          <w:color w:val="111111"/>
          <w:sz w:val="28"/>
          <w:sz w:val="28"/>
          <w:szCs w:val="28"/>
          <w:rtl w:val="true"/>
          <w:lang w:bidi="ar-SA"/>
        </w:rPr>
        <w:t>مَذاهبِ المُسلِمينَ و حَصرَ أقاويلِهم، و فَرَّقنا بَينَ ما يَختَلِفونَ فيه و يَجتَمِعونَ عليه؛ و مَن شكَّكَنا في ذلكَ كَمَن شَكَّكَنا في البُلدانِ و الأمصارِ و الأحداثِ العظيمةِ، التي يَقَعُ بها العِلمُ و يَزولُ الريبُ فيها بالأخبارِ المُتَواتِرةِ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 عاقلٍ يَشُكُّ في أنّ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 و بَحرٍ، و سَهلٍ و جَبَلٍ، و قُربٍ 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يَذهبونَ‌</w:t>
      </w:r>
      <w:r>
        <w:rPr>
          <w:rStyle w:val="FootnoteAnchor"/>
          <w:rtl w:val="true"/>
        </w:rPr>
        <w:footnoteReference w:id="1537"/>
      </w:r>
      <w:r>
        <w:rPr>
          <w:rFonts w:ascii="Amiri" w:hAnsi="Amiri" w:eastAsia="Amiri" w:cs="Amiri"/>
          <w:color w:val="111111"/>
          <w:sz w:val="28"/>
          <w:sz w:val="28"/>
          <w:szCs w:val="28"/>
          <w:rtl w:val="true"/>
          <w:lang w:bidi="ar-SA"/>
        </w:rPr>
        <w:t>إلىٰ تحريمِ الزنا و الخَمرِ، و أنّ أحَداً منهم لَم يَذهَبْ في الجَدِّ و الأخِ إذا انفَرَدا</w:t>
      </w:r>
      <w:r>
        <w:rPr>
          <w:rStyle w:val="FootnoteAnchor"/>
          <w:rtl w:val="true"/>
        </w:rPr>
        <w:footnoteReference w:id="1538"/>
      </w:r>
      <w:r>
        <w:rPr>
          <w:rFonts w:ascii="Amiri" w:hAnsi="Amiri" w:eastAsia="Amiri" w:cs="Amiri"/>
          <w:color w:val="111111"/>
          <w:sz w:val="28"/>
          <w:sz w:val="28"/>
          <w:szCs w:val="28"/>
          <w:rtl w:val="true"/>
          <w:lang w:bidi="ar-SA"/>
        </w:rPr>
        <w:t xml:space="preserve">بالميراثِ إلىٰ أنّ المالَ للأخِ دونَ الجَدِّ، و أنّهم لا يَختَلِفونَ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هذه المَسألةِ خِلافٌ قَديمٌ بَينَ الأنصارِ </w:t>
      </w:r>
      <w:r>
        <w:rPr>
          <w:rFonts w:eastAsia="Amiri" w:cs="Amiri" w:ascii="Amiri" w:hAnsi="Amiri"/>
          <w:color w:val="111111"/>
          <w:sz w:val="28"/>
          <w:szCs w:val="28"/>
          <w:rtl w:val="true"/>
          <w:lang w:bidi="ar-SA"/>
        </w:rPr>
        <w:t>-</w:t>
      </w:r>
      <w:r>
        <w:rPr>
          <w:rStyle w:val="FootnoteAnchor"/>
          <w:rtl w:val="true"/>
        </w:rPr>
        <w:footnoteReference w:id="1539"/>
      </w:r>
      <w:r>
        <w:rPr>
          <w:rFonts w:ascii="Amiri" w:hAnsi="Amiri" w:eastAsia="Amiri" w:cs="Amiri"/>
          <w:color w:val="111111"/>
          <w:sz w:val="28"/>
          <w:sz w:val="28"/>
          <w:szCs w:val="28"/>
          <w:rtl w:val="true"/>
          <w:lang w:bidi="ar-SA"/>
        </w:rPr>
        <w:t>في أنّ التقاءَ الخِتانَينِ يوجِبُ‌</w:t>
      </w:r>
      <w:r>
        <w:rPr>
          <w:rStyle w:val="FootnoteAnchor"/>
          <w:rtl w:val="true"/>
        </w:rPr>
        <w:footnoteReference w:id="1540"/>
      </w:r>
      <w:r>
        <w:rPr>
          <w:rFonts w:ascii="Amiri" w:hAnsi="Amiri" w:eastAsia="Amiri" w:cs="Amiri"/>
          <w:color w:val="111111"/>
          <w:sz w:val="28"/>
          <w:sz w:val="28"/>
          <w:szCs w:val="28"/>
          <w:rtl w:val="true"/>
          <w:lang w:bidi="ar-SA"/>
        </w:rPr>
        <w:t xml:space="preserve">الغُسلَ؟ </w:t>
      </w:r>
    </w:p>
    <w:p>
      <w:pPr>
        <w:pStyle w:val="BookText"/>
        <w:rPr/>
      </w:pPr>
      <w:r>
        <w:rPr>
          <w:rFonts w:ascii="Amiri" w:hAnsi="Amiri" w:eastAsia="Amiri" w:cs="Amiri"/>
          <w:color w:val="111111"/>
          <w:sz w:val="28"/>
          <w:sz w:val="28"/>
          <w:szCs w:val="28"/>
          <w:rtl w:val="true"/>
          <w:lang w:bidi="ar-SA"/>
        </w:rPr>
        <w:t>و لَو شكَّكَنا في هذا مُشكِّكٌ،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w:t>
      </w:r>
      <w:r>
        <w:rPr>
          <w:rStyle w:val="FootnoteAnchor"/>
          <w:rtl w:val="true"/>
        </w:rPr>
        <w:footnoteReference w:id="1541"/>
      </w:r>
      <w:r>
        <w:rPr>
          <w:rFonts w:ascii="Amiri" w:hAnsi="Amiri" w:eastAsia="Amiri" w:cs="Amiri"/>
          <w:color w:val="111111"/>
          <w:sz w:val="28"/>
          <w:sz w:val="28"/>
          <w:szCs w:val="28"/>
          <w:rtl w:val="true"/>
          <w:lang w:bidi="ar-SA"/>
        </w:rPr>
        <w:t xml:space="preserve">في فقهاءِ الأُمّةِ و علمائها مَن يَذهبُ إلىٰ مَذهبِ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لَعنَّفناه و بَكَّتناه</w:t>
      </w:r>
      <w:r>
        <w:rPr>
          <w:rStyle w:val="FootnoteAnchor"/>
          <w:rtl w:val="true"/>
        </w:rPr>
        <w:footnoteReference w:id="1542"/>
      </w:r>
      <w:r>
        <w:rPr>
          <w:rFonts w:ascii="Amiri" w:hAnsi="Amiri" w:eastAsia="Amiri" w:cs="Amiri"/>
          <w:color w:val="111111"/>
          <w:sz w:val="28"/>
          <w:sz w:val="28"/>
          <w:szCs w:val="28"/>
          <w:rtl w:val="true"/>
          <w:lang w:bidi="ar-SA"/>
        </w:rPr>
        <w:t>، و إن كُنّا لا نَعرِفُ فقهاءَ الأُمّةِ و علماءَها في الأمصارِ علىٰ سَبيلِ‌</w:t>
      </w:r>
      <w:r>
        <w:rPr>
          <w:rStyle w:val="FootnoteAnchor"/>
          <w:rtl w:val="true"/>
        </w:rPr>
        <w:footnoteReference w:id="1543"/>
      </w:r>
      <w:r>
        <w:rPr>
          <w:rFonts w:ascii="Amiri" w:hAnsi="Amiri" w:eastAsia="Amiri" w:cs="Amiri"/>
          <w:color w:val="111111"/>
          <w:sz w:val="28"/>
          <w:sz w:val="28"/>
          <w:szCs w:val="28"/>
          <w:rtl w:val="true"/>
          <w:lang w:bidi="ar-SA"/>
        </w:rPr>
        <w:t>التعيينِ و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مَذاهِبَ الأمّةِ بأجمَعِها محصورةٌ معلومةٌ، فكذلكَ مَذاهِبُ كُلِّ فِرقةٍ مِن فقهائها و طائفةٍ مِن</w:t>
      </w:r>
      <w:r>
        <w:rPr>
          <w:rStyle w:val="FootnoteAnchor"/>
          <w:rtl w:val="true"/>
        </w:rPr>
        <w:footnoteReference w:id="1544"/>
      </w:r>
      <w:r>
        <w:rPr>
          <w:rFonts w:ascii="Amiri" w:hAnsi="Amiri" w:eastAsia="Amiri" w:cs="Amiri"/>
          <w:color w:val="111111"/>
          <w:sz w:val="28"/>
          <w:sz w:val="28"/>
          <w:szCs w:val="28"/>
          <w:rtl w:val="true"/>
          <w:lang w:bidi="ar-SA"/>
        </w:rPr>
        <w:t>علمائها؛ فإنّ مَذاهِبَ أبي حَنيفةَ محصورةٌ بالرواياتِ المُختَلِفةِ عنه مضبوطةٌ، و كذلكَ مَذاهِبُ الشافعيِّ، و إن كانَت له أقوالٌ مُختَلِفةٌ في بعضِ المَسائلِ؛ فقَد فَرَّقَ أصحابُه و العارفونَ بمَذهبِه بَينَ المَذاهبِ‌</w:t>
      </w:r>
      <w:r>
        <w:rPr>
          <w:rStyle w:val="FootnoteAnchor"/>
          <w:rtl w:val="true"/>
        </w:rPr>
        <w:footnoteReference w:id="1545"/>
      </w:r>
      <w:r>
        <w:rPr>
          <w:rFonts w:ascii="Amiri" w:hAnsi="Amiri" w:eastAsia="Amiri" w:cs="Amiri"/>
          <w:color w:val="111111"/>
          <w:sz w:val="28"/>
          <w:sz w:val="28"/>
          <w:szCs w:val="28"/>
          <w:rtl w:val="true"/>
          <w:lang w:bidi="ar-SA"/>
        </w:rPr>
        <w:t>التي له فيها</w:t>
      </w:r>
      <w:r>
        <w:rPr>
          <w:rStyle w:val="FootnoteAnchor"/>
          <w:rtl w:val="true"/>
        </w:rPr>
        <w:footnoteReference w:id="1546"/>
      </w:r>
      <w:r>
        <w:rPr>
          <w:rFonts w:ascii="Amiri" w:hAnsi="Amiri" w:eastAsia="Amiri" w:cs="Amiri"/>
          <w:color w:val="111111"/>
          <w:sz w:val="28"/>
          <w:sz w:val="28"/>
          <w:szCs w:val="28"/>
          <w:rtl w:val="true"/>
          <w:lang w:bidi="ar-SA"/>
        </w:rPr>
        <w:t>أقوالٌ، و بَينَ ما لَيسَ له فيه إلّاقولٌ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قائلاً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لا تَعرِفونَ أصحابَ أبي حَنيفةَ في البَرِّ و البَحرِ، و السَّهلِ‌</w:t>
      </w:r>
      <w:r>
        <w:rPr>
          <w:rStyle w:val="FootnoteAnchor"/>
          <w:rtl w:val="true"/>
        </w:rPr>
        <w:footnoteReference w:id="1547"/>
      </w:r>
      <w:r>
        <w:rPr>
          <w:rFonts w:ascii="Amiri" w:hAnsi="Amiri" w:eastAsia="Amiri" w:cs="Amiri"/>
          <w:color w:val="111111"/>
          <w:sz w:val="28"/>
          <w:sz w:val="28"/>
          <w:szCs w:val="28"/>
          <w:rtl w:val="true"/>
          <w:lang w:bidi="ar-SA"/>
        </w:rPr>
        <w:t>و الجَبَلِ، و السَّهلِ‌</w:t>
      </w:r>
      <w:r>
        <w:rPr>
          <w:rStyle w:val="FootnoteAnchor"/>
          <w:rtl w:val="true"/>
        </w:rPr>
        <w:footnoteReference w:id="1548"/>
      </w:r>
      <w:r>
        <w:rPr>
          <w:rFonts w:ascii="Amiri" w:hAnsi="Amiri" w:eastAsia="Amiri" w:cs="Amiri"/>
          <w:color w:val="111111"/>
          <w:sz w:val="28"/>
          <w:sz w:val="28"/>
          <w:szCs w:val="28"/>
          <w:rtl w:val="true"/>
          <w:lang w:bidi="ar-SA"/>
        </w:rPr>
        <w:t xml:space="preserve">و الوَعرِ، فلَعلَّ فيهم مَن يَذهبُ إلىٰ ما يُخالِفُ مَن اجتَمَعَ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Style w:val="FootnoteAnchor"/>
          <w:rtl w:val="true"/>
        </w:rPr>
        <w:footnoteReference w:id="1549"/>
      </w:r>
      <w:r>
        <w:rPr>
          <w:rFonts w:ascii="Amiri" w:hAnsi="Amiri" w:eastAsia="Amiri" w:cs="Amiri"/>
          <w:color w:val="111111"/>
          <w:sz w:val="28"/>
          <w:sz w:val="28"/>
          <w:szCs w:val="28"/>
          <w:rtl w:val="true"/>
          <w:lang w:bidi="ar-SA"/>
        </w:rPr>
        <w:t>، و كذلكَ لَو قالَ في مَذاهبِ الشافعيِّ، لَكُنّا لا نَلتَفِتُ إلىٰ قولِه، و نَقولُ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عَلِمنا ضرورةً خِلافَ ما تَذكُرونَه، و قَطَعنا علىٰ أنّ أحَداً مِن علماءِ أصحابِ أبي حَنيفةَ أو أصحابِ الشافعيِّ لا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كانَ، أو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خِلافِ ما عَرَفناه، و وقَعَ الإطباقُ عليه مِن هذه المَذاهبِ؛ و أنّ التشكيكَ </w:t>
      </w:r>
    </w:p>
    <w:p>
      <w:pPr>
        <w:pStyle w:val="BookText"/>
        <w:rPr/>
      </w:pPr>
      <w:r>
        <w:rPr>
          <w:rFonts w:ascii="Amiri" w:hAnsi="Amiri" w:eastAsia="Amiri" w:cs="Amiri"/>
          <w:color w:val="111111"/>
          <w:sz w:val="28"/>
          <w:sz w:val="28"/>
          <w:szCs w:val="28"/>
          <w:rtl w:val="true"/>
          <w:lang w:bidi="ar-SA"/>
        </w:rPr>
        <w:t>في ذلكَ كالتشكيكِ في سائرِ الأُمورِ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استَقرَّت هذه الجُملةُ، و كانَ مَذهبُ الإماميّةِ أشَدَّ انحِصاراً و انضِباطاً مِن مَذهبِ جميعِ الأُمّةِ، و كُنّا نَعلَمُ أنّ الأمّةَ مع كَثرةِ عَدَدِها و انتشارِها في أقطارِ الأرضِ قد أجمَعَت علىٰ شَيءٍ بعَينِه نأمَنُ أن يَكونَ لها قولٌ سِواه، فأَحرىٰ أن يَصِحَّ في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جُزءٌ مِن كُلِّها و فِرقةٌ مِن فِرَقِها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مَذاهبَهم علىٰ سَبيلِ الاستقرارِ و التعيينِ، و إجماعَهم علىٰ ما أجمَعوا عليه؛ حتّىٰ يَزولَ عَنّا الريبُ في ذلكَ و الشكُّ فيه، كما زالَ فيما هو أكثَرُ منه و أَنشَرُ</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الإمامُ في زمانِ الغَيبةِ موجوداً بَينَهم، و غيرَ مفقودٍ مِن جُملتِهم، فهو واحدٌ مِن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عَلِمنا بالسَّبرِ</w:t>
      </w:r>
      <w:r>
        <w:rPr>
          <w:rStyle w:val="FootnoteAnchor"/>
          <w:rtl w:val="true"/>
        </w:rPr>
        <w:footnoteReference w:id="1551"/>
      </w:r>
      <w:r>
        <w:rPr>
          <w:rFonts w:ascii="Amiri" w:hAnsi="Amiri" w:eastAsia="Amiri" w:cs="Amiri"/>
          <w:color w:val="111111"/>
          <w:sz w:val="28"/>
          <w:sz w:val="28"/>
          <w:szCs w:val="28"/>
          <w:rtl w:val="true"/>
          <w:lang w:bidi="ar-SA"/>
        </w:rPr>
        <w:t xml:space="preserve">و المُخالَطةِ و طولِ المُباحَثةِ أنّ كُلَّ عالِمٍ مِن علماءِ الإماميّةِ قد أجمَعَ علىٰ مَذهبٍ بعَينِه، فالإمامُ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واحدٌ مِن العلماءِ، بَل أَوحَدُ العلماءِ‌</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ذلكَ، و غيرُ خارجٍ عنه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يُخِلُّ بمَعرفةِ مَذهبِه عدمُ المَعرفةِ‌</w:t>
      </w:r>
      <w:r>
        <w:rPr>
          <w:rStyle w:val="FootnoteAnchor"/>
          <w:rtl w:val="true"/>
        </w:rPr>
        <w:footnoteReference w:id="1553"/>
      </w:r>
      <w:r>
        <w:rPr>
          <w:rFonts w:ascii="Amiri" w:hAnsi="Amiri" w:eastAsia="Amiri" w:cs="Amiri"/>
          <w:color w:val="111111"/>
          <w:sz w:val="28"/>
          <w:sz w:val="28"/>
          <w:szCs w:val="28"/>
          <w:rtl w:val="true"/>
          <w:lang w:bidi="ar-SA"/>
        </w:rPr>
        <w:t xml:space="preserve">بعَينِه؛ لأنّا لا نَعرِفُ كُلَّ عالِمٍ مِن علماءِ الإماميّةِ و فقيهٍ مِن فقهائها في البِلادِ المتفرِّقةِ، و إن عَلِمنا علىٰ سَبيلِ الجُملةِ إجماعَ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عَرَفناه، أو لَم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بعَينِه؛ فالإمامُ في هذا البابِ كمَن لَم نَعرِفْه</w:t>
      </w:r>
      <w:r>
        <w:rPr>
          <w:rStyle w:val="FootnoteAnchor"/>
          <w:rtl w:val="true"/>
        </w:rPr>
        <w:footnoteReference w:id="1554"/>
      </w:r>
      <w:r>
        <w:rPr>
          <w:rFonts w:ascii="Amiri" w:hAnsi="Amiri" w:eastAsia="Amiri" w:cs="Amiri"/>
          <w:color w:val="111111"/>
          <w:sz w:val="28"/>
          <w:sz w:val="28"/>
          <w:szCs w:val="28"/>
          <w:rtl w:val="true"/>
          <w:lang w:bidi="ar-SA"/>
        </w:rPr>
        <w:t>مِن علماءِ الإماميّةِ</w:t>
      </w:r>
      <w:r>
        <w:rPr>
          <w:rFonts w:eastAsia="Amiri" w:cs="Amiri" w:ascii="Amiri" w:hAnsi="Amiri"/>
          <w:color w:val="111111"/>
          <w:sz w:val="28"/>
          <w:szCs w:val="28"/>
          <w:rtl w:val="true"/>
          <w:lang w:bidi="ar-SA"/>
        </w:rPr>
        <w:t xml:space="preserve">. </w:t>
      </w:r>
      <w:bookmarkStart w:id="334" w:name="pg16437_172581"/>
    </w:p>
    <w:p>
      <w:pPr>
        <w:pStyle w:val="BookText"/>
        <w:rPr/>
      </w:pPr>
      <w:bookmarkEnd w:id="334"/>
      <w:r>
        <w:rPr>
          <w:rFonts w:ascii="Amiri" w:hAnsi="Amiri" w:eastAsia="Amiri" w:cs="Amiri"/>
          <w:color w:val="111111"/>
          <w:sz w:val="28"/>
          <w:sz w:val="28"/>
          <w:szCs w:val="28"/>
          <w:rtl w:val="true"/>
          <w:lang w:bidi="ar-SA"/>
        </w:rPr>
        <w:t>و إذا لَم يَعرِضْ لنا شَكٌّ في مَذهبِ مَن لا نَعرِفُه مِن الإماميّةِ، لَم يَجُزْ أن يَعرِضَ أيضاً شَكٌّ في قولِ الإمامِ و أنّه في جُملةِ‌</w:t>
      </w:r>
      <w:r>
        <w:rPr>
          <w:rStyle w:val="FootnoteAnchor"/>
          <w:rtl w:val="true"/>
        </w:rPr>
        <w:footnoteReference w:id="1555"/>
      </w:r>
      <w:r>
        <w:rPr>
          <w:rFonts w:ascii="Amiri" w:hAnsi="Amiri" w:eastAsia="Amiri" w:cs="Amiri"/>
          <w:color w:val="111111"/>
          <w:sz w:val="28"/>
          <w:sz w:val="28"/>
          <w:szCs w:val="28"/>
          <w:rtl w:val="true"/>
          <w:lang w:bidi="ar-SA"/>
        </w:rPr>
        <w:t>أقوالِ الإماميّةِ، و إن كُنّا لا نُميِّزُ شَخصَه، و لا نَعرِفُ عَينَه</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8039687_1280447820"/>
      <w:bookmarkStart w:id="336" w:name="_Toc118"/>
      <w:bookmarkEnd w:id="335"/>
      <w:r>
        <w:rPr>
          <w:rtl w:val="true"/>
        </w:rPr>
        <w:t>بيان طرق أُخرىٰ غير الإجماع لإثبات الأحكام الشرعيّة</w:t>
      </w:r>
      <w:bookmarkEnd w:id="336"/>
    </w:p>
    <w:p>
      <w:pPr>
        <w:pStyle w:val="BookText"/>
        <w:rPr/>
      </w:pPr>
      <w:r>
        <w:rPr>
          <w:rFonts w:ascii="Amiri" w:hAnsi="Amiri" w:eastAsia="Amiri" w:cs="Amiri"/>
          <w:color w:val="111111"/>
          <w:sz w:val="28"/>
          <w:sz w:val="28"/>
          <w:szCs w:val="28"/>
          <w:rtl w:val="true"/>
          <w:lang w:bidi="ar-SA"/>
        </w:rPr>
        <w:t>و اعلَمْ أنّ الطريقَ المُعتَمَدَ الجَدَدَ</w:t>
      </w:r>
      <w:r>
        <w:rPr>
          <w:rStyle w:val="FootnoteAnchor"/>
          <w:rtl w:val="true"/>
        </w:rPr>
        <w:footnoteReference w:id="1556"/>
      </w:r>
      <w:r>
        <w:rPr>
          <w:rFonts w:ascii="Amiri" w:hAnsi="Amiri" w:eastAsia="Amiri" w:cs="Amiri"/>
          <w:color w:val="111111"/>
          <w:sz w:val="28"/>
          <w:sz w:val="28"/>
          <w:szCs w:val="28"/>
          <w:rtl w:val="true"/>
          <w:lang w:bidi="ar-SA"/>
        </w:rPr>
        <w:t>إلىٰ صِحّةِ مَذاهبِنا في فُروعِ الأحكامِ الشرعيّةِ‌</w:t>
      </w:r>
      <w:r>
        <w:rPr>
          <w:rStyle w:val="FootnoteAnchor"/>
          <w:rtl w:val="true"/>
        </w:rPr>
        <w:footnoteReference w:id="1557"/>
      </w:r>
      <w:r>
        <w:rPr>
          <w:rFonts w:ascii="Amiri" w:hAnsi="Amiri" w:eastAsia="Amiri" w:cs="Amiri"/>
          <w:color w:val="111111"/>
          <w:sz w:val="28"/>
          <w:sz w:val="28"/>
          <w:szCs w:val="28"/>
          <w:rtl w:val="true"/>
          <w:lang w:bidi="ar-SA"/>
        </w:rPr>
        <w:t>هو هذا الذي بيّنّاه و أَوضَحناه؛ سَواءٌ كانَت المَسائلُ ممّا تَنفَرِدُ</w:t>
      </w:r>
      <w:r>
        <w:rPr>
          <w:rStyle w:val="FootnoteAnchor"/>
          <w:rtl w:val="true"/>
        </w:rPr>
        <w:footnoteReference w:id="1558"/>
      </w:r>
      <w:r>
        <w:rPr>
          <w:rFonts w:ascii="Amiri" w:hAnsi="Amiri" w:eastAsia="Amiri" w:cs="Amiri"/>
          <w:color w:val="111111"/>
          <w:sz w:val="28"/>
          <w:sz w:val="28"/>
          <w:szCs w:val="28"/>
          <w:rtl w:val="true"/>
          <w:lang w:bidi="ar-SA"/>
        </w:rPr>
        <w:t>الإماميّةُ بها، أو ممّا يُوافِقُها فيها بعضُ خُصومِها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اتَّفَقَ في بعضِ المَسائلِ غيرُ هذه الطريقةِ، و هي أن يَكونَ عليها دليلٌ مِن ظاهرِ كتابِ اللّٰهِ تَعالىٰ‌</w:t>
      </w:r>
      <w:r>
        <w:rPr>
          <w:rStyle w:val="FootnoteAnchor"/>
          <w:rtl w:val="true"/>
        </w:rPr>
        <w:footnoteReference w:id="1559"/>
      </w:r>
      <w:r>
        <w:rPr>
          <w:rFonts w:ascii="Amiri" w:hAnsi="Amiri" w:eastAsia="Amiri" w:cs="Amiri"/>
          <w:color w:val="111111"/>
          <w:sz w:val="28"/>
          <w:sz w:val="28"/>
          <w:szCs w:val="28"/>
          <w:rtl w:val="true"/>
          <w:lang w:bidi="ar-SA"/>
        </w:rPr>
        <w:t>، أو مِن سُنّةِ رسولِ اللّٰهِ صَلَّى اللّٰهُ عليه و آلِه مقطوعٍ بها معلومٍ صِحّتُها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اتَّفَقَ في بعضِ الأحكامِ أن تَكونَ‌</w:t>
      </w:r>
      <w:r>
        <w:rPr>
          <w:rStyle w:val="FootnoteAnchor"/>
          <w:rtl w:val="true"/>
        </w:rPr>
        <w:footnoteReference w:id="1560"/>
      </w:r>
      <w:r>
        <w:rPr>
          <w:rFonts w:ascii="Amiri" w:hAnsi="Amiri" w:eastAsia="Amiri" w:cs="Amiri"/>
          <w:color w:val="111111"/>
          <w:sz w:val="28"/>
          <w:sz w:val="28"/>
          <w:szCs w:val="28"/>
          <w:rtl w:val="true"/>
          <w:lang w:bidi="ar-SA"/>
        </w:rPr>
        <w:t>معلومةً مِن مَذاهبِ أئمّتِنا المُتقدِّمينَ للإمامِ الغائبِ صَلَواتُ اللّٰهِ عليهم</w:t>
      </w:r>
      <w:r>
        <w:rPr>
          <w:rStyle w:val="FootnoteAnchor"/>
          <w:rtl w:val="true"/>
        </w:rPr>
        <w:footnoteReference w:id="1561"/>
      </w:r>
      <w:r>
        <w:rPr>
          <w:rFonts w:ascii="Amiri" w:hAnsi="Amiri" w:eastAsia="Amiri" w:cs="Amiri"/>
          <w:color w:val="111111"/>
          <w:sz w:val="28"/>
          <w:sz w:val="28"/>
          <w:szCs w:val="28"/>
          <w:rtl w:val="true"/>
          <w:lang w:bidi="ar-SA"/>
        </w:rPr>
        <w:t>، الذينَ ظَهَروا و عُرِفوا، و سُئلوا و أجابوا، و أَفتَوا</w:t>
      </w:r>
      <w:r>
        <w:rPr>
          <w:rStyle w:val="FootnoteAnchor"/>
          <w:rtl w:val="true"/>
        </w:rPr>
        <w:footnoteReference w:id="1562"/>
      </w:r>
      <w:r>
        <w:rPr>
          <w:rFonts w:ascii="Amiri" w:hAnsi="Amiri" w:eastAsia="Amiri" w:cs="Amiri"/>
          <w:color w:val="111111"/>
          <w:sz w:val="28"/>
          <w:sz w:val="28"/>
          <w:szCs w:val="28"/>
          <w:rtl w:val="true"/>
          <w:lang w:bidi="ar-SA"/>
        </w:rPr>
        <w:t>و عَلَّموا الأحكامَ؛ فقَد عَلِمنا ضَرورةً أنّ‌</w:t>
      </w:r>
      <w:r>
        <w:rPr>
          <w:rStyle w:val="FootnoteAnchor"/>
          <w:rtl w:val="true"/>
        </w:rPr>
        <w:footnoteReference w:id="1563"/>
      </w:r>
      <w:r>
        <w:rPr>
          <w:rFonts w:ascii="Amiri" w:hAnsi="Amiri" w:eastAsia="Amiri" w:cs="Amiri"/>
          <w:color w:val="111111"/>
          <w:sz w:val="28"/>
          <w:sz w:val="28"/>
          <w:szCs w:val="28"/>
          <w:rtl w:val="true"/>
          <w:lang w:bidi="ar-SA"/>
        </w:rPr>
        <w:t xml:space="preserve">مِن مَذاهبِ أبي جَعفَرٍ مُحمّدِ بنِ عليٍّ الباقرِ صَلَواتُ اللّٰهِ عليهما تحريمَ كُلِّ شَرابٍ مُسكِرٍ، و مَسْحَ الرِّجلَينِ، </w:t>
      </w:r>
      <w:bookmarkStart w:id="337" w:name="pg16437_172582"/>
    </w:p>
    <w:p>
      <w:pPr>
        <w:pStyle w:val="BookText"/>
        <w:rPr/>
      </w:pPr>
      <w:bookmarkEnd w:id="337"/>
      <w:r>
        <w:rPr>
          <w:rFonts w:ascii="Amiri" w:hAnsi="Amiri" w:eastAsia="Amiri" w:cs="Amiri"/>
          <w:color w:val="111111"/>
          <w:sz w:val="28"/>
          <w:sz w:val="28"/>
          <w:szCs w:val="28"/>
          <w:rtl w:val="true"/>
          <w:lang w:bidi="ar-SA"/>
        </w:rPr>
        <w:t>و تحريمَ المَسحِ علَى الخُفَّينِ، و أنّ تكبيراتِ الصلاةِ علَى الميّتِ خَمسٌ، و أنّ الطلاقَ الثلاثَ بلَفظٍ واحدٍ لا يَقَعُ، و ما جَرىٰ مَجرىٰ هذه المَسائلِ من الأُمورِ التي ظَهَرَت عليهم</w:t>
      </w:r>
      <w:r>
        <w:rPr>
          <w:rStyle w:val="FootnoteAnchor"/>
          <w:rtl w:val="true"/>
        </w:rPr>
        <w:footnoteReference w:id="1564"/>
      </w:r>
      <w:r>
        <w:rPr>
          <w:rFonts w:ascii="Amiri" w:hAnsi="Amiri" w:eastAsia="Amiri" w:cs="Amiri"/>
          <w:color w:val="111111"/>
          <w:sz w:val="28"/>
          <w:sz w:val="28"/>
          <w:szCs w:val="28"/>
          <w:rtl w:val="true"/>
          <w:lang w:bidi="ar-SA"/>
        </w:rPr>
        <w:t>و اشتَهَرَت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عُلِمَت مَذاهِبُهم</w:t>
      </w:r>
      <w:r>
        <w:rPr>
          <w:rStyle w:val="FootnoteAnchor"/>
          <w:rtl w:val="true"/>
        </w:rPr>
        <w:footnoteReference w:id="1565"/>
      </w:r>
      <w:r>
        <w:rPr>
          <w:rFonts w:ascii="Amiri" w:hAnsi="Amiri" w:eastAsia="Amiri" w:cs="Amiri"/>
          <w:color w:val="111111"/>
          <w:sz w:val="28"/>
          <w:sz w:val="28"/>
          <w:szCs w:val="28"/>
          <w:rtl w:val="true"/>
          <w:lang w:bidi="ar-SA"/>
        </w:rPr>
        <w:t>، و كانوا عندَنا حُجّةً معصومينَ، كَفىٰ ذلكَ في وقوعِ العِلمِ بها، و القَطعِ علىٰ صِحّتِها؛ و لا اعتبارَ بمَن خالَفَنا في العملِ بشَيءٍ ممّا عَدَّدناه عنهم، و دَفَعَ‌</w:t>
      </w:r>
      <w:r>
        <w:rPr>
          <w:rStyle w:val="FootnoteAnchor"/>
          <w:rtl w:val="true"/>
        </w:rPr>
        <w:footnoteReference w:id="1566"/>
      </w:r>
      <w:r>
        <w:rPr>
          <w:rFonts w:ascii="Amiri" w:hAnsi="Amiri" w:eastAsia="Amiri" w:cs="Amiri"/>
          <w:color w:val="111111"/>
          <w:sz w:val="28"/>
          <w:sz w:val="28"/>
          <w:szCs w:val="28"/>
          <w:rtl w:val="true"/>
          <w:lang w:bidi="ar-SA"/>
        </w:rPr>
        <w:t>أن يَكونَ مُشارِكاً في المَعرفةِ بذلكَ؛ لأنّ المُخالِفَ في هذا إمّا أن يَكونَ مُعانِداً، أو مُكابِراً، أو يَكونَ ممّن لَم تَكثُرْ خِلْطتُه لنا، أو تَصفُّحُه لأخبارِنا و سَماعُه</w:t>
      </w:r>
      <w:r>
        <w:rPr>
          <w:rStyle w:val="FootnoteAnchor"/>
          <w:rtl w:val="true"/>
        </w:rPr>
        <w:footnoteReference w:id="1567"/>
      </w:r>
      <w:r>
        <w:rPr>
          <w:rFonts w:ascii="Amiri" w:hAnsi="Amiri" w:eastAsia="Amiri" w:cs="Amiri"/>
          <w:color w:val="111111"/>
          <w:sz w:val="28"/>
          <w:sz w:val="28"/>
          <w:szCs w:val="28"/>
          <w:rtl w:val="true"/>
          <w:lang w:bidi="ar-SA"/>
        </w:rPr>
        <w:t>مِن رجالِنا؛ لأنّ العِلمَ الضروريَّ رُبَّما وَقَفَ علىٰ أسبابٍ؛ مِن مُخالَطةٍ، أو مُجالَسةٍ، و سَمعِ‌</w:t>
      </w:r>
      <w:r>
        <w:rPr>
          <w:rStyle w:val="FootnoteAnchor"/>
          <w:rtl w:val="true"/>
        </w:rPr>
        <w:footnoteReference w:id="1568"/>
      </w:r>
      <w:r>
        <w:rPr>
          <w:rFonts w:ascii="Amiri" w:hAnsi="Amiri" w:eastAsia="Amiri" w:cs="Amiri"/>
          <w:color w:val="111111"/>
          <w:sz w:val="28"/>
          <w:sz w:val="28"/>
          <w:szCs w:val="28"/>
          <w:rtl w:val="true"/>
          <w:lang w:bidi="ar-SA"/>
        </w:rPr>
        <w:t>أخبارٍ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 يُنكَرُ أن يَكونَ مَن لَم تَتَّفِقْ خِلْطتُه بأصحابِ أبي حَنيفةَ و سَماعُ أخبارِهم عن صاحبِهم، لا يَعلَمونَ‌</w:t>
      </w:r>
      <w:r>
        <w:rPr>
          <w:rStyle w:val="FootnoteAnchor"/>
          <w:rtl w:val="true"/>
        </w:rPr>
        <w:footnoteReference w:id="1569"/>
      </w:r>
      <w:r>
        <w:rPr>
          <w:rFonts w:ascii="Amiri" w:hAnsi="Amiri" w:eastAsia="Amiri" w:cs="Amiri"/>
          <w:color w:val="111111"/>
          <w:sz w:val="28"/>
          <w:sz w:val="28"/>
          <w:szCs w:val="28"/>
          <w:rtl w:val="true"/>
          <w:lang w:bidi="ar-SA"/>
        </w:rPr>
        <w:t>مِن مَذاهبِ أبي حَنيفةَ ما يَعلَمُ أصحابُه ضَرورةً</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8039689_1280447820"/>
      <w:bookmarkStart w:id="339" w:name="_Toc119"/>
      <w:bookmarkEnd w:id="338"/>
      <w:r>
        <w:rPr>
          <w:rtl w:val="true"/>
        </w:rPr>
        <w:t>حُكمُ المَسألةِ الشرعيّةِ التي لا دليلَ عليها مِن الكتابِ و السُّنّةِ‌</w:t>
      </w:r>
      <w:bookmarkEnd w:id="339"/>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مَسألةٍ شَرعيّةٍ اختَلَفَ فيها قولُ الإماميّةِ، و لَم يَكُن عليها دليلٌ من كتابٍ أو سُنّةٍ مقطوعٍ بها، كَيفَ الطريقُ إلَى الحقِّ فيها؟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فَرَضتموه قد أَمِنّا وقوعَه؛ لأنّا قد عَلِمنا أنّ اللّٰهَ تَعالىٰ لا يُخلي المُكلَّفَ مِن حُجّةٍ و طريقٍ للعِلمِ‌</w:t>
      </w:r>
      <w:r>
        <w:rPr>
          <w:rStyle w:val="FootnoteAnchor"/>
          <w:rtl w:val="true"/>
        </w:rPr>
        <w:footnoteReference w:id="1570"/>
      </w:r>
      <w:r>
        <w:rPr>
          <w:rFonts w:ascii="Amiri" w:hAnsi="Amiri" w:eastAsia="Amiri" w:cs="Amiri"/>
          <w:color w:val="111111"/>
          <w:sz w:val="28"/>
          <w:sz w:val="28"/>
          <w:szCs w:val="28"/>
          <w:rtl w:val="true"/>
          <w:lang w:bidi="ar-SA"/>
        </w:rPr>
        <w:t>بما كُلِّفَ، و هذه الحادثةُ التي ذَكَرناها إذا</w:t>
      </w:r>
      <w:r>
        <w:rPr>
          <w:rStyle w:val="FootnoteAnchor"/>
          <w:rtl w:val="true"/>
        </w:rPr>
        <w:footnoteReference w:id="1571"/>
      </w:r>
      <w:r>
        <w:rPr>
          <w:rFonts w:ascii="Amiri" w:hAnsi="Amiri" w:eastAsia="Amiri" w:cs="Amiri"/>
          <w:color w:val="111111"/>
          <w:sz w:val="28"/>
          <w:sz w:val="28"/>
          <w:szCs w:val="28"/>
          <w:rtl w:val="true"/>
          <w:lang w:bidi="ar-SA"/>
        </w:rPr>
        <w:t xml:space="preserve">كانَ </w:t>
      </w:r>
      <w:bookmarkStart w:id="340" w:name="pg16437_172583"/>
    </w:p>
    <w:p>
      <w:pPr>
        <w:pStyle w:val="BookText"/>
        <w:rPr/>
      </w:pPr>
      <w:bookmarkEnd w:id="340"/>
      <w:r>
        <w:rPr>
          <w:rFonts w:ascii="Amiri" w:hAnsi="Amiri" w:eastAsia="Amiri" w:cs="Amiri"/>
          <w:color w:val="111111"/>
          <w:sz w:val="28"/>
          <w:sz w:val="28"/>
          <w:szCs w:val="28"/>
          <w:rtl w:val="true"/>
          <w:lang w:bidi="ar-SA"/>
        </w:rPr>
        <w:t>للّٰهِ تَعالىٰ فيها حُكمٌ شَرعيٌّ، و اختَلَفَت الإماميّةُ في وقتِنا هذا فيها، فلَم يُمكِنِ‌</w:t>
      </w:r>
      <w:r>
        <w:rPr>
          <w:rStyle w:val="FootnoteAnchor"/>
          <w:rtl w:val="true"/>
        </w:rPr>
        <w:footnoteReference w:id="1572"/>
      </w:r>
      <w:r>
        <w:rPr>
          <w:rFonts w:ascii="Amiri" w:hAnsi="Amiri" w:eastAsia="Amiri" w:cs="Amiri"/>
          <w:color w:val="111111"/>
          <w:sz w:val="28"/>
          <w:sz w:val="28"/>
          <w:szCs w:val="28"/>
          <w:rtl w:val="true"/>
          <w:lang w:bidi="ar-SA"/>
        </w:rPr>
        <w:t xml:space="preserve">الاعتمادُ علىٰ إجماعِهم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نَثِقُ‌</w:t>
      </w:r>
      <w:r>
        <w:rPr>
          <w:rStyle w:val="FootnoteAnchor"/>
          <w:rtl w:val="true"/>
        </w:rPr>
        <w:footnoteReference w:id="1573"/>
      </w:r>
      <w:r>
        <w:rPr>
          <w:rFonts w:ascii="Amiri" w:hAnsi="Amiri" w:eastAsia="Amiri" w:cs="Amiri"/>
          <w:color w:val="111111"/>
          <w:sz w:val="28"/>
          <w:sz w:val="28"/>
          <w:szCs w:val="28"/>
          <w:rtl w:val="true"/>
          <w:lang w:bidi="ar-SA"/>
        </w:rPr>
        <w:t xml:space="preserve">بأنّ الحُجّةَ فيه؛ لأجلِ وجودِ الإمامِ في جُملتِهم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يَكونَ علىٰ هذه المَسألةِ دليلٌ قاطعٌ مِن كتابٍ أو سُنّةٍ مقطوعٍ بها، حتّىٰ لا يَفوتَ المُكلَّفَ طريقٌ للعِلمِ‌</w:t>
      </w:r>
      <w:r>
        <w:rPr>
          <w:rStyle w:val="FootnoteAnchor"/>
          <w:rtl w:val="true"/>
        </w:rPr>
        <w:footnoteReference w:id="1574"/>
      </w:r>
      <w:r>
        <w:rPr>
          <w:rFonts w:ascii="Amiri" w:hAnsi="Amiri" w:eastAsia="Amiri" w:cs="Amiri"/>
          <w:color w:val="111111"/>
          <w:sz w:val="28"/>
          <w:sz w:val="28"/>
          <w:szCs w:val="28"/>
          <w:rtl w:val="true"/>
          <w:lang w:bidi="ar-SA"/>
        </w:rPr>
        <w:t>يَصِلُ به إلىٰ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w:t>
      </w:r>
      <w:r>
        <w:rPr>
          <w:rStyle w:val="FootnoteAnchor"/>
          <w:rtl w:val="true"/>
        </w:rPr>
        <w:footnoteReference w:id="1575"/>
      </w:r>
      <w:r>
        <w:rPr>
          <w:rFonts w:ascii="Amiri" w:hAnsi="Amiri" w:eastAsia="Amiri" w:cs="Amiri"/>
          <w:color w:val="111111"/>
          <w:sz w:val="28"/>
          <w:sz w:val="28"/>
          <w:szCs w:val="28"/>
          <w:rtl w:val="true"/>
          <w:lang w:bidi="ar-SA"/>
        </w:rPr>
        <w:t xml:space="preserve">أن نَفرِضَ وجودَ حادثةٍ لَيسَ للإماميّةِ فيها قولٌ، علىٰ سَبيلِ اتّفاقٍ، أو اختلافٍ؛ فَقد يَجوزُ عندَنا 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للّٰهِ تَعالىٰ فيها حُكمٌ شَرعيٌّ؛ فإذا</w:t>
      </w:r>
      <w:r>
        <w:rPr>
          <w:rStyle w:val="FootnoteAnchor"/>
          <w:rtl w:val="true"/>
        </w:rPr>
        <w:footnoteReference w:id="1576"/>
      </w:r>
      <w:r>
        <w:rPr>
          <w:rFonts w:ascii="Amiri" w:hAnsi="Amiri" w:eastAsia="Amiri" w:cs="Amiri"/>
          <w:color w:val="111111"/>
          <w:sz w:val="28"/>
          <w:sz w:val="28"/>
          <w:szCs w:val="28"/>
          <w:rtl w:val="true"/>
          <w:lang w:bidi="ar-SA"/>
        </w:rPr>
        <w:t>لَم نَجِدْ في الأدِلّةِ الموجِبةِ للعِلمِ طريقاً إلىٰ عِلمِ حُكمِ هذه الحادثةِ، كُنّا فيها علىٰ ما يوجِبُ العقلُ و حُكمُه</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8039691_1280447820"/>
      <w:bookmarkStart w:id="342" w:name="_Toc120"/>
      <w:bookmarkEnd w:id="341"/>
      <w:r>
        <w:rPr>
          <w:rtl w:val="true"/>
        </w:rPr>
        <w:t>عدمُ حُجّيّةِ جُلِّ الأخبارِ المنقولةِ مِن طريقِ أصحابِ الحَديثِ‌</w:t>
      </w:r>
      <w:bookmarkEnd w:id="34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شُيوخُ هذه الطائفةِ قد عَوَّلوا في كُتُبِهم في الأحكامِ الشرعيّةِ علَى الأخبارِ التي رَوَوها عن ثِقاتِهم، و جَعَلوها العُمدةَ و الحُجّةَ في هذه الأحكامِ، حتّىٰ رَوَوا عن أئمَّتِهم عليهم السلامُ فيما يَجيءُ مُختَلِفاً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الترجيحِ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منه ما هو أبعَدُ مِن قولِ العامّةِ؟</w:t>
      </w:r>
      <w:r>
        <w:rPr>
          <w:rStyle w:val="FootnoteAnchor"/>
          <w:rtl w:val="true"/>
        </w:rPr>
        <w:footnoteReference w:id="1577"/>
      </w:r>
      <w:r>
        <w:rPr>
          <w:rFonts w:ascii="Amiri" w:hAnsi="Amiri" w:eastAsia="Amiri" w:cs="Amiri"/>
          <w:color w:val="111111"/>
          <w:sz w:val="28"/>
          <w:sz w:val="28"/>
          <w:szCs w:val="28"/>
          <w:rtl w:val="true"/>
          <w:lang w:bidi="ar-SA"/>
        </w:rPr>
        <w:t>و هذا يَنقُضُ‌</w:t>
      </w:r>
      <w:r>
        <w:rPr>
          <w:rStyle w:val="FootnoteAnchor"/>
          <w:rtl w:val="true"/>
        </w:rPr>
        <w:footnoteReference w:id="1578"/>
      </w:r>
      <w:r>
        <w:rPr>
          <w:rFonts w:ascii="Amiri" w:hAnsi="Amiri" w:eastAsia="Amiri" w:cs="Amiri"/>
          <w:color w:val="111111"/>
          <w:sz w:val="28"/>
          <w:sz w:val="28"/>
          <w:szCs w:val="28"/>
          <w:rtl w:val="true"/>
          <w:lang w:bidi="ar-SA"/>
        </w:rPr>
        <w:t>ما قَدَّمتموه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يَنبَغي أن نَرجِعَ‌</w:t>
      </w:r>
      <w:r>
        <w:rPr>
          <w:rStyle w:val="FootnoteAnchor"/>
          <w:rtl w:val="true"/>
        </w:rPr>
        <w:footnoteReference w:id="1579"/>
      </w:r>
      <w:r>
        <w:rPr>
          <w:rFonts w:ascii="Amiri" w:hAnsi="Amiri" w:eastAsia="Amiri" w:cs="Amiri"/>
          <w:color w:val="111111"/>
          <w:sz w:val="28"/>
          <w:sz w:val="28"/>
          <w:szCs w:val="28"/>
          <w:rtl w:val="true"/>
          <w:lang w:bidi="ar-SA"/>
        </w:rPr>
        <w:t xml:space="preserve">عن الأُمورِ المعلومةِ و المَذاهبِ المشهورةِ المقطوعِ </w:t>
      </w:r>
    </w:p>
    <w:p>
      <w:pPr>
        <w:pStyle w:val="BookText"/>
        <w:rPr/>
      </w:pPr>
      <w:r>
        <w:rPr>
          <w:rFonts w:ascii="Amiri" w:hAnsi="Amiri" w:eastAsia="Amiri" w:cs="Amiri"/>
          <w:color w:val="111111"/>
          <w:sz w:val="28"/>
          <w:sz w:val="28"/>
          <w:szCs w:val="28"/>
          <w:rtl w:val="true"/>
          <w:lang w:bidi="ar-SA"/>
        </w:rPr>
        <w:t>عليها بما هو مُشتَبِهٌ مُلتَبِسٌ مُحتَمِلٌ، و قد عَلِمَ كُلُّ مُوافِقٍ و مُخالِفٍ أنّ‌</w:t>
      </w:r>
      <w:r>
        <w:rPr>
          <w:rStyle w:val="FootnoteAnchor"/>
          <w:rtl w:val="true"/>
        </w:rPr>
        <w:footnoteReference w:id="1580"/>
      </w:r>
      <w:r>
        <w:rPr>
          <w:rFonts w:ascii="Amiri" w:hAnsi="Amiri" w:eastAsia="Amiri" w:cs="Amiri"/>
          <w:color w:val="111111"/>
          <w:sz w:val="28"/>
          <w:sz w:val="28"/>
          <w:szCs w:val="28"/>
          <w:rtl w:val="true"/>
          <w:lang w:bidi="ar-SA"/>
        </w:rPr>
        <w:t>الشيعةَ الإماميّةَ تُبطِلُ القياسَ في الشريعةِ؛ مِن حَيثُ لا يؤَدّي إلىٰ عِلمٍ، فكذلكَ تَقولُ في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 منهم مَن يَزيدُ علىٰ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يَجوزُ مِن طريقِ العقلِ أن يَتعبَّدَ اللّٰهُ تَعالىٰ في الشريعةِ بالقياسِ و لا العملِ بأخبارِ الآحادِ</w:t>
      </w:r>
      <w:r>
        <w:rPr>
          <w:rFonts w:eastAsia="Amiri" w:cs="Amiri" w:ascii="Amiri" w:hAnsi="Amiri"/>
          <w:color w:val="111111"/>
          <w:sz w:val="28"/>
          <w:szCs w:val="28"/>
          <w:rtl w:val="true"/>
          <w:lang w:bidi="ar-SA"/>
        </w:rPr>
        <w:t>.</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و مَن كانَ هذا مَذهبُه، كَيفَ يَجوزُ أن يُثبِتَ الأحكامَ الشرعيّةَ‌</w:t>
      </w:r>
      <w:r>
        <w:rPr>
          <w:rStyle w:val="FootnoteAnchor"/>
          <w:rtl w:val="true"/>
        </w:rPr>
        <w:footnoteReference w:id="1582"/>
      </w:r>
      <w:r>
        <w:rPr>
          <w:rFonts w:ascii="Amiri" w:hAnsi="Amiri" w:eastAsia="Amiri" w:cs="Amiri"/>
          <w:color w:val="111111"/>
          <w:sz w:val="28"/>
          <w:sz w:val="28"/>
          <w:szCs w:val="28"/>
          <w:rtl w:val="true"/>
          <w:lang w:bidi="ar-SA"/>
        </w:rPr>
        <w:t>بأخبارٍ لا يُقطَعُ علىٰ صِحّتِها، و يَجوزُ كَذِبُ راويها كما يَجوزُ صِدقُه؟ و هَل هذا إلّامِن أقبَحِ المُناقَضةِ و أفحَشِها؟</w:t>
      </w:r>
    </w:p>
    <w:p>
      <w:pPr>
        <w:pStyle w:val="BookText"/>
        <w:rPr/>
      </w:pPr>
      <w:r>
        <w:rPr>
          <w:rFonts w:ascii="Amiri" w:hAnsi="Amiri" w:eastAsia="Amiri" w:cs="Amiri"/>
          <w:color w:val="111111"/>
          <w:sz w:val="28"/>
          <w:sz w:val="28"/>
          <w:szCs w:val="28"/>
          <w:rtl w:val="true"/>
          <w:lang w:bidi="ar-SA"/>
        </w:rPr>
        <w:t>فالعلماءُ الذينَ عليهم المُعوَّلُ، و يَدرونَ ما يأتونَ و ما يَذَرونَ، لا يَجوزُ</w:t>
      </w:r>
      <w:r>
        <w:rPr>
          <w:rStyle w:val="FootnoteAnchor"/>
          <w:rtl w:val="true"/>
        </w:rPr>
        <w:footnoteReference w:id="1583"/>
      </w:r>
      <w:r>
        <w:rPr>
          <w:rFonts w:ascii="Amiri" w:hAnsi="Amiri" w:eastAsia="Amiri" w:cs="Amiri"/>
          <w:color w:val="111111"/>
          <w:sz w:val="28"/>
          <w:sz w:val="28"/>
          <w:szCs w:val="28"/>
          <w:rtl w:val="true"/>
          <w:lang w:bidi="ar-SA"/>
        </w:rPr>
        <w:t xml:space="preserve">أن يَحتَجّوا بخبرِ واحدٍ لا يوجِبُ عِلماً، و لا يَقدِرُ أحَدٌ أن يَحكيَ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w:t>
      </w:r>
      <w:r>
        <w:rPr>
          <w:rStyle w:val="FootnoteAnchor"/>
          <w:rtl w:val="true"/>
        </w:rPr>
        <w:footnoteReference w:id="1584"/>
      </w:r>
      <w:r>
        <w:rPr>
          <w:rFonts w:ascii="Amiri" w:hAnsi="Amiri" w:eastAsia="Amiri" w:cs="Amiri"/>
          <w:color w:val="111111"/>
          <w:sz w:val="28"/>
          <w:sz w:val="28"/>
          <w:szCs w:val="28"/>
          <w:rtl w:val="true"/>
          <w:lang w:bidi="ar-SA"/>
        </w:rPr>
        <w:t xml:space="preserve">و 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ذَكَرناه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أصحابُ الحَديثِ مِن أصحابِنا</w:t>
      </w:r>
      <w:r>
        <w:rPr>
          <w:rStyle w:val="FootnoteAnchor"/>
          <w:rtl w:val="true"/>
        </w:rPr>
        <w:footnoteReference w:id="1585"/>
      </w:r>
      <w:r>
        <w:rPr>
          <w:rFonts w:ascii="Amiri" w:hAnsi="Amiri" w:eastAsia="Amiri" w:cs="Amiri"/>
          <w:color w:val="111111"/>
          <w:sz w:val="28"/>
          <w:sz w:val="28"/>
          <w:szCs w:val="28"/>
          <w:rtl w:val="true"/>
          <w:lang w:bidi="ar-SA"/>
        </w:rPr>
        <w:t>فإنّهم رَوَوا ما سَمِعوا، و حَدَّثوا ما حُدِّثوا به و نَقَلوه</w:t>
      </w:r>
      <w:r>
        <w:rPr>
          <w:rStyle w:val="FootnoteAnchor"/>
          <w:rtl w:val="true"/>
        </w:rPr>
        <w:footnoteReference w:id="1586"/>
      </w:r>
      <w:r>
        <w:rPr>
          <w:rFonts w:ascii="Amiri" w:hAnsi="Amiri" w:eastAsia="Amiri" w:cs="Amiri"/>
          <w:color w:val="111111"/>
          <w:sz w:val="28"/>
          <w:sz w:val="28"/>
          <w:szCs w:val="28"/>
          <w:rtl w:val="true"/>
          <w:lang w:bidi="ar-SA"/>
        </w:rPr>
        <w:t>عن أسلافِهم؛ و لَيسَ عليهم أن يَكونَ حُجّةً و دليلاً في الأحكامِ الشرعيّةِ، أو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أصحابِ الحَديثِ مَن يَحتَجُّ في حُكمٍ شَرعيٍّ بحَديثٍ غيرِ مقطوعٍ علىٰ صِحّتِه، فقَد زَلَّ و زَوَّرَ؛ و ما يَفعَلُ ذلكَ مَن يَعرِفُ أُصولَ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القياسِ و العملِ بأخبارِ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مَعرِفتِها؛ بَل لا يَقَعُ مِثلُ ذلكَ مِن عاقلٍ، و رُبَّما كانَ غيرَ 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تَرىٰ أنّ هؤلاءِ بأعيانِهم قد يَحتَجّونَ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التوحيدِ و العَدلِ و النُّبوّةِ و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بأخبارِ الآحادِ، و معلومٌ عندَ كُلِّ عاقلٍ أنّها لَيسَت بحُجّةٍ في ذلكَ؟ و رُبَّما ذَهَبَ بعضُهم إلَى الجَبرِ و إلَى التشبيهِ؛ اغتراراً بأخبارِ الآحادِ المَرويّةِ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أشَرنا إليه بهذه الغَفلةِ، يَحتَجُّ بالخبرِ الذي ما رَواه، و لا حُدِّثَ به، و لا سَمِعَه مِن ناقِلِه فعَرَفَه</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بعَدالةٍ، أو غيرِها</w:t>
      </w:r>
      <w:r>
        <w:rPr>
          <w:rStyle w:val="FootnoteAnchor"/>
          <w:rtl w:val="true"/>
        </w:rPr>
        <w:footnoteReference w:id="1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لَو قيلَ له في بعضِ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أثبَتَّه و ذَهَبتَ إليه؟ كانَ‌</w:t>
      </w:r>
      <w:r>
        <w:rPr>
          <w:rStyle w:val="FootnoteAnchor"/>
          <w:rtl w:val="true"/>
        </w:rPr>
        <w:footnoteReference w:id="1589"/>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وَجَدتُه في الكتابِ الفُلانيِّ، و منسوباً إلىٰ روايةِ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r>
        <w:rPr>
          <w:rStyle w:val="FootnoteAnchor"/>
          <w:rtl w:val="true"/>
        </w:rPr>
        <w:footnoteReference w:id="1590"/>
      </w:r>
      <w:r>
        <w:rPr>
          <w:rFonts w:ascii="Amiri" w:hAnsi="Amiri" w:eastAsia="Amiri" w:cs="Amiri"/>
          <w:color w:val="111111"/>
          <w:sz w:val="28"/>
          <w:sz w:val="28"/>
          <w:szCs w:val="28"/>
          <w:rtl w:val="true"/>
          <w:lang w:bidi="ar-SA"/>
        </w:rPr>
        <w:t>مَن نَفَى العملَ‌</w:t>
      </w:r>
      <w:r>
        <w:rPr>
          <w:rStyle w:val="FootnoteAnchor"/>
          <w:rtl w:val="true"/>
        </w:rPr>
        <w:footnoteReference w:id="1591"/>
      </w:r>
      <w:r>
        <w:rPr>
          <w:rFonts w:ascii="Amiri" w:hAnsi="Amiri" w:eastAsia="Amiri" w:cs="Amiri"/>
          <w:color w:val="111111"/>
          <w:sz w:val="28"/>
          <w:sz w:val="28"/>
          <w:szCs w:val="28"/>
          <w:rtl w:val="true"/>
          <w:lang w:bidi="ar-SA"/>
        </w:rPr>
        <w:t>بأخبارِ الآحادِ، أو مَن</w:t>
      </w:r>
      <w:r>
        <w:rPr>
          <w:rStyle w:val="FootnoteAnchor"/>
          <w:rtl w:val="true"/>
        </w:rPr>
        <w:footnoteReference w:id="1592"/>
      </w:r>
      <w:r>
        <w:rPr>
          <w:rFonts w:ascii="Amiri" w:hAnsi="Amiri" w:eastAsia="Amiri" w:cs="Amiri"/>
          <w:color w:val="111111"/>
          <w:sz w:val="28"/>
          <w:sz w:val="28"/>
          <w:szCs w:val="28"/>
          <w:rtl w:val="true"/>
          <w:lang w:bidi="ar-SA"/>
        </w:rPr>
        <w:t xml:space="preserve">أثبَتَها و 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بشَيءٍ يُعتَمَدُ، و لا طريقٍ يُقصَدُ، و إنّما هو غُرورٌ و 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الروايةُ بأن يُعمَلَ بالحديثَينِ المتعارضَينِ بأبعَدِهما مِن مَذهبِ العامّةِ، فهذا لَعَمري قد رُويَ‌</w:t>
      </w:r>
      <w:r>
        <w:rPr>
          <w:rStyle w:val="FootnoteAnchor"/>
          <w:rtl w:val="true"/>
        </w:rPr>
        <w:footnoteReference w:id="1593"/>
      </w:r>
      <w:r>
        <w:rPr>
          <w:rFonts w:ascii="Amiri" w:hAnsi="Amiri" w:eastAsia="Amiri" w:cs="Amiri"/>
          <w:color w:val="111111"/>
          <w:sz w:val="28"/>
          <w:sz w:val="28"/>
          <w:szCs w:val="28"/>
          <w:rtl w:val="true"/>
          <w:lang w:bidi="ar-SA"/>
        </w:rPr>
        <w:t>، و إذا كُنّا لا نَعمَلُ‌</w:t>
      </w:r>
      <w:r>
        <w:rPr>
          <w:rStyle w:val="FootnoteAnchor"/>
          <w:rtl w:val="true"/>
        </w:rPr>
        <w:footnoteReference w:id="1594"/>
      </w:r>
      <w:r>
        <w:rPr>
          <w:rFonts w:ascii="Amiri" w:hAnsi="Amiri" w:eastAsia="Amiri" w:cs="Amiri"/>
          <w:color w:val="111111"/>
          <w:sz w:val="28"/>
          <w:sz w:val="28"/>
          <w:szCs w:val="28"/>
          <w:rtl w:val="true"/>
          <w:lang w:bidi="ar-SA"/>
        </w:rPr>
        <w:t>بأخبارِ الآحادِ في الفُروعِ، كَيفَ نَعمَلُ بها في الأُصولِ التي لا خِلافَ بَينَنا في أنّ طريقَها العِلمُ و القَطعُ؟</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قد</w:t>
      </w:r>
      <w:r>
        <w:rPr>
          <w:rStyle w:val="FootnoteAnchor"/>
          <w:rtl w:val="true"/>
        </w:rPr>
        <w:footnoteReference w:id="1595"/>
      </w:r>
      <w:r>
        <w:rPr>
          <w:rFonts w:ascii="Amiri" w:hAnsi="Amiri" w:eastAsia="Amiri" w:cs="Amiri"/>
          <w:color w:val="111111"/>
          <w:sz w:val="28"/>
          <w:sz w:val="28"/>
          <w:szCs w:val="28"/>
          <w:rtl w:val="true"/>
          <w:lang w:bidi="ar-SA"/>
        </w:rPr>
        <w:t xml:space="preserve">قَدَّمْنا ما احتَجنا إلىٰ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نَعتَمِدُ عليه في جميعِ المَسائلِ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نَتصفَّحُ المَسائلَ التي سُطِرَت و ذُكِرَت، و نُبيِّنُ ما عندَنا فيها؛ فأمّا النُّصرةُ لها و الدَّلالةُ علىٰ صحّتِها، فهي الجُملةُ التي</w:t>
      </w:r>
      <w:r>
        <w:rPr>
          <w:rStyle w:val="FootnoteAnchor"/>
          <w:rtl w:val="true"/>
        </w:rPr>
        <w:footnoteReference w:id="1596"/>
      </w:r>
      <w:r>
        <w:rPr>
          <w:rFonts w:ascii="Amiri" w:hAnsi="Amiri" w:eastAsia="Amiri" w:cs="Amiri"/>
          <w:color w:val="111111"/>
          <w:sz w:val="28"/>
          <w:sz w:val="28"/>
          <w:szCs w:val="28"/>
          <w:rtl w:val="true"/>
          <w:lang w:bidi="ar-SA"/>
        </w:rPr>
        <w:t xml:space="preserve">قَدَّمناها، و الطريقةُ التي </w:t>
      </w:r>
    </w:p>
    <w:p>
      <w:pPr>
        <w:pStyle w:val="BookText"/>
        <w:rPr/>
      </w:pPr>
      <w:r>
        <w:rPr>
          <w:rFonts w:ascii="Amiri" w:hAnsi="Amiri" w:eastAsia="Amiri" w:cs="Amiri"/>
          <w:color w:val="111111"/>
          <w:sz w:val="28"/>
          <w:sz w:val="28"/>
          <w:szCs w:val="28"/>
          <w:rtl w:val="true"/>
          <w:lang w:bidi="ar-SA"/>
        </w:rPr>
        <w:t>أوضَحناها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اتَّفَقَ زيادةٌ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1597"/>
      </w:r>
      <w:r>
        <w:rPr>
          <w:rFonts w:ascii="Amiri" w:hAnsi="Amiri" w:eastAsia="Amiri" w:cs="Amiri"/>
          <w:color w:val="111111"/>
          <w:sz w:val="28"/>
          <w:sz w:val="28"/>
          <w:szCs w:val="28"/>
          <w:rtl w:val="true"/>
          <w:lang w:bidi="ar-SA"/>
        </w:rPr>
        <w:t>يَكونَ في بعضِ المَسائلِ‌</w:t>
      </w:r>
      <w:r>
        <w:rPr>
          <w:rStyle w:val="FootnoteAnchor"/>
          <w:rtl w:val="true"/>
        </w:rPr>
        <w:footnoteReference w:id="1598"/>
      </w:r>
      <w:r>
        <w:rPr>
          <w:rFonts w:ascii="Amiri" w:hAnsi="Amiri" w:eastAsia="Amiri" w:cs="Amiri"/>
          <w:color w:val="111111"/>
          <w:sz w:val="28"/>
          <w:sz w:val="28"/>
          <w:szCs w:val="28"/>
          <w:rtl w:val="true"/>
          <w:lang w:bidi="ar-SA"/>
        </w:rPr>
        <w:t xml:space="preserve">طريقٌ آخَرُ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نَبَّهْنا عليه و أرشَدْنا إليه بعَونِ اللّٰهِ و مَشيّتِه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هذه المَسائلَ التي ذُكِرَ انفرادُ الإماميّةِ بها، سَتوجَدُ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مشروحةً، منصورةً بالدَّلالةِ و الطرُقِ‌</w:t>
      </w:r>
      <w:r>
        <w:rPr>
          <w:rStyle w:val="FootnoteAnchor"/>
          <w:rtl w:val="true"/>
        </w:rPr>
        <w:footnoteReference w:id="1599"/>
      </w:r>
      <w:r>
        <w:rPr>
          <w:rFonts w:ascii="Amiri" w:hAnsi="Amiri" w:eastAsia="Amiri" w:cs="Amiri"/>
          <w:color w:val="111111"/>
          <w:sz w:val="28"/>
          <w:sz w:val="28"/>
          <w:szCs w:val="28"/>
          <w:rtl w:val="true"/>
          <w:lang w:bidi="ar-SA"/>
        </w:rPr>
        <w:t>الواضحةِ‌</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 الشرعيّةِ</w:t>
      </w:r>
      <w:r>
        <w:rPr>
          <w:rFonts w:eastAsia="Amiri" w:cs="Amiri" w:ascii="Amiri" w:hAnsi="Amiri"/>
          <w:color w:val="111111"/>
          <w:sz w:val="28"/>
          <w:szCs w:val="28"/>
          <w:rtl w:val="true"/>
          <w:lang w:bidi="ar-SA"/>
        </w:rPr>
        <w:t>»</w:t>
      </w:r>
      <w:r>
        <w:rPr>
          <w:rStyle w:val="FootnoteAnchor"/>
          <w:rtl w:val="true"/>
        </w:rPr>
        <w:footnoteReference w:id="1601"/>
      </w:r>
      <w:r>
        <w:rPr>
          <w:rFonts w:ascii="Amiri" w:hAnsi="Amiri" w:eastAsia="Amiri" w:cs="Amiri"/>
          <w:color w:val="111111"/>
          <w:sz w:val="28"/>
          <w:sz w:val="28"/>
          <w:szCs w:val="28"/>
          <w:rtl w:val="true"/>
          <w:lang w:bidi="ar-SA"/>
        </w:rPr>
        <w:t>التي عَمِلنا منها بعضَها، و نحنُ علىٰ تتميمِها</w:t>
      </w:r>
      <w:r>
        <w:rPr>
          <w:rStyle w:val="FootnoteAnchor"/>
          <w:rtl w:val="true"/>
        </w:rPr>
        <w:footnoteReference w:id="1602"/>
      </w:r>
      <w:r>
        <w:rPr>
          <w:rFonts w:ascii="Amiri" w:hAnsi="Amiri" w:eastAsia="Amiri" w:cs="Amiri"/>
          <w:color w:val="111111"/>
          <w:sz w:val="28"/>
          <w:sz w:val="28"/>
          <w:szCs w:val="28"/>
          <w:rtl w:val="true"/>
          <w:lang w:bidi="ar-SA"/>
        </w:rPr>
        <w:t>و تكميلِها؛ بمَعونةِ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المَسائلَ ما اعتَمَدنا في نُصرتِها الاقتصارَ علَى الأدلّةِ الدالّةِ علىٰ صَحيحٍ منها؛ بَل أضَفنا إلىٰ ذلكَ مُناظَرةَ الخُصومِ، علىٰ تسليمِ أُصولِهم</w:t>
      </w:r>
      <w:r>
        <w:rPr>
          <w:rStyle w:val="FootnoteAnchor"/>
          <w:rtl w:val="true"/>
        </w:rPr>
        <w:footnoteReference w:id="1603"/>
      </w:r>
      <w:r>
        <w:rPr>
          <w:rFonts w:ascii="Amiri" w:hAnsi="Amiri" w:eastAsia="Amiri" w:cs="Amiri"/>
          <w:color w:val="111111"/>
          <w:sz w:val="28"/>
          <w:sz w:val="28"/>
          <w:szCs w:val="28"/>
          <w:rtl w:val="true"/>
          <w:lang w:bidi="ar-SA"/>
        </w:rPr>
        <w:t>و مُناقَضتِهم؛ بأنْ بيّنّا أنّ‌</w:t>
      </w:r>
      <w:r>
        <w:rPr>
          <w:rStyle w:val="FootnoteAnchor"/>
          <w:rtl w:val="true"/>
        </w:rPr>
        <w:footnoteReference w:id="1604"/>
      </w:r>
      <w:r>
        <w:rPr>
          <w:rFonts w:ascii="Amiri" w:hAnsi="Amiri" w:eastAsia="Amiri" w:cs="Amiri"/>
          <w:color w:val="111111"/>
          <w:sz w:val="28"/>
          <w:sz w:val="28"/>
          <w:szCs w:val="28"/>
          <w:rtl w:val="true"/>
          <w:lang w:bidi="ar-SA"/>
        </w:rPr>
        <w:t xml:space="preserve">القياسَ لَو كانَ صَحيحاً، و أخبارَ الآحادِ لَو كانَت معمولاً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يَذهَبونَ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مَذاهبُنا في الشرعيّاتِ كُلِّها أَولىٰ مِن مَذاهبِهم، و أشبَهَ بهذه الأُصولِ التي عليها يُعوِّلونَ؛ و رَكِبنا في ذلكَ مَركَباً غَريباً يُمكِنُ معه مُناظَرةُ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مَسائلِ الفقهِ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نَظَرَ فيما خَرَجَ إلَى الآنَ مِن هذا الكتابِ، عَلِمَ أنّ المَنفَعةَ به عَظيمةٌ، و الطريقةَ فيه غَريبةٌ؛ و مِنَ اللّٰهِ أستَمِدُّ المَعونةَ‌</w:t>
      </w:r>
      <w:r>
        <w:rPr>
          <w:rStyle w:val="FootnoteAnchor"/>
          <w:rtl w:val="true"/>
        </w:rPr>
        <w:footnoteReference w:id="1605"/>
      </w:r>
      <w:r>
        <w:rPr>
          <w:rFonts w:ascii="Amiri" w:hAnsi="Amiri" w:eastAsia="Amiri" w:cs="Amiri"/>
          <w:color w:val="111111"/>
          <w:sz w:val="28"/>
          <w:sz w:val="28"/>
          <w:szCs w:val="28"/>
          <w:rtl w:val="true"/>
          <w:lang w:bidi="ar-SA"/>
        </w:rPr>
        <w:t>و التوفيقَ في كُلِّ قولٍ و فِعلٍ</w:t>
      </w:r>
      <w:r>
        <w:rPr>
          <w:rFonts w:eastAsia="Amiri" w:cs="Amiri" w:ascii="Amiri" w:hAnsi="Amiri"/>
          <w:color w:val="111111"/>
          <w:sz w:val="28"/>
          <w:szCs w:val="28"/>
          <w:rtl w:val="true"/>
          <w:lang w:bidi="ar-SA"/>
        </w:rPr>
        <w:t xml:space="preserve">. </w:t>
      </w:r>
      <w:bookmarkStart w:id="343" w:name="pg16437_172587"/>
    </w:p>
    <w:p>
      <w:pPr>
        <w:pStyle w:val="Heading4"/>
        <w:numPr>
          <w:ilvl w:val="3"/>
          <w:numId w:val="1"/>
        </w:numPr>
        <w:rPr/>
      </w:pPr>
      <w:bookmarkStart w:id="344" w:name="__RefHeading___Toc8039693_1280447820"/>
      <w:bookmarkStart w:id="345" w:name="_Toc121"/>
      <w:bookmarkEnd w:id="343"/>
      <w:bookmarkEnd w:id="344"/>
      <w:r>
        <w:rPr>
          <w:rtl w:val="true"/>
        </w:rPr>
        <w:t>أحكامُ الطهارةِ‌</w:t>
      </w:r>
      <w:bookmarkEnd w:id="345"/>
    </w:p>
    <w:p>
      <w:pPr>
        <w:pStyle w:val="Heading5"/>
        <w:numPr>
          <w:ilvl w:val="4"/>
          <w:numId w:val="1"/>
        </w:numPr>
        <w:rPr/>
      </w:pPr>
      <w:bookmarkStart w:id="346" w:name="__RefHeading___Toc8039695_1280447820"/>
      <w:bookmarkStart w:id="347" w:name="_Toc122"/>
      <w:bookmarkEnd w:id="346"/>
      <w:r>
        <w:rPr>
          <w:rtl w:val="true"/>
        </w:rPr>
        <w:t>المَسألةُ الأُولىٰ كَيفيّةُ غَسلِ اليَدَينِ في الوضوءِ‌</w:t>
      </w:r>
      <w:bookmarkEnd w:id="347"/>
    </w:p>
    <w:p>
      <w:pPr>
        <w:pStyle w:val="BookText"/>
        <w:rPr/>
      </w:pPr>
      <w:r>
        <w:rPr>
          <w:rFonts w:ascii="Amiri" w:hAnsi="Amiri" w:eastAsia="Amiri" w:cs="Amiri"/>
          <w:color w:val="111111"/>
          <w:sz w:val="28"/>
          <w:sz w:val="28"/>
          <w:szCs w:val="28"/>
          <w:rtl w:val="true"/>
          <w:lang w:bidi="ar-SA"/>
        </w:rPr>
        <w:t>غَسلُ اليَدَينِ مِن المِرفَقَينِ إلىٰ أطرافِ الأصابعِ، غيرَ مُستَقبِلٍ للشَّعرِ؛ و استقبالُه يَنقُضُ‌</w:t>
      </w:r>
      <w:r>
        <w:rPr>
          <w:rStyle w:val="FootnoteAnchor"/>
          <w:rtl w:val="true"/>
        </w:rPr>
        <w:footnoteReference w:id="1606"/>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و اعلَمْ أنّ الِابتداءَ بالمِرفَقَينِ في غَسلِ اليَدَينِ هو المسنونُ، و خِلافُ ذلكَ مكروهٌ، و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يَنقُضُ الوضوءَ؛ حتّىٰ لَو أنّ فاعلاً فَعَلَه لَكانَ لا يُجزئُ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يَقدِرُ أحَدٌ أن يَحكيَ عن</w:t>
      </w:r>
      <w:r>
        <w:rPr>
          <w:rStyle w:val="FootnoteAnchor"/>
          <w:rtl w:val="true"/>
        </w:rPr>
        <w:footnoteReference w:id="1608"/>
      </w:r>
      <w:r>
        <w:rPr>
          <w:rFonts w:ascii="Amiri" w:hAnsi="Amiri" w:eastAsia="Amiri" w:cs="Amiri"/>
          <w:color w:val="111111"/>
          <w:sz w:val="28"/>
          <w:sz w:val="28"/>
          <w:szCs w:val="28"/>
          <w:rtl w:val="true"/>
          <w:lang w:bidi="ar-SA"/>
        </w:rPr>
        <w:t>أصحابِنا المُحصِّلينَ تصريحاً بأنّ مَن خالَفَ ذلكَ فلا وضوءَ 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جميعُ ما وَرَدَ في الأخبارِ مِن تغليظِ ذلكَ و التشديدِ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محمولٌ علىٰ شِدّةِ الكَراهةِ، دونَ الوجوبِ و اللُّزومِ؛ و قد يُقالُ في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المسنونِ المُغلَّظِ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1609"/>
      </w:r>
      <w:r>
        <w:rPr>
          <w:rFonts w:ascii="Amiri" w:hAnsi="Amiri" w:eastAsia="Amiri" w:cs="Amiri"/>
          <w:color w:val="111111"/>
          <w:sz w:val="28"/>
          <w:sz w:val="28"/>
          <w:szCs w:val="28"/>
          <w:rtl w:val="true"/>
          <w:lang w:bidi="ar-SA"/>
        </w:rPr>
        <w:t>هذه الألفاظِ ما يَزيدُ علىٰ ذلكَ، و لا يَدُلُّ علَى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الذي يَدُلُّ علىٰ صِحّةِ مَذهبِنا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Style w:val="FootnoteAnchor"/>
          <w:rtl w:val="true"/>
        </w:rPr>
        <w:footnoteReference w:id="1610"/>
      </w:r>
      <w:r>
        <w:rPr>
          <w:rFonts w:ascii="Amiri" w:hAnsi="Amiri" w:eastAsia="Amiri" w:cs="Amiri"/>
          <w:color w:val="111111"/>
          <w:sz w:val="28"/>
          <w:sz w:val="28"/>
          <w:szCs w:val="28"/>
          <w:rtl w:val="true"/>
          <w:lang w:bidi="ar-SA"/>
        </w:rPr>
        <w:t xml:space="preserve">أنّ جميعَ الفقهاءِ يُخالِفو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في أنّه مسنونٌ، و أنّ خِلافَه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w:t>
      </w:r>
      <w:r>
        <w:rPr>
          <w:rStyle w:val="FootnoteAnchor"/>
          <w:rtl w:val="true"/>
        </w:rPr>
        <w:footnoteReference w:id="1611"/>
      </w:r>
      <w:r>
        <w:rPr>
          <w:rFonts w:ascii="Amiri" w:hAnsi="Amiri" w:eastAsia="Amiri" w:cs="Amiri"/>
          <w:color w:val="111111"/>
          <w:sz w:val="28"/>
          <w:sz w:val="28"/>
          <w:szCs w:val="28"/>
          <w:rtl w:val="true"/>
          <w:lang w:bidi="ar-SA"/>
        </w:rPr>
        <w:t>الإماميّةِ، الذي بيّنّا أنّه حُجّةٌ؛ لدخولِ قولِ المعصومِ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خالَفتم ظاهرَ القُرآنِ؛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1613"/>
      </w:r>
      <w:r>
        <w:rPr>
          <w:rFonts w:ascii="Amiri" w:hAnsi="Amiri" w:eastAsia="Amiri" w:cs="Amiri"/>
          <w:color w:val="111111"/>
          <w:sz w:val="28"/>
          <w:sz w:val="28"/>
          <w:szCs w:val="28"/>
          <w:rtl w:val="true"/>
          <w:lang w:bidi="ar-SA"/>
        </w:rPr>
        <w:t>فجَعَلَ المَرافِقَ‌</w:t>
      </w:r>
      <w:r>
        <w:rPr>
          <w:rStyle w:val="FootnoteAnchor"/>
          <w:rtl w:val="true"/>
        </w:rPr>
        <w:footnoteReference w:id="1614"/>
      </w:r>
      <w:r>
        <w:rPr>
          <w:rFonts w:ascii="Amiri" w:hAnsi="Amiri" w:eastAsia="Amiri" w:cs="Amiri"/>
          <w:color w:val="111111"/>
          <w:sz w:val="28"/>
          <w:sz w:val="28"/>
          <w:szCs w:val="28"/>
          <w:rtl w:val="true"/>
          <w:lang w:bidi="ar-SA"/>
        </w:rPr>
        <w:t>غايةً، و أنتم قد جَعَلتم المَرافِقَ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تكونُ في اللغةِ العربيّةِ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أَمْوٰالَهُمْ إِلىٰ أَمْوٰالِكُمْ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حِكايةً عن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xml:space="preserve">» </w:t>
      </w:r>
      <w:r>
        <w:rPr>
          <w:rStyle w:val="FootnoteAnchor"/>
          <w:rtl w:val="true"/>
        </w:rPr>
        <w:footnoteReference w:id="1615"/>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فُلانٌ الكوفةَ إلَى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يُريدونَ غايةً؛ بَل يُريدونَ‌</w:t>
      </w:r>
      <w:r>
        <w:rPr>
          <w:rStyle w:val="FootnoteAnchor"/>
          <w:rtl w:val="true"/>
        </w:rPr>
        <w:footnoteReference w:id="1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هذا البَلَدَ مع هذا البَلَدِ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النابغةُ الذُّبيانيُّ‌</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فلا تَترُكَنّي بالوَعيدِ؛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مَطليٌّ به القارُ أجرَبُ‌</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الناسِ، أو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ذو الرُّمّةِ‌</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 كُلُّ خَوّارٍ إلىٰ كُلِّ صَعْلَةٍ‌</w:t>
      </w:r>
      <w:r>
        <w:rPr>
          <w:rStyle w:val="FootnoteAnchor"/>
          <w:rtl w:val="true"/>
        </w:rPr>
        <w:footnoteReference w:id="1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ضَهولٍ‌</w:t>
      </w:r>
      <w:r>
        <w:rPr>
          <w:rStyle w:val="FootnoteAnchor"/>
          <w:rtl w:val="true"/>
        </w:rPr>
        <w:footnoteReference w:id="1621"/>
      </w:r>
      <w:r>
        <w:rPr>
          <w:rFonts w:ascii="Amiri" w:hAnsi="Amiri" w:eastAsia="Amiri" w:cs="Amiri"/>
          <w:color w:val="111111"/>
          <w:sz w:val="28"/>
          <w:sz w:val="28"/>
          <w:szCs w:val="28"/>
          <w:rtl w:val="true"/>
          <w:lang w:bidi="ar-SA"/>
        </w:rPr>
        <w:t>، و رَفضُ‌</w:t>
      </w:r>
      <w:r>
        <w:rPr>
          <w:rStyle w:val="FootnoteAnchor"/>
          <w:rtl w:val="true"/>
        </w:rPr>
        <w:footnoteReference w:id="1622"/>
      </w:r>
      <w:r>
        <w:rPr>
          <w:rFonts w:ascii="Amiri" w:hAnsi="Amiri" w:eastAsia="Amiri" w:cs="Amiri"/>
          <w:color w:val="111111"/>
          <w:sz w:val="28"/>
          <w:sz w:val="28"/>
          <w:szCs w:val="28"/>
          <w:rtl w:val="true"/>
          <w:lang w:bidi="ar-SA"/>
        </w:rPr>
        <w:t>المُذْرِعاتِ‌</w:t>
      </w:r>
      <w:r>
        <w:rPr>
          <w:rStyle w:val="FootnoteAnchor"/>
          <w:rtl w:val="true"/>
        </w:rPr>
        <w:footnoteReference w:id="1623"/>
      </w:r>
      <w:r>
        <w:rPr>
          <w:rFonts w:ascii="Amiri" w:hAnsi="Amiri" w:eastAsia="Amiri" w:cs="Amiri"/>
          <w:color w:val="111111"/>
          <w:sz w:val="28"/>
          <w:sz w:val="28"/>
          <w:szCs w:val="28"/>
          <w:rtl w:val="true"/>
          <w:lang w:bidi="ar-SA"/>
        </w:rPr>
        <w:t>القَراهِبِ‌</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ذي الرُّمَّة،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صَعْلةٍ‌</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امرُؤُ القَيسِ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كَفَلٌ‌</w:t>
      </w:r>
      <w:r>
        <w:rPr>
          <w:rStyle w:val="FootnoteAnchor"/>
          <w:rtl w:val="true"/>
        </w:rPr>
        <w:footnoteReference w:id="1626"/>
      </w:r>
      <w:r>
        <w:rPr>
          <w:rFonts w:ascii="Amiri" w:hAnsi="Amiri" w:eastAsia="Amiri" w:cs="Amiri"/>
          <w:color w:val="111111"/>
          <w:sz w:val="28"/>
          <w:sz w:val="28"/>
          <w:szCs w:val="28"/>
          <w:rtl w:val="true"/>
          <w:lang w:bidi="ar-SA"/>
        </w:rPr>
        <w:t>كالدِّعْصِ‌</w:t>
      </w:r>
      <w:r>
        <w:rPr>
          <w:rStyle w:val="FootnoteAnchor"/>
          <w:rtl w:val="true"/>
        </w:rPr>
        <w:footnoteReference w:id="1627"/>
      </w:r>
      <w:r>
        <w:rPr>
          <w:rFonts w:ascii="Amiri" w:hAnsi="Amiri" w:eastAsia="Amiri" w:cs="Amiri"/>
          <w:color w:val="111111"/>
          <w:sz w:val="28"/>
          <w:sz w:val="28"/>
          <w:szCs w:val="28"/>
          <w:rtl w:val="true"/>
          <w:lang w:bidi="ar-SA"/>
        </w:rPr>
        <w:t>لَبَّدَهُ‌</w:t>
      </w:r>
      <w:r>
        <w:rPr>
          <w:rStyle w:val="FootnoteAnchor"/>
          <w:rtl w:val="true"/>
        </w:rPr>
        <w:footnoteReference w:id="1628"/>
      </w:r>
      <w:r>
        <w:rPr>
          <w:rFonts w:ascii="Amiri" w:hAnsi="Amiri" w:eastAsia="Amiri" w:cs="Amiri"/>
          <w:color w:val="111111"/>
          <w:sz w:val="28"/>
          <w:sz w:val="28"/>
          <w:szCs w:val="28"/>
          <w:rtl w:val="true"/>
          <w:lang w:bidi="ar-SA"/>
        </w:rPr>
        <w:t>النَّدىٰ‌</w:t>
      </w:r>
      <w:r>
        <w:rPr>
          <w:rStyle w:val="FootnoteAnchor"/>
          <w:rtl w:val="true"/>
        </w:rPr>
        <w:footnoteReference w:id="1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حارِكٍ‌</w:t>
      </w:r>
      <w:r>
        <w:rPr>
          <w:rStyle w:val="FootnoteAnchor"/>
          <w:rtl w:val="true"/>
        </w:rPr>
        <w:footnoteReference w:id="1630"/>
      </w:r>
      <w:r>
        <w:rPr>
          <w:rFonts w:ascii="Amiri" w:hAnsi="Amiri" w:eastAsia="Amiri" w:cs="Amiri"/>
          <w:color w:val="111111"/>
          <w:sz w:val="28"/>
          <w:sz w:val="28"/>
          <w:szCs w:val="28"/>
          <w:rtl w:val="true"/>
          <w:lang w:bidi="ar-SA"/>
        </w:rPr>
        <w:t>مِثلِ الرِّتاجِ‌</w:t>
      </w:r>
      <w:r>
        <w:rPr>
          <w:rStyle w:val="FootnoteAnchor"/>
          <w:rtl w:val="true"/>
        </w:rPr>
        <w:footnoteReference w:id="1631"/>
      </w:r>
      <w:r>
        <w:rPr>
          <w:rFonts w:ascii="Amiri" w:hAnsi="Amiri" w:eastAsia="Amiri" w:cs="Amiri"/>
          <w:color w:val="111111"/>
          <w:sz w:val="28"/>
          <w:sz w:val="28"/>
          <w:szCs w:val="28"/>
          <w:rtl w:val="true"/>
          <w:lang w:bidi="ar-SA"/>
        </w:rPr>
        <w:t>المُنَصَّبِ‌</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حارِكٍ‌</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 علَى احتمالِ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Style w:val="FootnoteAnchor"/>
          <w:rtl w:val="true"/>
        </w:rPr>
        <w:footnoteReference w:id="1634"/>
      </w:r>
      <w:r>
        <w:rPr>
          <w:rFonts w:ascii="Amiri" w:hAnsi="Amiri" w:eastAsia="Amiri" w:cs="Amiri"/>
          <w:color w:val="111111"/>
          <w:sz w:val="28"/>
          <w:sz w:val="28"/>
          <w:szCs w:val="28"/>
          <w:rtl w:val="true"/>
          <w:lang w:bidi="ar-SA"/>
        </w:rPr>
        <w:t>الغايةِ و غيرِها، فمِن أينَ أنّها في الآيةِ لغَيرِ معنَى الغايةِ؟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إسقاطِ استدلالِكم بالآيةِ أن تَكونَ الآيةُ مُحتَمِلةً‌</w:t>
      </w:r>
      <w:r>
        <w:rPr>
          <w:rStyle w:val="FootnoteAnchor"/>
          <w:rtl w:val="true"/>
        </w:rPr>
        <w:footnoteReference w:id="1635"/>
      </w:r>
      <w:r>
        <w:rPr>
          <w:rFonts w:ascii="Amiri" w:hAnsi="Amiri" w:eastAsia="Amiri" w:cs="Amiri"/>
          <w:color w:val="111111"/>
          <w:sz w:val="28"/>
          <w:sz w:val="28"/>
          <w:szCs w:val="28"/>
          <w:rtl w:val="true"/>
          <w:lang w:bidi="ar-SA"/>
        </w:rPr>
        <w:t>لِما قُلناه و لِما قُلتموه، فهي دليلُنا و دليلُكم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فلَو كانَت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محمولةً علَى الغايةِ، لَوَجَبَ أن يَكونَ </w:t>
      </w:r>
      <w:bookmarkStart w:id="348" w:name="pg16437_172591"/>
    </w:p>
    <w:p>
      <w:pPr>
        <w:pStyle w:val="BookText"/>
        <w:rPr/>
      </w:pPr>
      <w:bookmarkEnd w:id="348"/>
      <w:r>
        <w:rPr>
          <w:rFonts w:ascii="Amiri" w:hAnsi="Amiri" w:eastAsia="Amiri" w:cs="Amiri"/>
          <w:color w:val="111111"/>
          <w:sz w:val="28"/>
          <w:sz w:val="28"/>
          <w:szCs w:val="28"/>
          <w:rtl w:val="true"/>
          <w:lang w:bidi="ar-SA"/>
        </w:rPr>
        <w:t>مَن لَم يَبتَدِئْ‌</w:t>
      </w:r>
      <w:r>
        <w:rPr>
          <w:rStyle w:val="FootnoteAnchor"/>
          <w:rtl w:val="true"/>
        </w:rPr>
        <w:footnoteReference w:id="1636"/>
      </w:r>
      <w:r>
        <w:rPr>
          <w:rFonts w:ascii="Amiri" w:hAnsi="Amiri" w:eastAsia="Amiri" w:cs="Amiri"/>
          <w:color w:val="111111"/>
          <w:sz w:val="28"/>
          <w:sz w:val="28"/>
          <w:szCs w:val="28"/>
          <w:rtl w:val="true"/>
          <w:lang w:bidi="ar-SA"/>
        </w:rPr>
        <w:t>بالأَصابعِ و يَنتَهِ‌</w:t>
      </w:r>
      <w:r>
        <w:rPr>
          <w:rStyle w:val="FootnoteAnchor"/>
          <w:rtl w:val="true"/>
        </w:rPr>
        <w:footnoteReference w:id="1637"/>
      </w:r>
      <w:r>
        <w:rPr>
          <w:rFonts w:ascii="Amiri" w:hAnsi="Amiri" w:eastAsia="Amiri" w:cs="Amiri"/>
          <w:color w:val="111111"/>
          <w:sz w:val="28"/>
          <w:sz w:val="28"/>
          <w:szCs w:val="28"/>
          <w:rtl w:val="true"/>
          <w:lang w:bidi="ar-SA"/>
        </w:rPr>
        <w:t>إلَى المَرافقِ عاصياً مُخالِفاً للأمرِ؛ و أجمَعَ المُسلِمونَ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حَمَلنا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تقديرُ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أيديَكم مَعَ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الصحيحُ، الذي لا يَدفَعُه إجماعٌ و لا حُجّةٌ، كما قُلنا فيمَن حَمَلَ ذلكَ علَى الغايةِ</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8039697_1280447820"/>
      <w:bookmarkStart w:id="350" w:name="_Toc123"/>
      <w:bookmarkEnd w:id="349"/>
      <w:r>
        <w:rPr>
          <w:rtl w:val="true"/>
        </w:rPr>
        <w:t>المَسألةُ الثانيةُ كَيفيّةُ مَسحِ الرأسِ في الوضوءِ‌</w:t>
      </w:r>
      <w:bookmarkEnd w:id="350"/>
    </w:p>
    <w:p>
      <w:pPr>
        <w:pStyle w:val="Heading6"/>
        <w:numPr>
          <w:ilvl w:val="5"/>
          <w:numId w:val="1"/>
        </w:numPr>
        <w:rPr/>
      </w:pPr>
      <w:bookmarkStart w:id="351" w:name="__RefHeading___Toc8039699_1280447820"/>
      <w:bookmarkStart w:id="352" w:name="_Toc124"/>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مَسحُ مُقدَّمِ الرأسِ، غيرَ مُستَقبِلِ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هذه الكَيفيّةَ أيضاً في مَسحِ الرأسِ مسنونةٌ، و يُكرَهُ تَركُها و مُخالَفتُها، و إن كانَ مَن خالَفَها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استَقبَلَ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تارِكاً للفَضلِ، و مُخالِفاً للسُّنّةِ، إلّاأنّ فِعلَه مُجزٍ، يَستَبيحُ‌</w:t>
      </w:r>
      <w:r>
        <w:rPr>
          <w:rStyle w:val="FootnoteAnchor"/>
          <w:rtl w:val="true"/>
        </w:rPr>
        <w:footnoteReference w:id="1638"/>
      </w:r>
      <w:r>
        <w:rPr>
          <w:rFonts w:ascii="Amiri" w:hAnsi="Amiri" w:eastAsia="Amiri" w:cs="Amiri"/>
          <w:color w:val="111111"/>
          <w:sz w:val="28"/>
          <w:sz w:val="28"/>
          <w:szCs w:val="28"/>
          <w:rtl w:val="true"/>
          <w:lang w:bidi="ar-SA"/>
        </w:rPr>
        <w:t>بمِثلِه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إجماعِ الإماميّةِ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يُحتَجَّ فيه مِن طريقِ الاحتياطِ، بأنّ مَن لَم يَستَقبِلِ الشَّعرَ في مَسحِ الرأسِ، لا خِلافَ بَينَ الأُمّةِ في أنّه لَم يَعصِ و لَم يُبدِعْ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استَقبَلَ الشَّعرَ اختُلِفَ فيه؛ فمِن</w:t>
      </w:r>
      <w:r>
        <w:rPr>
          <w:rStyle w:val="FootnoteAnchor"/>
          <w:rtl w:val="true"/>
        </w:rPr>
        <w:footnoteReference w:id="1639"/>
      </w:r>
      <w:r>
        <w:rPr>
          <w:rFonts w:ascii="Amiri" w:hAnsi="Amiri" w:eastAsia="Amiri" w:cs="Amiri"/>
          <w:color w:val="111111"/>
          <w:sz w:val="28"/>
          <w:sz w:val="28"/>
          <w:szCs w:val="28"/>
          <w:rtl w:val="true"/>
          <w:lang w:bidi="ar-SA"/>
        </w:rPr>
        <w:t>الناسِ مَن يُبدِّعُه و يُخطِّئُه، و منهم من يُصوِّبُه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و الاستظهارُ تَركُ الِاستقبالِ، ففيه الأمانُ مِن التبديعِ و التخطئةِ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تُستَعمَلَ هذه الطريقةُ المَبنيّةُ علَى الاحتياطِ في المَسألةِ الأُولىٰ</w:t>
      </w:r>
      <w:r>
        <w:rPr>
          <w:rFonts w:eastAsia="Amiri" w:cs="Amiri" w:ascii="Amiri" w:hAnsi="Amiri"/>
          <w:color w:val="111111"/>
          <w:sz w:val="28"/>
          <w:szCs w:val="28"/>
          <w:rtl w:val="true"/>
          <w:lang w:bidi="ar-SA"/>
        </w:rPr>
        <w:t xml:space="preserve">. </w:t>
      </w:r>
      <w:bookmarkStart w:id="353" w:name="pg16437_172592"/>
    </w:p>
    <w:p>
      <w:pPr>
        <w:pStyle w:val="Heading6"/>
        <w:numPr>
          <w:ilvl w:val="5"/>
          <w:numId w:val="1"/>
        </w:numPr>
        <w:rPr/>
      </w:pPr>
      <w:bookmarkStart w:id="354" w:name="__RefHeading___Toc8039701_1280447820"/>
      <w:bookmarkStart w:id="355" w:name="_Toc125"/>
      <w:bookmarkEnd w:id="353"/>
      <w:bookmarkEnd w:id="354"/>
      <w:r>
        <w:rPr>
          <w:rtl w:val="true"/>
        </w:rPr>
        <w:t>عدم جواز مسحِ جميع الرأس، و غَسلِ الرِّجلَين</w:t>
      </w:r>
      <w:bookmarkEnd w:id="35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الطريقةُ التي سَلَكتموها في اعتبارِ الاحتياطِ توجِبُ عليكم القولَ أنّ مسحَ جميعِ الرأسِ أَولىٰ و أحوَطُ؛ لأنّ مَن مَسَحَ بعضَ رأسِه يَذهبُ قومٌ مِن أهلِ العِلمِ إلىٰ أنّه ما أدَّى الفَرضَ، و إذا مَسَحَ الجميعَ فبالإجماعِ يَكونُ مؤدّياً للفَرضِ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قيلَ فيمن غَسَلَ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فَعَلَ ما يأتي علَى</w:t>
      </w:r>
      <w:r>
        <w:rPr>
          <w:rStyle w:val="FootnoteAnchor"/>
          <w:rtl w:val="true"/>
        </w:rPr>
        <w:footnoteReference w:id="1640"/>
      </w:r>
      <w:r>
        <w:rPr>
          <w:rFonts w:ascii="Amiri" w:hAnsi="Amiri" w:eastAsia="Amiri" w:cs="Amiri"/>
          <w:color w:val="111111"/>
          <w:sz w:val="28"/>
          <w:sz w:val="28"/>
          <w:szCs w:val="28"/>
          <w:rtl w:val="true"/>
          <w:lang w:bidi="ar-SA"/>
        </w:rPr>
        <w:t>المَسحِ و الغَسلِ، فهو مؤَدٍّ للفَرضِ باتّفاقٍ؛ و لَيسَ كذلكَ مَن مَسَحَ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بخِلافِ ما ظُنَّ؛ لأنّ مِن</w:t>
      </w:r>
      <w:r>
        <w:rPr>
          <w:rStyle w:val="FootnoteAnchor"/>
          <w:rtl w:val="true"/>
        </w:rPr>
        <w:footnoteReference w:id="1641"/>
      </w:r>
      <w:r>
        <w:rPr>
          <w:rFonts w:ascii="Amiri" w:hAnsi="Amiri" w:eastAsia="Amiri" w:cs="Amiri"/>
          <w:color w:val="111111"/>
          <w:sz w:val="28"/>
          <w:sz w:val="28"/>
          <w:szCs w:val="28"/>
          <w:rtl w:val="true"/>
          <w:lang w:bidi="ar-SA"/>
        </w:rPr>
        <w:t>مَذهَبِنا أنّ مَن مَسَحَ جميعَ رأسِه مُعتَقِداً أداءَ الفَرضِ، فهو مُبدِعٌ مُخطئٌ، و لا إجماعَ فيمن مَسَحَ جميعَ رأسِه أنّه سَليمٌ مِن التخطئةِ و التبديعِ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غَسَلَ رِجلَيه عندَنا فما مَسَحَهما، و لا يَجوزُ له أن يَستَبيحَ‌</w:t>
      </w:r>
      <w:r>
        <w:rPr>
          <w:rStyle w:val="FootnoteAnchor"/>
          <w:rtl w:val="true"/>
        </w:rPr>
        <w:footnoteReference w:id="1642"/>
      </w:r>
      <w:r>
        <w:rPr>
          <w:rFonts w:ascii="Amiri" w:hAnsi="Amiri" w:eastAsia="Amiri" w:cs="Amiri"/>
          <w:color w:val="111111"/>
          <w:sz w:val="28"/>
          <w:sz w:val="28"/>
          <w:szCs w:val="28"/>
          <w:rtl w:val="true"/>
          <w:lang w:bidi="ar-SA"/>
        </w:rPr>
        <w:t>الصلاةَ بغَسلِ رِجلَيه؛ لأنّ الغَسلَ و المَسحَ يَتَنافَيانِ، و لا يَدخُلُ أحَدُهما في صاحبِه علىٰ ما ظَنَّه قومٌ</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8039703_1280447820"/>
      <w:bookmarkStart w:id="357" w:name="_Toc126"/>
      <w:bookmarkEnd w:id="356"/>
      <w:r>
        <w:rPr>
          <w:rtl w:val="true"/>
        </w:rPr>
        <w:t>المَسألةُ الثالثةُ حُكمُ مَسحِ الأُذُنَينِ أو غَسلِهما</w:t>
      </w:r>
      <w:bookmarkEnd w:id="357"/>
    </w:p>
    <w:p>
      <w:pPr>
        <w:pStyle w:val="BookText"/>
        <w:rPr/>
      </w:pPr>
      <w:r>
        <w:rPr>
          <w:rFonts w:ascii="Amiri" w:hAnsi="Amiri" w:eastAsia="Amiri" w:cs="Amiri"/>
          <w:color w:val="111111"/>
          <w:sz w:val="28"/>
          <w:sz w:val="28"/>
          <w:szCs w:val="28"/>
          <w:rtl w:val="true"/>
          <w:lang w:bidi="ar-SA"/>
        </w:rPr>
        <w:t>و الذي</w:t>
      </w:r>
      <w:r>
        <w:rPr>
          <w:rStyle w:val="FootnoteAnchor"/>
          <w:rtl w:val="true"/>
        </w:rPr>
        <w:footnoteReference w:id="1643"/>
      </w:r>
      <w:r>
        <w:rPr>
          <w:rFonts w:ascii="Amiri" w:hAnsi="Amiri" w:eastAsia="Amiri" w:cs="Amiri"/>
          <w:color w:val="111111"/>
          <w:sz w:val="28"/>
          <w:sz w:val="28"/>
          <w:szCs w:val="28"/>
          <w:rtl w:val="true"/>
          <w:lang w:bidi="ar-SA"/>
        </w:rPr>
        <w:t>تَذهبُ إليه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مَسحَ الأُذُنَينِ أو غَسلَهما</w:t>
      </w:r>
      <w:r>
        <w:rPr>
          <w:rStyle w:val="FootnoteAnchor"/>
          <w:rtl w:val="true"/>
        </w:rPr>
        <w:footnoteReference w:id="1644"/>
      </w:r>
      <w:r>
        <w:rPr>
          <w:rFonts w:ascii="Amiri" w:hAnsi="Amiri" w:eastAsia="Amiri" w:cs="Amiri"/>
          <w:color w:val="111111"/>
          <w:sz w:val="28"/>
          <w:sz w:val="28"/>
          <w:szCs w:val="28"/>
          <w:rtl w:val="true"/>
          <w:lang w:bidi="ar-SA"/>
        </w:rPr>
        <w:t>غيرُ واجبٍ و لا مسنونٍ علىٰ كُلِّ وجهٍ، لا مع الرأسِ، و لا مع الوجهِ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 جميعُ مَن خالَفَنا</w:t>
      </w:r>
      <w:r>
        <w:rPr>
          <w:rStyle w:val="FootnoteAnchor"/>
          <w:rtl w:val="true"/>
        </w:rPr>
        <w:footnoteReference w:id="1645"/>
      </w:r>
      <w:r>
        <w:rPr>
          <w:rFonts w:ascii="Amiri" w:hAnsi="Amiri" w:eastAsia="Amiri" w:cs="Amiri"/>
          <w:color w:val="111111"/>
          <w:sz w:val="28"/>
          <w:sz w:val="28"/>
          <w:szCs w:val="28"/>
          <w:rtl w:val="true"/>
          <w:lang w:bidi="ar-SA"/>
        </w:rPr>
        <w:t xml:space="preserve">مِن الفقهاءِ علىٰ أنّ مَسحَهما مسنونٌ غيرُ واجبٍ، </w:t>
      </w:r>
    </w:p>
    <w:p>
      <w:pPr>
        <w:pStyle w:val="BookText"/>
        <w:rPr/>
      </w:pPr>
      <w:r>
        <w:rPr>
          <w:rFonts w:ascii="Amiri" w:hAnsi="Amiri" w:eastAsia="Amiri" w:cs="Amiri"/>
          <w:color w:val="111111"/>
          <w:sz w:val="28"/>
          <w:sz w:val="28"/>
          <w:szCs w:val="28"/>
          <w:rtl w:val="true"/>
          <w:lang w:bidi="ar-SA"/>
        </w:rPr>
        <w:t>إلّا ما يَروونَ عن إسحاقَ بنِ راهَوَيهِ‌</w:t>
      </w:r>
      <w:r>
        <w:rPr>
          <w:rStyle w:val="FootnoteAnchor"/>
          <w:rtl w:val="true"/>
        </w:rPr>
        <w:footnoteReference w:id="1646"/>
      </w:r>
      <w:r>
        <w:rPr>
          <w:rFonts w:ascii="Amiri" w:hAnsi="Amiri" w:eastAsia="Amiri" w:cs="Amiri"/>
          <w:color w:val="111111"/>
          <w:sz w:val="28"/>
          <w:sz w:val="28"/>
          <w:szCs w:val="28"/>
          <w:rtl w:val="true"/>
          <w:lang w:bidi="ar-SA"/>
        </w:rPr>
        <w:t>فإنّه يُحكىٰ عنه إيجابُ المَسحِ عليهما</w:t>
      </w:r>
      <w:r>
        <w:rPr>
          <w:rStyle w:val="FootnoteAnchor"/>
          <w:rtl w:val="true"/>
        </w:rPr>
        <w:footnoteReference w:id="1647"/>
      </w:r>
      <w:r>
        <w:rPr>
          <w:rFonts w:ascii="Amiri" w:hAnsi="Amiri" w:eastAsia="Amiri" w:cs="Amiri"/>
          <w:color w:val="111111"/>
          <w:sz w:val="28"/>
          <w:sz w:val="28"/>
          <w:szCs w:val="28"/>
          <w:rtl w:val="true"/>
          <w:lang w:bidi="ar-SA"/>
        </w:rPr>
        <w:t>، و هذا قولٌ شاذٌّ، قد تَقَّدمَه</w:t>
      </w:r>
      <w:r>
        <w:rPr>
          <w:rStyle w:val="FootnoteAnchor"/>
          <w:rtl w:val="true"/>
        </w:rPr>
        <w:footnoteReference w:id="1648"/>
      </w:r>
      <w:r>
        <w:rPr>
          <w:rFonts w:ascii="Amiri" w:hAnsi="Amiri" w:eastAsia="Amiri" w:cs="Amiri"/>
          <w:color w:val="111111"/>
          <w:sz w:val="28"/>
          <w:sz w:val="28"/>
          <w:szCs w:val="28"/>
          <w:rtl w:val="true"/>
          <w:lang w:bidi="ar-SA"/>
        </w:rPr>
        <w:t>الإجماعُ و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القائلونَ بأنّ مَسحَهما مسنونٌ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الأُذُنانِ‌</w:t>
      </w:r>
      <w:r>
        <w:rPr>
          <w:rStyle w:val="FootnoteAnchor"/>
          <w:rtl w:val="true"/>
        </w:rPr>
        <w:footnoteReference w:id="1649"/>
      </w:r>
      <w:r>
        <w:rPr>
          <w:rFonts w:ascii="Amiri" w:hAnsi="Amiri" w:eastAsia="Amiri" w:cs="Amiri"/>
          <w:color w:val="111111"/>
          <w:sz w:val="28"/>
          <w:sz w:val="28"/>
          <w:szCs w:val="28"/>
          <w:rtl w:val="true"/>
          <w:lang w:bidi="ar-SA"/>
        </w:rPr>
        <w:t>مِن الرأسِ، يُمسَحُ‌</w:t>
      </w:r>
      <w:r>
        <w:rPr>
          <w:rStyle w:val="FootnoteAnchor"/>
          <w:rtl w:val="true"/>
        </w:rPr>
        <w:footnoteReference w:id="1650"/>
      </w:r>
      <w:r>
        <w:rPr>
          <w:rFonts w:ascii="Amiri" w:hAnsi="Amiri" w:eastAsia="Amiri" w:cs="Amiri"/>
          <w:color w:val="111111"/>
          <w:sz w:val="28"/>
          <w:sz w:val="28"/>
          <w:szCs w:val="28"/>
          <w:rtl w:val="true"/>
          <w:lang w:bidi="ar-SA"/>
        </w:rPr>
        <w:t>مُقدَّمُهما و مؤخَّرُهما مع الرأسِ، بالماءِ الذي يُمسَحُ به الرأسُ</w:t>
      </w:r>
      <w:r>
        <w:rPr>
          <w:rFonts w:eastAsia="Amiri" w:cs="Amiri" w:ascii="Amiri" w:hAnsi="Amiri"/>
          <w:color w:val="111111"/>
          <w:sz w:val="28"/>
          <w:szCs w:val="28"/>
          <w:rtl w:val="true"/>
          <w:lang w:bidi="ar-SA"/>
        </w:rPr>
        <w:t>.</w:t>
      </w:r>
      <w:r>
        <w:rPr>
          <w:rStyle w:val="FootnoteAnchor"/>
          <w:rtl w:val="true"/>
        </w:rPr>
        <w:footnoteReference w:id="1651"/>
      </w:r>
      <w:r>
        <w:rPr>
          <w:rFonts w:ascii="Amiri" w:hAnsi="Amiri" w:eastAsia="Amiri" w:cs="Amiri"/>
          <w:color w:val="111111"/>
          <w:sz w:val="28"/>
          <w:sz w:val="28"/>
          <w:szCs w:val="28"/>
          <w:rtl w:val="true"/>
          <w:lang w:bidi="ar-SA"/>
        </w:rPr>
        <w:t>و مِثلُه قالَ‌</w:t>
      </w:r>
      <w:r>
        <w:rPr>
          <w:rStyle w:val="FootnoteAnchor"/>
          <w:rtl w:val="true"/>
        </w:rPr>
        <w:footnoteReference w:id="1652"/>
      </w: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و قالَ مالكٌ و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يُمسَحانِ بماءٍ جَديدٍ</w:t>
      </w:r>
      <w:r>
        <w:rPr>
          <w:rFonts w:eastAsia="Amiri" w:cs="Amiri" w:ascii="Amiri" w:hAnsi="Amiri"/>
          <w:color w:val="111111"/>
          <w:sz w:val="28"/>
          <w:szCs w:val="28"/>
          <w:rtl w:val="true"/>
          <w:lang w:bidi="ar-SA"/>
        </w:rPr>
        <w:t>.</w:t>
      </w:r>
      <w:r>
        <w:rPr>
          <w:rStyle w:val="FootnoteAnchor"/>
          <w:rtl w:val="true"/>
        </w:rPr>
        <w:footnoteReference w:id="165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الأُذُنَينِ سُنّةٌ علىٰ حالِها؛ غيرُ مُتعلِّقةٍ بالوجهِ و لا الرأسِ، و يُمسَحانِ بماءٍ جَديدٍ</w:t>
      </w:r>
      <w:r>
        <w:rPr>
          <w:rFonts w:eastAsia="Amiri" w:cs="Amiri" w:ascii="Amiri" w:hAnsi="Amiri"/>
          <w:color w:val="111111"/>
          <w:sz w:val="28"/>
          <w:szCs w:val="28"/>
          <w:rtl w:val="true"/>
          <w:lang w:bidi="ar-SA"/>
        </w:rPr>
        <w:t>.</w:t>
      </w:r>
      <w:r>
        <w:rPr>
          <w:rStyle w:val="FootnoteAnchor"/>
          <w:rtl w:val="true"/>
        </w:rPr>
        <w:footnoteReference w:id="1655"/>
      </w:r>
      <w:r>
        <w:rPr>
          <w:rFonts w:ascii="Amiri" w:hAnsi="Amiri" w:eastAsia="Amiri" w:cs="Amiri"/>
          <w:color w:val="111111"/>
          <w:sz w:val="28"/>
          <w:sz w:val="28"/>
          <w:szCs w:val="28"/>
          <w:rtl w:val="true"/>
          <w:lang w:bidi="ar-SA"/>
        </w:rPr>
        <w:t>و حُكيَ مِثلُه عن أبي ثَورٍ</w:t>
      </w:r>
      <w:r>
        <w:rPr>
          <w:rFonts w:eastAsia="Amiri" w:cs="Amiri" w:ascii="Amiri" w:hAnsi="Amiri"/>
          <w:color w:val="111111"/>
          <w:sz w:val="28"/>
          <w:szCs w:val="28"/>
          <w:rtl w:val="true"/>
          <w:lang w:bidi="ar-SA"/>
        </w:rPr>
        <w:t>.</w:t>
      </w:r>
      <w:r>
        <w:rPr>
          <w:rStyle w:val="FootnoteAnchor"/>
          <w:rtl w:val="true"/>
        </w:rPr>
        <w:footnoteReference w:id="1656"/>
      </w:r>
      <w:bookmarkStart w:id="358" w:name="pg16437_172594"/>
    </w:p>
    <w:p>
      <w:pPr>
        <w:pStyle w:val="BookText"/>
        <w:rPr/>
      </w:pPr>
      <w:bookmarkEnd w:id="358"/>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الوجهِ، يُغسَلُ باطنُهما و ظاهرُهما مَعاً</w:t>
      </w:r>
      <w:r>
        <w:rPr>
          <w:rFonts w:eastAsia="Amiri" w:cs="Amiri" w:ascii="Amiri" w:hAnsi="Amiri"/>
          <w:color w:val="111111"/>
          <w:sz w:val="28"/>
          <w:szCs w:val="28"/>
          <w:rtl w:val="true"/>
          <w:lang w:bidi="ar-SA"/>
        </w:rPr>
        <w:t>.</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و حُكيَ عن الشَّعبيِّ‌</w:t>
      </w:r>
      <w:r>
        <w:rPr>
          <w:rStyle w:val="FootnoteAnchor"/>
          <w:rtl w:val="true"/>
        </w:rPr>
        <w:footnoteReference w:id="1658"/>
      </w:r>
      <w:r>
        <w:rPr>
          <w:rFonts w:ascii="Amiri" w:hAnsi="Amiri" w:eastAsia="Amiri" w:cs="Amiri"/>
          <w:color w:val="111111"/>
          <w:sz w:val="28"/>
          <w:sz w:val="28"/>
          <w:szCs w:val="28"/>
          <w:rtl w:val="true"/>
          <w:lang w:bidi="ar-SA"/>
        </w:rPr>
        <w:t>و الحَسَنِ بنِ صالحِ بنِ‌</w:t>
      </w:r>
      <w:r>
        <w:rPr>
          <w:rStyle w:val="FootnoteAnchor"/>
          <w:rtl w:val="true"/>
        </w:rPr>
        <w:footnoteReference w:id="1659"/>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r>
        <w:rPr>
          <w:rStyle w:val="FootnoteAnchor"/>
          <w:rtl w:val="true"/>
        </w:rPr>
        <w:footnoteReference w:id="1660"/>
      </w:r>
      <w:r>
        <w:rPr>
          <w:rFonts w:ascii="Amiri" w:hAnsi="Amiri" w:eastAsia="Amiri" w:cs="Amiri"/>
          <w:color w:val="111111"/>
          <w:sz w:val="28"/>
          <w:sz w:val="28"/>
          <w:szCs w:val="28"/>
          <w:rtl w:val="true"/>
          <w:lang w:bidi="ar-SA"/>
        </w:rPr>
        <w:t>أنّ ما أقبَلَ منهما مِن الوجهِ يُغسَلُ معه، و ما أدبَرَ مِن الرأسِ يُمسَحُ معه</w:t>
      </w:r>
      <w:r>
        <w:rPr>
          <w:rFonts w:eastAsia="Amiri" w:cs="Amiri" w:ascii="Amiri" w:hAnsi="Amiri"/>
          <w:color w:val="111111"/>
          <w:sz w:val="28"/>
          <w:szCs w:val="28"/>
          <w:rtl w:val="true"/>
          <w:lang w:bidi="ar-SA"/>
        </w:rPr>
        <w:t>.</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و الحُجّةُ علىٰ ما ذَهَبنا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الذي تَقدَّمَ ذِكرُه</w:t>
      </w:r>
      <w:r>
        <w:rPr>
          <w:rFonts w:eastAsia="Amiri" w:cs="Amiri" w:ascii="Amiri" w:hAnsi="Amiri"/>
          <w:color w:val="111111"/>
          <w:sz w:val="28"/>
          <w:szCs w:val="28"/>
          <w:rtl w:val="true"/>
          <w:lang w:bidi="ar-SA"/>
        </w:rPr>
        <w:t>.</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و مِن طريقِ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تَرَكَ مَسحَ أُذُنَيه فلَيسَ بمُبدِعٍ و لا عاصٍ، و لَيسَ كذلكَ مَن مَسَحَهما؛ فالاحتياطُ العُدولُ عن مَسحِهما أو غَسلِهما</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8039705_1280447820"/>
      <w:bookmarkStart w:id="360" w:name="_Toc127"/>
      <w:bookmarkEnd w:id="359"/>
      <w:r>
        <w:rPr>
          <w:rtl w:val="true"/>
        </w:rPr>
        <w:t>المَسألةُ الرابعةُ عَدَدُ الغَسَلاتِ في الوضوءِ‌</w:t>
      </w:r>
      <w:bookmarkEnd w:id="360"/>
    </w:p>
    <w:p>
      <w:pPr>
        <w:pStyle w:val="BookText"/>
        <w:rPr/>
      </w:pPr>
      <w:r>
        <w:rPr>
          <w:rFonts w:ascii="Amiri" w:hAnsi="Amiri" w:eastAsia="Amiri" w:cs="Amiri"/>
          <w:color w:val="111111"/>
          <w:sz w:val="28"/>
          <w:sz w:val="28"/>
          <w:szCs w:val="28"/>
          <w:rtl w:val="true"/>
          <w:lang w:bidi="ar-SA"/>
        </w:rPr>
        <w:t>إسباغُ الوضوءِ مَرَّتَينِ، و لا يَجوزُ ثَلاثاً</w:t>
      </w:r>
      <w:r>
        <w:rPr>
          <w:rStyle w:val="FootnoteAnchor"/>
          <w:rtl w:val="true"/>
        </w:rPr>
        <w:footnoteReference w:id="1663"/>
      </w:r>
      <w:r>
        <w:rPr>
          <w:rFonts w:ascii="Amiri" w:hAnsi="Amiri" w:eastAsia="Amiri" w:cs="Amiri"/>
          <w:color w:val="111111"/>
          <w:sz w:val="28"/>
          <w:sz w:val="28"/>
          <w:szCs w:val="28"/>
          <w:rtl w:val="true"/>
          <w:lang w:bidi="ar-SA"/>
        </w:rPr>
        <w:t>، و تُجزئُ‌</w:t>
      </w:r>
      <w:r>
        <w:rPr>
          <w:rStyle w:val="FootnoteAnchor"/>
          <w:rtl w:val="true"/>
        </w:rPr>
        <w:footnoteReference w:id="1664"/>
      </w:r>
      <w:r>
        <w:rPr>
          <w:rFonts w:ascii="Amiri" w:hAnsi="Amiri" w:eastAsia="Amiri" w:cs="Amiri"/>
          <w:color w:val="111111"/>
          <w:sz w:val="28"/>
          <w:sz w:val="28"/>
          <w:szCs w:val="28"/>
          <w:rtl w:val="true"/>
          <w:lang w:bidi="ar-SA"/>
        </w:rPr>
        <w:t>الدُّفعةُ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الإجماعِ، و قد تَقدَّمَت؛ و طريقةُ الاحتياطِ، و قد </w:t>
      </w:r>
      <w:bookmarkStart w:id="361" w:name="pg16437_172595"/>
    </w:p>
    <w:p>
      <w:pPr>
        <w:pStyle w:val="BookText"/>
        <w:rPr/>
      </w:pPr>
      <w:bookmarkEnd w:id="361"/>
      <w:r>
        <w:rPr>
          <w:rFonts w:ascii="Amiri" w:hAnsi="Amiri" w:eastAsia="Amiri" w:cs="Amiri"/>
          <w:color w:val="111111"/>
          <w:sz w:val="28"/>
          <w:sz w:val="28"/>
          <w:szCs w:val="28"/>
          <w:rtl w:val="true"/>
          <w:lang w:bidi="ar-SA"/>
        </w:rPr>
        <w:t>مَضَت؛ لأنّ مَن اقتَصَرَ في الوضوءِ علىٰ مَرَّتَينِ، فبالإجماعِ إنّه فاعلٌ للسُّنّةِ، و غيرُ مُبدِعٍ و لا مُخطئٍ‌</w:t>
      </w:r>
      <w:r>
        <w:rPr>
          <w:rStyle w:val="FootnoteAnchor"/>
          <w:rtl w:val="true"/>
        </w:rPr>
        <w:footnoteReference w:id="1665"/>
      </w:r>
      <w:r>
        <w:rPr>
          <w:rFonts w:ascii="Amiri" w:hAnsi="Amiri" w:eastAsia="Amiri" w:cs="Amiri"/>
          <w:color w:val="111111"/>
          <w:sz w:val="28"/>
          <w:sz w:val="28"/>
          <w:szCs w:val="28"/>
          <w:rtl w:val="true"/>
          <w:lang w:bidi="ar-SA"/>
        </w:rPr>
        <w:t>و لَيسَ كذلكَ مَن فَعَلَ الثلاثَ‌</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 w:name="__RefHeading___Toc8039707_1280447820"/>
      <w:bookmarkStart w:id="363" w:name="_Toc128"/>
      <w:bookmarkEnd w:id="362"/>
      <w:r>
        <w:rPr>
          <w:rtl w:val="true"/>
        </w:rPr>
        <w:t>المَسألةُ الخامسةُ أكثَرُ أيّامِ النِّفاسِ‌</w:t>
      </w:r>
      <w:bookmarkEnd w:id="363"/>
    </w:p>
    <w:p>
      <w:pPr>
        <w:pStyle w:val="BookText"/>
        <w:rPr/>
      </w:pPr>
      <w:r>
        <w:rPr>
          <w:rFonts w:ascii="Amiri" w:hAnsi="Amiri" w:eastAsia="Amiri" w:cs="Amiri"/>
          <w:color w:val="111111"/>
          <w:sz w:val="28"/>
          <w:sz w:val="28"/>
          <w:szCs w:val="28"/>
          <w:rtl w:val="true"/>
          <w:lang w:bidi="ar-SA"/>
        </w:rPr>
        <w:t>أكثَرُ النِّفاسِ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 ممّا</w:t>
      </w:r>
      <w:r>
        <w:rPr>
          <w:rStyle w:val="FootnoteAnchor"/>
          <w:rtl w:val="true"/>
        </w:rPr>
        <w:footnoteReference w:id="1667"/>
      </w:r>
      <w:r>
        <w:rPr>
          <w:rFonts w:ascii="Amiri" w:hAnsi="Amiri" w:eastAsia="Amiri" w:cs="Amiri"/>
          <w:color w:val="111111"/>
          <w:sz w:val="28"/>
          <w:sz w:val="28"/>
          <w:szCs w:val="28"/>
          <w:rtl w:val="true"/>
          <w:lang w:bidi="ar-SA"/>
        </w:rPr>
        <w:t>تَكلَّمنا عليه في مَسائلِ الخِلافِ الواردةِ قَبلَ هذه،</w:t>
      </w:r>
      <w:r>
        <w:rPr>
          <w:rStyle w:val="FootnoteAnchor"/>
          <w:rtl w:val="true"/>
        </w:rPr>
        <w:footnoteReference w:id="1668"/>
      </w:r>
      <w:r>
        <w:rPr>
          <w:rFonts w:ascii="Amiri" w:hAnsi="Amiri" w:eastAsia="Amiri" w:cs="Amiri"/>
          <w:color w:val="111111"/>
          <w:sz w:val="28"/>
          <w:sz w:val="28"/>
          <w:szCs w:val="28"/>
          <w:rtl w:val="true"/>
          <w:lang w:bidi="ar-SA"/>
        </w:rPr>
        <w:t>فأشَرنا إلَى العُمدةِ المُعتَمَدةِ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صِحّةِ قولِنا في أكثَرِ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إجماعُ الفِرقةِ المُحِقّةِ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المَرأةَ داخلةٌ في عُمومِ الأمرِ بالصلاةِ و الصومِ، و إنّما نُخرِجُها في الأيّامِ التي حَدَّدناها مِن عُمومِ الأمرِ بالإجماعِ؛ و لا إجماعَ و لا دليلَ فيما زادَ علىٰ ما حَدَّدناه مِن الأيّامِ، فَيجِبُ أن تَكونَ داخلةً في عُمومِ الأمرِ</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8039709_1280447820"/>
      <w:bookmarkStart w:id="365" w:name="_Toc129"/>
      <w:bookmarkEnd w:id="364"/>
      <w:r>
        <w:rPr>
          <w:rtl w:val="true"/>
        </w:rPr>
        <w:t>المَسألةُ السادسةُ حُكمُ قِراءةِ القُرآنِ للجُنُبِ و الحائضِ‌</w:t>
      </w:r>
      <w:bookmarkEnd w:id="36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للجُنُبِ و الحائضِ أن يَقرَءا مِن القُرآنِ أيَّ سورةٍ شاءا سَبعَ آياتٍ، سِوَى الأربَعِ عَزائمِ‌</w:t>
      </w:r>
      <w:r>
        <w:rPr>
          <w:rStyle w:val="FootnoteAnchor"/>
          <w:rtl w:val="true"/>
        </w:rPr>
        <w:footnoteReference w:id="1669"/>
      </w:r>
      <w:r>
        <w:rPr>
          <w:rFonts w:ascii="Amiri" w:hAnsi="Amiri" w:eastAsia="Amiri" w:cs="Amiri"/>
          <w:color w:val="111111"/>
          <w:sz w:val="28"/>
          <w:sz w:val="28"/>
          <w:szCs w:val="28"/>
          <w:rtl w:val="true"/>
          <w:lang w:bidi="ar-SA"/>
        </w:rPr>
        <w:t>السَّجَداتِ؛ و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سَجدةُ لقمانَ‌</w:t>
      </w:r>
      <w:r>
        <w:rPr>
          <w:rStyle w:val="FootnoteAnchor"/>
          <w:rtl w:val="true"/>
        </w:rPr>
        <w:footnoteReference w:id="1670"/>
      </w:r>
      <w:r>
        <w:rPr>
          <w:rFonts w:ascii="Amiri" w:hAnsi="Amiri" w:eastAsia="Amiri" w:cs="Amiri"/>
          <w:color w:val="111111"/>
          <w:sz w:val="28"/>
          <w:sz w:val="28"/>
          <w:szCs w:val="28"/>
          <w:rtl w:val="true"/>
          <w:lang w:bidi="ar-SA"/>
        </w:rPr>
        <w:t>، و سَجدةُ الحَواميمِ،</w:t>
      </w:r>
      <w:r>
        <w:rPr>
          <w:rStyle w:val="FootnoteAnchor"/>
          <w:rtl w:val="true"/>
        </w:rPr>
        <w:footnoteReference w:id="1671"/>
      </w:r>
      <w:r>
        <w:rPr>
          <w:rFonts w:ascii="Amiri" w:hAnsi="Amiri" w:eastAsia="Amiri" w:cs="Amiri"/>
          <w:color w:val="111111"/>
          <w:sz w:val="28"/>
          <w:sz w:val="28"/>
          <w:szCs w:val="28"/>
          <w:rtl w:val="true"/>
          <w:lang w:bidi="ar-SA"/>
        </w:rPr>
        <w:t>و سورةُ النجمِ، و سورةُ القَلَمِ‌</w:t>
      </w:r>
      <w:r>
        <w:rPr>
          <w:rStyle w:val="FootnoteAnchor"/>
          <w:rtl w:val="true"/>
        </w:rPr>
        <w:footnoteReference w:id="1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قارئها، علىٰ كُلِّ حالٍ</w:t>
      </w:r>
      <w:r>
        <w:rPr>
          <w:rFonts w:eastAsia="Amiri" w:cs="Amiri" w:ascii="Amiri" w:hAnsi="Amiri"/>
          <w:color w:val="111111"/>
          <w:sz w:val="28"/>
          <w:szCs w:val="28"/>
          <w:rtl w:val="true"/>
          <w:lang w:bidi="ar-SA"/>
        </w:rPr>
        <w:t>.</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و اعلَم أنّ المَذهبَ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للجُنُبِ و الحائضِ أن يَقرَءا مِن القُرآنِ ما شاءا، سِوَى السَّجَداتِ الأربَعِ، مِن غيرِ تعيينٍ علىٰ سَبعِ آياتٍ، أو أكثَرَ منها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w:t>
      </w:r>
      <w:r>
        <w:rPr>
          <w:rStyle w:val="FootnoteAnchor"/>
          <w:rtl w:val="true"/>
        </w:rPr>
        <w:footnoteReference w:id="1674"/>
      </w:r>
      <w:r>
        <w:rPr>
          <w:rFonts w:ascii="Amiri" w:hAnsi="Amiri" w:eastAsia="Amiri" w:cs="Amiri"/>
          <w:color w:val="111111"/>
          <w:sz w:val="28"/>
          <w:sz w:val="28"/>
          <w:szCs w:val="28"/>
          <w:rtl w:val="true"/>
          <w:lang w:bidi="ar-SA"/>
        </w:rPr>
        <w:t>أن يُحتَجَّ بظاهرِ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Style w:val="FootnoteAnchor"/>
          <w:rtl w:val="true"/>
        </w:rPr>
        <w:footnoteReference w:id="1675"/>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تَيَسَّرَ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76"/>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عُمومٌ يَتَناوَلُ جميعَ القُرآنِ إلّاما أخرَجَه الدليلُ، و عَزائمُ السُّجودِ خَرَجَت بدليلٍ قاطعٍ، فوَجَبَ بقاءُ ما عَداها</w:t>
      </w:r>
      <w:r>
        <w:rPr>
          <w:rFonts w:eastAsia="Amiri" w:cs="Amiri" w:ascii="Amiri" w:hAnsi="Amiri"/>
          <w:color w:val="111111"/>
          <w:sz w:val="28"/>
          <w:szCs w:val="28"/>
          <w:rtl w:val="true"/>
          <w:lang w:bidi="ar-SA"/>
        </w:rPr>
        <w:t xml:space="preserve">. </w:t>
      </w:r>
      <w:bookmarkStart w:id="366" w:name="pg16437_172597"/>
    </w:p>
    <w:p>
      <w:pPr>
        <w:pStyle w:val="Heading5"/>
        <w:numPr>
          <w:ilvl w:val="4"/>
          <w:numId w:val="1"/>
        </w:numPr>
        <w:rPr/>
      </w:pPr>
      <w:bookmarkStart w:id="367" w:name="__RefHeading___Toc8039711_1280447820"/>
      <w:bookmarkStart w:id="368" w:name="_Toc130"/>
      <w:bookmarkEnd w:id="366"/>
      <w:bookmarkEnd w:id="367"/>
      <w:r>
        <w:rPr>
          <w:rtl w:val="true"/>
        </w:rPr>
        <w:t>فَصلٌ فيه سِتُّ مَسائلَ تَتعلَّقُ بالأمواتِ‌</w:t>
      </w:r>
      <w:bookmarkEnd w:id="368"/>
    </w:p>
    <w:p>
      <w:pPr>
        <w:pStyle w:val="BookText"/>
        <w:rPr/>
      </w:pPr>
      <w:r>
        <w:rPr>
          <w:rFonts w:ascii="Amiri" w:hAnsi="Amiri" w:eastAsia="Amiri" w:cs="Amiri"/>
          <w:color w:val="111111"/>
          <w:sz w:val="28"/>
          <w:sz w:val="28"/>
          <w:szCs w:val="28"/>
          <w:rtl w:val="true"/>
          <w:lang w:bidi="ar-SA"/>
        </w:rPr>
        <w:t>فَصلٌ‌</w:t>
      </w:r>
      <w:r>
        <w:rPr>
          <w:rStyle w:val="FootnoteAnchor"/>
          <w:rtl w:val="true"/>
        </w:rPr>
        <w:footnoteReference w:id="1678"/>
      </w:r>
      <w:r>
        <w:rPr>
          <w:rFonts w:ascii="Amiri" w:hAnsi="Amiri" w:eastAsia="Amiri" w:cs="Amiri"/>
          <w:color w:val="111111"/>
          <w:sz w:val="28"/>
          <w:sz w:val="28"/>
          <w:szCs w:val="28"/>
          <w:rtl w:val="true"/>
          <w:lang w:bidi="ar-SA"/>
        </w:rPr>
        <w:t>فيه سِتُّ مَسائلَ‌</w:t>
      </w:r>
      <w:r>
        <w:rPr>
          <w:rStyle w:val="FootnoteAnchor"/>
          <w:rtl w:val="true"/>
        </w:rPr>
        <w:footnoteReference w:id="1679"/>
      </w:r>
      <w:r>
        <w:rPr>
          <w:rFonts w:ascii="Amiri" w:hAnsi="Amiri" w:eastAsia="Amiri" w:cs="Amiri"/>
          <w:color w:val="111111"/>
          <w:sz w:val="28"/>
          <w:sz w:val="28"/>
          <w:szCs w:val="28"/>
          <w:rtl w:val="true"/>
          <w:lang w:bidi="ar-SA"/>
        </w:rPr>
        <w:t>تَتعلَّقُ بالأمواتِ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الميِّتِ عندَ غُسلِه نَحوَ القِبلةِ، مُلقىً علىٰ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حَنوطَه</w:t>
      </w:r>
      <w:r>
        <w:rPr>
          <w:rStyle w:val="FootnoteAnchor"/>
          <w:rtl w:val="true"/>
        </w:rPr>
        <w:footnoteReference w:id="1680"/>
      </w:r>
      <w:r>
        <w:rPr>
          <w:rFonts w:ascii="Amiri" w:hAnsi="Amiri" w:eastAsia="Amiri" w:cs="Amiri"/>
          <w:color w:val="111111"/>
          <w:sz w:val="28"/>
          <w:sz w:val="28"/>
          <w:szCs w:val="28"/>
          <w:rtl w:val="true"/>
          <w:lang w:bidi="ar-SA"/>
        </w:rPr>
        <w:t>الكافورُ خاصّةً، لا يُجزئُ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منه مع الإمكانِ أقَلُّ مِن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الجَريدتَينِ مع المَيِّتِ في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هُنَيئةً قَبلَ حَطِّه و إنزالِه القَبرَ؛ ليأخُذَ أُهْبةَ المُساءَلةِ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تلقينُه الشهادةَ و الرسالةَ و الإمامةَ في قَبرِه، قَبلَ وَضعِ اللَّبِنِ عليه</w:t>
      </w:r>
      <w:r>
        <w:rPr>
          <w:rFonts w:eastAsia="Amiri" w:cs="Amiri" w:ascii="Amiri" w:hAnsi="Amiri"/>
          <w:color w:val="111111"/>
          <w:sz w:val="28"/>
          <w:szCs w:val="28"/>
          <w:rtl w:val="true"/>
          <w:lang w:bidi="ar-SA"/>
        </w:rPr>
        <w:t>.</w:t>
      </w:r>
      <w:r>
        <w:rPr>
          <w:rStyle w:val="FootnoteAnchor"/>
          <w:rtl w:val="true"/>
        </w:rPr>
        <w:footnoteReference w:id="168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هذه المَسائلَ السِّتَّ‌</w:t>
      </w:r>
      <w:r>
        <w:rPr>
          <w:rStyle w:val="FootnoteAnchor"/>
          <w:rtl w:val="true"/>
        </w:rPr>
        <w:footnoteReference w:id="1682"/>
      </w:r>
      <w:r>
        <w:rPr>
          <w:rFonts w:ascii="Amiri" w:hAnsi="Amiri" w:eastAsia="Amiri" w:cs="Amiri"/>
          <w:color w:val="111111"/>
          <w:sz w:val="28"/>
          <w:sz w:val="28"/>
          <w:szCs w:val="28"/>
          <w:rtl w:val="true"/>
          <w:lang w:bidi="ar-SA"/>
        </w:rPr>
        <w:t>إنّما هي آدابٌ و سُنَنٌ مُستَحَبّةٌ، و لَيسَت بفَرضٍ واجبٍ</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الطريقُ إلىٰ أنّها مُستَحبّةٌ‌</w:t>
      </w:r>
      <w:r>
        <w:rPr>
          <w:rStyle w:val="FootnoteAnchor"/>
          <w:rtl w:val="true"/>
        </w:rPr>
        <w:footnoteReference w:id="1683"/>
      </w:r>
      <w:r>
        <w:rPr>
          <w:rFonts w:ascii="Amiri" w:hAnsi="Amiri" w:eastAsia="Amiri" w:cs="Amiri"/>
          <w:color w:val="111111"/>
          <w:sz w:val="28"/>
          <w:sz w:val="28"/>
          <w:szCs w:val="28"/>
          <w:rtl w:val="true"/>
          <w:lang w:bidi="ar-SA"/>
        </w:rPr>
        <w:t>مسنونةٌ هو الإجماعُ، الذي تَقدَّمَ ذِكرُه</w:t>
      </w:r>
      <w:r>
        <w:rPr>
          <w:rFonts w:eastAsia="Amiri" w:cs="Amiri" w:ascii="Amiri" w:hAnsi="Amiri"/>
          <w:color w:val="111111"/>
          <w:sz w:val="28"/>
          <w:szCs w:val="28"/>
          <w:rtl w:val="true"/>
          <w:lang w:bidi="ar-SA"/>
        </w:rPr>
        <w:t xml:space="preserve">. </w:t>
      </w:r>
      <w:bookmarkStart w:id="369" w:name="pg16437_172599"/>
    </w:p>
    <w:p>
      <w:pPr>
        <w:pStyle w:val="Heading4"/>
        <w:numPr>
          <w:ilvl w:val="3"/>
          <w:numId w:val="1"/>
        </w:numPr>
        <w:rPr/>
      </w:pPr>
      <w:bookmarkStart w:id="370" w:name="__RefHeading___Toc8039713_1280447820"/>
      <w:bookmarkStart w:id="371" w:name="_Toc131"/>
      <w:bookmarkEnd w:id="369"/>
      <w:bookmarkEnd w:id="370"/>
      <w:r>
        <w:rPr>
          <w:rtl w:val="true"/>
        </w:rPr>
        <w:t>أحكامُ الصلاة</w:t>
      </w:r>
      <w:bookmarkEnd w:id="371"/>
    </w:p>
    <w:p>
      <w:pPr>
        <w:pStyle w:val="Heading5"/>
        <w:numPr>
          <w:ilvl w:val="4"/>
          <w:numId w:val="1"/>
        </w:numPr>
        <w:rPr/>
      </w:pPr>
      <w:bookmarkStart w:id="372" w:name="__RefHeading___Toc8039715_1280447820"/>
      <w:bookmarkStart w:id="373" w:name="_Toc132"/>
      <w:bookmarkEnd w:id="372"/>
      <w:r>
        <w:rPr>
          <w:rtl w:val="true"/>
        </w:rPr>
        <w:t xml:space="preserve">المَسألةُ الثالثةَ عَشَرَ وجوبُ </w:t>
      </w:r>
      <w:r>
        <w:rPr>
          <w:rtl w:val="true"/>
        </w:rPr>
        <w:t>«</w:t>
      </w:r>
      <w:r>
        <w:rPr>
          <w:rtl w:val="true"/>
        </w:rPr>
        <w:t>حيَّ علىٰ خيرِ العملِ</w:t>
      </w:r>
      <w:r>
        <w:rPr>
          <w:rtl w:val="true"/>
        </w:rPr>
        <w:t xml:space="preserve">» </w:t>
      </w:r>
      <w:r>
        <w:rPr>
          <w:rtl w:val="true"/>
        </w:rPr>
        <w:t>في الأذانِ‌</w:t>
      </w:r>
      <w:bookmarkEnd w:id="373"/>
    </w:p>
    <w:p>
      <w:pPr>
        <w:pStyle w:val="BookText"/>
        <w:rPr/>
      </w:pP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w:t>
      </w:r>
      <w:r>
        <w:rPr>
          <w:rStyle w:val="FootnoteAnchor"/>
          <w:rtl w:val="true"/>
        </w:rPr>
        <w:footnoteReference w:id="1684"/>
      </w:r>
      <w:r>
        <w:rPr>
          <w:rFonts w:ascii="Amiri" w:hAnsi="Amiri" w:eastAsia="Amiri" w:cs="Amiri"/>
          <w:color w:val="111111"/>
          <w:sz w:val="28"/>
          <w:sz w:val="28"/>
          <w:szCs w:val="28"/>
          <w:rtl w:val="true"/>
          <w:lang w:bidi="ar-SA"/>
        </w:rPr>
        <w:t>، و إنّ تَركَه كتَركِ شَيءٍ مِن ألفاظِ الأذانِ</w:t>
      </w:r>
      <w:r>
        <w:rPr>
          <w:rFonts w:eastAsia="Amiri" w:cs="Amiri" w:ascii="Amiri" w:hAnsi="Amiri"/>
          <w:color w:val="111111"/>
          <w:sz w:val="28"/>
          <w:szCs w:val="28"/>
          <w:rtl w:val="true"/>
          <w:lang w:bidi="ar-SA"/>
        </w:rPr>
        <w:t>.</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و الحُجّةُ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الطائفةِ المُحِقّةِ عليه، حتّىٰ صارَ لها شِعاراً لا يُدفَعُ، و عَلَماً لا يُجحَدُ</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8039717_1280447820"/>
      <w:bookmarkStart w:id="375" w:name="_Toc133"/>
      <w:bookmarkEnd w:id="374"/>
      <w:r>
        <w:rPr>
          <w:rtl w:val="true"/>
        </w:rPr>
        <w:t>المَسألةُ الرابعةَ عَشَرَ حُكمُ إرسالِ اليَدَينِ في الصلاةِ و كَتفِهما</w:t>
      </w:r>
      <w:bookmarkEnd w:id="375"/>
    </w:p>
    <w:p>
      <w:pPr>
        <w:pStyle w:val="BookText"/>
        <w:rPr/>
      </w:pPr>
      <w:r>
        <w:rPr>
          <w:rFonts w:ascii="Amiri" w:hAnsi="Amiri" w:eastAsia="Amiri" w:cs="Amiri"/>
          <w:color w:val="111111"/>
          <w:sz w:val="28"/>
          <w:sz w:val="28"/>
          <w:szCs w:val="28"/>
          <w:rtl w:val="true"/>
          <w:lang w:bidi="ar-SA"/>
        </w:rPr>
        <w:t>إرسالُ‌</w:t>
      </w:r>
      <w:r>
        <w:rPr>
          <w:rStyle w:val="FootnoteAnchor"/>
          <w:rtl w:val="true"/>
        </w:rPr>
        <w:footnoteReference w:id="1687"/>
      </w:r>
      <w:r>
        <w:rPr>
          <w:rFonts w:ascii="Amiri" w:hAnsi="Amiri" w:eastAsia="Amiri" w:cs="Amiri"/>
          <w:color w:val="111111"/>
          <w:sz w:val="28"/>
          <w:sz w:val="28"/>
          <w:szCs w:val="28"/>
          <w:rtl w:val="true"/>
          <w:lang w:bidi="ar-SA"/>
        </w:rPr>
        <w:t>اليَدَين في الصلاةِ واجبٌ، و كَتفُهما مُفسِدٌ لها</w:t>
      </w:r>
      <w:r>
        <w:rPr>
          <w:rFonts w:eastAsia="Amiri" w:cs="Amiri" w:ascii="Amiri" w:hAnsi="Amiri"/>
          <w:color w:val="111111"/>
          <w:sz w:val="28"/>
          <w:szCs w:val="28"/>
          <w:rtl w:val="true"/>
          <w:lang w:bidi="ar-SA"/>
        </w:rPr>
        <w:t>.</w:t>
      </w:r>
      <w:r>
        <w:rPr>
          <w:rStyle w:val="FootnoteAnchor"/>
          <w:rtl w:val="true"/>
        </w:rPr>
        <w:footnoteReference w:id="168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المُكرَّرُ ذِكرُه</w:t>
      </w:r>
      <w:r>
        <w:rPr>
          <w:rFonts w:eastAsia="Amiri" w:cs="Amiri" w:ascii="Amiri" w:hAnsi="Amiri"/>
          <w:color w:val="111111"/>
          <w:sz w:val="28"/>
          <w:szCs w:val="28"/>
          <w:rtl w:val="true"/>
          <w:lang w:bidi="ar-SA"/>
        </w:rPr>
        <w:t xml:space="preserve">. </w:t>
      </w:r>
      <w:bookmarkStart w:id="376" w:name="pg16437_172600"/>
    </w:p>
    <w:p>
      <w:pPr>
        <w:pStyle w:val="BookText"/>
        <w:rPr/>
      </w:pPr>
      <w:bookmarkEnd w:id="376"/>
      <w:r>
        <w:rPr>
          <w:rFonts w:ascii="Amiri" w:hAnsi="Amiri" w:eastAsia="Amiri" w:cs="Amiri"/>
          <w:color w:val="111111"/>
          <w:sz w:val="28"/>
          <w:sz w:val="28"/>
          <w:szCs w:val="28"/>
          <w:rtl w:val="true"/>
          <w:lang w:bidi="ar-SA"/>
        </w:rPr>
        <w:t>ثُمَّ طريقُ الاحتياطِ؛ لأنّ مَن لَم يَضَعْ إحدىٰ يَدَيه علَى الأُخرىٰ لا خِلافَ في أنّه غيرُ عاصٍ، و لا مُبتَدِعٍ، و لا قاطعٍ للصلاةِ؛ و إنّما الخِلافُ فيمن وَضَعَها؛ فالأَولىٰ و الأَحوطُ إرسالُ اليَدَينِ</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8039719_1280447820"/>
      <w:bookmarkStart w:id="378" w:name="_Toc134"/>
      <w:bookmarkEnd w:id="377"/>
      <w:r>
        <w:rPr>
          <w:rtl w:val="true"/>
        </w:rPr>
        <w:t xml:space="preserve">المَسألةُ الخامسةَ عَشَرَ قولُ </w:t>
      </w:r>
      <w:r>
        <w:rPr>
          <w:rtl w:val="true"/>
        </w:rPr>
        <w:t>«</w:t>
      </w:r>
      <w:r>
        <w:rPr>
          <w:rtl w:val="true"/>
        </w:rPr>
        <w:t>آمينَ</w:t>
      </w:r>
      <w:r>
        <w:rPr>
          <w:rtl w:val="true"/>
        </w:rPr>
        <w:t xml:space="preserve">» </w:t>
      </w:r>
      <w:r>
        <w:rPr>
          <w:rtl w:val="true"/>
        </w:rPr>
        <w:t>مُبطِلٌ للصلاةِ‌</w:t>
      </w:r>
      <w:bookmarkEnd w:id="378"/>
    </w:p>
    <w:p>
      <w:p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يَقطَعُها</w:t>
      </w:r>
      <w:r>
        <w:rPr>
          <w:rFonts w:eastAsia="Amiri" w:cs="Amiri" w:ascii="Amiri" w:hAnsi="Amiri"/>
          <w:color w:val="111111"/>
          <w:sz w:val="28"/>
          <w:szCs w:val="28"/>
          <w:rtl w:val="true"/>
          <w:lang w:bidi="ar-SA"/>
        </w:rPr>
        <w:t>.</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و الحُجّةُ أيضاً علىٰ مَذهبِنا في</w:t>
      </w:r>
      <w:r>
        <w:rPr>
          <w:rStyle w:val="FootnoteAnchor"/>
          <w:rtl w:val="true"/>
        </w:rPr>
        <w:footnoteReference w:id="1690"/>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1691"/>
      </w:r>
      <w:r>
        <w:rPr>
          <w:rFonts w:ascii="Amiri" w:hAnsi="Amiri" w:eastAsia="Amiri" w:cs="Amiri"/>
          <w:color w:val="111111"/>
          <w:sz w:val="28"/>
          <w:sz w:val="28"/>
          <w:szCs w:val="28"/>
          <w:rtl w:val="true"/>
          <w:lang w:bidi="ar-SA"/>
        </w:rPr>
        <w:t>طريقةُ الاحتياطِ، و هي واضحةٌ؛ لأنّ مَن لَم يَتلفَّظْ بهذه اللفظةِ لا خِلافَ في أنّه غيرُ مُبتَدِعٍ، و لا قاطعٍ لصَلاتِه</w:t>
      </w:r>
      <w:r>
        <w:rPr>
          <w:rStyle w:val="FootnoteAnchor"/>
          <w:rtl w:val="true"/>
        </w:rPr>
        <w:footnoteReference w:id="1692"/>
      </w:r>
      <w:r>
        <w:rPr>
          <w:rFonts w:ascii="Amiri" w:hAnsi="Amiri" w:eastAsia="Amiri" w:cs="Amiri"/>
          <w:color w:val="111111"/>
          <w:sz w:val="28"/>
          <w:sz w:val="28"/>
          <w:szCs w:val="28"/>
          <w:rtl w:val="true"/>
          <w:lang w:bidi="ar-SA"/>
        </w:rPr>
        <w:t>و إنّما الخِلافُ فيمن تَلفَّظَ بها</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8039721_1280447820"/>
      <w:bookmarkStart w:id="380" w:name="_Toc135"/>
      <w:bookmarkEnd w:id="379"/>
      <w:r>
        <w:rPr>
          <w:rtl w:val="true"/>
        </w:rPr>
        <w:t>المَسألةُ السادسةَ عَشَرَ عدمُ جوازِ قِراءةِ أكثَرَ أو أقلَّ مِن سورةٍ بَعدَ الحَمدِ</w:t>
      </w:r>
      <w:bookmarkEnd w:id="380"/>
    </w:p>
    <w:p>
      <w:pPr>
        <w:pStyle w:val="BookText"/>
        <w:rPr/>
      </w:pPr>
      <w:r>
        <w:rPr>
          <w:rFonts w:ascii="Amiri" w:hAnsi="Amiri" w:eastAsia="Amiri" w:cs="Amiri"/>
          <w:color w:val="111111"/>
          <w:sz w:val="28"/>
          <w:sz w:val="28"/>
          <w:szCs w:val="28"/>
          <w:rtl w:val="true"/>
          <w:lang w:bidi="ar-SA"/>
        </w:rPr>
        <w:t>لا تَجوزُ</w:t>
      </w:r>
      <w:r>
        <w:rPr>
          <w:rStyle w:val="FootnoteAnchor"/>
          <w:rtl w:val="true"/>
        </w:rPr>
        <w:footnoteReference w:id="1693"/>
      </w:r>
      <w:r>
        <w:rPr>
          <w:rFonts w:ascii="Amiri" w:hAnsi="Amiri" w:eastAsia="Amiri" w:cs="Amiri"/>
          <w:color w:val="111111"/>
          <w:sz w:val="28"/>
          <w:sz w:val="28"/>
          <w:szCs w:val="28"/>
          <w:rtl w:val="true"/>
          <w:lang w:bidi="ar-SA"/>
        </w:rPr>
        <w:t>في الفَرائضِ قِراءةُ سورَتَينِ و لا بعضِ سورةٍ بَعدَ فاتِحةِ الكتابِ</w:t>
      </w:r>
      <w:r>
        <w:rPr>
          <w:rFonts w:eastAsia="Amiri" w:cs="Amiri" w:ascii="Amiri" w:hAnsi="Amiri"/>
          <w:color w:val="111111"/>
          <w:sz w:val="28"/>
          <w:szCs w:val="28"/>
          <w:rtl w:val="true"/>
          <w:lang w:bidi="ar-SA"/>
        </w:rPr>
        <w:t>.</w:t>
      </w:r>
      <w:r>
        <w:rPr>
          <w:rStyle w:val="FootnoteAnchor"/>
          <w:rtl w:val="true"/>
        </w:rPr>
        <w:footnoteReference w:id="169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المَسألةُ أيضاً ممّا لا حُجّةَ فيها إلّاإجماعُ الفِرقةِ‌</w:t>
      </w:r>
      <w:r>
        <w:rPr>
          <w:rStyle w:val="FootnoteAnchor"/>
          <w:rtl w:val="true"/>
        </w:rPr>
        <w:footnoteReference w:id="1695"/>
      </w:r>
      <w:r>
        <w:rPr>
          <w:rFonts w:ascii="Amiri" w:hAnsi="Amiri" w:eastAsia="Amiri" w:cs="Amiri"/>
          <w:color w:val="111111"/>
          <w:sz w:val="28"/>
          <w:sz w:val="28"/>
          <w:szCs w:val="28"/>
          <w:rtl w:val="true"/>
          <w:lang w:bidi="ar-SA"/>
        </w:rPr>
        <w:t>المُحِقّةِ، و إطباقُهم علىٰ أنّ خِلافَه لا يَجوزُ</w:t>
      </w:r>
      <w:r>
        <w:rPr>
          <w:rFonts w:eastAsia="Amiri" w:cs="Amiri" w:ascii="Amiri" w:hAnsi="Amiri"/>
          <w:color w:val="111111"/>
          <w:sz w:val="28"/>
          <w:szCs w:val="28"/>
          <w:rtl w:val="true"/>
          <w:lang w:bidi="ar-SA"/>
        </w:rPr>
        <w:t xml:space="preserve">. </w:t>
      </w:r>
      <w:bookmarkStart w:id="381" w:name="pg16437_172601"/>
    </w:p>
    <w:p>
      <w:pPr>
        <w:pStyle w:val="Heading5"/>
        <w:numPr>
          <w:ilvl w:val="4"/>
          <w:numId w:val="1"/>
        </w:numPr>
        <w:rPr/>
      </w:pPr>
      <w:bookmarkStart w:id="382" w:name="__RefHeading___Toc8039723_1280447820"/>
      <w:bookmarkStart w:id="383" w:name="_Toc136"/>
      <w:bookmarkEnd w:id="381"/>
      <w:bookmarkEnd w:id="382"/>
      <w:r>
        <w:rPr>
          <w:rtl w:val="true"/>
        </w:rPr>
        <w:t>المَسألةُ السابعةَ عَشَرَ ما يُسجَدُ عليه</w:t>
      </w:r>
      <w:bookmarkEnd w:id="383"/>
    </w:p>
    <w:p>
      <w:pPr>
        <w:pStyle w:val="BookText"/>
        <w:rPr/>
      </w:pPr>
      <w:r>
        <w:rPr>
          <w:rFonts w:ascii="Amiri" w:hAnsi="Amiri" w:eastAsia="Amiri" w:cs="Amiri"/>
          <w:color w:val="111111"/>
          <w:sz w:val="28"/>
          <w:sz w:val="28"/>
          <w:szCs w:val="28"/>
          <w:rtl w:val="true"/>
          <w:lang w:bidi="ar-SA"/>
        </w:rPr>
        <w:t>إنّ السُّجودَ لا يَجوزُ إلّاعلَى الأرضِ، أو ما</w:t>
      </w:r>
      <w:r>
        <w:rPr>
          <w:rStyle w:val="FootnoteAnchor"/>
          <w:rtl w:val="true"/>
        </w:rPr>
        <w:footnoteReference w:id="1696"/>
      </w:r>
      <w:r>
        <w:rPr>
          <w:rFonts w:ascii="Amiri" w:hAnsi="Amiri" w:eastAsia="Amiri" w:cs="Amiri"/>
          <w:color w:val="111111"/>
          <w:sz w:val="28"/>
          <w:sz w:val="28"/>
          <w:szCs w:val="28"/>
          <w:rtl w:val="true"/>
          <w:lang w:bidi="ar-SA"/>
        </w:rPr>
        <w:t>أنبَتَت</w:t>
      </w:r>
      <w:r>
        <w:rPr>
          <w:rStyle w:val="FootnoteAnchor"/>
          <w:rtl w:val="true"/>
        </w:rPr>
        <w:footnoteReference w:id="1697"/>
      </w:r>
      <w:r>
        <w:rPr>
          <w:rFonts w:ascii="Amiri" w:hAnsi="Amiri" w:eastAsia="Amiri" w:cs="Amiri"/>
          <w:color w:val="111111"/>
          <w:sz w:val="28"/>
          <w:sz w:val="28"/>
          <w:szCs w:val="28"/>
          <w:rtl w:val="true"/>
          <w:lang w:bidi="ar-SA"/>
        </w:rPr>
        <w:t>الأرضُ، سِوَى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السُّجودُ علىٰ ثَوبٍ منسوجٍ، إلّاعند الضرورةِ؛ و إن كانَ أصلُه النَّباتَ</w:t>
      </w:r>
      <w:r>
        <w:rPr>
          <w:rFonts w:eastAsia="Amiri" w:cs="Amiri" w:ascii="Amiri" w:hAnsi="Amiri"/>
          <w:color w:val="111111"/>
          <w:sz w:val="28"/>
          <w:szCs w:val="28"/>
          <w:rtl w:val="true"/>
          <w:lang w:bidi="ar-SA"/>
        </w:rPr>
        <w:t>.</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الإجماعُ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طريقةُ الاحتياطِ؛ لأنّ مَن سَجَدَ علَى الأرضِ أو ما أنبَتَته ممّا لَيسَ بثَمَرةٍ، كان مؤَدّياً للفَرضِ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تُجزئُ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w:t>
      </w:r>
      <w:r>
        <w:rPr>
          <w:rStyle w:val="FootnoteAnchor"/>
          <w:rtl w:val="true"/>
        </w:rPr>
        <w:footnoteReference w:id="1699"/>
      </w:r>
      <w:r>
        <w:rPr>
          <w:rFonts w:ascii="Amiri" w:hAnsi="Amiri" w:eastAsia="Amiri" w:cs="Amiri"/>
          <w:color w:val="111111"/>
          <w:sz w:val="28"/>
          <w:sz w:val="28"/>
          <w:szCs w:val="28"/>
          <w:rtl w:val="true"/>
          <w:lang w:bidi="ar-SA"/>
        </w:rPr>
        <w:t>عاصٍ و لا مُخالِفٍ؛ و لَيسَ كذلكَ مَن سَجَدَ علىٰ ما يُخالِفُ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فِعلُ ما لا خِلافَ فيه</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8039725_1280447820"/>
      <w:bookmarkStart w:id="385" w:name="_Toc137"/>
      <w:bookmarkEnd w:id="384"/>
      <w:r>
        <w:rPr>
          <w:rtl w:val="true"/>
        </w:rPr>
        <w:t>المَسألةُ الثامنةَ عَشَرَ صَلاةُ التَّراويحِ بِدعةٌ‌</w:t>
      </w:r>
      <w:bookmarkEnd w:id="38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الاجتماعُ‌</w:t>
      </w:r>
      <w:r>
        <w:rPr>
          <w:rStyle w:val="FootnoteAnchor"/>
          <w:rtl w:val="true"/>
        </w:rPr>
        <w:footnoteReference w:id="1700"/>
      </w:r>
      <w:r>
        <w:rPr>
          <w:rFonts w:ascii="Amiri" w:hAnsi="Amiri" w:eastAsia="Amiri" w:cs="Amiri"/>
          <w:color w:val="111111"/>
          <w:sz w:val="28"/>
          <w:sz w:val="28"/>
          <w:szCs w:val="28"/>
          <w:rtl w:val="true"/>
          <w:lang w:bidi="ar-SA"/>
        </w:rPr>
        <w:t>في نَوافِلِ شَهرِ رَمَضانَ بِدعةٌ، و السُّنّةُ هو التطَوُّعُ بها فُرادىٰ</w:t>
      </w:r>
      <w:r>
        <w:rPr>
          <w:rFonts w:eastAsia="Amiri" w:cs="Amiri" w:ascii="Amiri" w:hAnsi="Amiri"/>
          <w:color w:val="111111"/>
          <w:sz w:val="28"/>
          <w:szCs w:val="28"/>
          <w:rtl w:val="true"/>
          <w:lang w:bidi="ar-SA"/>
        </w:rPr>
        <w:t>.</w:t>
      </w:r>
      <w:r>
        <w:rPr>
          <w:rStyle w:val="FootnoteAnchor"/>
          <w:rtl w:val="true"/>
        </w:rPr>
        <w:footnoteReference w:id="1701"/>
      </w:r>
      <w:bookmarkStart w:id="386" w:name="pg16437_172602"/>
    </w:p>
    <w:p>
      <w:pPr>
        <w:pStyle w:val="BookText"/>
        <w:rPr/>
      </w:pPr>
      <w:bookmarkEnd w:id="386"/>
      <w:r>
        <w:rPr>
          <w:rFonts w:ascii="Amiri" w:hAnsi="Amiri" w:eastAsia="Amiri" w:cs="Amiri"/>
          <w:color w:val="111111"/>
          <w:sz w:val="28"/>
          <w:sz w:val="28"/>
          <w:szCs w:val="28"/>
          <w:rtl w:val="true"/>
          <w:lang w:bidi="ar-SA"/>
        </w:rPr>
        <w:t>و الوجهُ أيضاً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إجماعِ الفِرقةِ المُحِقّةِ علىٰ تبديعِ مَن جَمَعَ بهذه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لَيسَ في تَركِها حَرَجٌ و لا إثمٌ عندَ أحَدٍ مِن الأُمّةِ‌</w:t>
      </w:r>
      <w:r>
        <w:rPr>
          <w:rStyle w:val="FootnoteAnchor"/>
          <w:rtl w:val="true"/>
        </w:rPr>
        <w:footnoteReference w:id="1702"/>
      </w:r>
      <w:r>
        <w:rPr>
          <w:rFonts w:ascii="Amiri" w:hAnsi="Amiri" w:eastAsia="Amiri" w:cs="Amiri"/>
          <w:color w:val="111111"/>
          <w:sz w:val="28"/>
          <w:sz w:val="28"/>
          <w:szCs w:val="28"/>
          <w:rtl w:val="true"/>
          <w:lang w:bidi="ar-SA"/>
        </w:rPr>
        <w:t>و في فِعلِها علَى الإجماعِ‌</w:t>
      </w:r>
      <w:r>
        <w:rPr>
          <w:rStyle w:val="FootnoteAnchor"/>
          <w:rtl w:val="true"/>
        </w:rPr>
        <w:footnoteReference w:id="1703"/>
      </w:r>
      <w:r>
        <w:rPr>
          <w:rFonts w:ascii="Amiri" w:hAnsi="Amiri" w:eastAsia="Amiri" w:cs="Amiri"/>
          <w:color w:val="111111"/>
          <w:sz w:val="28"/>
          <w:sz w:val="28"/>
          <w:szCs w:val="28"/>
          <w:rtl w:val="true"/>
          <w:lang w:bidi="ar-SA"/>
        </w:rPr>
        <w:t>إثمٌ و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العُدولُ عنها</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8039727_1280447820"/>
      <w:bookmarkStart w:id="388" w:name="_Toc138"/>
      <w:bookmarkEnd w:id="387"/>
      <w:r>
        <w:rPr>
          <w:rtl w:val="true"/>
        </w:rPr>
        <w:t>المَسألةُ التاسعةَ عَشَرَ صَلاةُ الضُّحىٰ بِدعةٌ‌</w:t>
      </w:r>
      <w:bookmarkEnd w:id="388"/>
    </w:p>
    <w:p>
      <w:pPr>
        <w:pStyle w:val="BookText"/>
        <w:rPr/>
      </w:pPr>
      <w:r>
        <w:rPr>
          <w:rFonts w:ascii="Amiri" w:hAnsi="Amiri" w:eastAsia="Amiri" w:cs="Amiri"/>
          <w:color w:val="111111"/>
          <w:sz w:val="28"/>
          <w:sz w:val="28"/>
          <w:szCs w:val="28"/>
          <w:rtl w:val="true"/>
          <w:lang w:bidi="ar-SA"/>
        </w:rPr>
        <w:t>و صَلاةُ الضُّحىٰ بِدعةٌ، لا تَجوزُ</w:t>
      </w:r>
      <w:r>
        <w:rPr>
          <w:rFonts w:eastAsia="Amiri" w:cs="Amiri" w:ascii="Amiri" w:hAnsi="Amiri"/>
          <w:color w:val="111111"/>
          <w:sz w:val="28"/>
          <w:szCs w:val="28"/>
          <w:rtl w:val="true"/>
          <w:lang w:bidi="ar-SA"/>
        </w:rPr>
        <w:t>.</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طريقةِ الاحتياطِ و الإجماعِ مَعاً</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8039729_1280447820"/>
      <w:bookmarkStart w:id="390" w:name="_Toc139"/>
      <w:bookmarkEnd w:id="389"/>
      <w:r>
        <w:rPr>
          <w:rtl w:val="true"/>
        </w:rPr>
        <w:t>المَسألةُ العِشرونَ حُكمُ سُجودِ الشُّكرِ</w:t>
      </w:r>
      <w:bookmarkEnd w:id="390"/>
    </w:p>
    <w:p>
      <w:pPr>
        <w:pStyle w:val="BookText"/>
        <w:rPr/>
      </w:pPr>
      <w:r>
        <w:rPr>
          <w:rFonts w:ascii="Amiri" w:hAnsi="Amiri" w:eastAsia="Amiri" w:cs="Amiri"/>
          <w:color w:val="111111"/>
          <w:sz w:val="28"/>
          <w:sz w:val="28"/>
          <w:szCs w:val="28"/>
          <w:rtl w:val="true"/>
          <w:lang w:bidi="ar-SA"/>
        </w:rPr>
        <w:t>سُجودُ الشُّكرِ و التعفيرُ واجبٌ‌</w:t>
      </w:r>
      <w:r>
        <w:rPr>
          <w:rStyle w:val="FootnoteAnchor"/>
          <w:rtl w:val="true"/>
        </w:rPr>
        <w:footnoteReference w:id="1705"/>
      </w:r>
      <w:r>
        <w:rPr>
          <w:rFonts w:ascii="Amiri" w:hAnsi="Amiri" w:eastAsia="Amiri" w:cs="Amiri"/>
          <w:color w:val="111111"/>
          <w:sz w:val="28"/>
          <w:sz w:val="28"/>
          <w:szCs w:val="28"/>
          <w:rtl w:val="true"/>
          <w:lang w:bidi="ar-SA"/>
        </w:rPr>
        <w:t>، له فَضلٌ كَبيرٌ</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 بوجوبِ سُجودِ الشُّكرِ، فهو غيرُ صَحيحٍ؛ و لكِنَّه مِن السُّنَنِ المؤكَّدةِ، و الآدابِ المُستَحَبّةِ</w:t>
      </w:r>
      <w:r>
        <w:rPr>
          <w:rFonts w:eastAsia="Amiri" w:cs="Amiri" w:ascii="Amiri" w:hAnsi="Amiri"/>
          <w:color w:val="111111"/>
          <w:sz w:val="28"/>
          <w:szCs w:val="28"/>
          <w:rtl w:val="true"/>
          <w:lang w:bidi="ar-SA"/>
        </w:rPr>
        <w:t xml:space="preserve">. </w:t>
      </w:r>
      <w:bookmarkStart w:id="391" w:name="pg16437_172603"/>
    </w:p>
    <w:p>
      <w:pPr>
        <w:pStyle w:val="BookText"/>
        <w:rPr/>
      </w:pPr>
      <w:bookmarkEnd w:id="391"/>
      <w:r>
        <w:rPr>
          <w:rFonts w:ascii="Amiri" w:hAnsi="Amiri" w:eastAsia="Amiri" w:cs="Amiri"/>
          <w:color w:val="111111"/>
          <w:sz w:val="28"/>
          <w:sz w:val="28"/>
          <w:szCs w:val="28"/>
          <w:rtl w:val="true"/>
          <w:lang w:bidi="ar-SA"/>
        </w:rPr>
        <w:t>و الطريقةُ إلىٰ كَونِه بهذه الصفةِ إجماعُ الفِرقةِ المُحِقّةِ</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8039731_1280447820"/>
      <w:bookmarkStart w:id="393" w:name="_Toc140"/>
      <w:bookmarkEnd w:id="392"/>
      <w:r>
        <w:rPr>
          <w:rtl w:val="true"/>
        </w:rPr>
        <w:t>المَسألةُ الحاديةُ و العِشرونَ العَدَدُ المعتبَرُ في مُقيمي الجُمُعةِ و العيدَينِ‌</w:t>
      </w:r>
      <w:bookmarkEnd w:id="393"/>
    </w:p>
    <w:p>
      <w:pPr>
        <w:pStyle w:val="BookText"/>
        <w:rPr/>
      </w:pPr>
      <w:r>
        <w:rPr>
          <w:rFonts w:ascii="Amiri" w:hAnsi="Amiri" w:eastAsia="Amiri" w:cs="Amiri"/>
          <w:color w:val="111111"/>
          <w:sz w:val="28"/>
          <w:sz w:val="28"/>
          <w:szCs w:val="28"/>
          <w:rtl w:val="true"/>
          <w:lang w:bidi="ar-SA"/>
        </w:rPr>
        <w:t>و أقَلُّ ما يُجزئُ في الجَمعِ لصَلاةِ‌</w:t>
      </w:r>
      <w:r>
        <w:rPr>
          <w:rStyle w:val="FootnoteAnchor"/>
          <w:rtl w:val="true"/>
        </w:rPr>
        <w:footnoteReference w:id="1707"/>
      </w:r>
      <w:r>
        <w:rPr>
          <w:rFonts w:ascii="Amiri" w:hAnsi="Amiri" w:eastAsia="Amiri" w:cs="Amiri"/>
          <w:color w:val="111111"/>
          <w:sz w:val="28"/>
          <w:sz w:val="28"/>
          <w:szCs w:val="28"/>
          <w:rtl w:val="true"/>
          <w:lang w:bidi="ar-SA"/>
        </w:rPr>
        <w:t>العيدَينِ سَبعةُ نَفَرٍ؛ لَيسوا بمَرضىٰ، و لا مُسافِرينَ، و لا غازينَ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ما يُجزئُ في الجُمُعةِ خَمسةُ نَفَرٍ، بالصفاتِ المذكورةِ</w:t>
      </w:r>
      <w:r>
        <w:rPr>
          <w:rFonts w:eastAsia="Amiri" w:cs="Amiri" w:ascii="Amiri" w:hAnsi="Amiri"/>
          <w:color w:val="111111"/>
          <w:sz w:val="28"/>
          <w:szCs w:val="28"/>
          <w:rtl w:val="true"/>
          <w:lang w:bidi="ar-SA"/>
        </w:rPr>
        <w:t>.</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و اعلَمْ أنّ مَذهبَنا المشهورَ المعروفَ في أقَلِّ العَدَدِ الذي تَنعَقِدُ به</w:t>
      </w:r>
      <w:r>
        <w:rPr>
          <w:rStyle w:val="FootnoteAnchor"/>
          <w:rtl w:val="true"/>
        </w:rPr>
        <w:footnoteReference w:id="1709"/>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الإمامُ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العَدَدُ بعَينِه مُعتَبَرٌ</w:t>
      </w:r>
      <w:r>
        <w:rPr>
          <w:rStyle w:val="FootnoteAnchor"/>
          <w:rtl w:val="true"/>
        </w:rPr>
        <w:footnoteReference w:id="1710"/>
      </w:r>
      <w:r>
        <w:rPr>
          <w:rFonts w:ascii="Amiri" w:hAnsi="Amiri" w:eastAsia="Amiri" w:cs="Amiri"/>
          <w:color w:val="111111"/>
          <w:sz w:val="28"/>
          <w:sz w:val="28"/>
          <w:szCs w:val="28"/>
          <w:rtl w:val="true"/>
          <w:lang w:bidi="ar-SA"/>
        </w:rPr>
        <w:t>في صَلاةِ العيدَينِ، مِن غيرِ زيادةٍ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 و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الجُمُعةَ تَنعَقِدُ بأربَعةٍ</w:t>
      </w:r>
      <w:r>
        <w:rPr>
          <w:rFonts w:eastAsia="Amiri" w:cs="Amiri" w:ascii="Amiri" w:hAnsi="Amiri"/>
          <w:color w:val="111111"/>
          <w:sz w:val="28"/>
          <w:szCs w:val="28"/>
          <w:rtl w:val="true"/>
          <w:lang w:bidi="ar-SA"/>
        </w:rPr>
        <w:t>.</w:t>
      </w:r>
      <w:r>
        <w:rPr>
          <w:rStyle w:val="FootnoteAnchor"/>
          <w:rtl w:val="true"/>
        </w:rPr>
        <w:footnoteReference w:id="171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يوسُفَ‌</w:t>
      </w:r>
      <w:r>
        <w:rPr>
          <w:rStyle w:val="FootnoteAnchor"/>
          <w:rtl w:val="true"/>
        </w:rPr>
        <w:footnoteReference w:id="1712"/>
      </w:r>
      <w:r>
        <w:rPr>
          <w:rFonts w:ascii="Amiri" w:hAnsi="Amiri" w:eastAsia="Amiri" w:cs="Amiri"/>
          <w:color w:val="111111"/>
          <w:sz w:val="28"/>
          <w:sz w:val="28"/>
          <w:szCs w:val="28"/>
          <w:rtl w:val="true"/>
          <w:lang w:bidi="ar-SA"/>
        </w:rPr>
        <w:t>و الليثِ‌</w:t>
      </w:r>
      <w:r>
        <w:rPr>
          <w:rStyle w:val="FootnoteAnchor"/>
          <w:rtl w:val="true"/>
        </w:rPr>
        <w:footnoteReference w:id="1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تَنعَقِدُ بثَلاثةٍ</w:t>
      </w:r>
      <w:r>
        <w:rPr>
          <w:rFonts w:eastAsia="Amiri" w:cs="Amiri" w:ascii="Amiri" w:hAnsi="Amiri"/>
          <w:color w:val="111111"/>
          <w:sz w:val="28"/>
          <w:szCs w:val="28"/>
          <w:rtl w:val="true"/>
          <w:lang w:bidi="ar-SA"/>
        </w:rPr>
        <w:t>.</w:t>
      </w:r>
      <w:r>
        <w:rPr>
          <w:rStyle w:val="FootnoteAnchor"/>
          <w:rtl w:val="true"/>
        </w:rPr>
        <w:footnoteReference w:id="1714"/>
      </w:r>
      <w:bookmarkStart w:id="394" w:name="pg16437_172604"/>
    </w:p>
    <w:p>
      <w:pPr>
        <w:pStyle w:val="BookText"/>
        <w:rPr/>
      </w:pPr>
      <w:bookmarkEnd w:id="394"/>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بأقَلَّ مِن أربَعينَ نَفساً</w:t>
      </w:r>
      <w:r>
        <w:rPr>
          <w:rFonts w:eastAsia="Amiri" w:cs="Amiri" w:ascii="Amiri" w:hAnsi="Amiri"/>
          <w:color w:val="111111"/>
          <w:sz w:val="28"/>
          <w:szCs w:val="28"/>
          <w:rtl w:val="true"/>
          <w:lang w:bidi="ar-SA"/>
        </w:rPr>
        <w:t>.</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و رُويَ عن الحَسَنِ‌</w:t>
      </w:r>
      <w:r>
        <w:rPr>
          <w:rStyle w:val="FootnoteAnchor"/>
          <w:rtl w:val="true"/>
        </w:rPr>
        <w:footnoteReference w:id="1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تَنعَقِدُ بِاثنَينِ</w:t>
      </w:r>
      <w:r>
        <w:rPr>
          <w:rFonts w:eastAsia="Amiri" w:cs="Amiri" w:ascii="Amiri" w:hAnsi="Amiri"/>
          <w:color w:val="111111"/>
          <w:sz w:val="28"/>
          <w:szCs w:val="28"/>
          <w:rtl w:val="true"/>
          <w:lang w:bidi="ar-SA"/>
        </w:rPr>
        <w:t>.</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قَريةٌ فيها</w:t>
      </w:r>
      <w:r>
        <w:rPr>
          <w:rStyle w:val="FootnoteAnchor"/>
          <w:rtl w:val="true"/>
        </w:rPr>
        <w:footnoteReference w:id="1718"/>
      </w:r>
      <w:r>
        <w:rPr>
          <w:rFonts w:ascii="Amiri" w:hAnsi="Amiri" w:eastAsia="Amiri" w:cs="Amiri"/>
          <w:color w:val="111111"/>
          <w:sz w:val="28"/>
          <w:sz w:val="28"/>
          <w:szCs w:val="28"/>
          <w:rtl w:val="true"/>
          <w:lang w:bidi="ar-SA"/>
        </w:rPr>
        <w:t>سوقٌ و مَسجِدٌ، فعَلَيهم الجُمُعةُ مِن غيرِ اعتبارِ عَدَدٍ</w:t>
      </w:r>
      <w:r>
        <w:rPr>
          <w:rFonts w:eastAsia="Amiri" w:cs="Amiri" w:ascii="Amiri" w:hAnsi="Amiri"/>
          <w:color w:val="111111"/>
          <w:sz w:val="28"/>
          <w:szCs w:val="28"/>
          <w:rtl w:val="true"/>
          <w:lang w:bidi="ar-SA"/>
        </w:rPr>
        <w:t>.</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و دليلُنا علىٰ صِحّةِ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إجماعُ الطائفةِ المُحِقّةِ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 أن يُستَدَلَّ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r>
        <w:rPr>
          <w:rFonts w:eastAsia="Amiri" w:cs="Amiri" w:ascii="Amiri" w:hAnsi="Amiri"/>
          <w:color w:val="111111"/>
          <w:sz w:val="28"/>
          <w:szCs w:val="28"/>
          <w:rtl w:val="true"/>
          <w:lang w:bidi="ar-SA"/>
        </w:rPr>
        <w:t xml:space="preserve">» </w:t>
      </w:r>
      <w:r>
        <w:rPr>
          <w:rStyle w:val="FootnoteAnchor"/>
          <w:rtl w:val="true"/>
        </w:rPr>
        <w:footnoteReference w:id="1720"/>
      </w:r>
      <w:r>
        <w:rPr>
          <w:rFonts w:ascii="Amiri" w:hAnsi="Amiri" w:eastAsia="Amiri" w:cs="Amiri"/>
          <w:color w:val="111111"/>
          <w:sz w:val="28"/>
          <w:sz w:val="28"/>
          <w:szCs w:val="28"/>
          <w:rtl w:val="true"/>
          <w:lang w:bidi="ar-SA"/>
        </w:rPr>
        <w:t>، و هذا عُمومٌ، إنّما أخرَجنا منه مَن نَقَصَ عن العَدَدِ الذي</w:t>
      </w:r>
      <w:r>
        <w:rPr>
          <w:rStyle w:val="FootnoteAnchor"/>
          <w:rtl w:val="true"/>
        </w:rPr>
        <w:footnoteReference w:id="1721"/>
      </w:r>
      <w:r>
        <w:rPr>
          <w:rFonts w:ascii="Amiri" w:hAnsi="Amiri" w:eastAsia="Amiri" w:cs="Amiri"/>
          <w:color w:val="111111"/>
          <w:sz w:val="28"/>
          <w:sz w:val="28"/>
          <w:szCs w:val="28"/>
          <w:rtl w:val="true"/>
          <w:lang w:bidi="ar-SA"/>
        </w:rPr>
        <w:t>ذَكَرناه</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8039733_1280447820"/>
      <w:bookmarkStart w:id="396" w:name="_Toc141"/>
      <w:bookmarkEnd w:id="395"/>
      <w:r>
        <w:rPr>
          <w:rtl w:val="true"/>
        </w:rPr>
        <w:t>المَسألةُ الثانيةُ و العِشرونَ مَن لا يَصلُحُ لإمامةِ الجُمُعةِ و العيدَينِ‌</w:t>
      </w:r>
      <w:bookmarkEnd w:id="396"/>
    </w:p>
    <w:p>
      <w:pPr>
        <w:pStyle w:val="BookText"/>
        <w:rPr/>
      </w:pPr>
      <w:r>
        <w:rPr>
          <w:rFonts w:ascii="Amiri" w:hAnsi="Amiri" w:eastAsia="Amiri" w:cs="Amiri"/>
          <w:color w:val="111111"/>
          <w:sz w:val="28"/>
          <w:sz w:val="28"/>
          <w:szCs w:val="28"/>
          <w:rtl w:val="true"/>
          <w:lang w:bidi="ar-SA"/>
        </w:rPr>
        <w:t>و لا يَصلُحُ لإمامةِ‌</w:t>
      </w:r>
      <w:r>
        <w:rPr>
          <w:rStyle w:val="FootnoteAnchor"/>
          <w:rtl w:val="true"/>
        </w:rPr>
        <w:footnoteReference w:id="1722"/>
      </w:r>
      <w:r>
        <w:rPr>
          <w:rFonts w:ascii="Amiri" w:hAnsi="Amiri" w:eastAsia="Amiri" w:cs="Amiri"/>
          <w:color w:val="111111"/>
          <w:sz w:val="28"/>
          <w:sz w:val="28"/>
          <w:szCs w:val="28"/>
          <w:rtl w:val="true"/>
          <w:lang w:bidi="ar-SA"/>
        </w:rPr>
        <w:t>الجُمُعةِ و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أبرَصُ، و لا مَجذومٌ، و لا مَفلوجٌ، و لا مَحدودٌ</w:t>
      </w:r>
      <w:r>
        <w:rPr>
          <w:rFonts w:eastAsia="Amiri" w:cs="Amiri" w:ascii="Amiri" w:hAnsi="Amiri"/>
          <w:color w:val="111111"/>
          <w:sz w:val="28"/>
          <w:szCs w:val="28"/>
          <w:rtl w:val="true"/>
          <w:lang w:bidi="ar-SA"/>
        </w:rPr>
        <w:t>.</w:t>
      </w:r>
      <w:r>
        <w:rPr>
          <w:rStyle w:val="FootnoteAnchor"/>
          <w:rtl w:val="true"/>
        </w:rPr>
        <w:footnoteReference w:id="172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w:t>
      </w:r>
      <w:r>
        <w:rPr>
          <w:rFonts w:eastAsia="Amiri" w:cs="Amiri" w:ascii="Amiri" w:hAnsi="Amiri"/>
          <w:color w:val="111111"/>
          <w:sz w:val="28"/>
          <w:szCs w:val="28"/>
          <w:rtl w:val="true"/>
          <w:lang w:bidi="ar-SA"/>
        </w:rPr>
        <w:t xml:space="preserve">. </w:t>
      </w:r>
      <w:bookmarkStart w:id="397" w:name="pg16437_172605"/>
    </w:p>
    <w:p>
      <w:pPr>
        <w:pStyle w:val="BookText"/>
        <w:rPr/>
      </w:pPr>
      <w:bookmarkEnd w:id="397"/>
      <w:r>
        <w:rPr>
          <w:rFonts w:ascii="Amiri" w:hAnsi="Amiri" w:eastAsia="Amiri" w:cs="Amiri"/>
          <w:color w:val="111111"/>
          <w:sz w:val="28"/>
          <w:sz w:val="28"/>
          <w:szCs w:val="28"/>
          <w:rtl w:val="true"/>
          <w:lang w:bidi="ar-SA"/>
        </w:rPr>
        <w:t>و طريقةُ الاحتياطِ؛ لأنّ إمامةَ مَن لَيسَ له هذه الصفاتُ جائزةٌ ماضيةٌ باتّفاقٍ، و لَيسَ كذلكَ الائتمامُ بمَن له بعضُ هذه الصفاتِ</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8039735_1280447820"/>
      <w:bookmarkStart w:id="399" w:name="_Toc142"/>
      <w:bookmarkEnd w:id="398"/>
      <w:r>
        <w:rPr>
          <w:rtl w:val="true"/>
        </w:rPr>
        <w:t>المَسألةُ الثالثةُ و العِشرونَ حُكمُ صَلاةِ الكُسوفِ‌</w:t>
      </w:r>
      <w:bookmarkEnd w:id="399"/>
    </w:p>
    <w:p>
      <w:pPr>
        <w:pStyle w:val="BookText"/>
        <w:rPr/>
      </w:pPr>
      <w:r>
        <w:rPr>
          <w:rFonts w:ascii="Amiri" w:hAnsi="Amiri" w:eastAsia="Amiri" w:cs="Amiri"/>
          <w:color w:val="111111"/>
          <w:sz w:val="28"/>
          <w:sz w:val="28"/>
          <w:szCs w:val="28"/>
          <w:rtl w:val="true"/>
          <w:lang w:bidi="ar-SA"/>
        </w:rPr>
        <w:t>و صَلاةُ الكُسوفِ رَكعَتانِ، تَشتَمِلُ علىٰ عَشرِ رَكَعاتٍ‌</w:t>
      </w:r>
      <w:r>
        <w:rPr>
          <w:rStyle w:val="FootnoteAnchor"/>
          <w:rtl w:val="true"/>
        </w:rPr>
        <w:footnoteReference w:id="1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تاركِها مُتعمِّداً الغُسلُ، إنِ احتَرَقَ القُرصُ كُلُّه</w:t>
      </w:r>
      <w:r>
        <w:rPr>
          <w:rFonts w:eastAsia="Amiri" w:cs="Amiri" w:ascii="Amiri" w:hAnsi="Amiri"/>
          <w:color w:val="111111"/>
          <w:sz w:val="28"/>
          <w:szCs w:val="28"/>
          <w:rtl w:val="true"/>
          <w:lang w:bidi="ar-SA"/>
        </w:rPr>
        <w:t>.</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و الذي يَجِبُ أن يُقالَ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كُسوفِ الشمسِ أو القمرِ</w:t>
      </w:r>
      <w:r>
        <w:rPr>
          <w:rStyle w:val="FootnoteAnchor"/>
          <w:rtl w:val="true"/>
        </w:rPr>
        <w:footnoteReference w:id="1726"/>
      </w:r>
      <w:r>
        <w:rPr>
          <w:rFonts w:ascii="Amiri" w:hAnsi="Amiri" w:eastAsia="Amiri" w:cs="Amiri"/>
          <w:color w:val="111111"/>
          <w:sz w:val="28"/>
          <w:sz w:val="28"/>
          <w:szCs w:val="28"/>
          <w:rtl w:val="true"/>
          <w:lang w:bidi="ar-SA"/>
        </w:rPr>
        <w:t>واجبةٌ، لا يَجوزُ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يَتوجَّهُ فَرضُها إلَى الذُّكورِ و الإناثِ، و الحُرِّ و العَبدِ، و المُقيمِ و المُسافِرِ، و إلىٰ كُلِّ مَن لَم يَكُن له عُذرٌ يُبيحُ مِثلُه</w:t>
      </w:r>
      <w:r>
        <w:rPr>
          <w:rStyle w:val="FootnoteAnchor"/>
          <w:rtl w:val="true"/>
        </w:rPr>
        <w:footnoteReference w:id="1727"/>
      </w:r>
      <w:r>
        <w:rPr>
          <w:rFonts w:ascii="Amiri" w:hAnsi="Amiri" w:eastAsia="Amiri" w:cs="Amiri"/>
          <w:color w:val="111111"/>
          <w:sz w:val="28"/>
          <w:sz w:val="28"/>
          <w:szCs w:val="28"/>
          <w:rtl w:val="true"/>
          <w:lang w:bidi="ar-SA"/>
        </w:rPr>
        <w:t>الإخلالَ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تُصَلّىٰ‌</w:t>
      </w:r>
      <w:r>
        <w:rPr>
          <w:rStyle w:val="FootnoteAnchor"/>
          <w:rtl w:val="true"/>
        </w:rPr>
        <w:footnoteReference w:id="1728"/>
      </w:r>
      <w:r>
        <w:rPr>
          <w:rFonts w:ascii="Amiri" w:hAnsi="Amiri" w:eastAsia="Amiri" w:cs="Amiri"/>
          <w:color w:val="111111"/>
          <w:sz w:val="28"/>
          <w:sz w:val="28"/>
          <w:szCs w:val="28"/>
          <w:rtl w:val="true"/>
          <w:lang w:bidi="ar-SA"/>
        </w:rPr>
        <w:t>في جَماعةٍ و علَى 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رَكعَتانِ، فيها عَشرُ 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كالمُناقَضةِ،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عَشرُ رَكَعاتٍ، و أربَعُ سَجَداتٍ؛ و ترتيبُها مسطورٌ في الكُتُبِ</w:t>
      </w:r>
      <w:r>
        <w:rPr>
          <w:rFonts w:eastAsia="Amiri" w:cs="Amiri" w:ascii="Amiri" w:hAnsi="Amiri"/>
          <w:color w:val="111111"/>
          <w:sz w:val="28"/>
          <w:szCs w:val="28"/>
          <w:rtl w:val="true"/>
          <w:lang w:bidi="ar-SA"/>
        </w:rPr>
        <w:t>.</w:t>
      </w:r>
      <w:r>
        <w:rPr>
          <w:rStyle w:val="FootnoteAnchor"/>
          <w:rtl w:val="true"/>
        </w:rPr>
        <w:footnoteReference w:id="172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تُقضىٰ إذا فاتَت، بشَرطِ أن يَكونَ قُرصُ‌</w:t>
      </w:r>
      <w:r>
        <w:rPr>
          <w:rStyle w:val="FootnoteAnchor"/>
          <w:rtl w:val="true"/>
        </w:rPr>
        <w:footnoteReference w:id="1730"/>
      </w:r>
      <w:r>
        <w:rPr>
          <w:rFonts w:ascii="Amiri" w:hAnsi="Amiri" w:eastAsia="Amiri" w:cs="Amiri"/>
          <w:color w:val="111111"/>
          <w:sz w:val="28"/>
          <w:sz w:val="28"/>
          <w:szCs w:val="28"/>
          <w:rtl w:val="true"/>
          <w:lang w:bidi="ar-SA"/>
        </w:rPr>
        <w:t>المُنكَسِفِ‌</w:t>
      </w:r>
      <w:r>
        <w:rPr>
          <w:rStyle w:val="FootnoteAnchor"/>
          <w:rtl w:val="true"/>
        </w:rPr>
        <w:footnoteReference w:id="1731"/>
      </w:r>
      <w:r>
        <w:rPr>
          <w:rFonts w:ascii="Amiri" w:hAnsi="Amiri" w:eastAsia="Amiri" w:cs="Amiri"/>
          <w:color w:val="111111"/>
          <w:sz w:val="28"/>
          <w:sz w:val="28"/>
          <w:szCs w:val="28"/>
          <w:rtl w:val="true"/>
          <w:lang w:bidi="ar-SA"/>
        </w:rPr>
        <w:t xml:space="preserve">احتَرَقَ كُلُّه، و لا قَضاءَ </w:t>
      </w:r>
      <w:bookmarkStart w:id="400" w:name="pg16437_172606"/>
    </w:p>
    <w:p>
      <w:pPr>
        <w:pStyle w:val="BookText"/>
        <w:rPr/>
      </w:pPr>
      <w:bookmarkEnd w:id="400"/>
      <w:r>
        <w:rPr>
          <w:rFonts w:ascii="Amiri" w:hAnsi="Amiri" w:eastAsia="Amiri" w:cs="Amiri"/>
          <w:color w:val="111111"/>
          <w:sz w:val="28"/>
          <w:sz w:val="28"/>
          <w:szCs w:val="28"/>
          <w:rtl w:val="true"/>
          <w:lang w:bidi="ar-SA"/>
        </w:rPr>
        <w:t>مع احتراقِ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الغُسلُ، فهو فيمن</w:t>
      </w:r>
      <w:r>
        <w:rPr>
          <w:rStyle w:val="FootnoteAnchor"/>
          <w:rtl w:val="true"/>
        </w:rPr>
        <w:footnoteReference w:id="1732"/>
      </w:r>
      <w:r>
        <w:rPr>
          <w:rFonts w:ascii="Amiri" w:hAnsi="Amiri" w:eastAsia="Amiri" w:cs="Amiri"/>
          <w:color w:val="111111"/>
          <w:sz w:val="28"/>
          <w:sz w:val="28"/>
          <w:szCs w:val="28"/>
          <w:rtl w:val="true"/>
          <w:lang w:bidi="ar-SA"/>
        </w:rPr>
        <w:t>تَعمَّدَ تَركَ هذه الصلاةِ، فإنّه يَلزَمُه مع القَضاءِ‌</w:t>
      </w:r>
      <w:r>
        <w:rPr>
          <w:rStyle w:val="FootnoteAnchor"/>
          <w:rtl w:val="true"/>
        </w:rPr>
        <w:footnoteReference w:id="1733"/>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8039737_1280447820"/>
      <w:bookmarkStart w:id="402" w:name="_Toc143"/>
      <w:bookmarkEnd w:id="401"/>
      <w:r>
        <w:rPr>
          <w:rtl w:val="true"/>
        </w:rPr>
        <w:t>المَسألةُ الرابعةُ و العِشرونَ كَيفيّةُ الصلاةِ علَى المَوتىٰ‌</w:t>
      </w:r>
      <w:bookmarkEnd w:id="402"/>
    </w:p>
    <w:p>
      <w:pPr>
        <w:pStyle w:val="BookText"/>
        <w:rPr/>
      </w:pPr>
      <w:r>
        <w:rPr>
          <w:rFonts w:ascii="Amiri" w:hAnsi="Amiri" w:eastAsia="Amiri" w:cs="Amiri"/>
          <w:color w:val="111111"/>
          <w:sz w:val="28"/>
          <w:sz w:val="28"/>
          <w:szCs w:val="28"/>
          <w:rtl w:val="true"/>
          <w:lang w:bidi="ar-SA"/>
        </w:rPr>
        <w:t>و الصلاةُ علَى المَوتىٰ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التسليمُ فيها غيرُ واجبٍ؛ إلّاللتقيّةِ، أو لإعلامِ المأمومينَ الخُروجَ مِن الصلاةِ</w:t>
      </w:r>
      <w:r>
        <w:rPr>
          <w:rFonts w:eastAsia="Amiri" w:cs="Amiri" w:ascii="Amiri" w:hAnsi="Amiri"/>
          <w:color w:val="111111"/>
          <w:sz w:val="28"/>
          <w:szCs w:val="28"/>
          <w:rtl w:val="true"/>
          <w:lang w:bidi="ar-SA"/>
        </w:rPr>
        <w:t>.</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 xml:space="preserve">و الحُجّةُ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الإجماعِ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كَبَّرَ خَمساً، فقَد فَعَلَ الواجبَ بإجماعٍ، و لَيسَ كذلكَ مَن نَقَصَ مِن</w:t>
      </w:r>
      <w:r>
        <w:rPr>
          <w:rStyle w:val="FootnoteAnchor"/>
          <w:rtl w:val="true"/>
        </w:rPr>
        <w:footnoteReference w:id="1735"/>
      </w:r>
      <w:r>
        <w:rPr>
          <w:rFonts w:ascii="Amiri" w:hAnsi="Amiri" w:eastAsia="Amiri" w:cs="Amiri"/>
          <w:color w:val="111111"/>
          <w:sz w:val="28"/>
          <w:sz w:val="28"/>
          <w:szCs w:val="28"/>
          <w:rtl w:val="true"/>
          <w:lang w:bidi="ar-SA"/>
        </w:rPr>
        <w:t>هذا العَدَدِ</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8039739_1280447820"/>
      <w:bookmarkStart w:id="404" w:name="_Toc144"/>
      <w:bookmarkEnd w:id="403"/>
      <w:r>
        <w:rPr>
          <w:rtl w:val="true"/>
        </w:rPr>
        <w:t>المسألةُ الخامسةُ و العِشرونَ استحبابُ تَوَقُّفِ الإمامِ حتّىٰ تُرفَعَ الجِنازةُ‌</w:t>
      </w:r>
      <w:bookmarkEnd w:id="404"/>
    </w:p>
    <w:p>
      <w:pPr>
        <w:pStyle w:val="BookText"/>
        <w:rPr/>
      </w:pPr>
      <w:r>
        <w:rPr>
          <w:rFonts w:ascii="Amiri" w:hAnsi="Amiri" w:eastAsia="Amiri" w:cs="Amiri"/>
          <w:color w:val="111111"/>
          <w:sz w:val="28"/>
          <w:sz w:val="28"/>
          <w:szCs w:val="28"/>
          <w:rtl w:val="true"/>
          <w:lang w:bidi="ar-SA"/>
        </w:rPr>
        <w:t>و مِن السُّنّةِ وقوفُ الإمامِ‌</w:t>
      </w:r>
      <w:r>
        <w:rPr>
          <w:rStyle w:val="FootnoteAnchor"/>
          <w:rtl w:val="true"/>
        </w:rPr>
        <w:footnoteReference w:id="1736"/>
      </w:r>
      <w:r>
        <w:rPr>
          <w:rFonts w:ascii="Amiri" w:hAnsi="Amiri" w:eastAsia="Amiri" w:cs="Amiri"/>
          <w:color w:val="111111"/>
          <w:sz w:val="28"/>
          <w:sz w:val="28"/>
          <w:szCs w:val="28"/>
          <w:rtl w:val="true"/>
          <w:lang w:bidi="ar-SA"/>
        </w:rPr>
        <w:t>حتّىٰ تُرفَعَ الجِنازةُ علىٰ أيدي الرِّجالِ</w:t>
      </w:r>
      <w:r>
        <w:rPr>
          <w:rFonts w:eastAsia="Amiri" w:cs="Amiri" w:ascii="Amiri" w:hAnsi="Amiri"/>
          <w:color w:val="111111"/>
          <w:sz w:val="28"/>
          <w:szCs w:val="28"/>
          <w:rtl w:val="true"/>
          <w:lang w:bidi="ar-SA"/>
        </w:rPr>
        <w:t>.</w:t>
      </w:r>
      <w:r>
        <w:rPr>
          <w:rStyle w:val="FootnoteAnchor"/>
          <w:rtl w:val="true"/>
        </w:rPr>
        <w:footnoteReference w:id="173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أيضاً فالحُجّةُ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الطائفةِ، و أنّه</w:t>
      </w:r>
      <w:r>
        <w:rPr>
          <w:rStyle w:val="FootnoteAnchor"/>
          <w:rtl w:val="true"/>
        </w:rPr>
        <w:footnoteReference w:id="1738"/>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bookmarkStart w:id="405" w:name="pg16437_172607"/>
    </w:p>
    <w:p>
      <w:pPr>
        <w:pStyle w:val="Heading4"/>
        <w:numPr>
          <w:ilvl w:val="3"/>
          <w:numId w:val="1"/>
        </w:numPr>
        <w:rPr/>
      </w:pPr>
      <w:bookmarkStart w:id="406" w:name="__RefHeading___Toc8039741_1280447820"/>
      <w:bookmarkStart w:id="407" w:name="_Toc145"/>
      <w:bookmarkEnd w:id="405"/>
      <w:bookmarkEnd w:id="406"/>
      <w:r>
        <w:rPr>
          <w:rtl w:val="true"/>
        </w:rPr>
        <w:t>أحكامُ الزكاةِ و الخُمسِ‌</w:t>
      </w:r>
      <w:bookmarkEnd w:id="407"/>
    </w:p>
    <w:p>
      <w:pPr>
        <w:pStyle w:val="Heading5"/>
        <w:numPr>
          <w:ilvl w:val="4"/>
          <w:numId w:val="1"/>
        </w:numPr>
        <w:rPr/>
      </w:pPr>
      <w:bookmarkStart w:id="408" w:name="__RefHeading___Toc8039743_1280447820"/>
      <w:bookmarkStart w:id="409" w:name="_Toc146"/>
      <w:bookmarkEnd w:id="408"/>
      <w:r>
        <w:rPr>
          <w:rtl w:val="true"/>
        </w:rPr>
        <w:t>المَسألةُ السادسةُ و العِشرونَ حُكمُ الذهَبِ و الفِضّةِ في بابِ الزكاةِ‌</w:t>
      </w:r>
      <w:bookmarkEnd w:id="409"/>
    </w:p>
    <w:p>
      <w:pPr>
        <w:pStyle w:val="BookText"/>
        <w:rPr/>
      </w:pPr>
      <w:r>
        <w:rPr>
          <w:rFonts w:ascii="Amiri" w:hAnsi="Amiri" w:eastAsia="Amiri" w:cs="Amiri"/>
          <w:color w:val="111111"/>
          <w:sz w:val="28"/>
          <w:sz w:val="28"/>
          <w:szCs w:val="28"/>
          <w:rtl w:val="true"/>
          <w:lang w:bidi="ar-SA"/>
        </w:rPr>
        <w:t>و إنّ الزكاةَ في التِّبْرِ و الفِضّةِ غيرُ واجبةٍ، حتّىٰ يَصيرا</w:t>
      </w:r>
      <w:r>
        <w:rPr>
          <w:rStyle w:val="FootnoteAnchor"/>
          <w:rtl w:val="true"/>
        </w:rPr>
        <w:footnoteReference w:id="1739"/>
      </w:r>
      <w:r>
        <w:rPr>
          <w:rFonts w:ascii="Amiri" w:hAnsi="Amiri" w:eastAsia="Amiri" w:cs="Amiri"/>
          <w:color w:val="111111"/>
          <w:sz w:val="28"/>
          <w:sz w:val="28"/>
          <w:szCs w:val="28"/>
          <w:rtl w:val="true"/>
          <w:lang w:bidi="ar-SA"/>
        </w:rPr>
        <w:t>وَرِقاً</w:t>
      </w:r>
      <w:r>
        <w:rPr>
          <w:rStyle w:val="FootnoteAnchor"/>
          <w:rtl w:val="true"/>
        </w:rPr>
        <w:footnoteReference w:id="1740"/>
      </w:r>
      <w:r>
        <w:rPr>
          <w:rFonts w:ascii="Amiri" w:hAnsi="Amiri" w:eastAsia="Amiri" w:cs="Amiri"/>
          <w:color w:val="111111"/>
          <w:sz w:val="28"/>
          <w:sz w:val="28"/>
          <w:szCs w:val="28"/>
          <w:rtl w:val="true"/>
          <w:lang w:bidi="ar-SA"/>
        </w:rPr>
        <w:t>و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السَّبائكَ مِن الذهَبِ و الفِضّةِ‌</w:t>
      </w:r>
      <w:r>
        <w:rPr>
          <w:rStyle w:val="FootnoteAnchor"/>
          <w:rtl w:val="true"/>
        </w:rPr>
        <w:footnoteReference w:id="1741"/>
      </w:r>
      <w:r>
        <w:rPr>
          <w:rFonts w:ascii="Amiri" w:hAnsi="Amiri" w:eastAsia="Amiri" w:cs="Amiri"/>
          <w:color w:val="111111"/>
          <w:sz w:val="28"/>
          <w:sz w:val="28"/>
          <w:szCs w:val="28"/>
          <w:rtl w:val="true"/>
          <w:lang w:bidi="ar-SA"/>
        </w:rPr>
        <w:t>لا زَكاةَ فيها، إلّاعلىٰ مَن هَرَبَ بِهما مِن الزكاةِ</w:t>
      </w:r>
      <w:r>
        <w:rPr>
          <w:rFonts w:eastAsia="Amiri" w:cs="Amiri" w:ascii="Amiri" w:hAnsi="Amiri"/>
          <w:color w:val="111111"/>
          <w:sz w:val="28"/>
          <w:szCs w:val="28"/>
          <w:rtl w:val="true"/>
          <w:lang w:bidi="ar-SA"/>
        </w:rPr>
        <w:t>.</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و الحُجّةُ في هذا الذي حَكَيناه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الطائفةِ المُحِقّةِ</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8039745_1280447820"/>
      <w:bookmarkStart w:id="411" w:name="_Toc147"/>
      <w:bookmarkEnd w:id="410"/>
      <w:r>
        <w:rPr>
          <w:rtl w:val="true"/>
        </w:rPr>
        <w:t>المَسألةُ السابعةُ و العِشرونَ أقَلُّ ما يُجزئُ مِن الزكاةِ‌</w:t>
      </w:r>
      <w:bookmarkEnd w:id="411"/>
    </w:p>
    <w:p>
      <w:pPr>
        <w:pStyle w:val="BookText"/>
        <w:rPr/>
      </w:pPr>
      <w:r>
        <w:rPr>
          <w:rFonts w:ascii="Amiri" w:hAnsi="Amiri" w:eastAsia="Amiri" w:cs="Amiri"/>
          <w:color w:val="111111"/>
          <w:sz w:val="28"/>
          <w:sz w:val="28"/>
          <w:szCs w:val="28"/>
          <w:rtl w:val="true"/>
          <w:lang w:bidi="ar-SA"/>
        </w:rPr>
        <w:t>أقَلُّ ما يُجزئُ مِن الزكاةِ دِرهَمٌ</w:t>
      </w:r>
      <w:r>
        <w:rPr>
          <w:rFonts w:eastAsia="Amiri" w:cs="Amiri" w:ascii="Amiri" w:hAnsi="Amiri"/>
          <w:color w:val="111111"/>
          <w:sz w:val="28"/>
          <w:szCs w:val="28"/>
          <w:rtl w:val="true"/>
          <w:lang w:bidi="ar-SA"/>
        </w:rPr>
        <w:t>.</w:t>
      </w:r>
      <w:r>
        <w:rPr>
          <w:rStyle w:val="FootnoteAnchor"/>
          <w:rtl w:val="true"/>
        </w:rPr>
        <w:footnoteReference w:id="174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الطريقةُ في نُصرةِ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إجماعِ الفِرقةِ المُحقّةِ، طريقةُ الاحتياطِ؛ لأنّ مَن </w:t>
      </w:r>
      <w:bookmarkStart w:id="412" w:name="pg16437_172608"/>
    </w:p>
    <w:p>
      <w:pPr>
        <w:pStyle w:val="BookText"/>
        <w:rPr/>
      </w:pPr>
      <w:bookmarkEnd w:id="412"/>
      <w:r>
        <w:rPr>
          <w:rFonts w:ascii="Amiri" w:hAnsi="Amiri" w:eastAsia="Amiri" w:cs="Amiri"/>
          <w:color w:val="111111"/>
          <w:sz w:val="28"/>
          <w:sz w:val="28"/>
          <w:szCs w:val="28"/>
          <w:rtl w:val="true"/>
          <w:lang w:bidi="ar-SA"/>
        </w:rPr>
        <w:t>أخرَجَ هذا المَبلَغَ أجزأ عنه و سَقَطَ عن ذِمّتِه بالإجماعِ، و لَيسَ الأمرُ علىٰ ذلكَ فيمن أخرَجَ أقَلَّ منه</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8039747_1280447820"/>
      <w:bookmarkStart w:id="414" w:name="_Toc148"/>
      <w:bookmarkEnd w:id="413"/>
      <w:r>
        <w:rPr>
          <w:rtl w:val="true"/>
        </w:rPr>
        <w:t>المَسألةُ الثامنةُ و العِشرونَ اشتراطُ الوِلايةِ في مُستَحِقّي الزكاةِ‌</w:t>
      </w:r>
      <w:bookmarkEnd w:id="414"/>
    </w:p>
    <w:p>
      <w:pPr>
        <w:pStyle w:val="BookText"/>
        <w:rPr/>
      </w:pPr>
      <w:r>
        <w:rPr>
          <w:rFonts w:ascii="Amiri" w:hAnsi="Amiri" w:eastAsia="Amiri" w:cs="Amiri"/>
          <w:color w:val="111111"/>
          <w:sz w:val="28"/>
          <w:sz w:val="28"/>
          <w:szCs w:val="28"/>
          <w:rtl w:val="true"/>
          <w:lang w:bidi="ar-SA"/>
        </w:rPr>
        <w:t>و لا يُجزئُ إخراجُها إلّاإلَى المُقِرّينَ‌</w:t>
      </w:r>
      <w:r>
        <w:rPr>
          <w:rStyle w:val="FootnoteAnchor"/>
          <w:rtl w:val="true"/>
        </w:rPr>
        <w:footnoteReference w:id="1744"/>
      </w:r>
      <w:r>
        <w:rPr>
          <w:rFonts w:ascii="Amiri" w:hAnsi="Amiri" w:eastAsia="Amiri" w:cs="Amiri"/>
          <w:color w:val="111111"/>
          <w:sz w:val="28"/>
          <w:sz w:val="28"/>
          <w:szCs w:val="28"/>
          <w:rtl w:val="true"/>
          <w:lang w:bidi="ar-SA"/>
        </w:rPr>
        <w:t>العارفينَ بوِلايةِ‌</w:t>
      </w:r>
      <w:r>
        <w:rPr>
          <w:rStyle w:val="FootnoteAnchor"/>
          <w:rtl w:val="true"/>
        </w:rPr>
        <w:footnoteReference w:id="1745"/>
      </w:r>
      <w:r>
        <w:rPr>
          <w:rFonts w:ascii="Amiri" w:hAnsi="Amiri" w:eastAsia="Amiri" w:cs="Amiri"/>
          <w:color w:val="111111"/>
          <w:sz w:val="28"/>
          <w:sz w:val="28"/>
          <w:szCs w:val="28"/>
          <w:rtl w:val="true"/>
          <w:lang w:bidi="ar-SA"/>
        </w:rPr>
        <w:t>أميرِ المؤمنينَ عليه السلامُ، فإن أُخرِجَت إلىٰ غيرِهم وَجَبَت الإعادةُ</w:t>
      </w:r>
      <w:r>
        <w:rPr>
          <w:rFonts w:eastAsia="Amiri" w:cs="Amiri" w:ascii="Amiri" w:hAnsi="Amiri"/>
          <w:color w:val="111111"/>
          <w:sz w:val="28"/>
          <w:szCs w:val="28"/>
          <w:rtl w:val="true"/>
          <w:lang w:bidi="ar-SA"/>
        </w:rPr>
        <w:t>.</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 xml:space="preserve">و 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المُتكرِّرِ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بوِلايةِ‌</w:t>
      </w:r>
      <w:r>
        <w:rPr>
          <w:rStyle w:val="FootnoteAnchor"/>
          <w:rtl w:val="true"/>
        </w:rPr>
        <w:footnoteReference w:id="1747"/>
      </w:r>
      <w:r>
        <w:rPr>
          <w:rFonts w:ascii="Amiri" w:hAnsi="Amiri" w:eastAsia="Amiri" w:cs="Amiri"/>
          <w:color w:val="111111"/>
          <w:sz w:val="28"/>
          <w:sz w:val="28"/>
          <w:szCs w:val="28"/>
          <w:rtl w:val="true"/>
          <w:lang w:bidi="ar-SA"/>
        </w:rPr>
        <w:t>أميرِ المؤمنينَ عليه السلامُ و إمامتِه</w:t>
      </w:r>
      <w:r>
        <w:rPr>
          <w:rStyle w:val="FootnoteAnchor"/>
          <w:rtl w:val="true"/>
        </w:rPr>
        <w:footnoteReference w:id="1748"/>
      </w:r>
      <w:r>
        <w:rPr>
          <w:rFonts w:ascii="Amiri" w:hAnsi="Amiri" w:eastAsia="Amiri" w:cs="Amiri"/>
          <w:color w:val="111111"/>
          <w:sz w:val="28"/>
          <w:sz w:val="28"/>
          <w:szCs w:val="28"/>
          <w:rtl w:val="true"/>
          <w:lang w:bidi="ar-SA"/>
        </w:rPr>
        <w:t>عندَ أهلِ الإمامةِ في حُكمِ المُرتَدِّ؛</w:t>
      </w:r>
      <w:r>
        <w:rPr>
          <w:rStyle w:val="FootnoteAnchor"/>
          <w:rtl w:val="true"/>
        </w:rPr>
        <w:footnoteReference w:id="1749"/>
      </w:r>
      <w:r>
        <w:rPr>
          <w:rFonts w:ascii="Amiri" w:hAnsi="Amiri" w:eastAsia="Amiri" w:cs="Amiri"/>
          <w:color w:val="111111"/>
          <w:sz w:val="28"/>
          <w:sz w:val="28"/>
          <w:szCs w:val="28"/>
          <w:rtl w:val="true"/>
          <w:lang w:bidi="ar-SA"/>
        </w:rPr>
        <w:t>و لا خِلافَ بَينَ المُسلِمينَ في أنّ الزكاةَ لا تُخرَجُ إلَى المُرتَدّينَ، و مَن أخرَجَها إليهم وَجَبَت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فَرعٌ مَبنيٌّ علىٰ هذا الأصلِ</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8039749_1280447820"/>
      <w:bookmarkStart w:id="416" w:name="_Toc149"/>
      <w:bookmarkEnd w:id="415"/>
      <w:r>
        <w:rPr>
          <w:rtl w:val="true"/>
        </w:rPr>
        <w:t>المَسألةُ التاسعةُ و العِشرونَ مقدارُ زَكاةِ الفِطرةِ‌</w:t>
      </w:r>
      <w:bookmarkEnd w:id="416"/>
    </w:p>
    <w:p>
      <w:pPr>
        <w:pStyle w:val="BookText"/>
        <w:rPr/>
      </w:pPr>
      <w:r>
        <w:rPr>
          <w:rFonts w:ascii="Amiri" w:hAnsi="Amiri" w:eastAsia="Amiri" w:cs="Amiri"/>
          <w:color w:val="111111"/>
          <w:sz w:val="28"/>
          <w:sz w:val="28"/>
          <w:szCs w:val="28"/>
          <w:rtl w:val="true"/>
          <w:lang w:bidi="ar-SA"/>
        </w:rPr>
        <w:t>و إنّ زَكاةَ الفِطرةِ صاعٌ، و هو تِسعةُ أرطالٍ بالعِراقيِّ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الحُجّةُ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و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w:t>
      </w:r>
      <w:bookmarkStart w:id="417" w:name="pg16437_172609"/>
    </w:p>
    <w:p>
      <w:pPr>
        <w:pStyle w:val="BookText"/>
        <w:rPr/>
      </w:pPr>
      <w:bookmarkEnd w:id="417"/>
      <w:r>
        <w:rPr>
          <w:rFonts w:ascii="Amiri" w:hAnsi="Amiri" w:eastAsia="Amiri" w:cs="Amiri"/>
          <w:color w:val="111111"/>
          <w:sz w:val="28"/>
          <w:sz w:val="28"/>
          <w:szCs w:val="28"/>
          <w:rtl w:val="true"/>
          <w:lang w:bidi="ar-SA"/>
        </w:rPr>
        <w:t>أخرَجَ تِسعةَ أرطالٍ فقَد سَقَطَ عن ذِمّتِه خُروجُ‌</w:t>
      </w:r>
      <w:r>
        <w:rPr>
          <w:rStyle w:val="FootnoteAnchor"/>
          <w:rtl w:val="true"/>
        </w:rPr>
        <w:footnoteReference w:id="1750"/>
      </w:r>
      <w:r>
        <w:rPr>
          <w:rFonts w:ascii="Amiri" w:hAnsi="Amiri" w:eastAsia="Amiri" w:cs="Amiri"/>
          <w:color w:val="111111"/>
          <w:sz w:val="28"/>
          <w:sz w:val="28"/>
          <w:szCs w:val="28"/>
          <w:rtl w:val="true"/>
          <w:lang w:bidi="ar-SA"/>
        </w:rPr>
        <w:t>الفِطرةِ، و لَيسَ كذلكَ مَن أخرَجَ أقَلَّ منها</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8039751_1280447820"/>
      <w:bookmarkStart w:id="419" w:name="_Toc150"/>
      <w:bookmarkEnd w:id="418"/>
      <w:r>
        <w:rPr>
          <w:rtl w:val="true"/>
        </w:rPr>
        <w:t>المَسألةُ الثلاثونَ أحكامُ الخُمُسِ‌</w:t>
      </w:r>
      <w:bookmarkEnd w:id="419"/>
    </w:p>
    <w:p>
      <w:pPr>
        <w:pStyle w:val="BookText"/>
        <w:rPr/>
      </w:pPr>
      <w:r>
        <w:rPr>
          <w:rFonts w:ascii="Amiri" w:hAnsi="Amiri" w:eastAsia="Amiri" w:cs="Amiri"/>
          <w:color w:val="111111"/>
          <w:sz w:val="28"/>
          <w:sz w:val="28"/>
          <w:szCs w:val="28"/>
          <w:rtl w:val="true"/>
          <w:lang w:bidi="ar-SA"/>
        </w:rPr>
        <w:t>و الخُمُسُ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للإمامِ القائمِ بخِلافةِ الرسولِ،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اللّٰهِ تَعالىٰ، و سَهمُ رَسولِه،</w:t>
      </w:r>
      <w:r>
        <w:rPr>
          <w:rStyle w:val="FootnoteAnchor"/>
          <w:rtl w:val="true"/>
        </w:rPr>
        <w:footnoteReference w:id="1751"/>
      </w:r>
      <w:r>
        <w:rPr>
          <w:rFonts w:ascii="Amiri" w:hAnsi="Amiri" w:eastAsia="Amiri" w:cs="Amiri"/>
          <w:color w:val="111111"/>
          <w:sz w:val="28"/>
          <w:sz w:val="28"/>
          <w:szCs w:val="28"/>
          <w:rtl w:val="true"/>
          <w:lang w:bidi="ar-SA"/>
        </w:rPr>
        <w:t>و سَهمُ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ليَتامىٰ آلِ الرسولِ، و مَساكينِهم، و أبناءِ سَبيلِهم؛ خاصّةً،</w:t>
      </w:r>
      <w:r>
        <w:rPr>
          <w:rStyle w:val="FootnoteAnchor"/>
          <w:rtl w:val="true"/>
        </w:rPr>
        <w:footnoteReference w:id="1752"/>
      </w:r>
      <w:r>
        <w:rPr>
          <w:rFonts w:ascii="Amiri" w:hAnsi="Amiri" w:eastAsia="Amiri" w:cs="Amiri"/>
          <w:color w:val="111111"/>
          <w:sz w:val="28"/>
          <w:sz w:val="28"/>
          <w:szCs w:val="28"/>
          <w:rtl w:val="true"/>
          <w:lang w:bidi="ar-SA"/>
        </w:rPr>
        <w:t>دونَ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إخراجَ الخُمُسِ واجبٌ في جميعِ المَغانِمِ و المَكاسِبِ، و كُلِّ ما استُفيدَ بالحَربِ، و ما استُخرِجَ أيضاً مِن المَعادِنِ، و الغَوصِ، و الكُنوزِ، و ما فَضَلَ مِن المُؤَنِ‌</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تمييزُ أهلِه هو أن يُقسَّمَ علىٰ سِتّةِ سِهامٍ‌</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منها للإمامِ القائمِ مَقامَ الرسولِ عليهمُ السلامُ؛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اللّٰهِ، و سَهمُ رَسولهِ، و سَهمُ ذي القُربىٰ؛ لأنّ‌</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اللّٰهِ تَعالىٰ ذلكَ إلى نفسِه هي</w:t>
      </w:r>
      <w:r>
        <w:rPr>
          <w:rStyle w:val="FootnoteAnchor"/>
          <w:rtl w:val="true"/>
        </w:rPr>
        <w:footnoteReference w:id="1756"/>
      </w:r>
      <w:r>
        <w:rPr>
          <w:rFonts w:ascii="Amiri" w:hAnsi="Amiri" w:eastAsia="Amiri" w:cs="Amiri"/>
          <w:color w:val="111111"/>
          <w:sz w:val="28"/>
          <w:sz w:val="28"/>
          <w:szCs w:val="28"/>
          <w:rtl w:val="true"/>
          <w:lang w:bidi="ar-SA"/>
        </w:rPr>
        <w:t>في المعنىٰ للرسولِ عليه السلامُ، و إنّما أضافَها إلىٰ نفسِه تفخيماً لشأنِ الرسولِ و تعظيماً؛ كإضافةِ طاعةِ الرسولِ عليه السلامُ إليه تَعالىٰ، و كَما</w:t>
      </w:r>
      <w:r>
        <w:rPr>
          <w:rStyle w:val="FootnoteAnchor"/>
          <w:rtl w:val="true"/>
        </w:rPr>
        <w:footnoteReference w:id="1757"/>
      </w:r>
      <w:r>
        <w:rPr>
          <w:rFonts w:ascii="Amiri" w:hAnsi="Amiri" w:eastAsia="Amiri" w:cs="Amiri"/>
          <w:color w:val="111111"/>
          <w:sz w:val="28"/>
          <w:sz w:val="28"/>
          <w:szCs w:val="28"/>
          <w:rtl w:val="true"/>
          <w:lang w:bidi="ar-SA"/>
        </w:rPr>
        <w:t xml:space="preserve">أضافَ رِضاهُ عليه السلامُ و أذاهُ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السهمُ الثاني المذكورُ المضافُ إلَى الرسولِ عليه السلامُ بصَريحِ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السَّهمانِ مَعاً للرسولِ عليه السلامُ في حَياتِه، و لخَليفتِه</w:t>
      </w:r>
      <w:r>
        <w:rPr>
          <w:rStyle w:val="FootnoteAnchor"/>
          <w:rtl w:val="true"/>
        </w:rPr>
        <w:footnoteReference w:id="1758"/>
      </w:r>
      <w:r>
        <w:rPr>
          <w:rFonts w:ascii="Amiri" w:hAnsi="Amiri" w:eastAsia="Amiri" w:cs="Amiri"/>
          <w:color w:val="111111"/>
          <w:sz w:val="28"/>
          <w:sz w:val="28"/>
          <w:szCs w:val="28"/>
          <w:rtl w:val="true"/>
          <w:lang w:bidi="ar-SA"/>
        </w:rPr>
        <w:t>القائمِ مَقامَه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المُضافُ إلىٰ ذي القُربىٰ، فإنّما عَنىٰ به وَليَّ الأمرِ مِن بَعدِه؛ لأنّه القَريبُ إليه الخِصّيصُ به</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الثلاثةُ الأسهُمِ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ليَتامىٰ آلِ مُحمّدٍ عليه السلامُ، و مَساكينِهم، و أبناءِ سَبيلِهم؛ و هُم بَنو هاشِمٍ خاصّةً،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غَنِمَ المُسلِمونَ شَيئاً مِن دارِ الكُفرِ بالسَّيفِ، قَسَّمَه الإمامُ علىٰ خَمسةِ أسهُمٍ؛ فجَعَلَ أربَعةً منها بَينَ مَن قاتَلَ عليه</w:t>
      </w:r>
      <w:r>
        <w:rPr>
          <w:rStyle w:val="FootnoteAnchor"/>
          <w:rtl w:val="true"/>
        </w:rPr>
        <w:footnoteReference w:id="1760"/>
      </w:r>
      <w:r>
        <w:rPr>
          <w:rFonts w:ascii="Amiri" w:hAnsi="Amiri" w:eastAsia="Amiri" w:cs="Amiri"/>
          <w:color w:val="111111"/>
          <w:sz w:val="28"/>
          <w:sz w:val="28"/>
          <w:szCs w:val="28"/>
          <w:rtl w:val="true"/>
          <w:lang w:bidi="ar-SA"/>
        </w:rPr>
        <w:t xml:space="preserve">، و جَعَلَ السَّهمَ الخامسَ علىٰ سِتّةِ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قَدَّمنا بيانَها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 له عليه السلامُ ثَلاثةٌ، و ثَلاثةٌ للثلاثةِ الأصنافِ‌</w:t>
      </w:r>
      <w:r>
        <w:rPr>
          <w:rStyle w:val="FootnoteAnchor"/>
          <w:rtl w:val="true"/>
        </w:rPr>
        <w:footnoteReference w:id="1761"/>
      </w:r>
      <w:r>
        <w:rPr>
          <w:rFonts w:ascii="Amiri" w:hAnsi="Amiri" w:eastAsia="Amiri" w:cs="Amiri"/>
          <w:color w:val="111111"/>
          <w:sz w:val="28"/>
          <w:sz w:val="28"/>
          <w:szCs w:val="28"/>
          <w:rtl w:val="true"/>
          <w:lang w:bidi="ar-SA"/>
        </w:rPr>
        <w:t>مِن أهلِه؛ مِن أيتامِهم، و مَساكينِهم، و أبناءِ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عليه، و عملُهم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تخصيصٌ لعُمومِ الكتابِ؛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Style w:val="FootnoteAnchor"/>
          <w:rtl w:val="true"/>
        </w:rPr>
        <w:footnoteReference w:id="1762"/>
      </w:r>
      <w:r>
        <w:rPr>
          <w:rFonts w:ascii="Amiri" w:hAnsi="Amiri" w:eastAsia="Amiri" w:cs="Amiri"/>
          <w:color w:val="111111"/>
          <w:sz w:val="28"/>
          <w:sz w:val="28"/>
          <w:szCs w:val="28"/>
          <w:rtl w:val="true"/>
          <w:lang w:bidi="ar-SA"/>
        </w:rPr>
        <w:t>، فأطلَقَ و عَمَّ، و أنتم جَعَلتم المُرادَ بذي القُربىٰ واحداً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هذا عُمومٌ، فكَيفَ خَصَصتُموه لبَني هاشِمٍ خاصّةً؟ </w:t>
      </w:r>
      <w:bookmarkStart w:id="420" w:name="pg16437_172611"/>
    </w:p>
    <w:p>
      <w:pPr>
        <w:pStyle w:val="BookText"/>
        <w:rPr/>
      </w:pPr>
      <w:bookmarkEnd w:id="420"/>
      <w:r>
        <w:rPr>
          <w:rFonts w:ascii="Amiri" w:hAnsi="Amiri" w:eastAsia="Amiri" w:cs="Amiri"/>
          <w:color w:val="111111"/>
          <w:sz w:val="28"/>
          <w:sz w:val="28"/>
          <w:szCs w:val="28"/>
          <w:rtl w:val="true"/>
          <w:lang w:bidi="ar-SA"/>
        </w:rPr>
        <w:t>فالجوابُ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قد يُخَصُّ بالدليلِ القاطعِ، و إذا كانت الفِرقةُ المُحِقّةُ قد أجمَعَت علَى الحُكمِ الذي ذَكَرناه، خَصَصنا</w:t>
      </w:r>
      <w:r>
        <w:rPr>
          <w:rStyle w:val="FootnoteAnchor"/>
          <w:rtl w:val="true"/>
        </w:rPr>
        <w:footnoteReference w:id="1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بإجماعِهم الذي هو غيرُ مُحتَمِلِ الظاهرِ؛ لأنّ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للقُربىٰ</w:t>
      </w:r>
      <w:r>
        <w:rPr>
          <w:rFonts w:eastAsia="Amiri" w:cs="Amiri" w:ascii="Amiri" w:hAnsi="Amiri"/>
          <w:color w:val="111111"/>
          <w:sz w:val="28"/>
          <w:szCs w:val="28"/>
          <w:rtl w:val="true"/>
          <w:lang w:bidi="ar-SA"/>
        </w:rPr>
        <w:t>»</w:t>
      </w:r>
      <w:r>
        <w:rPr>
          <w:rStyle w:val="FootnoteAnchor"/>
          <w:rtl w:val="true"/>
        </w:rPr>
        <w:footnoteReference w:id="1764"/>
      </w:r>
      <w:r>
        <w:rPr>
          <w:rFonts w:ascii="Amiri" w:hAnsi="Amiri" w:eastAsia="Amiri" w:cs="Amiri"/>
          <w:color w:val="111111"/>
          <w:sz w:val="28"/>
          <w:sz w:val="28"/>
          <w:szCs w:val="28"/>
          <w:rtl w:val="true"/>
          <w:lang w:bidi="ar-SA"/>
        </w:rPr>
        <w:t>يَقتَضي بعُمومِه قَرابةَ النبيِّ عليه السلامُ و غيرِه، فإذا خُصَّ به قَرابةُ‌</w:t>
      </w:r>
      <w:r>
        <w:rPr>
          <w:rStyle w:val="FootnoteAnchor"/>
          <w:rtl w:val="true"/>
        </w:rPr>
        <w:footnoteReference w:id="1765"/>
      </w:r>
      <w:r>
        <w:rPr>
          <w:rFonts w:ascii="Amiri" w:hAnsi="Amiri" w:eastAsia="Amiri" w:cs="Amiri"/>
          <w:color w:val="111111"/>
          <w:sz w:val="28"/>
          <w:sz w:val="28"/>
          <w:szCs w:val="28"/>
          <w:rtl w:val="true"/>
          <w:lang w:bidi="ar-SA"/>
        </w:rPr>
        <w:t>النبيِّ عليه السلامُ‌</w:t>
      </w:r>
      <w:r>
        <w:rPr>
          <w:rStyle w:val="FootnoteAnchor"/>
          <w:rtl w:val="true"/>
        </w:rPr>
        <w:footnoteReference w:id="1766"/>
      </w:r>
      <w:r>
        <w:rPr>
          <w:rFonts w:ascii="Amiri" w:hAnsi="Amiri" w:eastAsia="Amiri" w:cs="Amiri"/>
          <w:color w:val="111111"/>
          <w:sz w:val="28"/>
          <w:sz w:val="28"/>
          <w:szCs w:val="28"/>
          <w:rtl w:val="true"/>
          <w:lang w:bidi="ar-SA"/>
        </w:rPr>
        <w:t>فقَد عُدِلَ عن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دُخولَ‌</w:t>
      </w:r>
      <w:r>
        <w:rPr>
          <w:rStyle w:val="FootnoteAnchor"/>
          <w:rtl w:val="true"/>
        </w:rPr>
        <w:footnoteReference w:id="1767"/>
      </w:r>
      <w:r>
        <w:rPr>
          <w:rFonts w:ascii="Amiri" w:hAnsi="Amiri" w:eastAsia="Amiri" w:cs="Amiri"/>
          <w:color w:val="111111"/>
          <w:sz w:val="28"/>
          <w:sz w:val="28"/>
          <w:szCs w:val="28"/>
          <w:rtl w:val="true"/>
          <w:lang w:bidi="ar-SA"/>
        </w:rPr>
        <w:t>مَن كانَ بهذه الصفةِ؛ مِن مُسلِمٍ و ذِمّيٍّ، و غَنيٍّ و فَقيرٍ، و لا خِلافَ في أنّ عُمومَ ذلكَ غيرُ مُرادٍ، و أنّه مخصوصٌ علىٰ كُلِّ حالٍ</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8039753_1280447820"/>
      <w:bookmarkStart w:id="422" w:name="_Toc151"/>
      <w:bookmarkEnd w:id="421"/>
      <w:r>
        <w:rPr>
          <w:rtl w:val="true"/>
        </w:rPr>
        <w:t>المسألةُ الحاديةُ و الثلاثونَ حُكمُ الأنفالِ‌</w:t>
      </w:r>
      <w:bookmarkEnd w:id="422"/>
    </w:p>
    <w:p>
      <w:pPr>
        <w:pStyle w:val="BookText"/>
        <w:rPr/>
      </w:pPr>
      <w:r>
        <w:rPr>
          <w:rFonts w:ascii="Amiri" w:hAnsi="Amiri" w:eastAsia="Amiri" w:cs="Amiri"/>
          <w:color w:val="111111"/>
          <w:sz w:val="28"/>
          <w:sz w:val="28"/>
          <w:szCs w:val="28"/>
          <w:rtl w:val="true"/>
          <w:lang w:bidi="ar-SA"/>
        </w:rPr>
        <w:t>الأنفالُ خالصةٌ لرسولِ اللّٰهِ صَلَّى اللّٰهُ عليه و آلِه في حَياتِه، و للإمامِ القائمِ بَعدَه مَقامَه عليه السلامُ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فُتِحَت مِن غيرِ أن يوجَفَ عليها بخَيلٍ و لا رِكابٍ، و الأرَضونَ المَواتُ، و تَرِكاتُ مَن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الأنفالُ‌</w:t>
      </w:r>
      <w:r>
        <w:rPr>
          <w:rStyle w:val="FootnoteAnchor"/>
          <w:rtl w:val="true"/>
        </w:rPr>
        <w:footnoteReference w:id="1768"/>
      </w:r>
      <w:r>
        <w:rPr>
          <w:rFonts w:ascii="Amiri" w:hAnsi="Amiri" w:eastAsia="Amiri" w:cs="Amiri"/>
          <w:color w:val="111111"/>
          <w:sz w:val="28"/>
          <w:sz w:val="28"/>
          <w:szCs w:val="28"/>
          <w:rtl w:val="true"/>
          <w:lang w:bidi="ar-SA"/>
        </w:rPr>
        <w:t>خالصةٌ للنبيِّ عليه السلامُ في حَياتِه، و هي للإمامِ القائمِ مَقامَه مِن بَعدِه</w:t>
      </w:r>
      <w:r>
        <w:rPr>
          <w:rFonts w:eastAsia="Amiri" w:cs="Amiri" w:ascii="Amiri" w:hAnsi="Amiri"/>
          <w:color w:val="111111"/>
          <w:sz w:val="28"/>
          <w:szCs w:val="28"/>
          <w:rtl w:val="true"/>
          <w:lang w:bidi="ar-SA"/>
        </w:rPr>
        <w:t xml:space="preserve">. </w:t>
      </w:r>
      <w:bookmarkStart w:id="423" w:name="pg16437_172612"/>
    </w:p>
    <w:p>
      <w:pPr>
        <w:pStyle w:val="BookText"/>
        <w:rPr/>
      </w:pPr>
      <w:bookmarkEnd w:id="423"/>
      <w:r>
        <w:rPr>
          <w:rFonts w:ascii="Amiri" w:hAnsi="Amiri" w:eastAsia="Amiri" w:cs="Amiri"/>
          <w:color w:val="111111"/>
          <w:sz w:val="28"/>
          <w:sz w:val="28"/>
          <w:szCs w:val="28"/>
          <w:rtl w:val="true"/>
          <w:lang w:bidi="ar-SA"/>
        </w:rPr>
        <w:t xml:space="preserve">و إنّما أضافَ هذه الأنفالَ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للرسولِ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الذي تَقدَّمَ بَيانُه مِن التعظيمِ و التفخيمِ</w:t>
      </w:r>
      <w:r>
        <w:rPr>
          <w:rFonts w:eastAsia="Amiri" w:cs="Amiri" w:ascii="Amiri" w:hAnsi="Amiri"/>
          <w:color w:val="111111"/>
          <w:sz w:val="28"/>
          <w:szCs w:val="28"/>
          <w:rtl w:val="true"/>
          <w:lang w:bidi="ar-SA"/>
        </w:rPr>
        <w:t>.</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عليه</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8039755_1280447820"/>
      <w:bookmarkStart w:id="425" w:name="_Toc152"/>
      <w:bookmarkEnd w:id="424"/>
      <w:r>
        <w:rPr>
          <w:rtl w:val="true"/>
        </w:rPr>
        <w:t>المَسألةُ الثانيةُ و الثلاثونَ صَفوَةُ الأموالِ مِن الأنفالِ‌</w:t>
      </w:r>
      <w:bookmarkEnd w:id="425"/>
    </w:p>
    <w:p>
      <w:pPr>
        <w:pStyle w:val="BookText"/>
        <w:rPr/>
      </w:pPr>
      <w:r>
        <w:rPr>
          <w:rFonts w:ascii="Amiri" w:hAnsi="Amiri" w:eastAsia="Amiri" w:cs="Amiri"/>
          <w:color w:val="111111"/>
          <w:sz w:val="28"/>
          <w:sz w:val="28"/>
          <w:szCs w:val="28"/>
          <w:rtl w:val="true"/>
          <w:lang w:bidi="ar-SA"/>
        </w:rPr>
        <w:t>و إنّ صَفوَةَ الأموالِ مِن الأنفالِ خاصّةٌ للنبيِّ عليه السلامُ و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شَيءٍ يَصطَفيهِ و يَختارُه النبيُّ عليه السلامُ أو الإمامُ القائمُ مَقامَه بَعدَه لنفسِه مِن الغَنائمِ قَبلَ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جاريةٍ حَسناءَ، و فَرَسٍ‌</w:t>
      </w:r>
      <w:r>
        <w:rPr>
          <w:rStyle w:val="FootnoteAnchor"/>
          <w:rtl w:val="true"/>
        </w:rPr>
        <w:footnoteReference w:id="1771"/>
      </w:r>
      <w:r>
        <w:rPr>
          <w:rFonts w:ascii="Amiri" w:hAnsi="Amiri" w:eastAsia="Amiri" w:cs="Amiri"/>
          <w:color w:val="111111"/>
          <w:sz w:val="28"/>
          <w:sz w:val="28"/>
          <w:szCs w:val="28"/>
          <w:rtl w:val="true"/>
          <w:lang w:bidi="ar-SA"/>
        </w:rPr>
        <w:t>فارِهٍ، و ثَوبٍ‌</w:t>
      </w:r>
      <w:r>
        <w:rPr>
          <w:rStyle w:val="FootnoteAnchor"/>
          <w:rtl w:val="true"/>
        </w:rPr>
        <w:footnoteReference w:id="1772"/>
      </w:r>
      <w:r>
        <w:rPr>
          <w:rFonts w:ascii="Amiri" w:hAnsi="Amiri" w:eastAsia="Amiri" w:cs="Amiri"/>
          <w:color w:val="111111"/>
          <w:sz w:val="28"/>
          <w:sz w:val="28"/>
          <w:szCs w:val="28"/>
          <w:rtl w:val="true"/>
          <w:lang w:bidi="ar-SA"/>
        </w:rPr>
        <w:t>حَسَنٍ‌</w:t>
      </w:r>
      <w:r>
        <w:rPr>
          <w:rStyle w:val="FootnoteAnchor"/>
          <w:rtl w:val="true"/>
        </w:rPr>
        <w:footnoteReference w:id="1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المُتقدِّمُ</w:t>
      </w:r>
      <w:r>
        <w:rPr>
          <w:rFonts w:eastAsia="Amiri" w:cs="Amiri" w:ascii="Amiri" w:hAnsi="Amiri"/>
          <w:color w:val="111111"/>
          <w:sz w:val="28"/>
          <w:szCs w:val="28"/>
          <w:rtl w:val="true"/>
          <w:lang w:bidi="ar-SA"/>
        </w:rPr>
        <w:t xml:space="preserve">. </w:t>
      </w:r>
      <w:bookmarkStart w:id="426" w:name="pg16437_172613"/>
    </w:p>
    <w:p>
      <w:pPr>
        <w:pStyle w:val="Heading4"/>
        <w:numPr>
          <w:ilvl w:val="3"/>
          <w:numId w:val="1"/>
        </w:numPr>
        <w:rPr/>
      </w:pPr>
      <w:bookmarkStart w:id="427" w:name="__RefHeading___Toc8039757_1280447820"/>
      <w:bookmarkStart w:id="428" w:name="_Toc153"/>
      <w:bookmarkEnd w:id="426"/>
      <w:bookmarkEnd w:id="427"/>
      <w:r>
        <w:rPr>
          <w:rtl w:val="true"/>
        </w:rPr>
        <w:t>أحكامُ الحَجِّ و الشُّفعةِ و الرِّبا</w:t>
      </w:r>
      <w:bookmarkEnd w:id="428"/>
    </w:p>
    <w:p>
      <w:pPr>
        <w:pStyle w:val="Heading5"/>
        <w:numPr>
          <w:ilvl w:val="4"/>
          <w:numId w:val="1"/>
        </w:numPr>
        <w:rPr/>
      </w:pPr>
      <w:bookmarkStart w:id="429" w:name="__RefHeading___Toc8039759_1280447820"/>
      <w:bookmarkStart w:id="430" w:name="_Toc154"/>
      <w:bookmarkEnd w:id="429"/>
      <w:r>
        <w:rPr>
          <w:rtl w:val="true"/>
        </w:rPr>
        <w:t>المَسألةُ الثالثةُ و الثلاثونَ فَوتُ عَرَفاتٍ و إدراكُ المَشعَرِ</w:t>
      </w:r>
      <w:bookmarkEnd w:id="430"/>
    </w:p>
    <w:p>
      <w:pPr>
        <w:pStyle w:val="BookText"/>
        <w:rPr/>
      </w:pPr>
      <w:r>
        <w:rPr>
          <w:rFonts w:ascii="Amiri" w:hAnsi="Amiri" w:eastAsia="Amiri" w:cs="Amiri"/>
          <w:color w:val="111111"/>
          <w:sz w:val="28"/>
          <w:sz w:val="28"/>
          <w:szCs w:val="28"/>
          <w:rtl w:val="true"/>
          <w:lang w:bidi="ar-SA"/>
        </w:rPr>
        <w:t>و مَن فاتَه عَرَفاتٌ‌</w:t>
      </w:r>
      <w:r>
        <w:rPr>
          <w:rStyle w:val="FootnoteAnchor"/>
          <w:rtl w:val="true"/>
        </w:rPr>
        <w:footnoteReference w:id="1774"/>
      </w:r>
      <w:r>
        <w:rPr>
          <w:rFonts w:ascii="Amiri" w:hAnsi="Amiri" w:eastAsia="Amiri" w:cs="Amiri"/>
          <w:color w:val="111111"/>
          <w:sz w:val="28"/>
          <w:sz w:val="28"/>
          <w:szCs w:val="28"/>
          <w:rtl w:val="true"/>
          <w:lang w:bidi="ar-SA"/>
        </w:rPr>
        <w:t>، و أدرَكَ المَشعَرَ الحرامَ يَومَ النحرِ، فقَد أدرَكَ الحَجَّ</w:t>
      </w:r>
      <w:r>
        <w:rPr>
          <w:rFonts w:eastAsia="Amiri" w:cs="Amiri" w:ascii="Amiri" w:hAnsi="Amiri"/>
          <w:color w:val="111111"/>
          <w:sz w:val="28"/>
          <w:szCs w:val="28"/>
          <w:rtl w:val="true"/>
          <w:lang w:bidi="ar-SA"/>
        </w:rPr>
        <w:t>.</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وجوبُ الوقوفِ بالمَشعَرِ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وَجَبَ الوقوفُ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عِنْدَ اَلْمَشْعَرِ اَلْحَرٰامِ وَ اُذْكُرُوهُ كَمٰا هَدٰاكُمْ</w:t>
      </w:r>
      <w:r>
        <w:rPr>
          <w:rFonts w:eastAsia="Amiri" w:cs="Amiri" w:ascii="Amiri" w:hAnsi="Amiri"/>
          <w:color w:val="111111"/>
          <w:sz w:val="28"/>
          <w:szCs w:val="28"/>
          <w:rtl w:val="true"/>
          <w:lang w:bidi="ar-SA"/>
        </w:rPr>
        <w:t xml:space="preserve">» </w:t>
      </w:r>
      <w:r>
        <w:rPr>
          <w:rStyle w:val="FootnoteAnchor"/>
          <w:rtl w:val="true"/>
        </w:rPr>
        <w:footnoteReference w:id="1776"/>
      </w:r>
      <w:r>
        <w:rPr>
          <w:rFonts w:ascii="Amiri" w:hAnsi="Amiri" w:eastAsia="Amiri" w:cs="Amiri"/>
          <w:color w:val="111111"/>
          <w:sz w:val="28"/>
          <w:sz w:val="28"/>
          <w:szCs w:val="28"/>
          <w:rtl w:val="true"/>
          <w:lang w:bidi="ar-SA"/>
        </w:rPr>
        <w:t>فهذا أمرٌ يَقتَضي ظاهرُه الوجوبَ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مَن أَوجَبَ مِن الأُمّةِ الوقوفَ بالمَشعَرِ الحَرامِ، جَعَلَ مُدرِكَه مُدرِكاً للحَجِّ، و إن فاتَه الوقوفُ بعَرَفاتٍ؛ لأنّ الأُمّةَ بَينَ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لا يوجِبُ الوقوفَ بالمَشعَرِ، و الآخَرُ يوجِبُه؛ فمَن</w:t>
      </w:r>
      <w:r>
        <w:rPr>
          <w:rStyle w:val="FootnoteAnchor"/>
          <w:rtl w:val="true"/>
        </w:rPr>
        <w:footnoteReference w:id="1777"/>
      </w:r>
      <w:r>
        <w:rPr>
          <w:rFonts w:ascii="Amiri" w:hAnsi="Amiri" w:eastAsia="Amiri" w:cs="Amiri"/>
          <w:color w:val="111111"/>
          <w:sz w:val="28"/>
          <w:sz w:val="28"/>
          <w:szCs w:val="28"/>
          <w:rtl w:val="true"/>
          <w:lang w:bidi="ar-SA"/>
        </w:rPr>
        <w:t>أوجَبَه أقامَ إدراكَه مَقامَ إدراكِ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بوجوبِه و أنّه لا يُدرَكُ به الحَجُّ خُروجٌ عن الإجماعِ</w:t>
      </w:r>
      <w:r>
        <w:rPr>
          <w:rFonts w:eastAsia="Amiri" w:cs="Amiri" w:ascii="Amiri" w:hAnsi="Amiri"/>
          <w:color w:val="111111"/>
          <w:sz w:val="28"/>
          <w:szCs w:val="28"/>
          <w:rtl w:val="true"/>
          <w:lang w:bidi="ar-SA"/>
        </w:rPr>
        <w:t xml:space="preserve">. </w:t>
      </w:r>
      <w:bookmarkStart w:id="431" w:name="pg16437_172614"/>
    </w:p>
    <w:p>
      <w:pPr>
        <w:pStyle w:val="Heading5"/>
        <w:numPr>
          <w:ilvl w:val="4"/>
          <w:numId w:val="1"/>
        </w:numPr>
        <w:rPr/>
      </w:pPr>
      <w:bookmarkStart w:id="432" w:name="__RefHeading___Toc8039761_1280447820"/>
      <w:bookmarkStart w:id="433" w:name="_Toc155"/>
      <w:bookmarkEnd w:id="431"/>
      <w:bookmarkEnd w:id="432"/>
      <w:r>
        <w:rPr>
          <w:rtl w:val="true"/>
        </w:rPr>
        <w:t>المسألةُ الرابعةُ و الثلاثونَ عَدَدُ الشُّفَعاءِ في العَقارِ</w:t>
      </w:r>
      <w:bookmarkEnd w:id="433"/>
    </w:p>
    <w:p>
      <w:pPr>
        <w:pStyle w:val="BookText"/>
        <w:rPr/>
      </w:pPr>
      <w:r>
        <w:rPr>
          <w:rFonts w:ascii="Amiri" w:hAnsi="Amiri" w:eastAsia="Amiri" w:cs="Amiri"/>
          <w:color w:val="111111"/>
          <w:sz w:val="28"/>
          <w:sz w:val="28"/>
          <w:szCs w:val="28"/>
          <w:rtl w:val="true"/>
          <w:lang w:bidi="ar-SA"/>
        </w:rPr>
        <w:t>المسألةُ الرابعةُ و الثلاثونَ عَدَدُ الشُّفَعاءِ في العَقارِ</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و لا شُفعةَ في العَقارِ</w:t>
      </w:r>
      <w:r>
        <w:rPr>
          <w:rStyle w:val="FootnoteAnchor"/>
          <w:rtl w:val="true"/>
        </w:rPr>
        <w:footnoteReference w:id="1779"/>
      </w:r>
      <w:r>
        <w:rPr>
          <w:rFonts w:ascii="Amiri" w:hAnsi="Amiri" w:eastAsia="Amiri" w:cs="Amiri"/>
          <w:color w:val="111111"/>
          <w:sz w:val="28"/>
          <w:sz w:val="28"/>
          <w:szCs w:val="28"/>
          <w:rtl w:val="true"/>
          <w:lang w:bidi="ar-SA"/>
        </w:rPr>
        <w:t>بَينَ أكثَرَ مِن اثنَينِ؛ سَواءٌ كانَ مُشاعاً أو مَقسوماً</w:t>
      </w:r>
      <w:r>
        <w:rPr>
          <w:rFonts w:eastAsia="Amiri" w:cs="Amiri" w:ascii="Amiri" w:hAnsi="Amiri"/>
          <w:color w:val="111111"/>
          <w:sz w:val="28"/>
          <w:szCs w:val="28"/>
          <w:rtl w:val="true"/>
          <w:lang w:bidi="ar-SA"/>
        </w:rPr>
        <w:t>.</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و هذه المَسألةُ قد بيّنّاها و شَرَحناها و ذَكَرنا</w:t>
      </w:r>
      <w:r>
        <w:rPr>
          <w:rStyle w:val="FootnoteAnchor"/>
          <w:rtl w:val="true"/>
        </w:rPr>
        <w:footnoteReference w:id="1781"/>
      </w:r>
      <w:r>
        <w:rPr>
          <w:rFonts w:ascii="Amiri" w:hAnsi="Amiri" w:eastAsia="Amiri" w:cs="Amiri"/>
          <w:color w:val="111111"/>
          <w:sz w:val="28"/>
          <w:sz w:val="28"/>
          <w:szCs w:val="28"/>
          <w:rtl w:val="true"/>
          <w:lang w:bidi="ar-SA"/>
        </w:rPr>
        <w:t xml:space="preserve">الصحيحَ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2"/>
      </w:r>
      <w:r>
        <w:rPr>
          <w:rFonts w:ascii="Amiri" w:hAnsi="Amiri" w:eastAsia="Amiri" w:cs="Amiri"/>
          <w:color w:val="111111"/>
          <w:sz w:val="28"/>
          <w:sz w:val="28"/>
          <w:szCs w:val="28"/>
          <w:rtl w:val="true"/>
          <w:lang w:bidi="ar-SA"/>
        </w:rPr>
        <w:t>فلا معنىٰ لإعادتِه</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8039763_1280447820"/>
      <w:bookmarkStart w:id="435" w:name="_Toc156"/>
      <w:bookmarkEnd w:id="434"/>
      <w:r>
        <w:rPr>
          <w:rtl w:val="true"/>
        </w:rPr>
        <w:t>المَسألةُ الخامسةُ و الثلاثونَ مَن لا رِبا بَينَهما</w:t>
      </w:r>
      <w:bookmarkEnd w:id="435"/>
    </w:p>
    <w:p>
      <w:pPr>
        <w:pStyle w:val="BookText"/>
        <w:rPr/>
      </w:pPr>
      <w:r>
        <w:rPr>
          <w:rFonts w:ascii="Amiri" w:hAnsi="Amiri" w:eastAsia="Amiri" w:cs="Amiri"/>
          <w:color w:val="111111"/>
          <w:sz w:val="28"/>
          <w:sz w:val="28"/>
          <w:szCs w:val="28"/>
          <w:rtl w:val="true"/>
          <w:lang w:bidi="ar-SA"/>
        </w:rPr>
        <w:t>إنّه</w:t>
      </w:r>
      <w:r>
        <w:rPr>
          <w:rStyle w:val="FootnoteAnchor"/>
          <w:rtl w:val="true"/>
        </w:rPr>
        <w:footnoteReference w:id="1783"/>
      </w:r>
      <w:r>
        <w:rPr>
          <w:rFonts w:ascii="Amiri" w:hAnsi="Amiri" w:eastAsia="Amiri" w:cs="Amiri"/>
          <w:color w:val="111111"/>
          <w:sz w:val="28"/>
          <w:sz w:val="28"/>
          <w:szCs w:val="28"/>
          <w:rtl w:val="true"/>
          <w:lang w:bidi="ar-SA"/>
        </w:rPr>
        <w:t>لا رِبا بَينَ الوالدِ و وَلَدِه، و لا بَينَ الزوجِ و زَوجَتِه</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المسألةُ أيضاً ممّا</w:t>
      </w:r>
      <w:r>
        <w:rPr>
          <w:rStyle w:val="FootnoteAnchor"/>
          <w:rtl w:val="true"/>
        </w:rPr>
        <w:footnoteReference w:id="1785"/>
      </w:r>
      <w:r>
        <w:rPr>
          <w:rFonts w:ascii="Amiri" w:hAnsi="Amiri" w:eastAsia="Amiri" w:cs="Amiri"/>
          <w:color w:val="111111"/>
          <w:sz w:val="28"/>
          <w:sz w:val="28"/>
          <w:szCs w:val="28"/>
          <w:rtl w:val="true"/>
          <w:lang w:bidi="ar-SA"/>
        </w:rPr>
        <w:t xml:space="preserve">قد بيّنّاها و انتَهَينا فيها إلىٰ أبعَدِ الغاياتِ،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المَسائلِ الأُولىٰ</w:t>
      </w:r>
      <w:r>
        <w:rPr>
          <w:rFonts w:eastAsia="Amiri" w:cs="Amiri" w:ascii="Amiri" w:hAnsi="Amiri"/>
          <w:color w:val="111111"/>
          <w:sz w:val="28"/>
          <w:szCs w:val="28"/>
          <w:rtl w:val="true"/>
          <w:lang w:bidi="ar-SA"/>
        </w:rPr>
        <w:t>».</w:t>
      </w:r>
      <w:r>
        <w:rPr>
          <w:rStyle w:val="FootnoteAnchor"/>
          <w:rtl w:val="true"/>
        </w:rPr>
        <w:footnoteReference w:id="1786"/>
      </w:r>
      <w:bookmarkStart w:id="436" w:name="pg16437_172615"/>
    </w:p>
    <w:p>
      <w:pPr>
        <w:pStyle w:val="Heading4"/>
        <w:numPr>
          <w:ilvl w:val="3"/>
          <w:numId w:val="1"/>
        </w:numPr>
        <w:rPr/>
      </w:pPr>
      <w:bookmarkStart w:id="437" w:name="__RefHeading___Toc8039765_1280447820"/>
      <w:bookmarkStart w:id="438" w:name="_Toc157"/>
      <w:bookmarkEnd w:id="436"/>
      <w:bookmarkEnd w:id="437"/>
      <w:r>
        <w:rPr>
          <w:rtl w:val="true"/>
        </w:rPr>
        <w:t>أحكامُ النكاحِ‌</w:t>
      </w:r>
      <w:bookmarkEnd w:id="438"/>
    </w:p>
    <w:p>
      <w:pPr>
        <w:pStyle w:val="Heading5"/>
        <w:numPr>
          <w:ilvl w:val="4"/>
          <w:numId w:val="1"/>
        </w:numPr>
        <w:rPr/>
      </w:pPr>
      <w:bookmarkStart w:id="439" w:name="__RefHeading___Toc8039767_1280447820"/>
      <w:bookmarkStart w:id="440" w:name="_Toc158"/>
      <w:bookmarkEnd w:id="439"/>
      <w:r>
        <w:rPr>
          <w:rtl w:val="true"/>
        </w:rPr>
        <w:t>المَسألةُ السادسةُ و الثلاثونَ حُكمُ الزاني بذاتِ البَعلِ‌</w:t>
      </w:r>
      <w:bookmarkEnd w:id="440"/>
    </w:p>
    <w:p>
      <w:pPr>
        <w:pStyle w:val="BookText"/>
        <w:rPr/>
      </w:pPr>
      <w:r>
        <w:rPr>
          <w:rFonts w:ascii="Amiri" w:hAnsi="Amiri" w:eastAsia="Amiri" w:cs="Amiri"/>
          <w:color w:val="111111"/>
          <w:sz w:val="28"/>
          <w:sz w:val="28"/>
          <w:szCs w:val="28"/>
          <w:rtl w:val="true"/>
          <w:lang w:bidi="ar-SA"/>
        </w:rPr>
        <w:t>و مَن زَنىٰ بذاتِ بَعلٍ، لَم تَحِلَّ له بَعدَ مَوتِ بَعلِها أو طَلاقِه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أيضاً استعمالُ طريقةِ الاحتياطِ فيه؛ لأنّ اجتنابَ نِكاحِ هذه المَرأةِ لا ذَمَّ فيه و لا لَومَ مِن أحَدٍ، و في نِكاحِها الخِلافُ المشهورُ؛ فالاحتياطُ اجتنابُه</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8039769_1280447820"/>
      <w:bookmarkStart w:id="442" w:name="_Toc159"/>
      <w:bookmarkEnd w:id="441"/>
      <w:r>
        <w:rPr>
          <w:rtl w:val="true"/>
        </w:rPr>
        <w:t>المَسألةُ السابعةُ و الثلاثونَ عَقدُ النكاحِ علىٰ ما لا قيمةَ له</w:t>
      </w:r>
      <w:bookmarkEnd w:id="442"/>
    </w:p>
    <w:p>
      <w:pPr>
        <w:pStyle w:val="BookText"/>
        <w:rPr/>
      </w:pPr>
      <w:r>
        <w:rPr>
          <w:rFonts w:ascii="Amiri" w:hAnsi="Amiri" w:eastAsia="Amiri" w:cs="Amiri"/>
          <w:color w:val="111111"/>
          <w:sz w:val="28"/>
          <w:sz w:val="28"/>
          <w:szCs w:val="28"/>
          <w:rtl w:val="true"/>
          <w:lang w:bidi="ar-SA"/>
        </w:rPr>
        <w:t xml:space="preserve">إنّ النكاحَ إذا عُقِدَ علىٰ ما لا ثَمَنَ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كَلبٍ، و خِنزيرٍ، و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Style w:val="FootnoteAnchor"/>
          <w:rtl w:val="true"/>
        </w:rPr>
        <w:footnoteReference w:id="1787"/>
      </w:r>
      <w:r>
        <w:rPr>
          <w:rFonts w:ascii="Amiri" w:hAnsi="Amiri" w:eastAsia="Amiri" w:cs="Amiri"/>
          <w:color w:val="111111"/>
          <w:sz w:val="28"/>
          <w:sz w:val="28"/>
          <w:szCs w:val="28"/>
          <w:rtl w:val="true"/>
          <w:lang w:bidi="ar-SA"/>
        </w:rPr>
        <w:t>يَصِحُّ النكاحُ و يَجِبُ المَهرُ في الذِّمّةِ، أَم يَكونُ العَقدُ باطلاً مفسوخاً؟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الصحيحُ مِن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خِلافَ فيه بَينَ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نِكاحٍ عُقِدَ </w:t>
      </w:r>
      <w:bookmarkStart w:id="443" w:name="pg16437_172616"/>
    </w:p>
    <w:p>
      <w:pPr>
        <w:pStyle w:val="BookText"/>
        <w:rPr/>
      </w:pPr>
      <w:bookmarkEnd w:id="443"/>
      <w:r>
        <w:rPr>
          <w:rFonts w:ascii="Amiri" w:hAnsi="Amiri" w:eastAsia="Amiri" w:cs="Amiri"/>
          <w:color w:val="111111"/>
          <w:sz w:val="28"/>
          <w:sz w:val="28"/>
          <w:szCs w:val="28"/>
          <w:rtl w:val="true"/>
          <w:lang w:bidi="ar-SA"/>
        </w:rPr>
        <w:t>علىٰ ما لا قيمةَ له، كانَ صَحيحاً</w:t>
      </w:r>
      <w:r>
        <w:rPr>
          <w:rStyle w:val="FootnoteAnchor"/>
          <w:rtl w:val="true"/>
        </w:rPr>
        <w:footnoteReference w:id="1788"/>
      </w:r>
      <w:r>
        <w:rPr>
          <w:rFonts w:ascii="Amiri" w:hAnsi="Amiri" w:eastAsia="Amiri" w:cs="Amiri"/>
          <w:color w:val="111111"/>
          <w:sz w:val="28"/>
          <w:sz w:val="28"/>
          <w:szCs w:val="28"/>
          <w:rtl w:val="true"/>
          <w:lang w:bidi="ar-SA"/>
        </w:rPr>
        <w:t>، و يَجِبُ‌</w:t>
      </w:r>
      <w:r>
        <w:rPr>
          <w:rStyle w:val="FootnoteAnchor"/>
          <w:rtl w:val="true"/>
        </w:rPr>
        <w:footnoteReference w:id="1789"/>
      </w:r>
      <w:r>
        <w:rPr>
          <w:rFonts w:ascii="Amiri" w:hAnsi="Amiri" w:eastAsia="Amiri" w:cs="Amiri"/>
          <w:color w:val="111111"/>
          <w:sz w:val="28"/>
          <w:sz w:val="28"/>
          <w:szCs w:val="28"/>
          <w:rtl w:val="true"/>
          <w:lang w:bidi="ar-SA"/>
        </w:rPr>
        <w:t>في ذِمّةِ المعقودِ له مَهرُ المِثلِ، و لا يَكونُ العَقدُ باطلاً مِن حَيثُ بَطَلَ المَهرُ المُسمَّى المُصرَّحُ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الإماميّةِ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ذِكرُ المَهرِ الفاسدِ بأكثَرَ مِن فَقدِ ذِكرِ المَهرِ</w:t>
      </w:r>
      <w:r>
        <w:rPr>
          <w:rStyle w:val="FootnoteAnchor"/>
          <w:rtl w:val="true"/>
        </w:rPr>
        <w:footnoteReference w:id="1790"/>
      </w:r>
      <w:r>
        <w:rPr>
          <w:rFonts w:ascii="Amiri" w:hAnsi="Amiri" w:eastAsia="Amiri" w:cs="Amiri"/>
          <w:color w:val="111111"/>
          <w:sz w:val="28"/>
          <w:sz w:val="28"/>
          <w:szCs w:val="28"/>
          <w:rtl w:val="true"/>
          <w:lang w:bidi="ar-SA"/>
        </w:rPr>
        <w:t>جُملةً، و قد ثَبَتَ أنّ مَن عَقَدَ و لَم يُسَمِّ مَهراً مَضَى العَقدُ و صَحَّ و ثَبَتَ المَهرُ في الذِّمّةِ؛ فكذلكَ‌</w:t>
      </w:r>
      <w:r>
        <w:rPr>
          <w:rStyle w:val="FootnoteAnchor"/>
          <w:rtl w:val="true"/>
        </w:rPr>
        <w:footnoteReference w:id="1791"/>
      </w:r>
      <w:r>
        <w:rPr>
          <w:rFonts w:ascii="Amiri" w:hAnsi="Amiri" w:eastAsia="Amiri" w:cs="Amiri"/>
          <w:color w:val="111111"/>
          <w:sz w:val="28"/>
          <w:sz w:val="28"/>
          <w:szCs w:val="28"/>
          <w:rtl w:val="true"/>
          <w:lang w:bidi="ar-SA"/>
        </w:rPr>
        <w:t>فيما ذَكَرناه</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8039771_1280447820"/>
      <w:bookmarkStart w:id="445" w:name="_Toc160"/>
      <w:bookmarkEnd w:id="444"/>
      <w:r>
        <w:rPr>
          <w:rtl w:val="true"/>
        </w:rPr>
        <w:t>المَسألةُ الثامنةُ و الثلاثونَ التزويجُ في حالِ الإحرامِ‌</w:t>
      </w:r>
      <w:bookmarkEnd w:id="445"/>
    </w:p>
    <w:p>
      <w:pPr>
        <w:pStyle w:val="BookText"/>
        <w:rPr/>
      </w:pPr>
      <w:r>
        <w:rPr>
          <w:rFonts w:ascii="Amiri" w:hAnsi="Amiri" w:eastAsia="Amiri" w:cs="Amiri"/>
          <w:color w:val="111111"/>
          <w:sz w:val="28"/>
          <w:sz w:val="28"/>
          <w:szCs w:val="28"/>
          <w:rtl w:val="true"/>
          <w:lang w:bidi="ar-SA"/>
        </w:rPr>
        <w:t>و مَن تَزوَّجَ امرأةً مُحرِمةً و هو مُحرِمٌ، فُرِّقَ بَينَهما، و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أصحابُنا يَشرِطونَ‌</w:t>
      </w:r>
      <w:r>
        <w:rPr>
          <w:rStyle w:val="FootnoteAnchor"/>
          <w:rtl w:val="true"/>
        </w:rPr>
        <w:footnoteReference w:id="1792"/>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تَزوَّجَ و 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w:t>
      </w:r>
      <w:r>
        <w:rPr>
          <w:rStyle w:val="FootnoteAnchor"/>
          <w:rtl w:val="true"/>
        </w:rPr>
        <w:footnoteReference w:id="1793"/>
      </w:r>
      <w:r>
        <w:rPr>
          <w:rFonts w:ascii="Amiri" w:hAnsi="Amiri" w:eastAsia="Amiri" w:cs="Amiri"/>
          <w:color w:val="111111"/>
          <w:sz w:val="28"/>
          <w:sz w:val="28"/>
          <w:szCs w:val="28"/>
          <w:rtl w:val="true"/>
          <w:lang w:bidi="ar-SA"/>
        </w:rPr>
        <w:t xml:space="preserve">تحريمَ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بَينَهما، و لَم تَحِلَّ له أبداً</w:t>
      </w:r>
      <w:r>
        <w:rPr>
          <w:rFonts w:eastAsia="Amiri" w:cs="Amiri" w:ascii="Amiri" w:hAnsi="Amiri"/>
          <w:color w:val="111111"/>
          <w:sz w:val="28"/>
          <w:szCs w:val="28"/>
          <w:rtl w:val="true"/>
          <w:lang w:bidi="ar-SA"/>
        </w:rPr>
        <w:t>.</w:t>
      </w:r>
      <w:r>
        <w:rPr>
          <w:rStyle w:val="FootnoteAnchor"/>
          <w:rtl w:val="true"/>
        </w:rPr>
        <w:footnoteReference w:id="179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المُتكرِّرُ ذِكرُه، و طريقةُ الاحتياطِ أيضاً</w:t>
      </w:r>
      <w:r>
        <w:rPr>
          <w:rFonts w:eastAsia="Amiri" w:cs="Amiri" w:ascii="Amiri" w:hAnsi="Amiri"/>
          <w:color w:val="111111"/>
          <w:sz w:val="28"/>
          <w:szCs w:val="28"/>
          <w:rtl w:val="true"/>
          <w:lang w:bidi="ar-SA"/>
        </w:rPr>
        <w:t xml:space="preserve">. </w:t>
      </w:r>
      <w:bookmarkStart w:id="446" w:name="pg16437_172617"/>
    </w:p>
    <w:p>
      <w:pPr>
        <w:pStyle w:val="Heading5"/>
        <w:numPr>
          <w:ilvl w:val="4"/>
          <w:numId w:val="1"/>
        </w:numPr>
        <w:rPr/>
      </w:pPr>
      <w:bookmarkStart w:id="447" w:name="__RefHeading___Toc8039773_1280447820"/>
      <w:bookmarkStart w:id="448" w:name="_Toc161"/>
      <w:bookmarkEnd w:id="446"/>
      <w:bookmarkEnd w:id="447"/>
      <w:r>
        <w:rPr>
          <w:rtl w:val="true"/>
        </w:rPr>
        <w:t>المَسألةُ التاسعةُ و الثلاثونَ التزويجُ في العِدّةِ‌</w:t>
      </w:r>
      <w:bookmarkEnd w:id="448"/>
    </w:p>
    <w:p>
      <w:pPr>
        <w:pStyle w:val="BookText"/>
        <w:rPr/>
      </w:pPr>
      <w:r>
        <w:rPr>
          <w:rFonts w:ascii="Amiri" w:hAnsi="Amiri" w:eastAsia="Amiri" w:cs="Amiri"/>
          <w:color w:val="111111"/>
          <w:sz w:val="28"/>
          <w:sz w:val="28"/>
          <w:szCs w:val="28"/>
          <w:rtl w:val="true"/>
          <w:lang w:bidi="ar-SA"/>
        </w:rPr>
        <w:t>و مَن تَزوَّجَ امرأةً‌</w:t>
      </w:r>
      <w:r>
        <w:rPr>
          <w:rStyle w:val="FootnoteAnchor"/>
          <w:rtl w:val="true"/>
        </w:rPr>
        <w:footnoteReference w:id="1795"/>
      </w:r>
      <w:r>
        <w:rPr>
          <w:rFonts w:ascii="Amiri" w:hAnsi="Amiri" w:eastAsia="Amiri" w:cs="Amiri"/>
          <w:color w:val="111111"/>
          <w:sz w:val="28"/>
          <w:sz w:val="28"/>
          <w:szCs w:val="28"/>
          <w:rtl w:val="true"/>
          <w:lang w:bidi="ar-SA"/>
        </w:rPr>
        <w:t>في عِدّةٍ يَملِكُ‌</w:t>
      </w:r>
      <w:r>
        <w:rPr>
          <w:rStyle w:val="FootnoteAnchor"/>
          <w:rtl w:val="true"/>
        </w:rPr>
        <w:footnoteReference w:id="1796"/>
      </w:r>
      <w:r>
        <w:rPr>
          <w:rFonts w:ascii="Amiri" w:hAnsi="Amiri" w:eastAsia="Amiri" w:cs="Amiri"/>
          <w:color w:val="111111"/>
          <w:sz w:val="28"/>
          <w:sz w:val="28"/>
          <w:szCs w:val="28"/>
          <w:rtl w:val="true"/>
          <w:lang w:bidi="ar-SA"/>
        </w:rPr>
        <w:t>زَوجُها عليها فيها الرَّجعةَ، فُرِّقَ بَينَهما، و لَم تَحِلَّ له أبداً، و إن كانَ‌</w:t>
      </w:r>
      <w:r>
        <w:rPr>
          <w:rStyle w:val="FootnoteAnchor"/>
          <w:rtl w:val="true"/>
        </w:rPr>
        <w:footnoteReference w:id="1797"/>
      </w:r>
      <w:r>
        <w:rPr>
          <w:rFonts w:ascii="Amiri" w:hAnsi="Amiri" w:eastAsia="Amiri" w:cs="Amiri"/>
          <w:color w:val="111111"/>
          <w:sz w:val="28"/>
          <w:sz w:val="28"/>
          <w:szCs w:val="28"/>
          <w:rtl w:val="true"/>
          <w:lang w:bidi="ar-SA"/>
        </w:rPr>
        <w:t>دَخَلَ بها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w:t>
      </w:r>
      <w:r>
        <w:rPr>
          <w:rStyle w:val="FootnoteAnchor"/>
          <w:rtl w:val="true"/>
        </w:rPr>
        <w:footnoteReference w:id="1798"/>
      </w:r>
      <w:r>
        <w:rPr>
          <w:rFonts w:ascii="Amiri" w:hAnsi="Amiri" w:eastAsia="Amiri" w:cs="Amiri"/>
          <w:color w:val="111111"/>
          <w:sz w:val="28"/>
          <w:sz w:val="28"/>
          <w:szCs w:val="28"/>
          <w:rtl w:val="true"/>
          <w:lang w:bidi="ar-SA"/>
        </w:rPr>
        <w:t>الفِرقةِ المُحِقّةِ، و طريقةُ الاحتياطِ أيضاً</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8039775_1280447820"/>
      <w:bookmarkStart w:id="450" w:name="_Toc162"/>
      <w:bookmarkEnd w:id="449"/>
      <w:r>
        <w:rPr>
          <w:rtl w:val="true"/>
        </w:rPr>
        <w:t>المَسألةُ الأربَعونَ عَقدُ النَكاحِ في العِدّةِ‌</w:t>
      </w:r>
      <w:bookmarkEnd w:id="450"/>
    </w:p>
    <w:p>
      <w:pPr>
        <w:pStyle w:val="BookText"/>
        <w:rPr/>
      </w:pPr>
      <w:r>
        <w:rPr>
          <w:rFonts w:ascii="Amiri" w:hAnsi="Amiri" w:eastAsia="Amiri" w:cs="Amiri"/>
          <w:color w:val="111111"/>
          <w:sz w:val="28"/>
          <w:sz w:val="28"/>
          <w:szCs w:val="28"/>
          <w:rtl w:val="true"/>
          <w:lang w:bidi="ar-SA"/>
        </w:rPr>
        <w:t>و كذلكَ مَن عَقَدَ علَى امرأةٍ في عِدّةٍ مِن غيرِ دخولٍ بها، فُرِّقَ بَينَهما، و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أصحابُنا يَشرِطونَ في هذه المسألةِ‌</w:t>
      </w:r>
      <w:r>
        <w:rPr>
          <w:rStyle w:val="FootnoteAnchor"/>
          <w:rtl w:val="true"/>
        </w:rPr>
        <w:footnoteReference w:id="1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يَعلَمُ أنّها في عِدّةٍ</w:t>
      </w:r>
      <w:r>
        <w:rPr>
          <w:rFonts w:eastAsia="Amiri" w:cs="Amiri" w:ascii="Amiri" w:hAnsi="Amiri"/>
          <w:color w:val="111111"/>
          <w:sz w:val="28"/>
          <w:szCs w:val="28"/>
          <w:rtl w:val="true"/>
          <w:lang w:bidi="ar-SA"/>
        </w:rPr>
        <w:t>.</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طريقةُ الاحتياطِ</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8039777_1280447820"/>
      <w:bookmarkStart w:id="452" w:name="_Toc163"/>
      <w:bookmarkEnd w:id="451"/>
      <w:r>
        <w:rPr>
          <w:rtl w:val="true"/>
        </w:rPr>
        <w:t>المسألةُ الحاديةُ و الأربعونَ حُكمُ المُطلَّقةِ تِسعاً</w:t>
      </w:r>
      <w:bookmarkEnd w:id="452"/>
    </w:p>
    <w:p>
      <w:pPr>
        <w:pStyle w:val="BookText"/>
        <w:rPr/>
      </w:pPr>
      <w:r>
        <w:rPr>
          <w:rFonts w:ascii="Amiri" w:hAnsi="Amiri" w:eastAsia="Amiri" w:cs="Amiri"/>
          <w:color w:val="111111"/>
          <w:sz w:val="28"/>
          <w:sz w:val="28"/>
          <w:szCs w:val="28"/>
          <w:rtl w:val="true"/>
          <w:lang w:bidi="ar-SA"/>
        </w:rPr>
        <w:t>و مَن طَلَّقَ امرأةً تِسعَ تطليقاتٍ للعِدّةِ، حَرُمَت عليه، و لَم تَحِلَّ له أبداً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و الإجماعُ</w:t>
      </w:r>
      <w:r>
        <w:rPr>
          <w:rFonts w:eastAsia="Amiri" w:cs="Amiri" w:ascii="Amiri" w:hAnsi="Amiri"/>
          <w:color w:val="111111"/>
          <w:sz w:val="28"/>
          <w:szCs w:val="28"/>
          <w:rtl w:val="true"/>
          <w:lang w:bidi="ar-SA"/>
        </w:rPr>
        <w:t xml:space="preserve">. </w:t>
      </w:r>
      <w:bookmarkStart w:id="453" w:name="pg16437_172618"/>
    </w:p>
    <w:p>
      <w:pPr>
        <w:pStyle w:val="Heading5"/>
        <w:numPr>
          <w:ilvl w:val="4"/>
          <w:numId w:val="1"/>
        </w:numPr>
        <w:rPr/>
      </w:pPr>
      <w:bookmarkStart w:id="454" w:name="__RefHeading___Toc8039779_1280447820"/>
      <w:bookmarkStart w:id="455" w:name="_Toc164"/>
      <w:bookmarkEnd w:id="453"/>
      <w:bookmarkEnd w:id="454"/>
      <w:r>
        <w:rPr>
          <w:rtl w:val="true"/>
        </w:rPr>
        <w:t>المَسألةُ الثانيةُ و الأربَعونَ حُكمُ مَن فَجَرَ بعَمّتِه أو خالتِه</w:t>
      </w:r>
      <w:bookmarkEnd w:id="455"/>
    </w:p>
    <w:p>
      <w:pPr>
        <w:pStyle w:val="BookText"/>
        <w:rPr/>
      </w:pPr>
      <w:r>
        <w:rPr>
          <w:rFonts w:ascii="Amiri" w:hAnsi="Amiri" w:eastAsia="Amiri" w:cs="Amiri"/>
          <w:color w:val="111111"/>
          <w:sz w:val="28"/>
          <w:sz w:val="28"/>
          <w:szCs w:val="28"/>
          <w:rtl w:val="true"/>
          <w:lang w:bidi="ar-SA"/>
        </w:rPr>
        <w:t>و مَن</w:t>
      </w:r>
      <w:r>
        <w:rPr>
          <w:rStyle w:val="FootnoteAnchor"/>
          <w:rtl w:val="true"/>
        </w:rPr>
        <w:footnoteReference w:id="1802"/>
      </w:r>
      <w:r>
        <w:rPr>
          <w:rFonts w:ascii="Amiri" w:hAnsi="Amiri" w:eastAsia="Amiri" w:cs="Amiri"/>
          <w:color w:val="111111"/>
          <w:sz w:val="28"/>
          <w:sz w:val="28"/>
          <w:szCs w:val="28"/>
          <w:rtl w:val="true"/>
          <w:lang w:bidi="ar-SA"/>
        </w:rPr>
        <w:t>فَجَرَ بعمّتِه أو خالتِه</w:t>
      </w:r>
      <w:r>
        <w:rPr>
          <w:rStyle w:val="FootnoteAnchor"/>
          <w:rtl w:val="true"/>
        </w:rPr>
        <w:footnoteReference w:id="1803"/>
      </w:r>
      <w:r>
        <w:rPr>
          <w:rFonts w:ascii="Amiri" w:hAnsi="Amiri" w:eastAsia="Amiri" w:cs="Amiri"/>
          <w:color w:val="111111"/>
          <w:sz w:val="28"/>
          <w:sz w:val="28"/>
          <w:szCs w:val="28"/>
          <w:rtl w:val="true"/>
          <w:lang w:bidi="ar-SA"/>
        </w:rPr>
        <w:t>، حَرُمَ عليه نِكاحُ بِنتَيهما</w:t>
      </w:r>
      <w:r>
        <w:rPr>
          <w:rStyle w:val="FootnoteAnchor"/>
          <w:rtl w:val="true"/>
        </w:rPr>
        <w:footnoteReference w:id="1804"/>
      </w:r>
      <w:r>
        <w:rPr>
          <w:rFonts w:ascii="Amiri" w:hAnsi="Amiri" w:eastAsia="Amiri" w:cs="Amiri"/>
          <w:color w:val="111111"/>
          <w:sz w:val="28"/>
          <w:sz w:val="28"/>
          <w:szCs w:val="28"/>
          <w:rtl w:val="true"/>
          <w:lang w:bidi="ar-SA"/>
        </w:rPr>
        <w:t>، و لَم تَحِلّا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طريقةُ الاحتياطِ</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8039781_1280447820"/>
      <w:bookmarkStart w:id="457" w:name="_Toc165"/>
      <w:bookmarkEnd w:id="456"/>
      <w:r>
        <w:rPr>
          <w:rtl w:val="true"/>
        </w:rPr>
        <w:t>المسألةُ الثالثةُ و الأربَعونَ حُكمُ مَن تَلوَّطَ بغُلامٍ‌</w:t>
      </w:r>
      <w:bookmarkEnd w:id="457"/>
    </w:p>
    <w:p>
      <w:pPr>
        <w:pStyle w:val="BookText"/>
        <w:rPr/>
      </w:pPr>
      <w:r>
        <w:rPr>
          <w:rFonts w:ascii="Amiri" w:hAnsi="Amiri" w:eastAsia="Amiri" w:cs="Amiri"/>
          <w:color w:val="111111"/>
          <w:sz w:val="28"/>
          <w:sz w:val="28"/>
          <w:szCs w:val="28"/>
          <w:rtl w:val="true"/>
          <w:lang w:bidi="ar-SA"/>
        </w:rPr>
        <w:t>و مَن تَلوَّطَ بغُلامٍ فأَوقَبَ، لَم يَحِلَّ له نِكاحُ أُختِه و لا أُمِّه و لا ابنتِه</w:t>
      </w:r>
      <w:r>
        <w:rPr>
          <w:rFonts w:eastAsia="Amiri" w:cs="Amiri" w:ascii="Amiri" w:hAnsi="Amiri"/>
          <w:color w:val="111111"/>
          <w:sz w:val="28"/>
          <w:szCs w:val="28"/>
          <w:rtl w:val="true"/>
          <w:lang w:bidi="ar-SA"/>
        </w:rPr>
        <w:t>.</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الطريقتانِ المُتقدِّمتانِ</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8039783_1280447820"/>
      <w:bookmarkStart w:id="459" w:name="_Toc166"/>
      <w:bookmarkEnd w:id="458"/>
      <w:r>
        <w:rPr>
          <w:rtl w:val="true"/>
        </w:rPr>
        <w:t>المَسألةُ الرابعةُ و الأربَعونَ جوازُ نِكاحِ النساءِ في أدبارِهنّ‌</w:t>
      </w:r>
      <w:bookmarkEnd w:id="459"/>
    </w:p>
    <w:p>
      <w:pPr>
        <w:pStyle w:val="BookText"/>
        <w:rPr/>
      </w:pPr>
      <w:r>
        <w:rPr>
          <w:rFonts w:ascii="Amiri" w:hAnsi="Amiri" w:eastAsia="Amiri" w:cs="Amiri"/>
          <w:color w:val="111111"/>
          <w:sz w:val="28"/>
          <w:sz w:val="28"/>
          <w:szCs w:val="28"/>
          <w:rtl w:val="true"/>
          <w:lang w:bidi="ar-SA"/>
        </w:rPr>
        <w:t>جوازُ نِكاحِ النساءِ في أدبارِهنَّ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المَسألةُ عليها إطباقُ الشيعةِ الإماميّةِ، و لا خِلافَ بَينَ فقهائهم و علمائهم في الفَتوىٰ بإباحةِ ذلكَ؛ و إنّما يَقِلُّ التظاهُرُ</w:t>
      </w:r>
      <w:r>
        <w:rPr>
          <w:rStyle w:val="FootnoteAnchor"/>
          <w:rtl w:val="true"/>
        </w:rPr>
        <w:footnoteReference w:id="1806"/>
      </w:r>
      <w:r>
        <w:rPr>
          <w:rFonts w:ascii="Amiri" w:hAnsi="Amiri" w:eastAsia="Amiri" w:cs="Amiri"/>
          <w:color w:val="111111"/>
          <w:sz w:val="28"/>
          <w:sz w:val="28"/>
          <w:szCs w:val="28"/>
          <w:rtl w:val="true"/>
          <w:lang w:bidi="ar-SA"/>
        </w:rPr>
        <w:t>بَينَهم في الفَتوىٰ بإباحةِ هذه المَسألةِ علىٰ سَبيلِ التقيّةِ، و خَوفاً</w:t>
      </w:r>
      <w:r>
        <w:rPr>
          <w:rStyle w:val="FootnoteAnchor"/>
          <w:rtl w:val="true"/>
        </w:rPr>
        <w:footnoteReference w:id="1807"/>
      </w:r>
      <w:r>
        <w:rPr>
          <w:rFonts w:ascii="Amiri" w:hAnsi="Amiri" w:eastAsia="Amiri" w:cs="Amiri"/>
          <w:color w:val="111111"/>
          <w:sz w:val="28"/>
          <w:sz w:val="28"/>
          <w:szCs w:val="28"/>
          <w:rtl w:val="true"/>
          <w:lang w:bidi="ar-SA"/>
        </w:rPr>
        <w:t>مِن الشَّناعةِ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الحُجّةُ في إباحةِ هذا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عليه؛ و قد بيّنّا أنّ‌</w:t>
      </w:r>
      <w:r>
        <w:rPr>
          <w:rStyle w:val="FootnoteAnchor"/>
          <w:rtl w:val="true"/>
        </w:rPr>
        <w:footnoteReference w:id="1808"/>
      </w:r>
      <w:r>
        <w:rPr>
          <w:rFonts w:ascii="Amiri" w:hAnsi="Amiri" w:eastAsia="Amiri" w:cs="Amiri"/>
          <w:color w:val="111111"/>
          <w:sz w:val="28"/>
          <w:sz w:val="28"/>
          <w:szCs w:val="28"/>
          <w:rtl w:val="true"/>
          <w:lang w:bidi="ar-SA"/>
        </w:rPr>
        <w:t>إجماعَهم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 xml:space="preserve">،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شئتم، و في أيِّ مَوضِعٍ أرَدتم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 شِئتم؟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اللفظةُ تُستَعمَلُ في الأماكنِ و المَواضعِ، و قَلَّما</w:t>
      </w:r>
      <w:r>
        <w:rPr>
          <w:rStyle w:val="FootnoteAnchor"/>
          <w:rtl w:val="true"/>
        </w:rPr>
        <w:footnoteReference w:id="1810"/>
      </w:r>
      <w:r>
        <w:rPr>
          <w:rFonts w:ascii="Amiri" w:hAnsi="Amiri" w:eastAsia="Amiri" w:cs="Amiri"/>
          <w:color w:val="111111"/>
          <w:sz w:val="28"/>
          <w:sz w:val="28"/>
          <w:szCs w:val="28"/>
          <w:rtl w:val="true"/>
          <w:lang w:bidi="ar-SA"/>
        </w:rPr>
        <w:t>تُستَعمَلُ في الأوقاتِ؛ ألا تَرىٰ 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 زَيداً أينَ كانَ و أنّىٰ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يُريدونَ بذلكَ عُمومَ الأماكنِ؟</w:t>
      </w:r>
    </w:p>
    <w:p>
      <w:pPr>
        <w:pStyle w:val="BookText"/>
        <w:rPr/>
      </w:pPr>
      <w:r>
        <w:rPr>
          <w:rFonts w:ascii="Amiri" w:hAnsi="Amiri" w:eastAsia="Amiri" w:cs="Amiri"/>
          <w:color w:val="111111"/>
          <w:sz w:val="28"/>
          <w:sz w:val="28"/>
          <w:szCs w:val="28"/>
          <w:rtl w:val="true"/>
          <w:lang w:bidi="ar-SA"/>
        </w:rPr>
        <w:t>و لَو سَلَّمنا أنّها تُستَعمَلُ في الأوقاتِ،</w:t>
      </w:r>
      <w:r>
        <w:rPr>
          <w:rStyle w:val="FootnoteAnchor"/>
          <w:rtl w:val="true"/>
        </w:rPr>
        <w:footnoteReference w:id="1811"/>
      </w:r>
      <w:r>
        <w:rPr>
          <w:rFonts w:ascii="Amiri" w:hAnsi="Amiri" w:eastAsia="Amiri" w:cs="Amiri"/>
          <w:color w:val="111111"/>
          <w:sz w:val="28"/>
          <w:sz w:val="28"/>
          <w:szCs w:val="28"/>
          <w:rtl w:val="true"/>
          <w:lang w:bidi="ar-SA"/>
        </w:rPr>
        <w:t>لَحَمَلنا الآيةَ علىٰ عُمومِ الأماكنِ و الأوقاتِ معاً</w:t>
      </w:r>
      <w:r>
        <w:rPr>
          <w:rStyle w:val="FootnoteAnchor"/>
          <w:rtl w:val="true"/>
        </w:rPr>
        <w:footnoteReference w:id="1812"/>
      </w:r>
      <w:r>
        <w:rPr>
          <w:rFonts w:ascii="Amiri" w:hAnsi="Amiri" w:eastAsia="Amiri" w:cs="Amiri"/>
          <w:color w:val="111111"/>
          <w:sz w:val="28"/>
          <w:sz w:val="28"/>
          <w:szCs w:val="28"/>
          <w:rtl w:val="true"/>
          <w:lang w:bidi="ar-SA"/>
        </w:rPr>
        <w:t>،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حَرثَكم أيَّ مَوضعٍ شِئتم، و أيَّ وقتٍ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يَطعَنُ علىٰ هذه الطريقةِ‌</w:t>
      </w:r>
      <w:r>
        <w:rPr>
          <w:rStyle w:val="FootnoteAnchor"/>
          <w:rtl w:val="true"/>
        </w:rPr>
        <w:footnoteReference w:id="1813"/>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تَعالَى النساءَ حَرثاً، و الحَرثُ لا يَكونُ إلّاحَيثُ النَّسلُ، فيَجِبُ أن يَكونَ قولُه</w:t>
      </w:r>
      <w:r>
        <w:rPr>
          <w:rStyle w:val="FootnoteAnchor"/>
          <w:rtl w:val="true"/>
        </w:rPr>
        <w:footnoteReference w:id="18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بمَوضعِ النَّسلِ‌</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بشَيءٍ؛ لأنّ النساءَ و إن كُنَّ‌</w:t>
      </w:r>
      <w:r>
        <w:rPr>
          <w:rStyle w:val="FootnoteAnchor"/>
          <w:rtl w:val="true"/>
        </w:rPr>
        <w:footnoteReference w:id="1816"/>
      </w:r>
      <w:r>
        <w:rPr>
          <w:rFonts w:ascii="Amiri" w:hAnsi="Amiri" w:eastAsia="Amiri" w:cs="Amiri"/>
          <w:color w:val="111111"/>
          <w:sz w:val="28"/>
          <w:sz w:val="28"/>
          <w:szCs w:val="28"/>
          <w:rtl w:val="true"/>
          <w:lang w:bidi="ar-SA"/>
        </w:rPr>
        <w:t xml:space="preserve">لنا حَرثاً، فقَد أُبيحَ لنا وطؤهُنَّ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p>
    <w:p>
      <w:pPr>
        <w:pStyle w:val="BookText"/>
        <w:rPr/>
      </w:pPr>
      <w:r>
        <w:rPr>
          <w:rFonts w:ascii="Amiri" w:hAnsi="Amiri" w:eastAsia="Amiri" w:cs="Amiri"/>
          <w:color w:val="111111"/>
          <w:sz w:val="28"/>
          <w:sz w:val="28"/>
          <w:szCs w:val="28"/>
          <w:rtl w:val="true"/>
          <w:lang w:bidi="ar-SA"/>
        </w:rPr>
        <w:t xml:space="preserve">بهذه الآيةِ و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 الحَرثِ؛ فيما دونَ الفَرجِ، و بحَيثُ لا نَسلَ‌</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يَقتَضي جَعلُه تَعالىٰ لهنَّ حَرثاً حَظْرَ</w:t>
      </w:r>
      <w:r>
        <w:rPr>
          <w:rStyle w:val="FootnoteAnchor"/>
          <w:rtl w:val="true"/>
        </w:rPr>
        <w:footnoteReference w:id="1818"/>
      </w:r>
      <w:r>
        <w:rPr>
          <w:rFonts w:ascii="Amiri" w:hAnsi="Amiri" w:eastAsia="Amiri" w:cs="Amiri"/>
          <w:color w:val="111111"/>
          <w:sz w:val="28"/>
          <w:sz w:val="28"/>
          <w:szCs w:val="28"/>
          <w:rtl w:val="true"/>
          <w:lang w:bidi="ar-SA"/>
        </w:rPr>
        <w:t>الاستمتاعِ في غيرِ مَوضعِ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لَو قالَ صَريحاً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في القُبُلِ، و الدُّبُرِ، و فيما دونَ الفَرجِ، و في كُلِّ مَوضِعٍ يَقَعُ به</w:t>
      </w:r>
      <w:r>
        <w:rPr>
          <w:rStyle w:val="FootnoteAnchor"/>
          <w:rtl w:val="true"/>
        </w:rPr>
        <w:footnoteReference w:id="1819"/>
      </w:r>
      <w:r>
        <w:rPr>
          <w:rFonts w:ascii="Amiri" w:hAnsi="Amiri" w:eastAsia="Amiri" w:cs="Amiri"/>
          <w:color w:val="111111"/>
          <w:sz w:val="28"/>
          <w:sz w:val="28"/>
          <w:szCs w:val="28"/>
          <w:rtl w:val="true"/>
          <w:lang w:bidi="ar-SA"/>
        </w:rPr>
        <w:t>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الكلامُ صَحيحاً؟</w:t>
      </w:r>
    </w:p>
    <w:p>
      <w:pPr>
        <w:pStyle w:val="BookText"/>
        <w:rPr/>
      </w:pPr>
      <w:r>
        <w:rPr>
          <w:rFonts w:ascii="Amiri" w:hAnsi="Amiri" w:eastAsia="Amiri" w:cs="Amiri"/>
          <w:color w:val="111111"/>
          <w:sz w:val="28"/>
          <w:sz w:val="28"/>
          <w:szCs w:val="28"/>
          <w:rtl w:val="true"/>
          <w:lang w:bidi="ar-SA"/>
        </w:rPr>
        <w:t>و قد استَدلَّ قومٌ في هذه المَسألةِ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تَأْتُونَ اَلذُّكْرٰانَ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مٰا خَلَقَ لَكُمْ رَبُّكُمْ مِنْ أَزْوٰاجِكُمْ بَلْ أَنْتُمْ قَوْمٌ عٰادُونَ</w:t>
      </w:r>
      <w:r>
        <w:rPr>
          <w:rFonts w:eastAsia="Amiri" w:cs="Amiri" w:ascii="Amiri" w:hAnsi="Amiri"/>
          <w:color w:val="111111"/>
          <w:sz w:val="28"/>
          <w:szCs w:val="28"/>
          <w:rtl w:val="true"/>
          <w:lang w:bidi="ar-SA"/>
        </w:rPr>
        <w:t xml:space="preserve">» </w:t>
      </w:r>
      <w:r>
        <w:rPr>
          <w:rStyle w:val="FootnoteAnchor"/>
          <w:rtl w:val="true"/>
        </w:rPr>
        <w:footnoteReference w:id="1820"/>
      </w:r>
      <w:r>
        <w:rPr>
          <w:rFonts w:ascii="Amiri" w:hAnsi="Amiri" w:eastAsia="Amiri" w:cs="Amiri"/>
          <w:color w:val="111111"/>
          <w:sz w:val="28"/>
          <w:sz w:val="28"/>
          <w:szCs w:val="28"/>
          <w:rtl w:val="true"/>
          <w:lang w:bidi="ar-SA"/>
        </w:rPr>
        <w:t>، و قالَ‌</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أن يَدعُوَهم إلَى التعوُّضِ‌</w:t>
      </w:r>
      <w:r>
        <w:rPr>
          <w:rStyle w:val="FootnoteAnchor"/>
          <w:rtl w:val="true"/>
        </w:rPr>
        <w:footnoteReference w:id="1822"/>
      </w:r>
      <w:r>
        <w:rPr>
          <w:rFonts w:ascii="Amiri" w:hAnsi="Amiri" w:eastAsia="Amiri" w:cs="Amiri"/>
          <w:color w:val="111111"/>
          <w:sz w:val="28"/>
          <w:sz w:val="28"/>
          <w:szCs w:val="28"/>
          <w:rtl w:val="true"/>
          <w:lang w:bidi="ar-SA"/>
        </w:rPr>
        <w:t>بالأزواجِ عن الذُّكرانِ، إلّاو قد أباحَ مِنهُنَّ مِن الوطءِ المخصوصِ مِثلَ ما يُلتَمَسُ مِن الذُّكرانِ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قالوا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بَنٰاتِي هُنَّ أَطْهَرُ لَكُمْ</w:t>
      </w:r>
      <w:r>
        <w:rPr>
          <w:rFonts w:eastAsia="Amiri" w:cs="Amiri" w:ascii="Amiri" w:hAnsi="Amiri"/>
          <w:color w:val="111111"/>
          <w:sz w:val="28"/>
          <w:szCs w:val="28"/>
          <w:rtl w:val="true"/>
          <w:lang w:bidi="ar-SA"/>
        </w:rPr>
        <w:t xml:space="preserve">» </w:t>
      </w:r>
      <w:r>
        <w:rPr>
          <w:rStyle w:val="FootnoteAnchor"/>
          <w:rtl w:val="true"/>
        </w:rPr>
        <w:footnoteReference w:id="1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1824"/>
      </w:r>
      <w:r>
        <w:rPr>
          <w:rFonts w:ascii="Amiri" w:hAnsi="Amiri" w:eastAsia="Amiri" w:cs="Amiri"/>
          <w:color w:val="111111"/>
          <w:sz w:val="28"/>
          <w:sz w:val="28"/>
          <w:szCs w:val="28"/>
          <w:rtl w:val="true"/>
          <w:lang w:bidi="ar-SA"/>
        </w:rPr>
        <w:t>و أنّه لَو لَم يَكُن في بَناتِه المعنَى المُلتَمَسُ مِن الذُّكرانِ، ما جَعَلَهُنَّ عِوَضاً عنه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لَيسَ بشَيءٍ يُعتَمَدُ؛ لأنّه يَجوزُ أن يُعوَّضَ‌</w:t>
      </w:r>
      <w:r>
        <w:rPr>
          <w:rStyle w:val="FootnoteAnchor"/>
          <w:rtl w:val="true"/>
        </w:rPr>
        <w:footnoteReference w:id="1825"/>
      </w:r>
      <w:r>
        <w:rPr>
          <w:rFonts w:ascii="Amiri" w:hAnsi="Amiri" w:eastAsia="Amiri" w:cs="Amiri"/>
          <w:color w:val="111111"/>
          <w:sz w:val="28"/>
          <w:sz w:val="28"/>
          <w:szCs w:val="28"/>
          <w:rtl w:val="true"/>
          <w:lang w:bidi="ar-SA"/>
        </w:rPr>
        <w:t>مَن أتَى</w:t>
      </w:r>
      <w:r>
        <w:rPr>
          <w:rStyle w:val="FootnoteAnchor"/>
          <w:rtl w:val="true"/>
        </w:rPr>
        <w:footnoteReference w:id="1826"/>
      </w:r>
      <w:r>
        <w:rPr>
          <w:rFonts w:ascii="Amiri" w:hAnsi="Amiri" w:eastAsia="Amiri" w:cs="Amiri"/>
          <w:color w:val="111111"/>
          <w:sz w:val="28"/>
          <w:sz w:val="28"/>
          <w:szCs w:val="28"/>
          <w:rtl w:val="true"/>
          <w:lang w:bidi="ar-SA"/>
        </w:rPr>
        <w:t>الذُّكرانَ بذلكَ؛ مِن حَيثُ كانَ له عنه عِوَضٌ بنِكاحِ النساءِ في الفُروجِ المعهودِ</w:t>
      </w:r>
      <w:r>
        <w:rPr>
          <w:rStyle w:val="FootnoteAnchor"/>
          <w:rtl w:val="true"/>
        </w:rPr>
        <w:footnoteReference w:id="1827"/>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w:t>
      </w:r>
      <w:bookmarkStart w:id="460" w:name="pg16437_172621"/>
    </w:p>
    <w:p>
      <w:pPr>
        <w:pStyle w:val="BookText"/>
        <w:rPr/>
      </w:pPr>
      <w:bookmarkEnd w:id="460"/>
      <w:r>
        <w:rPr>
          <w:rFonts w:ascii="Amiri" w:hAnsi="Amiri" w:eastAsia="Amiri" w:cs="Amiri"/>
          <w:color w:val="111111"/>
          <w:sz w:val="28"/>
          <w:sz w:val="28"/>
          <w:szCs w:val="28"/>
          <w:rtl w:val="true"/>
          <w:lang w:bidi="ar-SA"/>
        </w:rPr>
        <w:t>الاستمتاعِ و اللذّةِ مِثلَ ما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 الآيةِ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قد</w:t>
      </w:r>
      <w:r>
        <w:rPr>
          <w:rStyle w:val="FootnoteAnchor"/>
          <w:rtl w:val="true"/>
        </w:rPr>
        <w:footnoteReference w:id="1828"/>
      </w:r>
      <w:r>
        <w:rPr>
          <w:rFonts w:ascii="Amiri" w:hAnsi="Amiri" w:eastAsia="Amiri" w:cs="Amiri"/>
          <w:color w:val="111111"/>
          <w:sz w:val="28"/>
          <w:sz w:val="28"/>
          <w:szCs w:val="28"/>
          <w:rtl w:val="true"/>
          <w:lang w:bidi="ar-SA"/>
        </w:rPr>
        <w:t>كان يَحسُنُ التصريحُ بما ذَكَرناه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تأتونَ الذُّكرانَ مِنَ العالَمينَ، و تَذَرونَ ما خَلَقَ لَكُم رَبُّكم</w:t>
      </w:r>
      <w:r>
        <w:rPr>
          <w:rStyle w:val="FootnoteAnchor"/>
          <w:rtl w:val="true"/>
        </w:rPr>
        <w:footnoteReference w:id="1829"/>
      </w:r>
      <w:r>
        <w:rPr>
          <w:rFonts w:ascii="Amiri" w:hAnsi="Amiri" w:eastAsia="Amiri" w:cs="Amiri"/>
          <w:color w:val="111111"/>
          <w:sz w:val="28"/>
          <w:sz w:val="28"/>
          <w:szCs w:val="28"/>
          <w:rtl w:val="true"/>
          <w:lang w:bidi="ar-SA"/>
        </w:rPr>
        <w:t>مِن أزواجِكم؛ مِن الوَطءِ في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عِوَضٌ عنه، و مُغنٍ عن استعمالِه له</w:t>
      </w:r>
      <w:r>
        <w:rPr>
          <w:rStyle w:val="FootnoteAnchor"/>
          <w:rtl w:val="true"/>
        </w:rPr>
        <w:footnoteReference w:id="1830"/>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8039785_1280447820"/>
      <w:bookmarkStart w:id="462" w:name="_Toc167"/>
      <w:bookmarkEnd w:id="461"/>
      <w:r>
        <w:rPr>
          <w:rtl w:val="true"/>
        </w:rPr>
        <w:t>المَسألةُ الخامسةُ و الأربَعونَ عَقدُ المَرأةِ علىٰ نفسِها مِن دونِ إذنِ وليِّها</w:t>
      </w:r>
      <w:bookmarkEnd w:id="462"/>
    </w:p>
    <w:p>
      <w:pPr>
        <w:pStyle w:val="BookText"/>
        <w:rPr/>
      </w:pPr>
      <w:r>
        <w:rPr>
          <w:rFonts w:ascii="Amiri" w:hAnsi="Amiri" w:eastAsia="Amiri" w:cs="Amiri"/>
          <w:color w:val="111111"/>
          <w:sz w:val="28"/>
          <w:sz w:val="28"/>
          <w:szCs w:val="28"/>
          <w:rtl w:val="true"/>
          <w:lang w:bidi="ar-SA"/>
        </w:rPr>
        <w:t xml:space="preserve">جوازُ عَقدِ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w:t>
      </w:r>
      <w:r>
        <w:rPr>
          <w:rStyle w:val="FootnoteAnchor"/>
          <w:rtl w:val="true"/>
        </w:rPr>
        <w:footnoteReference w:id="1831"/>
      </w:r>
      <w:r>
        <w:rPr>
          <w:rFonts w:ascii="Amiri" w:hAnsi="Amiri" w:eastAsia="Amiri" w:cs="Amiri"/>
          <w:color w:val="111111"/>
          <w:sz w:val="28"/>
          <w:sz w:val="28"/>
          <w:szCs w:val="28"/>
          <w:rtl w:val="true"/>
          <w:lang w:bidi="ar-SA"/>
        </w:rPr>
        <w:t xml:space="preserve">تَملِكُ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نفسِها، بغَيرِ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 يوافِقُ فيها أبو حَنيفةَ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إذا عَقَلَت و كَمَلَت، زالَت عن الوِلايةِ في بُضعِها، و لها أن تُزوِّجَ‌</w:t>
      </w:r>
      <w:r>
        <w:rPr>
          <w:rStyle w:val="FootnoteAnchor"/>
          <w:rtl w:val="true"/>
        </w:rPr>
        <w:footnoteReference w:id="1832"/>
      </w:r>
      <w:r>
        <w:rPr>
          <w:rFonts w:ascii="Amiri" w:hAnsi="Amiri" w:eastAsia="Amiri" w:cs="Amiri"/>
          <w:color w:val="111111"/>
          <w:sz w:val="28"/>
          <w:sz w:val="28"/>
          <w:szCs w:val="28"/>
          <w:rtl w:val="true"/>
          <w:lang w:bidi="ar-SA"/>
        </w:rPr>
        <w:t>نفسَها؛ و لَيسَ لأحَدٍ اعتراضٌ‌</w:t>
      </w:r>
      <w:r>
        <w:rPr>
          <w:rStyle w:val="FootnoteAnchor"/>
          <w:rtl w:val="true"/>
        </w:rPr>
        <w:footnoteReference w:id="1833"/>
      </w:r>
      <w:r>
        <w:rPr>
          <w:rFonts w:ascii="Amiri" w:hAnsi="Amiri" w:eastAsia="Amiri" w:cs="Amiri"/>
          <w:color w:val="111111"/>
          <w:sz w:val="28"/>
          <w:sz w:val="28"/>
          <w:szCs w:val="28"/>
          <w:rtl w:val="true"/>
          <w:lang w:bidi="ar-SA"/>
        </w:rPr>
        <w:t>عليها، إلّاإذا وَضَعَت نفسَها في غيرِ كُفْ‌ءٍ</w:t>
      </w:r>
      <w:r>
        <w:rPr>
          <w:rFonts w:eastAsia="Amiri" w:cs="Amiri" w:ascii="Amiri" w:hAnsi="Amiri"/>
          <w:color w:val="111111"/>
          <w:sz w:val="28"/>
          <w:szCs w:val="28"/>
          <w:rtl w:val="true"/>
          <w:lang w:bidi="ar-SA"/>
        </w:rPr>
        <w:t>.</w:t>
      </w:r>
      <w:r>
        <w:rPr>
          <w:rStyle w:val="FootnoteAnchor"/>
          <w:rtl w:val="true"/>
        </w:rPr>
        <w:footnoteReference w:id="183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يوسُفَ‌</w:t>
      </w:r>
      <w:r>
        <w:rPr>
          <w:rStyle w:val="FootnoteAnchor"/>
          <w:rtl w:val="true"/>
        </w:rPr>
        <w:footnoteReference w:id="1835"/>
      </w:r>
      <w:r>
        <w:rPr>
          <w:rFonts w:ascii="Amiri" w:hAnsi="Amiri" w:eastAsia="Amiri" w:cs="Amiri"/>
          <w:color w:val="111111"/>
          <w:sz w:val="28"/>
          <w:sz w:val="28"/>
          <w:szCs w:val="28"/>
          <w:rtl w:val="true"/>
          <w:lang w:bidi="ar-SA"/>
        </w:rPr>
        <w:t>و مُحمّدٌ</w:t>
      </w:r>
      <w:r>
        <w:rPr>
          <w:rStyle w:val="FootnoteAnchor"/>
          <w:rtl w:val="true"/>
        </w:rPr>
        <w:footnoteReference w:id="1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النكاحُ إلَى الوليِّ، و لكِنّه لَيسَ بشَرطٍ فيه؛ فإذا زَوَّجَت نفسَها فعَلَى الوليِّ إجازةُ ذلكَ</w:t>
      </w:r>
      <w:r>
        <w:rPr>
          <w:rFonts w:eastAsia="Amiri" w:cs="Amiri" w:ascii="Amiri" w:hAnsi="Amiri"/>
          <w:color w:val="111111"/>
          <w:sz w:val="28"/>
          <w:szCs w:val="28"/>
          <w:rtl w:val="true"/>
          <w:lang w:bidi="ar-SA"/>
        </w:rPr>
        <w:t>.</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المقبَّحةُ‌</w:t>
      </w:r>
      <w:r>
        <w:rPr>
          <w:rStyle w:val="FootnoteAnchor"/>
          <w:rtl w:val="true"/>
        </w:rPr>
        <w:footnoteReference w:id="1838"/>
      </w:r>
      <w:r>
        <w:rPr>
          <w:rFonts w:ascii="Amiri" w:hAnsi="Amiri" w:eastAsia="Amiri" w:cs="Amiri"/>
          <w:color w:val="111111"/>
          <w:sz w:val="28"/>
          <w:sz w:val="28"/>
          <w:szCs w:val="28"/>
          <w:rtl w:val="true"/>
          <w:lang w:bidi="ar-SA"/>
        </w:rPr>
        <w:t>الدَّميمةُ‌</w:t>
      </w:r>
      <w:r>
        <w:rPr>
          <w:rStyle w:val="FootnoteAnchor"/>
          <w:rtl w:val="true"/>
        </w:rPr>
        <w:footnoteReference w:id="1839"/>
      </w:r>
      <w:r>
        <w:rPr>
          <w:rFonts w:ascii="Amiri" w:hAnsi="Amiri" w:eastAsia="Amiri" w:cs="Amiri"/>
          <w:color w:val="111111"/>
          <w:sz w:val="28"/>
          <w:sz w:val="28"/>
          <w:szCs w:val="28"/>
          <w:rtl w:val="true"/>
          <w:lang w:bidi="ar-SA"/>
        </w:rPr>
        <w:t>لا يَفتَقِرُ نِكاحُها إلَى الوليِّ، و مَن كانَت بخِلافِ هذه الصفةِ تَفتَقِرُ</w:t>
      </w:r>
      <w:r>
        <w:rPr>
          <w:rStyle w:val="FootnoteAnchor"/>
          <w:rtl w:val="true"/>
        </w:rPr>
        <w:footnoteReference w:id="1840"/>
      </w:r>
      <w:r>
        <w:rPr>
          <w:rFonts w:ascii="Amiri" w:hAnsi="Amiri" w:eastAsia="Amiri" w:cs="Amiri"/>
          <w:color w:val="111111"/>
          <w:sz w:val="28"/>
          <w:sz w:val="28"/>
          <w:szCs w:val="28"/>
          <w:rtl w:val="true"/>
          <w:lang w:bidi="ar-SA"/>
        </w:rPr>
        <w:t>إلَى الوليِّ</w:t>
      </w:r>
      <w:r>
        <w:rPr>
          <w:rFonts w:eastAsia="Amiri" w:cs="Amiri" w:ascii="Amiri" w:hAnsi="Amiri"/>
          <w:color w:val="111111"/>
          <w:sz w:val="28"/>
          <w:szCs w:val="28"/>
          <w:rtl w:val="true"/>
          <w:lang w:bidi="ar-SA"/>
        </w:rPr>
        <w:t>.</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و قال داودُ</w:t>
      </w:r>
      <w:r>
        <w:rPr>
          <w:rStyle w:val="FootnoteAnchor"/>
          <w:rtl w:val="true"/>
        </w:rPr>
        <w:footnoteReference w:id="1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بِكراً افتَقَرَ نِكاحُها إلَى الوليِّ، فإن</w:t>
      </w:r>
      <w:r>
        <w:rPr>
          <w:rStyle w:val="FootnoteAnchor"/>
          <w:rtl w:val="true"/>
        </w:rPr>
        <w:footnoteReference w:id="1843"/>
      </w:r>
      <w:r>
        <w:rPr>
          <w:rFonts w:ascii="Amiri" w:hAnsi="Amiri" w:eastAsia="Amiri" w:cs="Amiri"/>
          <w:color w:val="111111"/>
          <w:sz w:val="28"/>
          <w:sz w:val="28"/>
          <w:szCs w:val="28"/>
          <w:rtl w:val="true"/>
          <w:lang w:bidi="ar-SA"/>
        </w:rPr>
        <w:t>كانَت ثَيِّباً لَم يَفتَقِرْ</w:t>
      </w:r>
      <w:r>
        <w:rPr>
          <w:rFonts w:eastAsia="Amiri" w:cs="Amiri" w:ascii="Amiri" w:hAnsi="Amiri"/>
          <w:color w:val="111111"/>
          <w:sz w:val="28"/>
          <w:szCs w:val="28"/>
          <w:rtl w:val="true"/>
          <w:lang w:bidi="ar-SA"/>
        </w:rPr>
        <w:t>.</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و الدليلُ علىٰ صِحّةِ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طُعِنَ في ذلكَ بما رُويَ عن النبيِّ صَلَّى اللّٰهُ عليه و آلِه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Style w:val="FootnoteAnchor"/>
          <w:rtl w:val="true"/>
        </w:rPr>
        <w:footnoteReference w:id="1845"/>
      </w:r>
      <w:r>
        <w:rPr>
          <w:rFonts w:ascii="Amiri" w:hAnsi="Amiri" w:eastAsia="Amiri" w:cs="Amiri"/>
          <w:color w:val="111111"/>
          <w:sz w:val="28"/>
          <w:sz w:val="28"/>
          <w:szCs w:val="28"/>
          <w:rtl w:val="true"/>
          <w:lang w:bidi="ar-SA"/>
        </w:rPr>
        <w:t>امرأةٍ نُكِحَت بغَيرِ إذنِ وليِّها، فنِكاحُها باطلٌ</w:t>
      </w:r>
      <w:r>
        <w:rPr>
          <w:rFonts w:eastAsia="Amiri" w:cs="Amiri" w:ascii="Amiri" w:hAnsi="Amiri"/>
          <w:color w:val="111111"/>
          <w:sz w:val="28"/>
          <w:szCs w:val="28"/>
          <w:rtl w:val="true"/>
          <w:lang w:bidi="ar-SA"/>
        </w:rPr>
        <w:t>»</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خبرُ واحدٍ، و الصحيحُ أنّ أخبارَ الآحادِ لا توجِبُ عِلماً و لا عملاً</w:t>
      </w:r>
      <w:r>
        <w:rPr>
          <w:rFonts w:eastAsia="Amiri" w:cs="Amiri" w:ascii="Amiri" w:hAnsi="Amiri"/>
          <w:color w:val="111111"/>
          <w:sz w:val="28"/>
          <w:szCs w:val="28"/>
          <w:rtl w:val="true"/>
          <w:lang w:bidi="ar-SA"/>
        </w:rPr>
        <w:t>.</w:t>
      </w:r>
      <w:r>
        <w:rPr>
          <w:rStyle w:val="FootnoteAnchor"/>
          <w:rtl w:val="true"/>
        </w:rPr>
        <w:footnoteReference w:id="1847"/>
      </w:r>
      <w:bookmarkStart w:id="463" w:name="pg16437_172623"/>
    </w:p>
    <w:p>
      <w:pPr>
        <w:pStyle w:val="BookText"/>
        <w:rPr/>
      </w:pPr>
      <w:bookmarkEnd w:id="463"/>
      <w:r>
        <w:rPr>
          <w:rFonts w:ascii="Amiri" w:hAnsi="Amiri" w:eastAsia="Amiri" w:cs="Amiri"/>
          <w:color w:val="111111"/>
          <w:sz w:val="28"/>
          <w:sz w:val="28"/>
          <w:szCs w:val="28"/>
          <w:rtl w:val="true"/>
          <w:lang w:bidi="ar-SA"/>
        </w:rPr>
        <w:t>و هو أيضاً مطعونٌ في نَقلِه، مُضعَّفٌ عندَ أصحابِ الحَديثِ؛ و قد قَدَحَ فيه نُقّادُ الحَديثِ بما هو معروفٌ مشهورٌ</w:t>
      </w:r>
      <w:r>
        <w:rPr>
          <w:rFonts w:eastAsia="Amiri" w:cs="Amiri" w:ascii="Amiri" w:hAnsi="Amiri"/>
          <w:color w:val="111111"/>
          <w:sz w:val="28"/>
          <w:szCs w:val="28"/>
          <w:rtl w:val="true"/>
          <w:lang w:bidi="ar-SA"/>
        </w:rPr>
        <w:t>.</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و لَو سَلِمَ مِن كُلِّ القَدحِ، لَجازَ أن نَحمِلَه علَى الأَمَةِ خاصّةً؛ لأنّه قد رُويَ هذا الحَديثُ بلَفظٍ آخَرَ؛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امرأةٍ أنكَحَت نفسَها بغَيرِ إذنِ مَولاها، فنِكاحُها باطلٌ</w:t>
      </w:r>
      <w:r>
        <w:rPr>
          <w:rFonts w:eastAsia="Amiri" w:cs="Amiri" w:ascii="Amiri" w:hAnsi="Amiri"/>
          <w:color w:val="111111"/>
          <w:sz w:val="28"/>
          <w:szCs w:val="28"/>
          <w:rtl w:val="true"/>
          <w:lang w:bidi="ar-SA"/>
        </w:rPr>
        <w:t>»</w:t>
      </w:r>
      <w:r>
        <w:rPr>
          <w:rStyle w:val="FootnoteAnchor"/>
          <w:rtl w:val="true"/>
        </w:rPr>
        <w:footnoteReference w:id="1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ذلكَ علىٰ أنّ الخبرَ وَرَدَ في الأَمَةِ، و مَولَى الأَمَةِ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8039787_1280447820"/>
      <w:bookmarkStart w:id="465" w:name="_Toc168"/>
      <w:bookmarkEnd w:id="464"/>
      <w:r>
        <w:rPr>
          <w:rtl w:val="true"/>
        </w:rPr>
        <w:t>المَسألةُ السادسةُ و الأربَعونَ جوازُ النكاحِ بغَيرِ شُهودٍ</w:t>
      </w:r>
      <w:bookmarkEnd w:id="465"/>
    </w:p>
    <w:p>
      <w:pPr>
        <w:pStyle w:val="BookText"/>
        <w:rPr/>
      </w:pPr>
      <w:r>
        <w:rPr>
          <w:rFonts w:ascii="Amiri" w:hAnsi="Amiri" w:eastAsia="Amiri" w:cs="Amiri"/>
          <w:color w:val="111111"/>
          <w:sz w:val="28"/>
          <w:sz w:val="28"/>
          <w:szCs w:val="28"/>
          <w:rtl w:val="true"/>
          <w:lang w:bidi="ar-SA"/>
        </w:rPr>
        <w:t>هَل يَجوزُ النكاحُ بغَيرِ شُهودٍ؟</w:t>
      </w:r>
    </w:p>
    <w:p>
      <w:pPr>
        <w:pStyle w:val="BookText"/>
        <w:rPr/>
      </w:pPr>
      <w:r>
        <w:rPr>
          <w:rFonts w:ascii="Amiri" w:hAnsi="Amiri" w:eastAsia="Amiri" w:cs="Amiri"/>
          <w:color w:val="111111"/>
          <w:sz w:val="28"/>
          <w:sz w:val="28"/>
          <w:szCs w:val="28"/>
          <w:rtl w:val="true"/>
          <w:lang w:bidi="ar-SA"/>
        </w:rPr>
        <w:t>و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الشهادةَ لَيسَت بشَرطٍ في النكاحِ، و إن كانَت أفضَلَ و أجمَلَ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قالَ داودُ</w:t>
      </w:r>
      <w:r>
        <w:rPr>
          <w:rFonts w:eastAsia="Amiri" w:cs="Amiri" w:ascii="Amiri" w:hAnsi="Amiri"/>
          <w:color w:val="111111"/>
          <w:sz w:val="28"/>
          <w:szCs w:val="28"/>
          <w:rtl w:val="true"/>
          <w:lang w:bidi="ar-SA"/>
        </w:rPr>
        <w:t>.</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w:t>
      </w:r>
      <w:r>
        <w:rPr>
          <w:rStyle w:val="FootnoteAnchor"/>
          <w:rtl w:val="true"/>
        </w:rPr>
        <w:footnoteReference w:id="1851"/>
      </w:r>
      <w:r>
        <w:rPr>
          <w:rFonts w:ascii="Amiri" w:hAnsi="Amiri" w:eastAsia="Amiri" w:cs="Amiri"/>
          <w:color w:val="111111"/>
          <w:sz w:val="28"/>
          <w:sz w:val="28"/>
          <w:szCs w:val="28"/>
          <w:rtl w:val="true"/>
          <w:lang w:bidi="ar-SA"/>
        </w:rPr>
        <w:t>النكاحِ أن لا يَتَواصَوا بالكِتمانِ؛ فإن تَواصَوا به لَم</w:t>
      </w:r>
      <w:r>
        <w:rPr>
          <w:rStyle w:val="FootnoteAnchor"/>
          <w:rtl w:val="true"/>
        </w:rPr>
        <w:footnoteReference w:id="1852"/>
      </w:r>
      <w:r>
        <w:rPr>
          <w:rFonts w:ascii="Amiri" w:hAnsi="Amiri" w:eastAsia="Amiri" w:cs="Amiri"/>
          <w:color w:val="111111"/>
          <w:sz w:val="28"/>
          <w:sz w:val="28"/>
          <w:szCs w:val="28"/>
          <w:rtl w:val="true"/>
          <w:lang w:bidi="ar-SA"/>
        </w:rPr>
        <w:t>يَصِحَّ و إن حَضَرَ الشُّهودُ، و إن لَم يَتَواصَوا بالكِتمانِ صَحَّ و إن لَم يَحضُرِ الشُّهودُ</w:t>
      </w:r>
      <w:r>
        <w:rPr>
          <w:rFonts w:eastAsia="Amiri" w:cs="Amiri" w:ascii="Amiri" w:hAnsi="Amiri"/>
          <w:color w:val="111111"/>
          <w:sz w:val="28"/>
          <w:szCs w:val="28"/>
          <w:rtl w:val="true"/>
          <w:lang w:bidi="ar-SA"/>
        </w:rPr>
        <w:t>.</w:t>
      </w:r>
      <w:r>
        <w:rPr>
          <w:rStyle w:val="FootnoteAnchor"/>
          <w:rtl w:val="true"/>
        </w:rPr>
        <w:footnoteReference w:id="185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صِحّةِ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عليه</w:t>
      </w:r>
      <w:r>
        <w:rPr>
          <w:rFonts w:eastAsia="Amiri" w:cs="Amiri" w:ascii="Amiri" w:hAnsi="Amiri"/>
          <w:color w:val="111111"/>
          <w:sz w:val="28"/>
          <w:szCs w:val="28"/>
          <w:rtl w:val="true"/>
          <w:lang w:bidi="ar-SA"/>
        </w:rPr>
        <w:t xml:space="preserve">. </w:t>
      </w:r>
      <w:bookmarkStart w:id="466" w:name="pg16437_172624"/>
    </w:p>
    <w:p>
      <w:pPr>
        <w:pStyle w:val="BookText"/>
        <w:rPr/>
      </w:pPr>
      <w:bookmarkEnd w:id="466"/>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Style w:val="FootnoteAnchor"/>
          <w:rtl w:val="true"/>
        </w:rPr>
        <w:footnoteReference w:id="1854"/>
      </w:r>
      <w:r>
        <w:rPr>
          <w:rFonts w:ascii="Amiri" w:hAnsi="Amiri" w:eastAsia="Amiri" w:cs="Amiri"/>
          <w:color w:val="111111"/>
          <w:sz w:val="28"/>
          <w:sz w:val="28"/>
          <w:szCs w:val="28"/>
          <w:rtl w:val="true"/>
          <w:lang w:bidi="ar-SA"/>
        </w:rPr>
        <w:t>اللّٰهَ تَعالىٰ ذَكَرَ النكاحَ في مَواضِعَ كَثيرةٍ مِن الكتابِ و لَم يَشرِطِ</w:t>
      </w:r>
      <w:r>
        <w:rPr>
          <w:rStyle w:val="FootnoteAnchor"/>
          <w:rtl w:val="true"/>
        </w:rPr>
        <w:footnoteReference w:id="1855"/>
      </w:r>
      <w:r>
        <w:rPr>
          <w:rFonts w:ascii="Amiri" w:hAnsi="Amiri" w:eastAsia="Amiri" w:cs="Amiri"/>
          <w:color w:val="111111"/>
          <w:sz w:val="28"/>
          <w:sz w:val="28"/>
          <w:szCs w:val="28"/>
          <w:rtl w:val="true"/>
          <w:lang w:bidi="ar-SA"/>
        </w:rPr>
        <w:t>الشهاداتِ، فدَلَّ علىٰ أنّها لَيسَت بشَرطٍ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احتَجَّ مُحتَجٌّ بما يُروىٰ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نِكاحَ إلّابوَليٍّ و شاهِدَي عَدلٍ</w:t>
      </w:r>
      <w:r>
        <w:rPr>
          <w:rFonts w:eastAsia="Amiri" w:cs="Amiri" w:ascii="Amiri" w:hAnsi="Amiri"/>
          <w:color w:val="111111"/>
          <w:sz w:val="28"/>
          <w:szCs w:val="28"/>
          <w:rtl w:val="true"/>
          <w:lang w:bidi="ar-SA"/>
        </w:rPr>
        <w:t>»</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خبرٌ لا يوجِبُ العِلمَ، و لا يَقتَضي القَطعَ، و لا يَجِبُ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مُحتَمِلٌ؛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تصريحٍ بنَفيِ الصحّةِ و الإجزاءِ أو نَفيِ التفضيلِ، و إذا لَم يَكُن في لفظِه تصريحٌ‌</w:t>
      </w:r>
      <w:r>
        <w:rPr>
          <w:rStyle w:val="FootnoteAnchor"/>
          <w:rtl w:val="true"/>
        </w:rPr>
        <w:footnoteReference w:id="1857"/>
      </w:r>
      <w:r>
        <w:rPr>
          <w:rFonts w:ascii="Amiri" w:hAnsi="Amiri" w:eastAsia="Amiri" w:cs="Amiri"/>
          <w:color w:val="111111"/>
          <w:sz w:val="28"/>
          <w:sz w:val="28"/>
          <w:szCs w:val="28"/>
          <w:rtl w:val="true"/>
          <w:lang w:bidi="ar-SA"/>
        </w:rPr>
        <w:t>بهذا المعنىٰ جازَ أن يُحمَلَ علىٰ نَفيِ الفَضلِ؛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نِكاحَ فاضلاً إلّابوَليٍّ و شُهودٍ،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إلّافي المَسجِدِ</w:t>
      </w:r>
      <w:r>
        <w:rPr>
          <w:rFonts w:eastAsia="Amiri" w:cs="Amiri" w:ascii="Amiri" w:hAnsi="Amiri"/>
          <w:color w:val="111111"/>
          <w:sz w:val="28"/>
          <w:szCs w:val="28"/>
          <w:rtl w:val="true"/>
          <w:lang w:bidi="ar-SA"/>
        </w:rPr>
        <w:t>»</w:t>
      </w:r>
      <w:r>
        <w:rPr>
          <w:rStyle w:val="FootnoteAnchor"/>
          <w:rtl w:val="true"/>
        </w:rPr>
        <w:footnoteReference w:id="18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w:t>
      </w:r>
      <w:r>
        <w:rPr>
          <w:rStyle w:val="FootnoteAnchor"/>
          <w:rtl w:val="true"/>
        </w:rPr>
        <w:footnoteReference w:id="1859"/>
      </w:r>
    </w:p>
    <w:p>
      <w:pPr>
        <w:pStyle w:val="Heading5"/>
        <w:numPr>
          <w:ilvl w:val="4"/>
          <w:numId w:val="1"/>
        </w:numPr>
        <w:rPr/>
      </w:pPr>
      <w:bookmarkStart w:id="467" w:name="__RefHeading___Toc8039789_1280447820"/>
      <w:bookmarkStart w:id="468" w:name="_Toc169"/>
      <w:bookmarkEnd w:id="467"/>
      <w:r>
        <w:rPr>
          <w:rtl w:val="true"/>
        </w:rPr>
        <w:t>المَسألةُ السابعةُ و الأربعونَ حُكمُ نِكاحِ المُتعةِ‌</w:t>
      </w:r>
      <w:bookmarkEnd w:id="46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و لا تَختَلِفُ‌</w:t>
      </w:r>
      <w:r>
        <w:rPr>
          <w:rStyle w:val="FootnoteAnchor"/>
          <w:rtl w:val="true"/>
        </w:rPr>
        <w:footnoteReference w:id="1861"/>
      </w:r>
      <w:r>
        <w:rPr>
          <w:rFonts w:ascii="Amiri" w:hAnsi="Amiri" w:eastAsia="Amiri" w:cs="Amiri"/>
          <w:color w:val="111111"/>
          <w:sz w:val="28"/>
          <w:sz w:val="28"/>
          <w:szCs w:val="28"/>
          <w:rtl w:val="true"/>
          <w:lang w:bidi="ar-SA"/>
        </w:rPr>
        <w:t xml:space="preserve">الشيعةُ الإماميّةُ في إباحةِ هذا العَقدِ المُسَمّىٰ في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w:t>
      </w:r>
      <w:r>
        <w:rPr>
          <w:rStyle w:val="FootnoteAnchor"/>
          <w:rtl w:val="true"/>
        </w:rPr>
        <w:footnoteReference w:id="1862"/>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تَميَّزَ مِن غيرِه بأنّه نِكاحٌ مؤجَّلٌ‌</w:t>
      </w:r>
      <w:r>
        <w:rPr>
          <w:rStyle w:val="FootnoteAnchor"/>
          <w:rtl w:val="true"/>
        </w:rPr>
        <w:footnoteReference w:id="1863"/>
      </w:r>
      <w:r>
        <w:rPr>
          <w:rFonts w:ascii="Amiri" w:hAnsi="Amiri" w:eastAsia="Amiri" w:cs="Amiri"/>
          <w:color w:val="111111"/>
          <w:sz w:val="28"/>
          <w:sz w:val="28"/>
          <w:szCs w:val="28"/>
          <w:rtl w:val="true"/>
          <w:lang w:bidi="ar-SA"/>
        </w:rPr>
        <w:t>غيرُ مؤبَّدٍ، و لَم يَتميَّزْ</w:t>
      </w:r>
      <w:r>
        <w:rPr>
          <w:rStyle w:val="FootnoteAnchor"/>
          <w:rtl w:val="true"/>
        </w:rPr>
        <w:footnoteReference w:id="1864"/>
      </w:r>
      <w:r>
        <w:rPr>
          <w:rFonts w:ascii="Amiri" w:hAnsi="Amiri" w:eastAsia="Amiri" w:cs="Amiri"/>
          <w:color w:val="111111"/>
          <w:sz w:val="28"/>
          <w:sz w:val="28"/>
          <w:szCs w:val="28"/>
          <w:rtl w:val="true"/>
          <w:lang w:bidi="ar-SA"/>
        </w:rPr>
        <w:t>بانتفاءِ الشهادةِ عنه؛ لأنّ الشهادةَ قد تَنتَفي عن</w:t>
      </w:r>
      <w:r>
        <w:rPr>
          <w:rStyle w:val="FootnoteAnchor"/>
          <w:rtl w:val="true"/>
        </w:rPr>
        <w:footnoteReference w:id="1865"/>
      </w:r>
      <w:r>
        <w:rPr>
          <w:rFonts w:ascii="Amiri" w:hAnsi="Amiri" w:eastAsia="Amiri" w:cs="Amiri"/>
          <w:color w:val="111111"/>
          <w:sz w:val="28"/>
          <w:sz w:val="28"/>
          <w:szCs w:val="28"/>
          <w:rtl w:val="true"/>
          <w:lang w:bidi="ar-SA"/>
        </w:rPr>
        <w:t>النكاحِ المؤبَّدِ فيَصِحُّ و إن لَم يَكُن مُتعةً، و لَو أشهَدَ بالنكاحِ المؤجَّلِ لَكانَ مُتعةً و إن حَضَرَه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صِحّةِ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و في إجماعِها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بَعدَ ذِكرِ المُحرَّماتِ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 أَنْ تَبْتَغُوا بِأَمْوٰالِكُمْ مُحْصِنِينَ غَيْرَ مُسٰافِحِينَ فَمَا اِسْتَمْتَعْتُمْ بِهِ مِنْهُنَّ فَآتُوهُنَّ أُجُورَهُنَّ فَرِيضَةً</w:t>
      </w:r>
      <w:r>
        <w:rPr>
          <w:rFonts w:eastAsia="Amiri" w:cs="Amiri" w:ascii="Amiri" w:hAnsi="Amiri"/>
          <w:color w:val="111111"/>
          <w:sz w:val="28"/>
          <w:szCs w:val="28"/>
          <w:rtl w:val="true"/>
          <w:lang w:bidi="ar-SA"/>
        </w:rPr>
        <w:t xml:space="preserve">» </w:t>
      </w:r>
      <w:r>
        <w:rPr>
          <w:rStyle w:val="FootnoteAnchor"/>
          <w:rtl w:val="true"/>
        </w:rPr>
        <w:footnoteReference w:id="1866"/>
      </w:r>
      <w:r>
        <w:rPr>
          <w:rFonts w:ascii="Amiri" w:hAnsi="Amiri" w:eastAsia="Amiri" w:cs="Amiri"/>
          <w:color w:val="111111"/>
          <w:sz w:val="28"/>
          <w:sz w:val="28"/>
          <w:szCs w:val="28"/>
          <w:rtl w:val="true"/>
          <w:lang w:bidi="ar-SA"/>
        </w:rPr>
        <w:t>، فأباحَ‌</w:t>
      </w:r>
      <w:r>
        <w:rPr>
          <w:rStyle w:val="FootnoteAnchor"/>
          <w:rtl w:val="true"/>
        </w:rPr>
        <w:footnoteReference w:id="1867"/>
      </w:r>
      <w:r>
        <w:rPr>
          <w:rFonts w:ascii="Amiri" w:hAnsi="Amiri" w:eastAsia="Amiri" w:cs="Amiri"/>
          <w:color w:val="111111"/>
          <w:sz w:val="28"/>
          <w:sz w:val="28"/>
          <w:szCs w:val="28"/>
          <w:rtl w:val="true"/>
          <w:lang w:bidi="ar-SA"/>
        </w:rPr>
        <w:t xml:space="preserve">نِكاحَ المُتعةِ بصَريحِ لفظِها الموضوعِ لها في الشريعةِ؛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في الشريعةِ لَم يُفِدْ</w:t>
      </w:r>
      <w:r>
        <w:rPr>
          <w:rStyle w:val="FootnoteAnchor"/>
          <w:rtl w:val="true"/>
        </w:rPr>
        <w:footnoteReference w:id="1868"/>
      </w:r>
      <w:r>
        <w:rPr>
          <w:rFonts w:ascii="Amiri" w:hAnsi="Amiri" w:eastAsia="Amiri" w:cs="Amiri"/>
          <w:color w:val="111111"/>
          <w:sz w:val="28"/>
          <w:sz w:val="28"/>
          <w:szCs w:val="28"/>
          <w:rtl w:val="true"/>
          <w:lang w:bidi="ar-SA"/>
        </w:rPr>
        <w:t>إلّاهذا العَقدَ المخصوصَ المؤجَّلَ، و لا يُحمَلُ علَى التلَذُّذِ</w:t>
      </w:r>
      <w:r>
        <w:rPr>
          <w:rFonts w:eastAsia="Amiri" w:cs="Amiri" w:ascii="Amiri" w:hAnsi="Amiri"/>
          <w:color w:val="111111"/>
          <w:sz w:val="28"/>
          <w:szCs w:val="28"/>
          <w:rtl w:val="true"/>
          <w:lang w:bidi="ar-SA"/>
        </w:rPr>
        <w:t>.</w:t>
      </w:r>
      <w:r>
        <w:rPr>
          <w:rStyle w:val="FootnoteAnchor"/>
          <w:rtl w:val="true"/>
        </w:rPr>
        <w:footnoteReference w:id="186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يَرىٰ إباحةَ نِكاحِ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يَحظُرُ نِكاحَ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w:t>
      </w:r>
      <w:r>
        <w:rPr>
          <w:rStyle w:val="FootnoteAnchor"/>
          <w:rtl w:val="true"/>
        </w:rPr>
        <w:footnoteReference w:id="1870"/>
      </w:r>
      <w:r>
        <w:rPr>
          <w:rFonts w:ascii="Amiri" w:hAnsi="Amiri" w:eastAsia="Amiri" w:cs="Amiri"/>
          <w:color w:val="111111"/>
          <w:sz w:val="28"/>
          <w:sz w:val="28"/>
          <w:szCs w:val="28"/>
          <w:rtl w:val="true"/>
          <w:lang w:bidi="ar-SA"/>
        </w:rPr>
        <w:t>يُريدونَ بذلكَ‌</w:t>
      </w:r>
      <w:r>
        <w:rPr>
          <w:rStyle w:val="FootnoteAnchor"/>
          <w:rtl w:val="true"/>
        </w:rPr>
        <w:footnoteReference w:id="1871"/>
      </w:r>
      <w:r>
        <w:rPr>
          <w:rFonts w:ascii="Amiri" w:hAnsi="Amiri" w:eastAsia="Amiri" w:cs="Amiri"/>
          <w:color w:val="111111"/>
          <w:sz w:val="28"/>
          <w:sz w:val="28"/>
          <w:szCs w:val="28"/>
          <w:rtl w:val="true"/>
          <w:lang w:bidi="ar-SA"/>
        </w:rPr>
        <w:t xml:space="preserve">اللَّذّةَ، و إنّما يُريدونَ بذلكَ العَقدَ المؤجَّلَ؟ </w:t>
      </w:r>
      <w:bookmarkStart w:id="469" w:name="pg16437_172626"/>
    </w:p>
    <w:p>
      <w:pPr>
        <w:pStyle w:val="BookText"/>
        <w:rPr/>
      </w:pPr>
      <w:bookmarkEnd w:id="469"/>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أنّ نِكاحَ المُتعةِ كانَ في أيّامِ النبيِّ عليه السلامُ معمولاً</w:t>
      </w:r>
      <w:r>
        <w:rPr>
          <w:rStyle w:val="FootnoteAnchor"/>
          <w:rtl w:val="true"/>
        </w:rPr>
        <w:footnoteReference w:id="1872"/>
      </w:r>
      <w:r>
        <w:rPr>
          <w:rFonts w:ascii="Amiri" w:hAnsi="Amiri" w:eastAsia="Amiri" w:cs="Amiri"/>
          <w:color w:val="111111"/>
          <w:sz w:val="28"/>
          <w:sz w:val="28"/>
          <w:szCs w:val="28"/>
          <w:rtl w:val="true"/>
          <w:lang w:bidi="ar-SA"/>
        </w:rPr>
        <w:t>به، و لَم يَقُم</w:t>
      </w:r>
      <w:r>
        <w:rPr>
          <w:rStyle w:val="FootnoteAnchor"/>
          <w:rtl w:val="true"/>
        </w:rPr>
        <w:footnoteReference w:id="1873"/>
      </w:r>
      <w:r>
        <w:rPr>
          <w:rFonts w:ascii="Amiri" w:hAnsi="Amiri" w:eastAsia="Amiri" w:cs="Amiri"/>
          <w:color w:val="111111"/>
          <w:sz w:val="28"/>
          <w:sz w:val="28"/>
          <w:szCs w:val="28"/>
          <w:rtl w:val="true"/>
          <w:lang w:bidi="ar-SA"/>
        </w:rPr>
        <w:t>دليلٌ شَرعيٌّ علىٰ حَظرِه و النهيِ عنه؛ فَيجِبُ أن يَكونَ مُباحاً</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8039791_1280447820"/>
      <w:bookmarkStart w:id="471" w:name="_Toc170"/>
      <w:bookmarkEnd w:id="470"/>
      <w:r>
        <w:rPr>
          <w:rtl w:val="true"/>
        </w:rPr>
        <w:t>المَسألةُ الثامنةُ و الأربَعونَ جوازُ نِكاحِ المَرأةِ علىٰ عَمّتِها و خالتِها</w:t>
      </w:r>
      <w:bookmarkEnd w:id="471"/>
    </w:p>
    <w:p>
      <w:pPr>
        <w:pStyle w:val="BookText"/>
        <w:rPr/>
      </w:pPr>
      <w:r>
        <w:rPr>
          <w:rFonts w:ascii="Amiri" w:hAnsi="Amiri" w:eastAsia="Amiri" w:cs="Amiri"/>
          <w:color w:val="111111"/>
          <w:sz w:val="28"/>
          <w:sz w:val="28"/>
          <w:szCs w:val="28"/>
          <w:rtl w:val="true"/>
          <w:lang w:bidi="ar-SA"/>
        </w:rPr>
        <w:t>نِكاحُ المَرأةِ علىٰ عَمّتِها و خالتِها جائزانِ، إذا رَضِيَت العَمّةُ و الخالةُ بذلكَ</w:t>
      </w:r>
      <w:r>
        <w:rPr>
          <w:rFonts w:eastAsia="Amiri" w:cs="Amiri" w:ascii="Amiri" w:hAnsi="Amiri"/>
          <w:color w:val="111111"/>
          <w:sz w:val="28"/>
          <w:szCs w:val="28"/>
          <w:rtl w:val="true"/>
          <w:lang w:bidi="ar-SA"/>
        </w:rPr>
        <w:t>.</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و الحُجّةُ علىٰ صِحّةِ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عليه، و عُمومُ آياتِ النكاحِ في القُرآنِ،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xml:space="preserve">» </w:t>
      </w:r>
      <w:r>
        <w:rPr>
          <w:rStyle w:val="FootnoteAnchor"/>
          <w:rtl w:val="true"/>
        </w:rPr>
        <w:footnoteReference w:id="1875"/>
      </w:r>
      <w:r>
        <w:rPr>
          <w:rFonts w:ascii="Amiri" w:hAnsi="Amiri" w:eastAsia="Amiri" w:cs="Amiri"/>
          <w:color w:val="111111"/>
          <w:sz w:val="28"/>
          <w:sz w:val="28"/>
          <w:szCs w:val="28"/>
          <w:rtl w:val="true"/>
          <w:lang w:bidi="ar-SA"/>
        </w:rPr>
        <w:t>، و لَم يَستَثنِ عَمّةً و لا 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احتُجَّ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المرأةُ علىٰ عَمّتِها و لا خالتِها</w:t>
      </w:r>
      <w:r>
        <w:rPr>
          <w:rFonts w:eastAsia="Amiri" w:cs="Amiri" w:ascii="Amiri" w:hAnsi="Amiri"/>
          <w:color w:val="111111"/>
          <w:sz w:val="28"/>
          <w:szCs w:val="28"/>
          <w:rtl w:val="true"/>
          <w:lang w:bidi="ar-SA"/>
        </w:rPr>
        <w:t>».</w:t>
      </w:r>
      <w:r>
        <w:rPr>
          <w:rStyle w:val="FootnoteAnchor"/>
          <w:rtl w:val="true"/>
        </w:rPr>
        <w:footnoteReference w:id="187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خبرُ واحدٍ ضَعيفٌ، و نَحمِلُه علىٰ حَظرِ ذلكَ إذا لَم يَقَعِ الرضا منهما</w:t>
      </w:r>
      <w:r>
        <w:rPr>
          <w:rFonts w:eastAsia="Amiri" w:cs="Amiri" w:ascii="Amiri" w:hAnsi="Amiri"/>
          <w:color w:val="111111"/>
          <w:sz w:val="28"/>
          <w:szCs w:val="28"/>
          <w:rtl w:val="true"/>
          <w:lang w:bidi="ar-SA"/>
        </w:rPr>
        <w:t xml:space="preserve">. </w:t>
      </w:r>
      <w:bookmarkStart w:id="472" w:name="pg16437_172627"/>
    </w:p>
    <w:p>
      <w:pPr>
        <w:pStyle w:val="Heading4"/>
        <w:numPr>
          <w:ilvl w:val="3"/>
          <w:numId w:val="1"/>
        </w:numPr>
        <w:rPr/>
      </w:pPr>
      <w:bookmarkStart w:id="473" w:name="__RefHeading___Toc8039793_1280447820"/>
      <w:bookmarkStart w:id="474" w:name="_Toc171"/>
      <w:bookmarkEnd w:id="472"/>
      <w:bookmarkEnd w:id="473"/>
      <w:r>
        <w:rPr>
          <w:rtl w:val="true"/>
        </w:rPr>
        <w:t>أحكامُ الطلاقِ و الظِّهارِ</w:t>
      </w:r>
      <w:bookmarkEnd w:id="474"/>
    </w:p>
    <w:p>
      <w:pPr>
        <w:pStyle w:val="Heading5"/>
        <w:numPr>
          <w:ilvl w:val="4"/>
          <w:numId w:val="1"/>
        </w:numPr>
        <w:rPr/>
      </w:pPr>
      <w:bookmarkStart w:id="475" w:name="__RefHeading___Toc8039795_1280447820"/>
      <w:bookmarkStart w:id="476" w:name="_Toc172"/>
      <w:bookmarkEnd w:id="475"/>
      <w:r>
        <w:rPr>
          <w:rtl w:val="true"/>
        </w:rPr>
        <w:t>المَسألةُ التاسعةُ و الأربَعونَ وقوعُ الطلاقِ بشاهدَينِ عَدلَينِ مُسلِمَينِ‌</w:t>
      </w:r>
      <w:bookmarkEnd w:id="476"/>
    </w:p>
    <w:p>
      <w:pPr>
        <w:pStyle w:val="BookText"/>
        <w:rPr/>
      </w:pPr>
      <w:r>
        <w:rPr>
          <w:rFonts w:ascii="Amiri" w:hAnsi="Amiri" w:eastAsia="Amiri" w:cs="Amiri"/>
          <w:color w:val="111111"/>
          <w:sz w:val="28"/>
          <w:sz w:val="28"/>
          <w:szCs w:val="28"/>
          <w:rtl w:val="true"/>
          <w:lang w:bidi="ar-SA"/>
        </w:rPr>
        <w:t>إنّ الطلاقَ لا يَقَعُ إلّابشاهدَينِ عَدلَينِ مُسلِمَينِ‌</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فَأَمْسِكُوهُنَّ بِمَعْرُوفٍ أَوْ فٰارِقُوهُنَّ بِمَعْرُوفٍ وَ أَشْهِدُوا ذَوَيْ عَدْلٍ مِنْكُمْ وَ أَقِيمُوا اَلشَّهٰادَةَ لِلّٰهِ</w:t>
      </w:r>
      <w:r>
        <w:rPr>
          <w:rFonts w:eastAsia="Amiri" w:cs="Amiri" w:ascii="Amiri" w:hAnsi="Amiri"/>
          <w:color w:val="111111"/>
          <w:sz w:val="28"/>
          <w:szCs w:val="28"/>
          <w:rtl w:val="true"/>
          <w:lang w:bidi="ar-SA"/>
        </w:rPr>
        <w:t xml:space="preserve">» </w:t>
      </w:r>
      <w:r>
        <w:rPr>
          <w:rStyle w:val="FootnoteAnchor"/>
          <w:rtl w:val="true"/>
        </w:rPr>
        <w:footnoteReference w:id="1878"/>
      </w:r>
      <w:r>
        <w:rPr>
          <w:rFonts w:ascii="Amiri" w:hAnsi="Amiri" w:eastAsia="Amiri" w:cs="Amiri"/>
          <w:color w:val="111111"/>
          <w:sz w:val="28"/>
          <w:sz w:val="28"/>
          <w:szCs w:val="28"/>
          <w:rtl w:val="true"/>
          <w:lang w:bidi="ar-SA"/>
        </w:rPr>
        <w:t>فجَعَلَ الشهادةَ شَرطاً في الفُرقةِ التي هي الطلاقُ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شَرَطَ الشهادةَ في الرجعةِ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بِمَعْرُوفٍ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لأنّ الأمرَ بالشهادةِ‌</w:t>
      </w:r>
      <w:r>
        <w:rPr>
          <w:rStyle w:val="FootnoteAnchor"/>
          <w:rtl w:val="true"/>
        </w:rPr>
        <w:footnoteReference w:id="1879"/>
      </w:r>
      <w:r>
        <w:rPr>
          <w:rFonts w:ascii="Amiri" w:hAnsi="Amiri" w:eastAsia="Amiri" w:cs="Amiri"/>
          <w:color w:val="111111"/>
          <w:sz w:val="28"/>
          <w:sz w:val="28"/>
          <w:szCs w:val="28"/>
          <w:rtl w:val="true"/>
          <w:lang w:bidi="ar-SA"/>
        </w:rPr>
        <w:t>مُلاصِقٌ لذِكرِ الفُرقةِ، و هو</w:t>
      </w:r>
      <w:r>
        <w:rPr>
          <w:rStyle w:val="FootnoteAnchor"/>
          <w:rtl w:val="true"/>
        </w:rPr>
        <w:footnoteReference w:id="1880"/>
      </w:r>
      <w:r>
        <w:rPr>
          <w:rFonts w:ascii="Amiri" w:hAnsi="Amiri" w:eastAsia="Amiri" w:cs="Amiri"/>
          <w:color w:val="111111"/>
          <w:sz w:val="28"/>
          <w:sz w:val="28"/>
          <w:szCs w:val="28"/>
          <w:rtl w:val="true"/>
          <w:lang w:bidi="ar-SA"/>
        </w:rPr>
        <w:t>إليها أقرَبُ مِن ذِكرِ الرَّجعةِ؛ ورَدُّ الكلامِ إلَى الأقرَبِ أَولىٰ مِن رَدِّه إلَى الأبعَدِ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لَيسَ بمُتَنافٍ أن يَرجِعَ إلَى الرَّجعةِ و الفُرقةِ مَعاً، فيَتِمَّ مُرادُنا</w:t>
      </w:r>
      <w:r>
        <w:rPr>
          <w:rFonts w:eastAsia="Amiri" w:cs="Amiri" w:ascii="Amiri" w:hAnsi="Amiri"/>
          <w:color w:val="111111"/>
          <w:sz w:val="28"/>
          <w:szCs w:val="28"/>
          <w:rtl w:val="true"/>
          <w:lang w:bidi="ar-SA"/>
        </w:rPr>
        <w:t xml:space="preserve">. </w:t>
      </w:r>
      <w:bookmarkStart w:id="477" w:name="pg16437_172628"/>
    </w:p>
    <w:p>
      <w:pPr>
        <w:pStyle w:val="BookText"/>
        <w:rPr/>
      </w:pPr>
      <w:bookmarkEnd w:id="477"/>
      <w:r>
        <w:rPr>
          <w:rFonts w:ascii="Amiri" w:hAnsi="Amiri" w:eastAsia="Amiri" w:cs="Amiri"/>
          <w:color w:val="111111"/>
          <w:sz w:val="28"/>
          <w:sz w:val="28"/>
          <w:szCs w:val="28"/>
          <w:rtl w:val="true"/>
          <w:lang w:bidi="ar-SA"/>
        </w:rPr>
        <w:t>علىٰ أنّ الأمرَ بالشهادةِ يَقتَضي ظاهرُه الوجوبَ و أن يَكونَ شَرطاً؛ و لَم يَقُلْ أحَدٌ مِن الأُمّةِ أنّ الشهادةَ في الرَّجعةِ واجبةٌ و أنّها شَرطٌ فيها</w:t>
      </w:r>
      <w:r>
        <w:rPr>
          <w:rStyle w:val="FootnoteAnchor"/>
          <w:rtl w:val="true"/>
        </w:rPr>
        <w:footnoteReference w:id="1881"/>
      </w:r>
      <w:r>
        <w:rPr>
          <w:rFonts w:ascii="Amiri" w:hAnsi="Amiri" w:eastAsia="Amiri" w:cs="Amiri"/>
          <w:color w:val="111111"/>
          <w:sz w:val="28"/>
          <w:sz w:val="28"/>
          <w:szCs w:val="28"/>
          <w:rtl w:val="true"/>
          <w:lang w:bidi="ar-SA"/>
        </w:rPr>
        <w:t>، و قد اختَلَفوا في كَونِها شَرطاً في الطلاقِ، فنَفاه قومٌ، و أثبَتَه</w:t>
      </w:r>
      <w:r>
        <w:rPr>
          <w:rStyle w:val="FootnoteAnchor"/>
          <w:rtl w:val="true"/>
        </w:rPr>
        <w:footnoteReference w:id="1882"/>
      </w:r>
      <w:r>
        <w:rPr>
          <w:rFonts w:ascii="Amiri" w:hAnsi="Amiri" w:eastAsia="Amiri" w:cs="Amiri"/>
          <w:color w:val="111111"/>
          <w:sz w:val="28"/>
          <w:sz w:val="28"/>
          <w:szCs w:val="28"/>
          <w:rtl w:val="true"/>
          <w:lang w:bidi="ar-SA"/>
        </w:rPr>
        <w:t xml:space="preserve">قومٌ؛ فيَجِبُ أن يَكونَ الأمرُ بالشهادةِ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ظاهرُه يَقتَضي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مصروفاً إلَى الطلاقِ، دونَ الرَّجعةِ التي قد أجمَعَت</w:t>
      </w:r>
      <w:r>
        <w:rPr>
          <w:rStyle w:val="FootnoteAnchor"/>
          <w:rtl w:val="true"/>
        </w:rPr>
        <w:footnoteReference w:id="1883"/>
      </w:r>
      <w:r>
        <w:rPr>
          <w:rFonts w:ascii="Amiri" w:hAnsi="Amiri" w:eastAsia="Amiri" w:cs="Amiri"/>
          <w:color w:val="111111"/>
          <w:sz w:val="28"/>
          <w:sz w:val="28"/>
          <w:szCs w:val="28"/>
          <w:rtl w:val="true"/>
          <w:lang w:bidi="ar-SA"/>
        </w:rPr>
        <w:t>الأُمّةُ علىٰ أنّه لَيسَ بشَرطٍ فيها</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8039797_1280447820"/>
      <w:bookmarkStart w:id="479" w:name="_Toc173"/>
      <w:bookmarkEnd w:id="478"/>
      <w:r>
        <w:rPr>
          <w:rtl w:val="true"/>
        </w:rPr>
        <w:t>المَسألةُ الخَمسونَ توقيفيّةُ ألفاظِ الطلاقِ‌</w:t>
      </w:r>
      <w:bookmarkEnd w:id="479"/>
    </w:p>
    <w:p>
      <w:pPr>
        <w:pStyle w:val="BookText"/>
        <w:rPr/>
      </w:pPr>
      <w:r>
        <w:rPr>
          <w:rFonts w:ascii="Amiri" w:hAnsi="Amiri" w:eastAsia="Amiri" w:cs="Amiri"/>
          <w:color w:val="111111"/>
          <w:sz w:val="28"/>
          <w:sz w:val="28"/>
          <w:szCs w:val="28"/>
          <w:rtl w:val="true"/>
          <w:lang w:bidi="ar-SA"/>
        </w:rPr>
        <w:t>إنّ الطلاقَ لا يَقَعُ بغَيرِ لَفظٍ مخصوصٍ</w:t>
      </w:r>
      <w:r>
        <w:rPr>
          <w:rFonts w:eastAsia="Amiri" w:cs="Amiri" w:ascii="Amiri" w:hAnsi="Amiri"/>
          <w:color w:val="111111"/>
          <w:sz w:val="28"/>
          <w:szCs w:val="28"/>
          <w:rtl w:val="true"/>
          <w:lang w:bidi="ar-SA"/>
        </w:rPr>
        <w:t>.</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علىٰ أنّ الطلاقَ لا يَقَعُ إلّابهذا اللفظِ الصريحِ دونَ غيرِه، و إجماعُها هو الحُجّةُ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الطلاقَ حُكمٌ شَرعيٌّ؛ فيَجِبُ‌</w:t>
      </w:r>
      <w:r>
        <w:rPr>
          <w:rStyle w:val="FootnoteAnchor"/>
          <w:rtl w:val="true"/>
        </w:rPr>
        <w:footnoteReference w:id="1885"/>
      </w:r>
      <w:r>
        <w:rPr>
          <w:rFonts w:ascii="Amiri" w:hAnsi="Amiri" w:eastAsia="Amiri" w:cs="Amiri"/>
          <w:color w:val="111111"/>
          <w:sz w:val="28"/>
          <w:sz w:val="28"/>
          <w:szCs w:val="28"/>
          <w:rtl w:val="true"/>
          <w:lang w:bidi="ar-SA"/>
        </w:rPr>
        <w:t>أن نَرجِعَ فيه إلىٰ ما شُرِعَ‌</w:t>
      </w:r>
      <w:r>
        <w:rPr>
          <w:rStyle w:val="FootnoteAnchor"/>
          <w:rtl w:val="true"/>
        </w:rPr>
        <w:footnoteReference w:id="1886"/>
      </w:r>
      <w:r>
        <w:rPr>
          <w:rFonts w:ascii="Amiri" w:hAnsi="Amiri" w:eastAsia="Amiri" w:cs="Amiri"/>
          <w:color w:val="111111"/>
          <w:sz w:val="28"/>
          <w:sz w:val="28"/>
          <w:szCs w:val="28"/>
          <w:rtl w:val="true"/>
          <w:lang w:bidi="ar-SA"/>
        </w:rPr>
        <w:t>لنا مِن لفظِه، دونَ ما لَم يُشرَعْ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خِلافَ في أنّ المشروعَ في الفُرقةِ بَينَ الزوجينِ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دونَ الكناياتِ التي لها</w:t>
      </w:r>
      <w:r>
        <w:rPr>
          <w:rStyle w:val="FootnoteAnchor"/>
          <w:rtl w:val="true"/>
        </w:rPr>
        <w:footnoteReference w:id="1887"/>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bookmarkStart w:id="480" w:name="pg16437_172629"/>
    </w:p>
    <w:p>
      <w:pPr>
        <w:pStyle w:val="Heading5"/>
        <w:numPr>
          <w:ilvl w:val="4"/>
          <w:numId w:val="1"/>
        </w:numPr>
        <w:rPr/>
      </w:pPr>
      <w:bookmarkStart w:id="481" w:name="__RefHeading___Toc8039799_1280447820"/>
      <w:bookmarkStart w:id="482" w:name="_Toc174"/>
      <w:bookmarkEnd w:id="480"/>
      <w:bookmarkEnd w:id="481"/>
      <w:r>
        <w:rPr>
          <w:rtl w:val="true"/>
        </w:rPr>
        <w:t>المَسألةُ الحاديةُ و الخَمسونَ حُكمُ الطلاقِ بشَرطٍ</w:t>
      </w:r>
      <w:bookmarkEnd w:id="482"/>
    </w:p>
    <w:p>
      <w:pPr>
        <w:pStyle w:val="BookText"/>
        <w:rPr/>
      </w:pPr>
      <w:r>
        <w:rPr>
          <w:rFonts w:ascii="Amiri" w:hAnsi="Amiri" w:eastAsia="Amiri" w:cs="Amiri"/>
          <w:color w:val="111111"/>
          <w:sz w:val="28"/>
          <w:sz w:val="28"/>
          <w:szCs w:val="28"/>
          <w:rtl w:val="true"/>
          <w:lang w:bidi="ar-SA"/>
        </w:rPr>
        <w:t>إن الطلاقَ لا يَقَعُ بشَرطٍ؛ علىٰ كُلِّ حالٍ</w:t>
      </w:r>
      <w:r>
        <w:rPr>
          <w:rFonts w:eastAsia="Amiri" w:cs="Amiri" w:ascii="Amiri" w:hAnsi="Amiri"/>
          <w:color w:val="111111"/>
          <w:sz w:val="28"/>
          <w:szCs w:val="28"/>
          <w:rtl w:val="true"/>
          <w:lang w:bidi="ar-SA"/>
        </w:rPr>
        <w:t>.</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و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المشروعَ في الطلاقِ أن يَكونَ بغَيرِ شَرطٍ، و لا خِلافَ أنّ الطلاقَ المشروطَ غيرُ مشروعٍ؛ و ما لَيسَ بمشروعٍ لا حُكمَ له في الشريعةِ</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8039801_1280447820"/>
      <w:bookmarkStart w:id="484" w:name="_Toc175"/>
      <w:bookmarkEnd w:id="483"/>
      <w:r>
        <w:rPr>
          <w:rtl w:val="true"/>
        </w:rPr>
        <w:t>المسألةُ الثانيةُ و الخَمسونَ حُكمُ الطلاقِ باليَمينِ‌</w:t>
      </w:r>
      <w:bookmarkEnd w:id="484"/>
    </w:p>
    <w:p>
      <w:pPr>
        <w:pStyle w:val="BookText"/>
        <w:rPr/>
      </w:pPr>
      <w:r>
        <w:rPr>
          <w:rFonts w:ascii="Amiri" w:hAnsi="Amiri" w:eastAsia="Amiri" w:cs="Amiri"/>
          <w:color w:val="111111"/>
          <w:sz w:val="28"/>
          <w:sz w:val="28"/>
          <w:szCs w:val="28"/>
          <w:rtl w:val="true"/>
          <w:lang w:bidi="ar-SA"/>
        </w:rPr>
        <w:t>إنّ الطلاقَ لا يَقَعُ بيَمينٍ، و لا هو يَمينٌ</w:t>
      </w:r>
      <w:r>
        <w:rPr>
          <w:rFonts w:eastAsia="Amiri" w:cs="Amiri" w:ascii="Amiri" w:hAnsi="Amiri"/>
          <w:color w:val="111111"/>
          <w:sz w:val="28"/>
          <w:szCs w:val="28"/>
          <w:rtl w:val="true"/>
          <w:lang w:bidi="ar-SA"/>
        </w:rPr>
        <w:t>.</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و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w:t>
      </w:r>
      <w:r>
        <w:rPr>
          <w:rStyle w:val="FootnoteAnchor"/>
          <w:rtl w:val="true"/>
        </w:rPr>
        <w:footnoteReference w:id="1890"/>
      </w:r>
      <w:r>
        <w:rPr>
          <w:rFonts w:ascii="Amiri" w:hAnsi="Amiri" w:eastAsia="Amiri" w:cs="Amiri"/>
          <w:color w:val="111111"/>
          <w:sz w:val="28"/>
          <w:sz w:val="28"/>
          <w:szCs w:val="28"/>
          <w:rtl w:val="true"/>
          <w:lang w:bidi="ar-SA"/>
        </w:rPr>
        <w:t>الطلاقَ أيضاً لَم يُشرَعْ لنا علىٰ جِهةِ اليَمينِ؛ و ما لَيسَ بمشروعٍ فلا حُكمَ له في الشريعةِ</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8039803_1280447820"/>
      <w:bookmarkStart w:id="486" w:name="_Toc176"/>
      <w:bookmarkEnd w:id="485"/>
      <w:r>
        <w:rPr>
          <w:rtl w:val="true"/>
        </w:rPr>
        <w:t>المَسألةُ الثالثةُ و الخَمسونَ حُكمُ الطلاقِ الثلاثِ‌</w:t>
      </w:r>
      <w:bookmarkEnd w:id="48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الطلاقَ الثلاثَ لا يَقَعُ إلّابَعدَ رَجعتَينِ مِن المُطلِّقِ؛ مِن الثلاثِ </w:t>
      </w:r>
      <w:bookmarkStart w:id="487" w:name="pg16437_172630"/>
    </w:p>
    <w:p>
      <w:pPr>
        <w:pStyle w:val="BookText"/>
        <w:rPr/>
      </w:pPr>
      <w:bookmarkEnd w:id="487"/>
      <w:r>
        <w:rPr>
          <w:rFonts w:ascii="Amiri" w:hAnsi="Amiri" w:eastAsia="Amiri" w:cs="Amiri"/>
          <w:color w:val="111111"/>
          <w:sz w:val="28"/>
          <w:sz w:val="28"/>
          <w:szCs w:val="28"/>
          <w:rtl w:val="true"/>
          <w:lang w:bidi="ar-SA"/>
        </w:rPr>
        <w:t>و الِاثنتَينِ‌</w:t>
      </w:r>
      <w:r>
        <w:rPr>
          <w:rStyle w:val="FootnoteAnchor"/>
          <w:rtl w:val="true"/>
        </w:rPr>
        <w:footnoteReference w:id="1891"/>
      </w:r>
      <w:r>
        <w:rPr>
          <w:rFonts w:ascii="Amiri" w:hAnsi="Amiri" w:eastAsia="Amiri" w:cs="Amiri"/>
          <w:color w:val="111111"/>
          <w:sz w:val="28"/>
          <w:sz w:val="28"/>
          <w:szCs w:val="28"/>
          <w:rtl w:val="true"/>
          <w:lang w:bidi="ar-SA"/>
        </w:rPr>
        <w:t>و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يُراجِعْ فلا طَلاقَ له</w:t>
      </w:r>
      <w:r>
        <w:rPr>
          <w:rFonts w:eastAsia="Amiri" w:cs="Amiri" w:ascii="Amiri" w:hAnsi="Amiri"/>
          <w:color w:val="111111"/>
          <w:sz w:val="28"/>
          <w:szCs w:val="28"/>
          <w:rtl w:val="true"/>
          <w:lang w:bidi="ar-SA"/>
        </w:rPr>
        <w:t>.</w:t>
      </w:r>
      <w:r>
        <w:rPr>
          <w:rStyle w:val="FootnoteAnchor"/>
          <w:rtl w:val="true"/>
        </w:rPr>
        <w:footnoteReference w:id="1892"/>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علَى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بَعدَ رَجعةٍ، و إدخالُ الطلاقِ علَى الطلاقِ‌</w:t>
      </w:r>
      <w:r>
        <w:rPr>
          <w:rStyle w:val="FootnoteAnchor"/>
          <w:rtl w:val="true"/>
        </w:rPr>
        <w:footnoteReference w:id="1893"/>
      </w:r>
      <w:r>
        <w:rPr>
          <w:rFonts w:ascii="Amiri" w:hAnsi="Amiri" w:eastAsia="Amiri" w:cs="Amiri"/>
          <w:color w:val="111111"/>
          <w:sz w:val="28"/>
          <w:sz w:val="28"/>
          <w:szCs w:val="28"/>
          <w:rtl w:val="true"/>
          <w:lang w:bidi="ar-SA"/>
        </w:rPr>
        <w:t>مِن غيرِ رَجعةٍ خِلافُ السُّنّةِ و المشروعِ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الطلاقُ حُكماً شَرعيّاً، فما</w:t>
      </w:r>
      <w:r>
        <w:rPr>
          <w:rStyle w:val="FootnoteAnchor"/>
          <w:rtl w:val="true"/>
        </w:rPr>
        <w:footnoteReference w:id="1894"/>
      </w:r>
      <w:r>
        <w:rPr>
          <w:rFonts w:ascii="Amiri" w:hAnsi="Amiri" w:eastAsia="Amiri" w:cs="Amiri"/>
          <w:color w:val="111111"/>
          <w:sz w:val="28"/>
          <w:sz w:val="28"/>
          <w:szCs w:val="28"/>
          <w:rtl w:val="true"/>
          <w:lang w:bidi="ar-SA"/>
        </w:rPr>
        <w:t>لَم يُشرَعْ فيه</w:t>
      </w:r>
      <w:r>
        <w:rPr>
          <w:rStyle w:val="FootnoteAnchor"/>
          <w:rtl w:val="true"/>
        </w:rPr>
        <w:footnoteReference w:id="1895"/>
      </w:r>
      <w:r>
        <w:rPr>
          <w:rFonts w:ascii="Amiri" w:hAnsi="Amiri" w:eastAsia="Amiri" w:cs="Amiri"/>
          <w:color w:val="111111"/>
          <w:sz w:val="28"/>
          <w:sz w:val="28"/>
          <w:szCs w:val="28"/>
          <w:rtl w:val="true"/>
          <w:lang w:bidi="ar-SA"/>
        </w:rPr>
        <w:t>لا حُكمَ له</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8039805_1280447820"/>
      <w:bookmarkStart w:id="489" w:name="_Toc177"/>
      <w:bookmarkEnd w:id="488"/>
      <w:r>
        <w:rPr>
          <w:rtl w:val="true"/>
        </w:rPr>
        <w:t>المَسألةُ الرابعةُ و الخَمسونَ شَرائطُ الظِّهارِ</w:t>
      </w:r>
      <w:bookmarkEnd w:id="489"/>
    </w:p>
    <w:p>
      <w:pPr>
        <w:pStyle w:val="BookText"/>
        <w:rPr/>
      </w:pPr>
      <w:r>
        <w:rPr>
          <w:rFonts w:ascii="Amiri" w:hAnsi="Amiri" w:eastAsia="Amiri" w:cs="Amiri"/>
          <w:color w:val="111111"/>
          <w:sz w:val="28"/>
          <w:sz w:val="28"/>
          <w:szCs w:val="28"/>
          <w:rtl w:val="true"/>
          <w:lang w:bidi="ar-SA"/>
        </w:rPr>
        <w:t>و إنّ الظِّهارَ لا يَقَعُ إلّابشُروطِ</w:t>
      </w:r>
      <w:r>
        <w:rPr>
          <w:rStyle w:val="FootnoteAnchor"/>
          <w:rtl w:val="true"/>
        </w:rPr>
        <w:footnoteReference w:id="1896"/>
      </w:r>
      <w:r>
        <w:rPr>
          <w:rFonts w:ascii="Amiri" w:hAnsi="Amiri" w:eastAsia="Amiri" w:cs="Amiri"/>
          <w:color w:val="111111"/>
          <w:sz w:val="28"/>
          <w:sz w:val="28"/>
          <w:szCs w:val="28"/>
          <w:rtl w:val="true"/>
          <w:lang w:bidi="ar-SA"/>
        </w:rPr>
        <w:t>الطلاقِ؛ مِن الِاستبراءِ، و الشاهدَينِ، و النيّةِ، و اللفظِ المخصوصِ، و أن يَكونَ غيرَ مشروطٍ</w:t>
      </w:r>
      <w:r>
        <w:rPr>
          <w:rFonts w:eastAsia="Amiri" w:cs="Amiri" w:ascii="Amiri" w:hAnsi="Amiri"/>
          <w:color w:val="111111"/>
          <w:sz w:val="28"/>
          <w:szCs w:val="28"/>
          <w:rtl w:val="true"/>
          <w:lang w:bidi="ar-SA"/>
        </w:rPr>
        <w:t>.</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و أجمَعَت الإماميّةُ علىٰ أنّ شُروطَ الظِّهارِ كشُروطِ الطلاقِ؛ فمتَى اختَلَّ شَرطٌ مِن هذه لَم يَقَعْ ظِهارٌ، كَما لا يَقَعُ الطلاقُ</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w:t>
      </w:r>
      <w:r>
        <w:rPr>
          <w:rFonts w:eastAsia="Amiri" w:cs="Amiri" w:ascii="Amiri" w:hAnsi="Amiri"/>
          <w:color w:val="111111"/>
          <w:sz w:val="28"/>
          <w:szCs w:val="28"/>
          <w:rtl w:val="true"/>
          <w:lang w:bidi="ar-SA"/>
        </w:rPr>
        <w:t xml:space="preserve">. </w:t>
      </w:r>
      <w:bookmarkStart w:id="490" w:name="pg16437_172631"/>
    </w:p>
    <w:p>
      <w:pPr>
        <w:pStyle w:val="Heading5"/>
        <w:numPr>
          <w:ilvl w:val="4"/>
          <w:numId w:val="1"/>
        </w:numPr>
        <w:rPr/>
      </w:pPr>
      <w:bookmarkStart w:id="491" w:name="__RefHeading___Toc8039807_1280447820"/>
      <w:bookmarkStart w:id="492" w:name="_Toc178"/>
      <w:bookmarkEnd w:id="490"/>
      <w:bookmarkEnd w:id="491"/>
      <w:r>
        <w:rPr>
          <w:rtl w:val="true"/>
        </w:rPr>
        <w:t>المَسألةُ الخامسةُ و الخَمسونَ حُكمُ التخييرِ في الطلاقِ‌</w:t>
      </w:r>
      <w:bookmarkEnd w:id="492"/>
    </w:p>
    <w:p>
      <w:pPr>
        <w:pStyle w:val="BookText"/>
        <w:rPr/>
      </w:pPr>
      <w:r>
        <w:rPr>
          <w:rFonts w:ascii="Amiri" w:hAnsi="Amiri" w:eastAsia="Amiri" w:cs="Amiri"/>
          <w:color w:val="111111"/>
          <w:sz w:val="28"/>
          <w:sz w:val="28"/>
          <w:szCs w:val="28"/>
          <w:rtl w:val="true"/>
          <w:lang w:bidi="ar-SA"/>
        </w:rPr>
        <w:t>إنّ التخييرَ باطلٌ، لا تَقَعُ‌</w:t>
      </w:r>
      <w:r>
        <w:rPr>
          <w:rStyle w:val="FootnoteAnchor"/>
          <w:rtl w:val="true"/>
        </w:rPr>
        <w:footnoteReference w:id="1898"/>
      </w:r>
      <w:r>
        <w:rPr>
          <w:rFonts w:ascii="Amiri" w:hAnsi="Amiri" w:eastAsia="Amiri" w:cs="Amiri"/>
          <w:color w:val="111111"/>
          <w:sz w:val="28"/>
          <w:sz w:val="28"/>
          <w:szCs w:val="28"/>
          <w:rtl w:val="true"/>
          <w:lang w:bidi="ar-SA"/>
        </w:rPr>
        <w:t>به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التمليكُ</w:t>
      </w:r>
      <w:r>
        <w:rPr>
          <w:rFonts w:eastAsia="Amiri" w:cs="Amiri" w:ascii="Amiri" w:hAnsi="Amiri"/>
          <w:color w:val="111111"/>
          <w:sz w:val="28"/>
          <w:szCs w:val="28"/>
          <w:rtl w:val="true"/>
          <w:lang w:bidi="ar-SA"/>
        </w:rPr>
        <w:t>.</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و هذا سَهوٌ مِن قائلِه؛ لأنّ فقهاءَ الشيعةِ الإماميّةِ يُفتونَ بجَوازِ التخييرِ، و أنّ الفُرقةَ تَقَعُ به؛</w:t>
      </w:r>
      <w:r>
        <w:rPr>
          <w:rStyle w:val="FootnoteAnchor"/>
          <w:rtl w:val="true"/>
        </w:rPr>
        <w:footnoteReference w:id="1900"/>
      </w:r>
      <w:r>
        <w:rPr>
          <w:rFonts w:ascii="Amiri" w:hAnsi="Amiri" w:eastAsia="Amiri" w:cs="Amiri"/>
          <w:color w:val="111111"/>
          <w:sz w:val="28"/>
          <w:sz w:val="28"/>
          <w:szCs w:val="28"/>
          <w:rtl w:val="true"/>
          <w:lang w:bidi="ar-SA"/>
        </w:rPr>
        <w:t>و كُتُبُهم المُصنَّفةُ‌</w:t>
      </w:r>
      <w:r>
        <w:rPr>
          <w:rStyle w:val="FootnoteAnchor"/>
          <w:rtl w:val="true"/>
        </w:rPr>
        <w:footnoteReference w:id="1901"/>
      </w:r>
      <w:r>
        <w:rPr>
          <w:rFonts w:ascii="Amiri" w:hAnsi="Amiri" w:eastAsia="Amiri" w:cs="Amiri"/>
          <w:color w:val="111111"/>
          <w:sz w:val="28"/>
          <w:sz w:val="28"/>
          <w:szCs w:val="28"/>
          <w:rtl w:val="true"/>
          <w:lang w:bidi="ar-SA"/>
        </w:rPr>
        <w:t>مشحونةٌ به، و أخبارُهم</w:t>
      </w:r>
      <w:r>
        <w:rPr>
          <w:rStyle w:val="FootnoteAnchor"/>
          <w:rtl w:val="true"/>
        </w:rPr>
        <w:footnoteReference w:id="1902"/>
      </w:r>
      <w:r>
        <w:rPr>
          <w:rFonts w:ascii="Amiri" w:hAnsi="Amiri" w:eastAsia="Amiri" w:cs="Amiri"/>
          <w:color w:val="111111"/>
          <w:sz w:val="28"/>
          <w:sz w:val="28"/>
          <w:szCs w:val="28"/>
          <w:rtl w:val="true"/>
          <w:lang w:bidi="ar-SA"/>
        </w:rPr>
        <w:t>و رواياتُهم عن أئمّتِهم عليهمُ السلامُ مُتَظاهِرةٌ‌</w:t>
      </w:r>
      <w:r>
        <w:rPr>
          <w:rStyle w:val="FootnoteAnchor"/>
          <w:rtl w:val="true"/>
        </w:rPr>
        <w:footnoteReference w:id="1903"/>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90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بَيَّنوا</w:t>
      </w:r>
      <w:r>
        <w:rPr>
          <w:rStyle w:val="FootnoteAnchor"/>
          <w:rtl w:val="true"/>
        </w:rPr>
        <w:footnoteReference w:id="1905"/>
      </w:r>
      <w:r>
        <w:rPr>
          <w:rFonts w:ascii="Amiri" w:hAnsi="Amiri" w:eastAsia="Amiri" w:cs="Amiri"/>
          <w:color w:val="111111"/>
          <w:sz w:val="28"/>
          <w:sz w:val="28"/>
          <w:szCs w:val="28"/>
          <w:rtl w:val="true"/>
          <w:lang w:bidi="ar-SA"/>
        </w:rPr>
        <w:t>في مُصنَّفاتِهم كَيفيّةَ‌</w:t>
      </w:r>
      <w:r>
        <w:rPr>
          <w:rStyle w:val="FootnoteAnchor"/>
          <w:rtl w:val="true"/>
        </w:rPr>
        <w:footnoteReference w:id="1906"/>
      </w:r>
      <w:r>
        <w:rPr>
          <w:rFonts w:ascii="Amiri" w:hAnsi="Amiri" w:eastAsia="Amiri" w:cs="Amiri"/>
          <w:color w:val="111111"/>
          <w:sz w:val="28"/>
          <w:sz w:val="28"/>
          <w:szCs w:val="28"/>
          <w:rtl w:val="true"/>
          <w:lang w:bidi="ar-SA"/>
        </w:rPr>
        <w:t>هذا التخييرِ، فقالوا</w:t>
      </w:r>
      <w:r>
        <w:rPr>
          <w:rStyle w:val="FootnoteAnchor"/>
          <w:rtl w:val="true"/>
        </w:rPr>
        <w:footnoteReference w:id="1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الرجُلُ أن يُخيِّرَ امرَأةً، اعتَزَلَها شَهراً، و كانَ ذلكَ علىٰ طُهرٍ مِن غيرِ 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الحالِ التي لَو أرادَ أن يُطلِّقَها فيها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خَيَّرَها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خَيَّرتُكِ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 أمرَكِ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يَجِبُ أن يَكونَ ذلكَ‌</w:t>
      </w:r>
      <w:r>
        <w:rPr>
          <w:rStyle w:val="FootnoteAnchor"/>
          <w:rtl w:val="true"/>
        </w:rPr>
        <w:footnoteReference w:id="1908"/>
      </w:r>
      <w:r>
        <w:rPr>
          <w:rFonts w:ascii="Amiri" w:hAnsi="Amiri" w:eastAsia="Amiri" w:cs="Amiri"/>
          <w:color w:val="111111"/>
          <w:sz w:val="28"/>
          <w:sz w:val="28"/>
          <w:szCs w:val="28"/>
          <w:rtl w:val="true"/>
          <w:lang w:bidi="ar-SA"/>
        </w:rPr>
        <w:t>بشَهادةٍ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اختارَت نفسَها مِن غيرِ أن تَتَشاغَلَ‌</w:t>
      </w:r>
      <w:r>
        <w:rPr>
          <w:rStyle w:val="FootnoteAnchor"/>
          <w:rtl w:val="true"/>
        </w:rPr>
        <w:footnoteReference w:id="1909"/>
      </w:r>
      <w:r>
        <w:rPr>
          <w:rFonts w:ascii="Amiri" w:hAnsi="Amiri" w:eastAsia="Amiri" w:cs="Amiri"/>
          <w:color w:val="111111"/>
          <w:sz w:val="28"/>
          <w:sz w:val="28"/>
          <w:szCs w:val="28"/>
          <w:rtl w:val="true"/>
          <w:lang w:bidi="ar-SA"/>
        </w:rPr>
        <w:t xml:space="preserve">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أو فِعلٍ كانَ يُمكِنُها</w:t>
      </w:r>
      <w:r>
        <w:rPr>
          <w:rStyle w:val="FootnoteAnchor"/>
          <w:rtl w:val="true"/>
        </w:rPr>
        <w:footnoteReference w:id="1910"/>
      </w:r>
      <w:r>
        <w:rPr>
          <w:rFonts w:ascii="Amiri" w:hAnsi="Amiri" w:eastAsia="Amiri" w:cs="Amiri"/>
          <w:color w:val="111111"/>
          <w:sz w:val="28"/>
          <w:sz w:val="28"/>
          <w:szCs w:val="28"/>
          <w:rtl w:val="true"/>
          <w:lang w:bidi="ar-SA"/>
        </w:rPr>
        <w:t xml:space="preserve">أن لا تَفعَلَه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اختيارُها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اختارَت بَعدَ تَشاغُلِها بفِعلٍ، لَم يَكُن اختيارُها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اختارَت في جوابِ قولِه لها ذلكَ نَفْسَها،</w:t>
      </w:r>
      <w:r>
        <w:rPr>
          <w:rStyle w:val="FootnoteAnchor"/>
          <w:rtl w:val="true"/>
        </w:rPr>
        <w:footnoteReference w:id="1911"/>
      </w:r>
      <w:r>
        <w:rPr>
          <w:rFonts w:ascii="Amiri" w:hAnsi="Amiri" w:eastAsia="Amiri" w:cs="Amiri"/>
          <w:color w:val="111111"/>
          <w:sz w:val="28"/>
          <w:sz w:val="28"/>
          <w:szCs w:val="28"/>
          <w:rtl w:val="true"/>
          <w:lang w:bidi="ar-SA"/>
        </w:rPr>
        <w:t>و كانَت مدخولاً بها،</w:t>
      </w:r>
      <w:r>
        <w:rPr>
          <w:rStyle w:val="FootnoteAnchor"/>
          <w:rtl w:val="true"/>
        </w:rPr>
        <w:footnoteReference w:id="1912"/>
      </w:r>
      <w:r>
        <w:rPr>
          <w:rFonts w:ascii="Amiri" w:hAnsi="Amiri" w:eastAsia="Amiri" w:cs="Amiri"/>
          <w:color w:val="111111"/>
          <w:sz w:val="28"/>
          <w:sz w:val="28"/>
          <w:szCs w:val="28"/>
          <w:rtl w:val="true"/>
          <w:lang w:bidi="ar-SA"/>
        </w:rPr>
        <w:t>و كانَ تخييرُه إيّاها عن غيرِ عِوَضٍ أخَذَه منها، كانَت كالمُطلَّقةِ الواحدةِ التي هو</w:t>
      </w:r>
      <w:r>
        <w:rPr>
          <w:rStyle w:val="FootnoteAnchor"/>
          <w:rtl w:val="true"/>
        </w:rPr>
        <w:footnoteReference w:id="1913"/>
      </w:r>
      <w:r>
        <w:rPr>
          <w:rFonts w:ascii="Amiri" w:hAnsi="Amiri" w:eastAsia="Amiri" w:cs="Amiri"/>
          <w:color w:val="111111"/>
          <w:sz w:val="28"/>
          <w:sz w:val="28"/>
          <w:szCs w:val="28"/>
          <w:rtl w:val="true"/>
          <w:lang w:bidi="ar-SA"/>
        </w:rPr>
        <w:t>أحَقُّ برَجعتِها في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غيرَ مدخولٍ بها، فهي تطليقةٌ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تخييرُه إيّاها عن عِوَضٍ أخَذَه منها، فهي بائنٌ، و هي أملَكُ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جَعَلَ الاختيارَ إلىٰ وقتٍ بعَينِه، فاختارَت</w:t>
      </w:r>
      <w:r>
        <w:rPr>
          <w:rStyle w:val="FootnoteAnchor"/>
          <w:rtl w:val="true"/>
        </w:rPr>
        <w:footnoteReference w:id="1914"/>
      </w:r>
      <w:r>
        <w:rPr>
          <w:rFonts w:ascii="Amiri" w:hAnsi="Amiri" w:eastAsia="Amiri" w:cs="Amiri"/>
          <w:color w:val="111111"/>
          <w:sz w:val="28"/>
          <w:sz w:val="28"/>
          <w:szCs w:val="28"/>
          <w:rtl w:val="true"/>
          <w:lang w:bidi="ar-SA"/>
        </w:rPr>
        <w:t>قَبلَه، جازَ اختيارُها؛ و إنِ اختارَت بَعدَه، لَم يَجُز</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w:t>
      </w:r>
      <w:r>
        <w:rPr>
          <w:rStyle w:val="FootnoteAnchor"/>
          <w:rtl w:val="true"/>
        </w:rPr>
        <w:footnoteReference w:id="1915"/>
      </w:r>
      <w:r>
        <w:rPr>
          <w:rFonts w:ascii="Amiri" w:hAnsi="Amiri" w:eastAsia="Amiri" w:cs="Amiri"/>
          <w:color w:val="111111"/>
          <w:sz w:val="28"/>
          <w:sz w:val="28"/>
          <w:szCs w:val="28"/>
          <w:rtl w:val="true"/>
          <w:lang w:bidi="ar-SA"/>
        </w:rPr>
        <w:t>أُذَينةَ، عن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خَيَّرَها، أو جَعَلَ‌</w:t>
      </w:r>
      <w:r>
        <w:rPr>
          <w:rStyle w:val="FootnoteAnchor"/>
          <w:rtl w:val="true"/>
        </w:rPr>
        <w:footnoteReference w:id="1916"/>
      </w:r>
      <w:r>
        <w:rPr>
          <w:rFonts w:ascii="Amiri" w:hAnsi="Amiri" w:eastAsia="Amiri" w:cs="Amiri"/>
          <w:color w:val="111111"/>
          <w:sz w:val="28"/>
          <w:sz w:val="28"/>
          <w:szCs w:val="28"/>
          <w:rtl w:val="true"/>
          <w:lang w:bidi="ar-SA"/>
        </w:rPr>
        <w:t>أمرَها بيَدِها، في غيرِ قُبُلِ عِدَّتِها</w:t>
      </w:r>
      <w:r>
        <w:rPr>
          <w:rStyle w:val="FootnoteAnchor"/>
          <w:rtl w:val="true"/>
        </w:rPr>
        <w:footnoteReference w:id="1917"/>
      </w:r>
      <w:r>
        <w:rPr>
          <w:rFonts w:ascii="Amiri" w:hAnsi="Amiri" w:eastAsia="Amiri" w:cs="Amiri"/>
          <w:color w:val="111111"/>
          <w:sz w:val="28"/>
          <w:sz w:val="28"/>
          <w:szCs w:val="28"/>
          <w:rtl w:val="true"/>
          <w:lang w:bidi="ar-SA"/>
        </w:rPr>
        <w:t xml:space="preserve">، مِن غيرِ أن يُشهِدَ شاهدَينِ، </w:t>
      </w:r>
    </w:p>
    <w:p>
      <w:pPr>
        <w:pStyle w:val="BookText"/>
        <w:rPr/>
      </w:pPr>
      <w:r>
        <w:rPr>
          <w:rFonts w:ascii="Amiri" w:hAnsi="Amiri" w:eastAsia="Amiri" w:cs="Amiri"/>
          <w:color w:val="111111"/>
          <w:sz w:val="28"/>
          <w:sz w:val="28"/>
          <w:szCs w:val="28"/>
          <w:rtl w:val="true"/>
          <w:lang w:bidi="ar-SA"/>
        </w:rPr>
        <w:t>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Style w:val="FootnoteAnchor"/>
          <w:rtl w:val="true"/>
        </w:rPr>
        <w:footnoteReference w:id="1918"/>
      </w:r>
      <w:r>
        <w:rPr>
          <w:rFonts w:ascii="Amiri" w:hAnsi="Amiri" w:eastAsia="Amiri" w:cs="Amiri"/>
          <w:color w:val="111111"/>
          <w:sz w:val="28"/>
          <w:sz w:val="28"/>
          <w:szCs w:val="28"/>
          <w:rtl w:val="true"/>
          <w:lang w:bidi="ar-SA"/>
        </w:rPr>
        <w:t>خَيَّرَها، أو جَعَلَ‌</w:t>
      </w:r>
      <w:r>
        <w:rPr>
          <w:rStyle w:val="FootnoteAnchor"/>
          <w:rtl w:val="true"/>
        </w:rPr>
        <w:footnoteReference w:id="1919"/>
      </w:r>
      <w:r>
        <w:rPr>
          <w:rFonts w:ascii="Amiri" w:hAnsi="Amiri" w:eastAsia="Amiri" w:cs="Amiri"/>
          <w:color w:val="111111"/>
          <w:sz w:val="28"/>
          <w:sz w:val="28"/>
          <w:szCs w:val="28"/>
          <w:rtl w:val="true"/>
          <w:lang w:bidi="ar-SA"/>
        </w:rPr>
        <w:t>أمرَها بيَدِها، بشَهادةِ شاهدَينِ، في قُبُلِ عِدّتِها، فهي بالخِيارِ ما لَم يَتفرَّقا</w:t>
      </w:r>
      <w:r>
        <w:rPr>
          <w:rStyle w:val="FootnoteAnchor"/>
          <w:rtl w:val="true"/>
        </w:rPr>
        <w:footnoteReference w:id="1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اختارَت نفسَها، فهي واحدةٌ، و هو أحَقُّ برَجعتِها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اختارَت زَوجَها، فلَيسَ بطَلاقٍ</w:t>
      </w:r>
      <w:r>
        <w:rPr>
          <w:rFonts w:eastAsia="Amiri" w:cs="Amiri" w:ascii="Amiri" w:hAnsi="Amiri"/>
          <w:color w:val="111111"/>
          <w:sz w:val="28"/>
          <w:szCs w:val="28"/>
          <w:rtl w:val="true"/>
          <w:lang w:bidi="ar-SA"/>
        </w:rPr>
        <w:t>».</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و لَم نَذكُرْ هذا الخبرَ احتجاجاً بأخبارِ الآحادِ التي لا حُجّةَ في مِثلِها؛ و إنّما أورَدناه ليُعلَمَ أنّ المَذهبَ في جوازِ التخييرِ بخِلافِ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في هذا البابِ كَثيرةٌ ظاهرةٌ، و لَولا الإطالةُ لَذَكَرناها</w:t>
      </w:r>
      <w:r>
        <w:rPr>
          <w:rFonts w:eastAsia="Amiri" w:cs="Amiri" w:ascii="Amiri" w:hAnsi="Amiri"/>
          <w:color w:val="111111"/>
          <w:sz w:val="28"/>
          <w:szCs w:val="28"/>
          <w:rtl w:val="true"/>
          <w:lang w:bidi="ar-SA"/>
        </w:rPr>
        <w:t>.</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و قد ذَكَرَ أبو الحَسَنِ عليُّ بنُ الحُسَينِ بنِ بابَوَيهِ القُمّيُّ رَحِمَه اللّٰهُ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أصلَ التخييرِ هو أنّ اللّٰهَ تَعالىٰ أَنِفَ لنبيِّه عليه السلامُ مِن</w:t>
      </w:r>
      <w:r>
        <w:rPr>
          <w:rStyle w:val="FootnoteAnchor"/>
          <w:rtl w:val="true"/>
        </w:rPr>
        <w:footnoteReference w:id="1923"/>
      </w:r>
      <w:r>
        <w:rPr>
          <w:rFonts w:ascii="Amiri" w:hAnsi="Amiri" w:eastAsia="Amiri" w:cs="Amiri"/>
          <w:color w:val="111111"/>
          <w:sz w:val="28"/>
          <w:sz w:val="28"/>
          <w:szCs w:val="28"/>
          <w:rtl w:val="true"/>
          <w:lang w:bidi="ar-SA"/>
        </w:rPr>
        <w:t>مَقالةٍ قالَتها بعضُ نِسائه؛ و هي قولُ بعضِهنَّ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يَرىٰ مُحمّدٌ أنّه إذا طَلَّقَنا لا نَجِدُ أَكفاءً‌</w:t>
      </w:r>
      <w:r>
        <w:rPr>
          <w:rStyle w:val="FootnoteAnchor"/>
          <w:rtl w:val="true"/>
        </w:rPr>
        <w:footnoteReference w:id="1924"/>
      </w:r>
      <w:r>
        <w:rPr>
          <w:rFonts w:ascii="Amiri" w:hAnsi="Amiri" w:eastAsia="Amiri" w:cs="Amiri"/>
          <w:color w:val="111111"/>
          <w:sz w:val="28"/>
          <w:sz w:val="28"/>
          <w:szCs w:val="28"/>
          <w:rtl w:val="true"/>
          <w:lang w:bidi="ar-SA"/>
        </w:rPr>
        <w:t>مِن قُرَيشٍ يَتزوَّجونَنا</w:t>
      </w:r>
      <w:r>
        <w:rPr>
          <w:rStyle w:val="FootnoteAnchor"/>
          <w:rtl w:val="true"/>
        </w:rPr>
        <w:footnoteReference w:id="192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اللّٰهُ تَعالىٰ نبيَّه عليه السلامُ أن يَعتَزِلَ نِساءَه تِسعاً و عِشرينَ لَيلةً، فاعتَزَلَهُنَّ، ثُمَّ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كُنْتُنَّ تُرِدْنَ اَللّٰهَ وَ رَسُولَهُ وَ اَلدّٰارَ اَلْآخِرَةَ فَإِنَّ اَللّٰهَ أَعَدَّ لِلْمُحْسِنٰاتِ مِنْكُنَّ أَجْراً عَظِيماً</w:t>
      </w:r>
      <w:r>
        <w:rPr>
          <w:rFonts w:eastAsia="Amiri" w:cs="Amiri" w:ascii="Amiri" w:hAnsi="Amiri"/>
          <w:color w:val="111111"/>
          <w:sz w:val="28"/>
          <w:szCs w:val="28"/>
          <w:rtl w:val="true"/>
          <w:lang w:bidi="ar-SA"/>
        </w:rPr>
        <w:t xml:space="preserve">» </w:t>
      </w:r>
      <w:r>
        <w:rPr>
          <w:rStyle w:val="FootnoteAnchor"/>
          <w:rtl w:val="true"/>
        </w:rPr>
        <w:footnoteReference w:id="1926"/>
      </w:r>
      <w:r>
        <w:rPr>
          <w:rFonts w:ascii="Amiri" w:hAnsi="Amiri" w:eastAsia="Amiri" w:cs="Amiri"/>
          <w:color w:val="111111"/>
          <w:sz w:val="28"/>
          <w:sz w:val="28"/>
          <w:szCs w:val="28"/>
          <w:rtl w:val="true"/>
          <w:lang w:bidi="ar-SA"/>
        </w:rPr>
        <w:t xml:space="preserve">فاختَرنَ اللّٰهَ و </w:t>
      </w:r>
      <w:bookmarkStart w:id="493" w:name="pg16437_172634"/>
    </w:p>
    <w:p>
      <w:pPr>
        <w:pStyle w:val="BookText"/>
        <w:rPr/>
      </w:pPr>
      <w:bookmarkEnd w:id="493"/>
      <w:r>
        <w:rPr>
          <w:rFonts w:ascii="Amiri" w:hAnsi="Amiri" w:eastAsia="Amiri" w:cs="Amiri"/>
          <w:color w:val="111111"/>
          <w:sz w:val="28"/>
          <w:sz w:val="28"/>
          <w:szCs w:val="28"/>
          <w:rtl w:val="true"/>
          <w:lang w:bidi="ar-SA"/>
        </w:rPr>
        <w:t>رَسولَه، فلَم يَقَعِ الطلاقُ؛ و لَو اختَرنَ أنفُسَهُنَّ لَبِنَّ</w:t>
      </w:r>
      <w:r>
        <w:rPr>
          <w:rFonts w:eastAsia="Amiri" w:cs="Amiri" w:ascii="Amiri" w:hAnsi="Amiri"/>
          <w:color w:val="111111"/>
          <w:sz w:val="28"/>
          <w:szCs w:val="28"/>
          <w:rtl w:val="true"/>
          <w:lang w:bidi="ar-SA"/>
        </w:rPr>
        <w:t>.</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انقَضَت الحكايةُ عن</w:t>
      </w:r>
      <w:r>
        <w:rPr>
          <w:rStyle w:val="FootnoteAnchor"/>
          <w:rtl w:val="true"/>
        </w:rPr>
        <w:footnoteReference w:id="1928"/>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Style w:val="FootnoteAnchor"/>
          <w:rtl w:val="true"/>
        </w:rPr>
        <w:footnoteReference w:id="1929"/>
      </w:r>
      <w:r>
        <w:rPr>
          <w:rFonts w:ascii="Amiri" w:hAnsi="Amiri" w:eastAsia="Amiri" w:cs="Amiri"/>
          <w:color w:val="111111"/>
          <w:sz w:val="28"/>
          <w:sz w:val="28"/>
          <w:szCs w:val="28"/>
          <w:rtl w:val="true"/>
          <w:lang w:bidi="ar-SA"/>
        </w:rPr>
        <w:t>لَستُ أَدري ما السبَبُ في إنكارِ مَن أنكَرَ التخييرَ</w:t>
      </w:r>
      <w:r>
        <w:rPr>
          <w:rStyle w:val="FootnoteAnchor"/>
          <w:rtl w:val="true"/>
        </w:rPr>
        <w:footnoteReference w:id="1930"/>
      </w:r>
      <w:r>
        <w:rPr>
          <w:rFonts w:ascii="Amiri" w:hAnsi="Amiri" w:eastAsia="Amiri" w:cs="Amiri"/>
          <w:color w:val="111111"/>
          <w:sz w:val="28"/>
          <w:sz w:val="28"/>
          <w:szCs w:val="28"/>
          <w:rtl w:val="true"/>
          <w:lang w:bidi="ar-SA"/>
        </w:rPr>
        <w:t>للمَرأةِ؟ و هَل هو إلّا تَوكيلٌ في الطلاقِ؟ و الطلاقُ‌</w:t>
      </w:r>
      <w:r>
        <w:rPr>
          <w:rStyle w:val="FootnoteAnchor"/>
          <w:rtl w:val="true"/>
        </w:rPr>
        <w:footnoteReference w:id="1931"/>
      </w:r>
      <w:r>
        <w:rPr>
          <w:rFonts w:ascii="Amiri" w:hAnsi="Amiri" w:eastAsia="Amiri" w:cs="Amiri"/>
          <w:color w:val="111111"/>
          <w:sz w:val="28"/>
          <w:sz w:val="28"/>
          <w:szCs w:val="28"/>
          <w:rtl w:val="true"/>
          <w:lang w:bidi="ar-SA"/>
        </w:rPr>
        <w:t>ممّا يَجوزُ فيه</w:t>
      </w:r>
      <w:r>
        <w:rPr>
          <w:rStyle w:val="FootnoteAnchor"/>
          <w:rtl w:val="true"/>
        </w:rPr>
        <w:footnoteReference w:id="1932"/>
      </w:r>
      <w:r>
        <w:rPr>
          <w:rFonts w:ascii="Amiri" w:hAnsi="Amiri" w:eastAsia="Amiri" w:cs="Amiri"/>
          <w:color w:val="111111"/>
          <w:sz w:val="28"/>
          <w:sz w:val="28"/>
          <w:szCs w:val="28"/>
          <w:rtl w:val="true"/>
          <w:lang w:bidi="ar-SA"/>
        </w:rPr>
        <w:t>الوِكالةُ؛ فأيُّ‌</w:t>
      </w:r>
      <w:r>
        <w:rPr>
          <w:rStyle w:val="FootnoteAnchor"/>
          <w:rtl w:val="true"/>
        </w:rPr>
        <w:footnoteReference w:id="1933"/>
      </w:r>
      <w:r>
        <w:rPr>
          <w:rFonts w:ascii="Amiri" w:hAnsi="Amiri" w:eastAsia="Amiri" w:cs="Amiri"/>
          <w:color w:val="111111"/>
          <w:sz w:val="28"/>
          <w:sz w:val="28"/>
          <w:szCs w:val="28"/>
          <w:rtl w:val="true"/>
          <w:lang w:bidi="ar-SA"/>
        </w:rPr>
        <w:t>فَرقٍ بَينَ أن يُوَكِّلَ غيرَها في طلاقِها و يَجعَلَ إليه إيقاعَ فُرقتِها، و بَينَ أن يُوَكِّلَها</w:t>
      </w:r>
      <w:r>
        <w:rPr>
          <w:rStyle w:val="FootnoteAnchor"/>
          <w:rtl w:val="true"/>
        </w:rPr>
        <w:footnoteReference w:id="1934"/>
      </w:r>
      <w:r>
        <w:rPr>
          <w:rFonts w:ascii="Amiri" w:hAnsi="Amiri" w:eastAsia="Amiri" w:cs="Amiri"/>
          <w:color w:val="111111"/>
          <w:sz w:val="28"/>
          <w:sz w:val="28"/>
          <w:szCs w:val="28"/>
          <w:rtl w:val="true"/>
          <w:lang w:bidi="ar-SA"/>
        </w:rPr>
        <w:t>نفسَها في ذلكَ؟</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8039809_1280447820"/>
      <w:bookmarkStart w:id="495" w:name="_Toc179"/>
      <w:bookmarkEnd w:id="494"/>
      <w:r>
        <w:rPr>
          <w:rtl w:val="true"/>
        </w:rPr>
        <w:t>المَسألةُ السادسةُ و الخَمسونَ عِدّةُ الحاملِ‌</w:t>
      </w:r>
      <w:bookmarkEnd w:id="495"/>
    </w:p>
    <w:p>
      <w:pPr>
        <w:pStyle w:val="BookText"/>
        <w:rPr/>
      </w:pPr>
      <w:r>
        <w:rPr>
          <w:rFonts w:ascii="Amiri" w:hAnsi="Amiri" w:eastAsia="Amiri" w:cs="Amiri"/>
          <w:color w:val="111111"/>
          <w:sz w:val="28"/>
          <w:sz w:val="28"/>
          <w:szCs w:val="28"/>
          <w:rtl w:val="true"/>
          <w:lang w:bidi="ar-SA"/>
        </w:rPr>
        <w:t>و إنّ عِدّةَ الحاملِ المُطلَّقةِ أقرَبُ الأجَلَينِ‌</w:t>
      </w:r>
      <w:r>
        <w:rPr>
          <w:rStyle w:val="FootnoteAnchor"/>
          <w:rtl w:val="true"/>
        </w:rPr>
        <w:footnoteReference w:id="1935"/>
      </w:r>
      <w:r>
        <w:rPr>
          <w:rFonts w:ascii="Amiri" w:hAnsi="Amiri" w:eastAsia="Amiri" w:cs="Amiri"/>
          <w:color w:val="111111"/>
          <w:sz w:val="28"/>
          <w:sz w:val="28"/>
          <w:szCs w:val="28"/>
          <w:rtl w:val="true"/>
          <w:lang w:bidi="ar-SA"/>
        </w:rPr>
        <w:t>، و عِدّةَ الحاملِ المُتوَفّىٰ عنها زَوجُها أبعَدُ الأجَلَينِ</w:t>
      </w:r>
      <w:r>
        <w:rPr>
          <w:rFonts w:eastAsia="Amiri" w:cs="Amiri" w:ascii="Amiri" w:hAnsi="Amiri"/>
          <w:color w:val="111111"/>
          <w:sz w:val="28"/>
          <w:szCs w:val="28"/>
          <w:rtl w:val="true"/>
          <w:lang w:bidi="ar-SA"/>
        </w:rPr>
        <w:t>.</w:t>
      </w:r>
      <w:r>
        <w:rPr>
          <w:rStyle w:val="FootnoteAnchor"/>
          <w:rtl w:val="true"/>
        </w:rPr>
        <w:footnoteReference w:id="193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المَسألةُ قد أَشبَعنا الكلامَ فيها في المَسائلِ الأُولىٰ‌</w:t>
      </w:r>
      <w:r>
        <w:rPr>
          <w:rStyle w:val="FootnoteAnchor"/>
          <w:rtl w:val="true"/>
        </w:rPr>
        <w:footnoteReference w:id="1937"/>
      </w:r>
      <w:r>
        <w:rPr>
          <w:rFonts w:ascii="Amiri" w:hAnsi="Amiri" w:eastAsia="Amiri" w:cs="Amiri"/>
          <w:color w:val="111111"/>
          <w:sz w:val="28"/>
          <w:sz w:val="28"/>
          <w:szCs w:val="28"/>
          <w:rtl w:val="true"/>
          <w:lang w:bidi="ar-SA"/>
        </w:rPr>
        <w:t>، و أَورَدنا ما فيه كفايةٌ لِمَن تأمَّلَه</w:t>
      </w:r>
      <w:r>
        <w:rPr>
          <w:rFonts w:eastAsia="Amiri" w:cs="Amiri" w:ascii="Amiri" w:hAnsi="Amiri"/>
          <w:color w:val="111111"/>
          <w:sz w:val="28"/>
          <w:szCs w:val="28"/>
          <w:rtl w:val="true"/>
          <w:lang w:bidi="ar-SA"/>
        </w:rPr>
        <w:t xml:space="preserve">. </w:t>
      </w:r>
      <w:bookmarkStart w:id="496" w:name="pg16437_172635"/>
    </w:p>
    <w:p>
      <w:pPr>
        <w:pStyle w:val="Heading5"/>
        <w:numPr>
          <w:ilvl w:val="4"/>
          <w:numId w:val="1"/>
        </w:numPr>
        <w:rPr/>
      </w:pPr>
      <w:bookmarkStart w:id="497" w:name="__RefHeading___Toc8039811_1280447820"/>
      <w:bookmarkStart w:id="498" w:name="_Toc180"/>
      <w:bookmarkEnd w:id="496"/>
      <w:bookmarkEnd w:id="497"/>
      <w:r>
        <w:rPr>
          <w:rtl w:val="true"/>
        </w:rPr>
        <w:t>المَسألةُ السابعةُ و الخَمسونَ الرَّجعةُ في الطلاقِ الثلاثِ في مَجلِسٍ واحدٍ</w:t>
      </w:r>
      <w:bookmarkEnd w:id="498"/>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w:t>
      </w:r>
      <w:r>
        <w:rPr>
          <w:rStyle w:val="FootnoteAnchor"/>
          <w:rtl w:val="true"/>
        </w:rPr>
        <w:footnoteReference w:id="1938"/>
      </w:r>
      <w:r>
        <w:rPr>
          <w:rFonts w:ascii="Amiri" w:hAnsi="Amiri" w:eastAsia="Amiri" w:cs="Amiri"/>
          <w:color w:val="111111"/>
          <w:sz w:val="28"/>
          <w:sz w:val="28"/>
          <w:szCs w:val="28"/>
          <w:rtl w:val="true"/>
          <w:lang w:bidi="ar-SA"/>
        </w:rPr>
        <w:t>الرَّجعةُ لِمَن يُطلِّقُ ثَلاثاً في وقتٍ واحدٍ، كما تَجِبُ‌</w:t>
      </w:r>
      <w:r>
        <w:rPr>
          <w:rStyle w:val="FootnoteAnchor"/>
          <w:rtl w:val="true"/>
        </w:rPr>
        <w:footnoteReference w:id="1939"/>
      </w:r>
      <w:r>
        <w:rPr>
          <w:rFonts w:ascii="Amiri" w:hAnsi="Amiri" w:eastAsia="Amiri" w:cs="Amiri"/>
          <w:color w:val="111111"/>
          <w:sz w:val="28"/>
          <w:sz w:val="28"/>
          <w:szCs w:val="28"/>
          <w:rtl w:val="true"/>
          <w:lang w:bidi="ar-SA"/>
        </w:rPr>
        <w:t>إن طَلَّقَ واحدةً أو اثنَتَينِ</w:t>
      </w:r>
      <w:r>
        <w:rPr>
          <w:rFonts w:eastAsia="Amiri" w:cs="Amiri" w:ascii="Amiri" w:hAnsi="Amiri"/>
          <w:color w:val="111111"/>
          <w:sz w:val="28"/>
          <w:szCs w:val="28"/>
          <w:rtl w:val="true"/>
          <w:lang w:bidi="ar-SA"/>
        </w:rPr>
        <w:t>.</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إنّما قُلنا بجَوازِ الرَّجعةِ لِمَن</w:t>
      </w:r>
      <w:r>
        <w:rPr>
          <w:rStyle w:val="FootnoteAnchor"/>
          <w:rtl w:val="true"/>
        </w:rPr>
        <w:footnoteReference w:id="1941"/>
      </w:r>
      <w:r>
        <w:rPr>
          <w:rFonts w:ascii="Amiri" w:hAnsi="Amiri" w:eastAsia="Amiri" w:cs="Amiri"/>
          <w:color w:val="111111"/>
          <w:sz w:val="28"/>
          <w:sz w:val="28"/>
          <w:szCs w:val="28"/>
          <w:rtl w:val="true"/>
          <w:lang w:bidi="ar-SA"/>
        </w:rPr>
        <w:t>تَلفَّظَ بالطلاقِ الثلاثِ في وقتٍ واحدٍ لأنّه في الحُكمِ‌</w:t>
      </w:r>
      <w:r>
        <w:rPr>
          <w:rStyle w:val="FootnoteAnchor"/>
          <w:rtl w:val="true"/>
        </w:rPr>
        <w:footnoteReference w:id="1942"/>
      </w:r>
      <w:r>
        <w:rPr>
          <w:rFonts w:ascii="Amiri" w:hAnsi="Amiri" w:eastAsia="Amiri" w:cs="Amiri"/>
          <w:color w:val="111111"/>
          <w:sz w:val="28"/>
          <w:sz w:val="28"/>
          <w:szCs w:val="28"/>
          <w:rtl w:val="true"/>
          <w:lang w:bidi="ar-SA"/>
        </w:rPr>
        <w:t>ما طَلَّقَ إلّاواحدةً، و مَن طَلَّقَ واحدةً‌</w:t>
      </w:r>
      <w:r>
        <w:rPr>
          <w:rStyle w:val="FootnoteAnchor"/>
          <w:rtl w:val="true"/>
        </w:rPr>
        <w:footnoteReference w:id="1943"/>
      </w:r>
      <w:r>
        <w:rPr>
          <w:rFonts w:ascii="Amiri" w:hAnsi="Amiri" w:eastAsia="Amiri" w:cs="Amiri"/>
          <w:color w:val="111111"/>
          <w:sz w:val="28"/>
          <w:sz w:val="28"/>
          <w:szCs w:val="28"/>
          <w:rtl w:val="true"/>
          <w:lang w:bidi="ar-SA"/>
        </w:rPr>
        <w:t>فله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عليه</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8039813_1280447820"/>
      <w:bookmarkStart w:id="500" w:name="_Toc181"/>
      <w:bookmarkEnd w:id="499"/>
      <w:r>
        <w:rPr>
          <w:rtl w:val="true"/>
        </w:rPr>
        <w:t>المَسألةُ الثامنةُ و الخَمسونَ حُكمُ المُطلِّقِ ثَلاثاً في مَجلِسٍ واحدٍ</w:t>
      </w:r>
      <w:bookmarkEnd w:id="50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تَلفَّظَ بالطلاقِ الثلاثِ في وقتٍ واحدٍ، و تَكامَلَت</w:t>
      </w:r>
      <w:r>
        <w:rPr>
          <w:rStyle w:val="FootnoteAnchor"/>
          <w:rtl w:val="true"/>
        </w:rPr>
        <w:footnoteReference w:id="1944"/>
      </w:r>
      <w:r>
        <w:rPr>
          <w:rFonts w:ascii="Amiri" w:hAnsi="Amiri" w:eastAsia="Amiri" w:cs="Amiri"/>
          <w:color w:val="111111"/>
          <w:sz w:val="28"/>
          <w:sz w:val="28"/>
          <w:szCs w:val="28"/>
          <w:rtl w:val="true"/>
          <w:lang w:bidi="ar-SA"/>
        </w:rPr>
        <w:t>الشُّروطُ؛ هَل يَقَعُ واحدةً، أم لا يَقَعُ شَيءٌ؟</w:t>
      </w:r>
      <w:r>
        <w:rPr>
          <w:rStyle w:val="FootnoteAnchor"/>
          <w:rtl w:val="true"/>
        </w:rPr>
        <w:footnoteReference w:id="1945"/>
      </w:r>
      <w:bookmarkStart w:id="501" w:name="pg16437_172636"/>
    </w:p>
    <w:p>
      <w:pPr>
        <w:pStyle w:val="BookText"/>
        <w:rPr/>
      </w:pPr>
      <w:bookmarkEnd w:id="501"/>
      <w:r>
        <w:rPr>
          <w:rFonts w:ascii="Amiri" w:hAnsi="Amiri" w:eastAsia="Amiri" w:cs="Amiri"/>
          <w:color w:val="111111"/>
          <w:sz w:val="28"/>
          <w:sz w:val="28"/>
          <w:szCs w:val="28"/>
          <w:rtl w:val="true"/>
          <w:lang w:bidi="ar-SA"/>
        </w:rPr>
        <w:t xml:space="preserve">و الصحيحُ مِن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العملُ و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يَقَعُ واحدةً؛ لأنّه قد تَلفَّظَ بالواحدةِ، و إنّما زادَ علىٰ ذلكَ بما جَرىٰ مَجرَى اللغوِ ممّا 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يَجوزُ أن لا يَقَعَ شَيءٌ مِن طَلاقِه، و قد تَلفَّظَ بالطلاقِ الموضوعِ للفُرقةِ، و تَكامَلَت الشُّروطُ المعتَبَرةُ في الطلاقِ؟ و كَيفَ يُخرِجُه مِن أن يَكونَ لفظُه بالطلاقِ مؤثِّراً، أنّه</w:t>
      </w:r>
      <w:r>
        <w:rPr>
          <w:rStyle w:val="FootnoteAnchor"/>
          <w:rtl w:val="true"/>
        </w:rPr>
        <w:footnoteReference w:id="1946"/>
      </w:r>
      <w:r>
        <w:rPr>
          <w:rFonts w:ascii="Amiri" w:hAnsi="Amiri" w:eastAsia="Amiri" w:cs="Amiri"/>
          <w:color w:val="111111"/>
          <w:sz w:val="28"/>
          <w:sz w:val="28"/>
          <w:szCs w:val="28"/>
          <w:rtl w:val="true"/>
          <w:lang w:bidi="ar-SA"/>
        </w:rPr>
        <w:t>ضَمَّ إلىٰ ذلكَ ما كانَ يَنبَغي أن لايَضُمَّه؛</w:t>
      </w:r>
      <w:r>
        <w:rPr>
          <w:rStyle w:val="FootnoteAnchor"/>
          <w:rtl w:val="true"/>
        </w:rPr>
        <w:footnoteReference w:id="1947"/>
      </w:r>
      <w:r>
        <w:rPr>
          <w:rFonts w:ascii="Amiri" w:hAnsi="Amiri" w:eastAsia="Amiri" w:cs="Amiri"/>
          <w:color w:val="111111"/>
          <w:sz w:val="28"/>
          <w:sz w:val="28"/>
          <w:szCs w:val="28"/>
          <w:rtl w:val="true"/>
          <w:lang w:bidi="ar-SA"/>
        </w:rPr>
        <w:t>مِن لَفظِه ثانيةً و ثالثةً؟</w:t>
      </w:r>
    </w:p>
    <w:p>
      <w:pPr>
        <w:pStyle w:val="Heading5"/>
        <w:numPr>
          <w:ilvl w:val="4"/>
          <w:numId w:val="1"/>
        </w:numPr>
        <w:rPr/>
      </w:pPr>
      <w:bookmarkStart w:id="502" w:name="__RefHeading___Toc8039815_1280447820"/>
      <w:bookmarkStart w:id="503" w:name="_Toc182"/>
      <w:bookmarkEnd w:id="502"/>
      <w:r>
        <w:rPr>
          <w:rtl w:val="true"/>
        </w:rPr>
        <w:t>المَسألةُ التاسعةُ و الخَمسونَ أقَلُّ الحَملِ و أكثَرُه</w:t>
      </w:r>
      <w:bookmarkEnd w:id="503"/>
    </w:p>
    <w:p>
      <w:pPr>
        <w:pStyle w:val="BookText"/>
        <w:rPr/>
      </w:pPr>
      <w:r>
        <w:rPr>
          <w:rFonts w:ascii="Amiri" w:hAnsi="Amiri" w:eastAsia="Amiri" w:cs="Amiri"/>
          <w:color w:val="111111"/>
          <w:sz w:val="28"/>
          <w:sz w:val="28"/>
          <w:szCs w:val="28"/>
          <w:rtl w:val="true"/>
          <w:lang w:bidi="ar-SA"/>
        </w:rPr>
        <w:t>إنّ أقَلَّ ما يَخرُجُ الحَملُ حَيّاً مُستَهِلاًّ لسِتّةِ أَشهُرٍ، و أكثَرَه تِسعةُ أشهُرٍ</w:t>
      </w:r>
      <w:r>
        <w:rPr>
          <w:rFonts w:eastAsia="Amiri" w:cs="Amiri" w:ascii="Amiri" w:hAnsi="Amiri"/>
          <w:color w:val="111111"/>
          <w:sz w:val="28"/>
          <w:szCs w:val="28"/>
          <w:rtl w:val="true"/>
          <w:lang w:bidi="ar-SA"/>
        </w:rPr>
        <w:t>.</w:t>
      </w:r>
      <w:r>
        <w:rPr>
          <w:rStyle w:val="FootnoteAnchor"/>
          <w:rtl w:val="true"/>
        </w:rPr>
        <w:footnoteReference w:id="194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المَسألةُ ممّا قد استَوفَينا الكلامَ عليها في الجوابِ عن المَسائلِ الأُولىٰ‌</w:t>
      </w:r>
      <w:r>
        <w:rPr>
          <w:rStyle w:val="FootnoteAnchor"/>
          <w:rtl w:val="true"/>
        </w:rPr>
        <w:footnoteReference w:id="1949"/>
      </w:r>
      <w:r>
        <w:rPr>
          <w:rFonts w:ascii="Amiri" w:hAnsi="Amiri" w:eastAsia="Amiri" w:cs="Amiri"/>
          <w:color w:val="111111"/>
          <w:sz w:val="28"/>
          <w:sz w:val="28"/>
          <w:szCs w:val="28"/>
          <w:rtl w:val="true"/>
          <w:lang w:bidi="ar-SA"/>
        </w:rPr>
        <w:t>، فلا معنىٰ للإعادةِ</w:t>
      </w:r>
      <w:r>
        <w:rPr>
          <w:rFonts w:eastAsia="Amiri" w:cs="Amiri" w:ascii="Amiri" w:hAnsi="Amiri"/>
          <w:color w:val="111111"/>
          <w:sz w:val="28"/>
          <w:szCs w:val="28"/>
          <w:rtl w:val="true"/>
          <w:lang w:bidi="ar-SA"/>
        </w:rPr>
        <w:t xml:space="preserve">. </w:t>
      </w:r>
      <w:bookmarkStart w:id="504" w:name="pg16437_172637"/>
    </w:p>
    <w:p>
      <w:pPr>
        <w:pStyle w:val="Heading4"/>
        <w:numPr>
          <w:ilvl w:val="3"/>
          <w:numId w:val="1"/>
        </w:numPr>
        <w:rPr/>
      </w:pPr>
      <w:bookmarkStart w:id="505" w:name="__RefHeading___Toc8039817_1280447820"/>
      <w:bookmarkStart w:id="506" w:name="_Toc183"/>
      <w:bookmarkEnd w:id="504"/>
      <w:bookmarkEnd w:id="505"/>
      <w:r>
        <w:rPr>
          <w:rtl w:val="true"/>
        </w:rPr>
        <w:t>أحكامُ العِتقِ‌</w:t>
      </w:r>
      <w:bookmarkEnd w:id="506"/>
    </w:p>
    <w:p>
      <w:pPr>
        <w:pStyle w:val="Heading5"/>
        <w:numPr>
          <w:ilvl w:val="4"/>
          <w:numId w:val="1"/>
        </w:numPr>
        <w:rPr/>
      </w:pPr>
      <w:bookmarkStart w:id="507" w:name="__RefHeading___Toc8039819_1280447820"/>
      <w:bookmarkStart w:id="508" w:name="_Toc184"/>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أحكامُ العِتقِ‌</w:t>
      </w:r>
      <w:r>
        <w:rPr>
          <w:rStyle w:val="FootnoteAnchor"/>
          <w:rtl w:val="true"/>
        </w:rPr>
        <w:footnoteReference w:id="1950"/>
      </w:r>
    </w:p>
    <w:p>
      <w:pPr>
        <w:pStyle w:val="Heading5"/>
        <w:numPr>
          <w:ilvl w:val="4"/>
          <w:numId w:val="1"/>
        </w:numPr>
        <w:rPr/>
      </w:pPr>
      <w:bookmarkStart w:id="509" w:name="__RefHeading___Toc8039821_1280447820"/>
      <w:bookmarkStart w:id="510" w:name="_Toc185"/>
      <w:bookmarkEnd w:id="509"/>
      <w:r>
        <w:rPr>
          <w:rtl w:val="true"/>
        </w:rPr>
        <w:t>المَسألةُ السِّتّونَ كيفيّةُ العِتقِ‌</w:t>
      </w:r>
      <w:bookmarkEnd w:id="510"/>
    </w:p>
    <w:p>
      <w:pPr>
        <w:pStyle w:val="BookText"/>
        <w:rPr/>
      </w:pPr>
      <w:r>
        <w:rPr>
          <w:rFonts w:ascii="Amiri" w:hAnsi="Amiri" w:eastAsia="Amiri" w:cs="Amiri"/>
          <w:color w:val="111111"/>
          <w:sz w:val="28"/>
          <w:sz w:val="28"/>
          <w:szCs w:val="28"/>
          <w:rtl w:val="true"/>
          <w:lang w:bidi="ar-SA"/>
        </w:rPr>
        <w:t>إنّ العِتقَ لا يَقَعُ بشَرطٍ و لا يَمينٍ، و لا يَكونُ إلّابقَصدٍ لوَجهِ اللّٰهِ تَعالىٰ</w:t>
      </w:r>
      <w:r>
        <w:rPr>
          <w:rFonts w:eastAsia="Amiri" w:cs="Amiri" w:ascii="Amiri" w:hAnsi="Amiri"/>
          <w:color w:val="111111"/>
          <w:sz w:val="28"/>
          <w:szCs w:val="28"/>
          <w:rtl w:val="true"/>
          <w:lang w:bidi="ar-SA"/>
        </w:rPr>
        <w:t>.</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و الحُجّةُ في ذلكَ‌</w:t>
      </w:r>
      <w:r>
        <w:rPr>
          <w:rStyle w:val="FootnoteAnchor"/>
          <w:rtl w:val="true"/>
        </w:rPr>
        <w:footnoteReference w:id="1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عليه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العِتقَ إذا وَقَعَ علىٰ هذا الوجهِ، وَقَعَت الحُرِّيّةُ؛ بإجماعٍ‌</w:t>
      </w:r>
      <w:r>
        <w:rPr>
          <w:rStyle w:val="FootnoteAnchor"/>
          <w:rtl w:val="true"/>
        </w:rPr>
        <w:footnoteReference w:id="1953"/>
      </w:r>
      <w:r>
        <w:rPr>
          <w:rFonts w:ascii="Amiri" w:hAnsi="Amiri" w:eastAsia="Amiri" w:cs="Amiri"/>
          <w:color w:val="111111"/>
          <w:sz w:val="28"/>
          <w:sz w:val="28"/>
          <w:szCs w:val="28"/>
          <w:rtl w:val="true"/>
          <w:lang w:bidi="ar-SA"/>
        </w:rPr>
        <w:t>مِن الأُمّةِ؛ و إذا وَقَعَ العِتقُ علىٰ خِلافِ الشُّروطِ التي ذَكَرناها، فلا إجماعَ علىٰ حُصولِ الحُرّيّةِ، و لا دليلٌ قاطعٌ أيضاً يَدُلُّ علىٰ ذلكَ، فَوَجَبَ أن يَكونَ المِلكُ مُستَمِرّاً</w:t>
      </w:r>
      <w:r>
        <w:rPr>
          <w:rFonts w:eastAsia="Amiri" w:cs="Amiri" w:ascii="Amiri" w:hAnsi="Amiri"/>
          <w:color w:val="111111"/>
          <w:sz w:val="28"/>
          <w:szCs w:val="28"/>
          <w:rtl w:val="true"/>
          <w:lang w:bidi="ar-SA"/>
        </w:rPr>
        <w:t xml:space="preserve">. </w:t>
      </w:r>
      <w:bookmarkStart w:id="511" w:name="pg16437_172638"/>
    </w:p>
    <w:p>
      <w:pPr>
        <w:pStyle w:val="Heading4"/>
        <w:numPr>
          <w:ilvl w:val="3"/>
          <w:numId w:val="1"/>
        </w:numPr>
        <w:rPr/>
      </w:pPr>
      <w:bookmarkStart w:id="512" w:name="__RefHeading___Toc8039823_1280447820"/>
      <w:bookmarkStart w:id="513" w:name="_Toc186"/>
      <w:bookmarkEnd w:id="511"/>
      <w:bookmarkEnd w:id="512"/>
      <w:r>
        <w:rPr>
          <w:rtl w:val="true"/>
        </w:rPr>
        <w:t>أحكامُ القضاءِ و الشهاداتِ‌</w:t>
      </w:r>
      <w:bookmarkEnd w:id="513"/>
    </w:p>
    <w:p>
      <w:pPr>
        <w:pStyle w:val="Heading5"/>
        <w:numPr>
          <w:ilvl w:val="4"/>
          <w:numId w:val="1"/>
        </w:numPr>
        <w:rPr/>
      </w:pPr>
      <w:bookmarkStart w:id="514" w:name="__RefHeading___Toc8039825_1280447820"/>
      <w:bookmarkStart w:id="515" w:name="_Toc187"/>
      <w:bookmarkEnd w:id="514"/>
      <w:r>
        <w:rPr>
          <w:rtl w:val="true"/>
        </w:rPr>
        <w:t>المَسألةُ الحاديةُ و السِّتّونَ‌ما لَو ابتَدأَ الخَصمانِ بمَحضَرِ الحاكمِ‌</w:t>
      </w:r>
      <w:bookmarkEnd w:id="515"/>
    </w:p>
    <w:p>
      <w:pPr>
        <w:pStyle w:val="BookText"/>
        <w:rPr/>
      </w:pPr>
      <w:r>
        <w:rPr>
          <w:rFonts w:ascii="Amiri" w:hAnsi="Amiri" w:eastAsia="Amiri" w:cs="Amiri"/>
          <w:color w:val="111111"/>
          <w:sz w:val="28"/>
          <w:sz w:val="28"/>
          <w:szCs w:val="28"/>
          <w:rtl w:val="true"/>
          <w:lang w:bidi="ar-SA"/>
        </w:rPr>
        <w:t>المَسألةُ الحاديةُ و السِّتّونَ‌</w:t>
      </w:r>
      <w:r>
        <w:rPr>
          <w:rStyle w:val="FootnoteAnchor"/>
          <w:rtl w:val="true"/>
        </w:rPr>
        <w:footnoteReference w:id="1954"/>
      </w:r>
      <w:r>
        <w:rPr>
          <w:rFonts w:ascii="Amiri" w:hAnsi="Amiri" w:eastAsia="Amiri" w:cs="Amiri"/>
          <w:color w:val="111111"/>
          <w:sz w:val="28"/>
          <w:sz w:val="28"/>
          <w:szCs w:val="28"/>
          <w:rtl w:val="true"/>
          <w:lang w:bidi="ar-SA"/>
        </w:rPr>
        <w:t>ما لَو ابتَدأَ الخَصمانِ بمَحضَرِ الحاكمِ</w:t>
      </w:r>
    </w:p>
    <w:p>
      <w:pPr>
        <w:pStyle w:val="BookText"/>
        <w:rPr/>
      </w:pPr>
      <w:r>
        <w:rPr>
          <w:rFonts w:ascii="Amiri" w:hAnsi="Amiri" w:eastAsia="Amiri" w:cs="Amiri"/>
          <w:color w:val="111111"/>
          <w:sz w:val="28"/>
          <w:sz w:val="28"/>
          <w:szCs w:val="28"/>
          <w:rtl w:val="true"/>
          <w:lang w:bidi="ar-SA"/>
        </w:rPr>
        <w:t>إنّ الخَصمَينِ إذا ابتَدَءا الدَّعوىٰ بحَضرةِ الحاكمِ، و لَم يَقَعْ له العِلمُ بالمُبتَدئِ منهما، فالواجبُ‌</w:t>
      </w:r>
      <w:r>
        <w:rPr>
          <w:rStyle w:val="FootnoteAnchor"/>
          <w:rtl w:val="true"/>
        </w:rPr>
        <w:footnoteReference w:id="1955"/>
      </w:r>
      <w:r>
        <w:rPr>
          <w:rFonts w:ascii="Amiri" w:hAnsi="Amiri" w:eastAsia="Amiri" w:cs="Amiri"/>
          <w:color w:val="111111"/>
          <w:sz w:val="28"/>
          <w:sz w:val="28"/>
          <w:szCs w:val="28"/>
          <w:rtl w:val="true"/>
          <w:lang w:bidi="ar-SA"/>
        </w:rPr>
        <w:t>عليه أن يَسمَعَ قولَ الذي علىٰ يَمينِ صاحبِه، و يُجريَ الآخَرَ مَجرَى الصامتِ و المسبوقِ إلَى الدَّعوىٰ، ثُمَّ يَنظُرَ في دَعوَى الآخَرِ</w:t>
      </w:r>
      <w:r>
        <w:rPr>
          <w:rFonts w:eastAsia="Amiri" w:cs="Amiri" w:ascii="Amiri" w:hAnsi="Amiri"/>
          <w:color w:val="111111"/>
          <w:sz w:val="28"/>
          <w:szCs w:val="28"/>
          <w:rtl w:val="true"/>
          <w:lang w:bidi="ar-SA"/>
        </w:rPr>
        <w:t>.</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و الحُجّةُ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w:t>
      </w:r>
      <w:r>
        <w:rPr>
          <w:rStyle w:val="FootnoteAnchor"/>
          <w:rtl w:val="true"/>
        </w:rPr>
        <w:footnoteReference w:id="1957"/>
      </w:r>
      <w:r>
        <w:rPr>
          <w:rFonts w:ascii="Amiri" w:hAnsi="Amiri" w:eastAsia="Amiri" w:cs="Amiri"/>
          <w:color w:val="111111"/>
          <w:sz w:val="28"/>
          <w:sz w:val="28"/>
          <w:szCs w:val="28"/>
          <w:rtl w:val="true"/>
          <w:lang w:bidi="ar-SA"/>
        </w:rPr>
        <w:t>الطائفةِ المُحِقّةِ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أيضاً أن تَكونَ العادةُ جاريةً في مَجلِسِ الحاكمِ‌</w:t>
      </w:r>
      <w:r>
        <w:rPr>
          <w:rStyle w:val="FootnoteAnchor"/>
          <w:rtl w:val="true"/>
        </w:rPr>
        <w:footnoteReference w:id="1958"/>
      </w:r>
      <w:r>
        <w:rPr>
          <w:rFonts w:ascii="Amiri" w:hAnsi="Amiri" w:eastAsia="Amiri" w:cs="Amiri"/>
          <w:color w:val="111111"/>
          <w:sz w:val="28"/>
          <w:sz w:val="28"/>
          <w:szCs w:val="28"/>
          <w:rtl w:val="true"/>
          <w:lang w:bidi="ar-SA"/>
        </w:rPr>
        <w:t>أن يَكونَ مَجلِسُ المُدَّعي علىٰ يَمينِ المُدَّعىٰ عليه؛ فإذا اشتَبَهَ الأمرُ في الدعوىٰ و السَّبقِ إليها، جازَ الرجوعُ إلىٰ هذه العادةِ</w:t>
      </w:r>
      <w:r>
        <w:rPr>
          <w:rFonts w:eastAsia="Amiri" w:cs="Amiri" w:ascii="Amiri" w:hAnsi="Amiri"/>
          <w:color w:val="111111"/>
          <w:sz w:val="28"/>
          <w:szCs w:val="28"/>
          <w:rtl w:val="true"/>
          <w:lang w:bidi="ar-SA"/>
        </w:rPr>
        <w:t xml:space="preserve">. </w:t>
      </w:r>
      <w:bookmarkStart w:id="516" w:name="pg16437_172639"/>
    </w:p>
    <w:p>
      <w:pPr>
        <w:pStyle w:val="Heading5"/>
        <w:numPr>
          <w:ilvl w:val="4"/>
          <w:numId w:val="1"/>
        </w:numPr>
        <w:rPr/>
      </w:pPr>
      <w:bookmarkStart w:id="517" w:name="__RefHeading___Toc8039827_1280447820"/>
      <w:bookmarkStart w:id="518" w:name="_Toc188"/>
      <w:bookmarkEnd w:id="516"/>
      <w:bookmarkEnd w:id="517"/>
      <w:r>
        <w:rPr>
          <w:rtl w:val="true"/>
        </w:rPr>
        <w:t>المَسألةُ الثانيةُ و السِّتّونَ شَهادةُ الِابنِ لأبيهِ و عليه</w:t>
      </w:r>
      <w:bookmarkEnd w:id="518"/>
    </w:p>
    <w:p>
      <w:pPr>
        <w:pStyle w:val="BookText"/>
        <w:rPr/>
      </w:pPr>
      <w:r>
        <w:rPr>
          <w:rFonts w:ascii="Amiri" w:hAnsi="Amiri" w:eastAsia="Amiri" w:cs="Amiri"/>
          <w:color w:val="111111"/>
          <w:sz w:val="28"/>
          <w:sz w:val="28"/>
          <w:szCs w:val="28"/>
          <w:rtl w:val="true"/>
          <w:lang w:bidi="ar-SA"/>
        </w:rPr>
        <w:t>و إنّ شَهادةَ الِابنِ لأبيهِ جائزةٌ إذا كانَ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شَهادتُه عليه غيرُ جائزةٍ علىٰ جميعِ الأحوالِ</w:t>
      </w:r>
      <w:r>
        <w:rPr>
          <w:rFonts w:eastAsia="Amiri" w:cs="Amiri" w:ascii="Amiri" w:hAnsi="Amiri"/>
          <w:color w:val="111111"/>
          <w:sz w:val="28"/>
          <w:szCs w:val="28"/>
          <w:rtl w:val="true"/>
          <w:lang w:bidi="ar-SA"/>
        </w:rPr>
        <w:t>.</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 مِنْ رِجٰالِكُمْ فَإِنْ لَمْ يَكُونٰا رَجُلَيْنِ فَرَجُلٌ وَ اِمْرَأَتٰانِ مِمَّنْ تَرْضَوْنَ مِنَ اَلشُّهَدٰاءِ</w:t>
      </w:r>
      <w:r>
        <w:rPr>
          <w:rFonts w:eastAsia="Amiri" w:cs="Amiri" w:ascii="Amiri" w:hAnsi="Amiri"/>
          <w:color w:val="111111"/>
          <w:sz w:val="28"/>
          <w:szCs w:val="28"/>
          <w:rtl w:val="true"/>
          <w:lang w:bidi="ar-SA"/>
        </w:rPr>
        <w:t xml:space="preserve">» </w:t>
      </w:r>
      <w:r>
        <w:rPr>
          <w:rStyle w:val="FootnoteAnchor"/>
          <w:rtl w:val="true"/>
        </w:rPr>
        <w:footnoteReference w:id="1960"/>
      </w:r>
      <w:r>
        <w:rPr>
          <w:rFonts w:ascii="Amiri" w:hAnsi="Amiri" w:eastAsia="Amiri" w:cs="Amiri"/>
          <w:color w:val="111111"/>
          <w:sz w:val="28"/>
          <w:sz w:val="28"/>
          <w:szCs w:val="28"/>
          <w:rtl w:val="true"/>
          <w:lang w:bidi="ar-SA"/>
        </w:rPr>
        <w:t>، و إذا كانَ الِابنُ عَدلاً مَرضيّاً، دَخَلَ في عُمومِ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يَدخُلَ في عُمومِ هذا القولِ أيضاً شَهادتُه عليه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يَقتَضي ذلكَ، لكِنْ خَرَجَ بدليلٍ قاطعٍ فأَخرَجناه</w:t>
      </w:r>
      <w:r>
        <w:rPr>
          <w:rFonts w:eastAsia="Amiri" w:cs="Amiri" w:ascii="Amiri" w:hAnsi="Amiri"/>
          <w:color w:val="111111"/>
          <w:sz w:val="28"/>
          <w:szCs w:val="28"/>
          <w:rtl w:val="true"/>
          <w:lang w:bidi="ar-SA"/>
        </w:rPr>
        <w:t xml:space="preserve">. </w:t>
      </w:r>
      <w:bookmarkStart w:id="519" w:name="pg16437_172640"/>
    </w:p>
    <w:p>
      <w:pPr>
        <w:pStyle w:val="Heading4"/>
        <w:numPr>
          <w:ilvl w:val="3"/>
          <w:numId w:val="1"/>
        </w:numPr>
        <w:rPr/>
      </w:pPr>
      <w:bookmarkStart w:id="520" w:name="__RefHeading___Toc8039829_1280447820"/>
      <w:bookmarkStart w:id="521" w:name="_Toc189"/>
      <w:bookmarkEnd w:id="519"/>
      <w:bookmarkEnd w:id="520"/>
      <w:r>
        <w:rPr>
          <w:rtl w:val="true"/>
        </w:rPr>
        <w:t>أحكامُ النذرِ و اليمينِ‌</w:t>
      </w:r>
      <w:bookmarkEnd w:id="521"/>
    </w:p>
    <w:p>
      <w:pPr>
        <w:pStyle w:val="Heading5"/>
        <w:numPr>
          <w:ilvl w:val="4"/>
          <w:numId w:val="1"/>
        </w:numPr>
        <w:rPr/>
      </w:pPr>
      <w:bookmarkStart w:id="522" w:name="__RefHeading___Toc8039831_1280447820"/>
      <w:bookmarkStart w:id="523" w:name="_Toc190"/>
      <w:bookmarkEnd w:id="522"/>
      <w:r>
        <w:rPr>
          <w:rtl w:val="true"/>
        </w:rPr>
        <w:t>المَسألةُ الثالثةُ و السِّتّونَ حُكمُ حانِثِ النَّذرِ</w:t>
      </w:r>
      <w:bookmarkEnd w:id="523"/>
    </w:p>
    <w:p>
      <w:pPr>
        <w:pStyle w:val="BookText"/>
        <w:rPr/>
      </w:pPr>
      <w:r>
        <w:rPr>
          <w:rFonts w:ascii="Amiri" w:hAnsi="Amiri" w:eastAsia="Amiri" w:cs="Amiri"/>
          <w:color w:val="111111"/>
          <w:sz w:val="28"/>
          <w:sz w:val="28"/>
          <w:szCs w:val="28"/>
          <w:rtl w:val="true"/>
          <w:lang w:bidi="ar-SA"/>
        </w:rPr>
        <w:t>مَن نَذَرَ للّٰهِ تَعالىٰ شَيئاً مِن القُرَبِ، فلَم يَفعَلْه مُختاراً، فعَلَيه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صياماً في يَومٍ بعَينِه فأفطَرَه مِن غيرِ سَهوٍ و لا اضطرارٍ، فعَلَيه ما علىٰ مُفطِرِ يَومٍ مِن شَهرِ رَمَضانَ؛ و إن كانَ غيرَ صيامٍ، فعَلَيه ما يَجِبُ في كَفّارةِ اليَمينِ</w:t>
      </w:r>
      <w:r>
        <w:rPr>
          <w:rFonts w:eastAsia="Amiri" w:cs="Amiri" w:ascii="Amiri" w:hAnsi="Amiri"/>
          <w:color w:val="111111"/>
          <w:sz w:val="28"/>
          <w:szCs w:val="28"/>
          <w:rtl w:val="true"/>
          <w:lang w:bidi="ar-SA"/>
        </w:rPr>
        <w:t>.</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و هذا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عليه</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8039833_1280447820"/>
      <w:bookmarkStart w:id="525" w:name="_Toc191"/>
      <w:bookmarkEnd w:id="524"/>
      <w:r>
        <w:rPr>
          <w:rtl w:val="true"/>
        </w:rPr>
        <w:t>المَسألةُ الرابعةُ و السِّتّونَ كَيفيّةُ اليَمينِ‌</w:t>
      </w:r>
      <w:bookmarkEnd w:id="525"/>
    </w:p>
    <w:p>
      <w:pPr>
        <w:pStyle w:val="BookText"/>
        <w:rPr/>
      </w:pPr>
      <w:r>
        <w:rPr>
          <w:rFonts w:ascii="Amiri" w:hAnsi="Amiri" w:eastAsia="Amiri" w:cs="Amiri"/>
          <w:color w:val="111111"/>
          <w:sz w:val="28"/>
          <w:sz w:val="28"/>
          <w:szCs w:val="28"/>
          <w:rtl w:val="true"/>
          <w:lang w:bidi="ar-SA"/>
        </w:rPr>
        <w:t>لا يَمينَ إلّاباللّٰهِ تَعالىٰ، أو يُعلِّقُها بِاسمٍ مِن أسمائه</w:t>
      </w:r>
      <w:r>
        <w:rPr>
          <w:rFonts w:eastAsia="Amiri" w:cs="Amiri" w:ascii="Amiri" w:hAnsi="Amiri"/>
          <w:color w:val="111111"/>
          <w:sz w:val="28"/>
          <w:szCs w:val="28"/>
          <w:rtl w:val="true"/>
          <w:lang w:bidi="ar-SA"/>
        </w:rPr>
        <w:t>.</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و الحُجّةُ علىٰ صِحّةِ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Style w:val="FootnoteAnchor"/>
          <w:rtl w:val="true"/>
        </w:rPr>
        <w:footnoteReference w:id="1963"/>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حَلَفَ باللّٰهِ تَعالىٰ، لا خِلافَ في انعقادِ يَمينِه؛ و مَن حَلَفَ بغَيرِ </w:t>
      </w:r>
      <w:bookmarkStart w:id="526" w:name="pg16437_172641"/>
    </w:p>
    <w:p>
      <w:pPr>
        <w:pStyle w:val="BookText"/>
        <w:rPr/>
      </w:pPr>
      <w:bookmarkEnd w:id="526"/>
      <w:r>
        <w:rPr>
          <w:rFonts w:ascii="Amiri" w:hAnsi="Amiri" w:eastAsia="Amiri" w:cs="Amiri"/>
          <w:color w:val="111111"/>
          <w:sz w:val="28"/>
          <w:sz w:val="28"/>
          <w:szCs w:val="28"/>
          <w:rtl w:val="true"/>
          <w:lang w:bidi="ar-SA"/>
        </w:rPr>
        <w:t>اللّٰهِ تَعالىٰ، فلا إجماعَ علَى انعقادِ يَمينِه؛ و لا دليلَ يوجِبُ القَطعَ علىٰ أنّها مُنعَقِدةٌ</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8039835_1280447820"/>
      <w:bookmarkStart w:id="528" w:name="_Toc192"/>
      <w:bookmarkEnd w:id="527"/>
      <w:r>
        <w:rPr>
          <w:rtl w:val="true"/>
        </w:rPr>
        <w:t>المَسألةُ الخامسةُ و السِّتّونَ حُكمُ اليَمينِ‌</w:t>
      </w:r>
      <w:bookmarkEnd w:id="528"/>
    </w:p>
    <w:p>
      <w:pPr>
        <w:pStyle w:val="BookText"/>
        <w:rPr/>
      </w:pPr>
      <w:r>
        <w:rPr>
          <w:rFonts w:ascii="Amiri" w:hAnsi="Amiri" w:eastAsia="Amiri" w:cs="Amiri"/>
          <w:color w:val="111111"/>
          <w:sz w:val="28"/>
          <w:sz w:val="28"/>
          <w:szCs w:val="28"/>
          <w:rtl w:val="true"/>
          <w:lang w:bidi="ar-SA"/>
        </w:rPr>
        <w:t>مَن حَلَفَ باللّٰهِ تَعالىٰ علىٰ فِعلٍ أو تَركِه</w:t>
      </w:r>
      <w:r>
        <w:rPr>
          <w:rStyle w:val="FootnoteAnchor"/>
          <w:rtl w:val="true"/>
        </w:rPr>
        <w:footnoteReference w:id="1964"/>
      </w:r>
      <w:r>
        <w:rPr>
          <w:rFonts w:ascii="Amiri" w:hAnsi="Amiri" w:eastAsia="Amiri" w:cs="Amiri"/>
          <w:color w:val="111111"/>
          <w:sz w:val="28"/>
          <w:sz w:val="28"/>
          <w:szCs w:val="28"/>
          <w:rtl w:val="true"/>
          <w:lang w:bidi="ar-SA"/>
        </w:rPr>
        <w:t xml:space="preserve">، و كانَ خِلافُ ما حَلَفَ عليه أَولىٰ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الدنيا، ما لَم يَكُن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w:t>
      </w:r>
      <w:r>
        <w:rPr>
          <w:rStyle w:val="FootnoteAnchor"/>
          <w:rtl w:val="true"/>
        </w:rPr>
        <w:footnoteReference w:id="1965"/>
      </w:r>
      <w:r>
        <w:rPr>
          <w:rFonts w:ascii="Amiri" w:hAnsi="Amiri" w:eastAsia="Amiri" w:cs="Amiri"/>
          <w:color w:val="111111"/>
          <w:sz w:val="28"/>
          <w:sz w:val="28"/>
          <w:szCs w:val="28"/>
          <w:rtl w:val="true"/>
          <w:lang w:bidi="ar-SA"/>
        </w:rPr>
        <w:t>الأَولىٰ، لَم تَكُن</w:t>
      </w:r>
      <w:r>
        <w:rPr>
          <w:rStyle w:val="FootnoteAnchor"/>
          <w:rtl w:val="true"/>
        </w:rPr>
        <w:footnoteReference w:id="1966"/>
      </w:r>
      <w:r>
        <w:rPr>
          <w:rFonts w:ascii="Amiri" w:hAnsi="Amiri" w:eastAsia="Amiri" w:cs="Amiri"/>
          <w:color w:val="111111"/>
          <w:sz w:val="28"/>
          <w:sz w:val="28"/>
          <w:szCs w:val="28"/>
          <w:rtl w:val="true"/>
          <w:lang w:bidi="ar-SA"/>
        </w:rPr>
        <w:t>عليه كَفّارةٌ</w:t>
      </w:r>
      <w:r>
        <w:rPr>
          <w:rFonts w:eastAsia="Amiri" w:cs="Amiri" w:ascii="Amiri" w:hAnsi="Amiri"/>
          <w:color w:val="111111"/>
          <w:sz w:val="28"/>
          <w:szCs w:val="28"/>
          <w:rtl w:val="true"/>
          <w:lang w:bidi="ar-SA"/>
        </w:rPr>
        <w:t>.</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و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اليَمينَ المُنعَقِدةَ هي التي توجِبُ الِاستمرارَ علىٰ موجَبِها، و متىٰ لَم يَكُن لها الحُكمُ لَم تَكُن مُنعَقِدةً؛ و قد عَلِمنا أنّ مَن حَلَفَ علىٰ أن يَفعَلَ معصيةً، أو أن يَفعَلَ ما خِلافُه أَولىٰ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العُدولِ عن نافِلةٍ أو فِعلٍ مندوبٍ في الدينِ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واجبٍ عليه الِاستمرارُ علىٰ هذه اليَمينِ، فعَلِمنا أنّها غيرُ مُنعَقِدةٍ‌</w:t>
      </w:r>
      <w:r>
        <w:rPr>
          <w:rStyle w:val="FootnoteAnchor"/>
          <w:rtl w:val="true"/>
        </w:rPr>
        <w:footnoteReference w:id="1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تَكُن مُنعَقِدةً، فلا كَفّارةَ فيها؛ لأنّ الكَفّارةَ تابعةٌ لِانعقادِ اليَمينِ</w:t>
      </w:r>
      <w:r>
        <w:rPr>
          <w:rFonts w:eastAsia="Amiri" w:cs="Amiri" w:ascii="Amiri" w:hAnsi="Amiri"/>
          <w:color w:val="111111"/>
          <w:sz w:val="28"/>
          <w:szCs w:val="28"/>
          <w:rtl w:val="true"/>
          <w:lang w:bidi="ar-SA"/>
        </w:rPr>
        <w:t>.</w:t>
      </w:r>
      <w:r>
        <w:rPr>
          <w:rStyle w:val="FootnoteAnchor"/>
          <w:rtl w:val="true"/>
        </w:rPr>
        <w:footnoteReference w:id="1969"/>
      </w:r>
      <w:bookmarkStart w:id="529" w:name="pg16437_172642"/>
    </w:p>
    <w:p>
      <w:pPr>
        <w:pStyle w:val="Heading4"/>
        <w:numPr>
          <w:ilvl w:val="3"/>
          <w:numId w:val="1"/>
        </w:numPr>
        <w:rPr/>
      </w:pPr>
      <w:bookmarkStart w:id="530" w:name="__RefHeading___Toc8039837_1280447820"/>
      <w:bookmarkStart w:id="531" w:name="_Toc193"/>
      <w:bookmarkEnd w:id="529"/>
      <w:bookmarkEnd w:id="530"/>
      <w:r>
        <w:rPr>
          <w:rtl w:val="true"/>
        </w:rPr>
        <w:t>أحكامُ بعضِ الأطعمةِ و الأشربةِ‌</w:t>
      </w:r>
      <w:bookmarkEnd w:id="531"/>
    </w:p>
    <w:p>
      <w:pPr>
        <w:pStyle w:val="Heading5"/>
        <w:numPr>
          <w:ilvl w:val="4"/>
          <w:numId w:val="1"/>
        </w:numPr>
        <w:rPr/>
      </w:pPr>
      <w:bookmarkStart w:id="532" w:name="__RefHeading___Toc8039839_1280447820"/>
      <w:bookmarkStart w:id="533" w:name="_Toc194"/>
      <w:bookmarkEnd w:id="532"/>
      <w:r>
        <w:rPr>
          <w:rtl w:val="true"/>
        </w:rPr>
        <w:t>المَسألةُ السادسةُ و السِّتّونَ حُكمُ الطِّحالِ‌</w:t>
      </w:r>
      <w:bookmarkEnd w:id="533"/>
    </w:p>
    <w:p>
      <w:pPr>
        <w:pStyle w:val="BookText"/>
        <w:rPr/>
      </w:pPr>
      <w:r>
        <w:rPr>
          <w:rFonts w:ascii="Amiri" w:hAnsi="Amiri" w:eastAsia="Amiri" w:cs="Amiri"/>
          <w:color w:val="111111"/>
          <w:sz w:val="28"/>
          <w:sz w:val="28"/>
          <w:szCs w:val="28"/>
          <w:rtl w:val="true"/>
          <w:lang w:bidi="ar-SA"/>
        </w:rPr>
        <w:t>إنّ الطِّحالَ مِن الشاةِ و غيرِها حرامٌ</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8039841_1280447820"/>
      <w:bookmarkStart w:id="535" w:name="_Toc195"/>
      <w:bookmarkEnd w:id="534"/>
      <w:r>
        <w:rPr>
          <w:rtl w:val="true"/>
        </w:rPr>
        <w:t>المَسألةُ السابعةُ و السِّتّونَ السَّمَكُ المُحرَّمُ‌</w:t>
      </w:r>
      <w:bookmarkEnd w:id="535"/>
    </w:p>
    <w:p>
      <w:pPr>
        <w:pStyle w:val="BookText"/>
        <w:rPr/>
      </w:pPr>
      <w:r>
        <w:rPr>
          <w:rFonts w:ascii="Amiri" w:hAnsi="Amiri" w:eastAsia="Amiri" w:cs="Amiri"/>
          <w:color w:val="111111"/>
          <w:sz w:val="28"/>
          <w:sz w:val="28"/>
          <w:szCs w:val="28"/>
          <w:rtl w:val="true"/>
          <w:lang w:bidi="ar-SA"/>
        </w:rPr>
        <w:t>و إنّ الجِرّيَّ و المارْماهيَ و كُلَّ ما لا فَلْسَ له مِن السمَكِ حرامٌ</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8039843_1280447820"/>
      <w:bookmarkStart w:id="537" w:name="_Toc196"/>
      <w:bookmarkEnd w:id="536"/>
      <w:r>
        <w:rPr>
          <w:rtl w:val="true"/>
        </w:rPr>
        <w:t>المَسألةُ الثامنةُ و السِّتّونَ ما يَحرُمُ مِن الطيرِ</w:t>
      </w:r>
      <w:bookmarkEnd w:id="53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ما لا قانِصةَ‌</w:t>
      </w:r>
      <w:r>
        <w:rPr>
          <w:rStyle w:val="FootnoteAnchor"/>
          <w:rtl w:val="true"/>
        </w:rPr>
        <w:footnoteReference w:id="1970"/>
      </w:r>
      <w:r>
        <w:rPr>
          <w:rFonts w:ascii="Amiri" w:hAnsi="Amiri" w:eastAsia="Amiri" w:cs="Amiri"/>
          <w:color w:val="111111"/>
          <w:sz w:val="28"/>
          <w:sz w:val="28"/>
          <w:szCs w:val="28"/>
          <w:rtl w:val="true"/>
          <w:lang w:bidi="ar-SA"/>
        </w:rPr>
        <w:t>له مِن الطيرِ حرامٌ</w:t>
      </w:r>
      <w:r>
        <w:rPr>
          <w:rFonts w:eastAsia="Amiri" w:cs="Amiri" w:ascii="Amiri" w:hAnsi="Amiri"/>
          <w:color w:val="111111"/>
          <w:sz w:val="28"/>
          <w:szCs w:val="28"/>
          <w:rtl w:val="true"/>
          <w:lang w:bidi="ar-SA"/>
        </w:rPr>
        <w:t xml:space="preserve">. </w:t>
      </w:r>
      <w:bookmarkStart w:id="538" w:name="pg16437_172643"/>
    </w:p>
    <w:p>
      <w:pPr>
        <w:pStyle w:val="Heading5"/>
        <w:numPr>
          <w:ilvl w:val="4"/>
          <w:numId w:val="1"/>
        </w:numPr>
        <w:rPr/>
      </w:pPr>
      <w:bookmarkStart w:id="539" w:name="__RefHeading___Toc8039845_1280447820"/>
      <w:bookmarkStart w:id="540" w:name="_Toc197"/>
      <w:bookmarkEnd w:id="538"/>
      <w:bookmarkEnd w:id="539"/>
      <w:r>
        <w:rPr>
          <w:rtl w:val="true"/>
        </w:rPr>
        <w:t>المَسألةُ التاسعةُ و السِّتّونَ ما يَحرُمُ مِن الطيرِ أيضاً</w:t>
      </w:r>
      <w:bookmarkEnd w:id="540"/>
    </w:p>
    <w:p>
      <w:pPr>
        <w:pStyle w:val="BookText"/>
        <w:rPr/>
      </w:pPr>
      <w:r>
        <w:rPr>
          <w:rFonts w:ascii="Amiri" w:hAnsi="Amiri" w:eastAsia="Amiri" w:cs="Amiri"/>
          <w:color w:val="111111"/>
          <w:sz w:val="28"/>
          <w:sz w:val="28"/>
          <w:szCs w:val="28"/>
          <w:rtl w:val="true"/>
          <w:lang w:bidi="ar-SA"/>
        </w:rPr>
        <w:t>و إنّ ما كانَ صَفيفُه أكثَرَ مِن دَفيفِه</w:t>
      </w:r>
      <w:r>
        <w:rPr>
          <w:rStyle w:val="FootnoteAnchor"/>
          <w:rtl w:val="true"/>
        </w:rPr>
        <w:footnoteReference w:id="1971"/>
      </w:r>
      <w:r>
        <w:rPr>
          <w:rFonts w:ascii="Amiri" w:hAnsi="Amiri" w:eastAsia="Amiri" w:cs="Amiri"/>
          <w:color w:val="111111"/>
          <w:sz w:val="28"/>
          <w:sz w:val="28"/>
          <w:szCs w:val="28"/>
          <w:rtl w:val="true"/>
          <w:lang w:bidi="ar-SA"/>
        </w:rPr>
        <w:t>مِن الطيرِ حرامٌ</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8039847_1280447820"/>
      <w:bookmarkStart w:id="542" w:name="_Toc198"/>
      <w:bookmarkEnd w:id="541"/>
      <w:r>
        <w:rPr>
          <w:rtl w:val="true"/>
        </w:rPr>
        <w:t>المَسألةُ السبعونَ حُكمُ الفُقّاعِ‌</w:t>
      </w:r>
      <w:bookmarkEnd w:id="542"/>
    </w:p>
    <w:p>
      <w:pPr>
        <w:pStyle w:val="BookText"/>
        <w:rPr/>
      </w:pPr>
      <w:r>
        <w:rPr>
          <w:rFonts w:ascii="Amiri" w:hAnsi="Amiri" w:eastAsia="Amiri" w:cs="Amiri"/>
          <w:color w:val="111111"/>
          <w:sz w:val="28"/>
          <w:sz w:val="28"/>
          <w:szCs w:val="28"/>
          <w:rtl w:val="true"/>
          <w:lang w:bidi="ar-SA"/>
        </w:rPr>
        <w:t>و إنّ الفُقّاعَ حرامٌ كالخَمرِ</w:t>
      </w:r>
      <w:r>
        <w:rPr>
          <w:rFonts w:eastAsia="Amiri" w:cs="Amiri" w:ascii="Amiri" w:hAnsi="Amiri"/>
          <w:color w:val="111111"/>
          <w:sz w:val="28"/>
          <w:szCs w:val="28"/>
          <w:rtl w:val="true"/>
          <w:lang w:bidi="ar-SA"/>
        </w:rPr>
        <w:t>.</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فإنّ هذه الخَمسَ مَسائلَ، الحُجّةُ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الطائفةِ المُحِقّةِ‌</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الفُقّاعُ حراماً، و هو غيرُ مُسكِرٍ؟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التحريمُ مقصوراً علَى الإسكارِ؛ ألا تَرىٰ أنّ الدمَ و لَحمَ الخِنزيرِ لا يُسكِرانِ، و كذلكَ الجُرعةُ مِن الخَمرِ، و التحريمُ مع ذلكَ ثابتٌ؟ </w:t>
      </w:r>
      <w:bookmarkStart w:id="543" w:name="pg16437_172644"/>
    </w:p>
    <w:p>
      <w:pPr>
        <w:pStyle w:val="Heading4"/>
        <w:numPr>
          <w:ilvl w:val="3"/>
          <w:numId w:val="1"/>
        </w:numPr>
        <w:rPr/>
      </w:pPr>
      <w:bookmarkStart w:id="544" w:name="__RefHeading___Toc8039849_1280447820"/>
      <w:bookmarkStart w:id="545" w:name="_Toc199"/>
      <w:bookmarkEnd w:id="543"/>
      <w:bookmarkEnd w:id="544"/>
      <w:r>
        <w:rPr>
          <w:rtl w:val="true"/>
        </w:rPr>
        <w:t>أحكامُ الحدودِ و الدياتِ‌</w:t>
      </w:r>
      <w:bookmarkEnd w:id="545"/>
    </w:p>
    <w:p>
      <w:pPr>
        <w:pStyle w:val="Heading5"/>
        <w:numPr>
          <w:ilvl w:val="4"/>
          <w:numId w:val="1"/>
        </w:numPr>
        <w:rPr/>
      </w:pPr>
      <w:bookmarkStart w:id="546" w:name="__RefHeading___Toc8039851_1280447820"/>
      <w:bookmarkStart w:id="547" w:name="_Toc200"/>
      <w:bookmarkEnd w:id="546"/>
      <w:r>
        <w:rPr>
          <w:rtl w:val="true"/>
        </w:rPr>
        <w:t>المَسألةُ الحاديةُ و السبعونَ حَدُّ السارِقِ‌</w:t>
      </w:r>
      <w:bookmarkEnd w:id="547"/>
    </w:p>
    <w:p>
      <w:pPr>
        <w:pStyle w:val="BookText"/>
        <w:rPr/>
      </w:pPr>
      <w:r>
        <w:rPr>
          <w:rFonts w:ascii="Amiri" w:hAnsi="Amiri" w:eastAsia="Amiri" w:cs="Amiri"/>
          <w:color w:val="111111"/>
          <w:sz w:val="28"/>
          <w:sz w:val="28"/>
          <w:szCs w:val="28"/>
          <w:rtl w:val="true"/>
          <w:lang w:bidi="ar-SA"/>
        </w:rPr>
        <w:t>و إنّ قَطعَ السارِقِ مِن أُصولِ الأصابعِ الأَربَعِ، و يُترَكُ الإبهامُ مع</w:t>
      </w:r>
      <w:r>
        <w:rPr>
          <w:rStyle w:val="FootnoteAnchor"/>
          <w:rtl w:val="true"/>
        </w:rPr>
        <w:footnoteReference w:id="1974"/>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هذا القَدرَ الذي قُلنا بقَطعِه حَقيقٌ أنّه مُرادٌ بالآيةِ‌</w:t>
      </w:r>
      <w:r>
        <w:rPr>
          <w:rStyle w:val="FootnoteAnchor"/>
          <w:rtl w:val="true"/>
        </w:rPr>
        <w:footnoteReference w:id="1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w:t>
      </w:r>
      <w:r>
        <w:rPr>
          <w:rStyle w:val="FootnoteAnchor"/>
          <w:rtl w:val="true"/>
        </w:rPr>
        <w:footnoteReference w:id="1977"/>
      </w:r>
      <w:r>
        <w:rPr>
          <w:rFonts w:ascii="Amiri" w:hAnsi="Amiri" w:eastAsia="Amiri" w:cs="Amiri"/>
          <w:color w:val="111111"/>
          <w:sz w:val="28"/>
          <w:sz w:val="28"/>
          <w:szCs w:val="28"/>
          <w:rtl w:val="true"/>
          <w:lang w:bidi="ar-SA"/>
        </w:rPr>
        <w:t>و ما عَداه مِن الِانتهاءِ إلَى الرُّسْغِ‌</w:t>
      </w:r>
      <w:r>
        <w:rPr>
          <w:rStyle w:val="FootnoteAnchor"/>
          <w:rtl w:val="true"/>
        </w:rPr>
        <w:footnoteReference w:id="1978"/>
      </w:r>
      <w:r>
        <w:rPr>
          <w:rFonts w:ascii="Amiri" w:hAnsi="Amiri" w:eastAsia="Amiri" w:cs="Amiri"/>
          <w:color w:val="111111"/>
          <w:sz w:val="28"/>
          <w:sz w:val="28"/>
          <w:szCs w:val="28"/>
          <w:rtl w:val="true"/>
          <w:lang w:bidi="ar-SA"/>
        </w:rPr>
        <w:t xml:space="preserve">أو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قالَته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مُتَّفَقٍ علىٰ تَناوُلِ‌</w:t>
      </w:r>
      <w:r>
        <w:rPr>
          <w:rStyle w:val="FootnoteAnchor"/>
          <w:rtl w:val="true"/>
        </w:rPr>
        <w:footnoteReference w:id="1979"/>
      </w:r>
      <w:r>
        <w:rPr>
          <w:rFonts w:ascii="Amiri" w:hAnsi="Amiri" w:eastAsia="Amiri" w:cs="Amiri"/>
          <w:color w:val="111111"/>
          <w:sz w:val="28"/>
          <w:sz w:val="28"/>
          <w:szCs w:val="28"/>
          <w:rtl w:val="true"/>
          <w:lang w:bidi="ar-SA"/>
        </w:rPr>
        <w:t>الآيةِ له، و لا دليلَ يوجِبُ القَطعَ بتَناوُلِه؛ فوَجَبَ أن يَكونَ فيما ذَهَبنا إليه</w:t>
      </w:r>
      <w:r>
        <w:rPr>
          <w:rFonts w:eastAsia="Amiri" w:cs="Amiri" w:ascii="Amiri" w:hAnsi="Amiri"/>
          <w:color w:val="111111"/>
          <w:sz w:val="28"/>
          <w:szCs w:val="28"/>
          <w:rtl w:val="true"/>
          <w:lang w:bidi="ar-SA"/>
        </w:rPr>
        <w:t xml:space="preserve">. </w:t>
      </w:r>
      <w:bookmarkStart w:id="548" w:name="pg16437_172645"/>
    </w:p>
    <w:p>
      <w:pPr>
        <w:pStyle w:val="Heading5"/>
        <w:numPr>
          <w:ilvl w:val="4"/>
          <w:numId w:val="1"/>
        </w:numPr>
        <w:rPr/>
      </w:pPr>
      <w:bookmarkStart w:id="549" w:name="__RefHeading___Toc8039853_1280447820"/>
      <w:bookmarkStart w:id="550" w:name="_Toc201"/>
      <w:bookmarkEnd w:id="548"/>
      <w:bookmarkEnd w:id="549"/>
      <w:r>
        <w:rPr>
          <w:rtl w:val="true"/>
        </w:rPr>
        <w:t>المَسألةُ الثانيةُ و السبعونَ حَدُّ السارِقِ إذا عادَ إلَى السَّرِقةِ‌</w:t>
      </w:r>
      <w:bookmarkEnd w:id="550"/>
    </w:p>
    <w:p>
      <w:pPr>
        <w:pStyle w:val="BookText"/>
        <w:rPr/>
      </w:pPr>
      <w:r>
        <w:rPr>
          <w:rFonts w:ascii="Amiri" w:hAnsi="Amiri" w:eastAsia="Amiri" w:cs="Amiri"/>
          <w:color w:val="111111"/>
          <w:sz w:val="28"/>
          <w:sz w:val="28"/>
          <w:szCs w:val="28"/>
          <w:rtl w:val="true"/>
          <w:lang w:bidi="ar-SA"/>
        </w:rPr>
        <w:t>إنّه إن عادَ السارقُ قُطِعَ مِن أصلِ الساقِ، و بُقّيَ‌</w:t>
      </w:r>
      <w:r>
        <w:rPr>
          <w:rStyle w:val="FootnoteAnchor"/>
          <w:rtl w:val="true"/>
        </w:rPr>
        <w:footnoteReference w:id="1980"/>
      </w:r>
      <w:r>
        <w:rPr>
          <w:rFonts w:ascii="Amiri" w:hAnsi="Amiri" w:eastAsia="Amiri" w:cs="Amiri"/>
          <w:color w:val="111111"/>
          <w:sz w:val="28"/>
          <w:sz w:val="28"/>
          <w:szCs w:val="28"/>
          <w:rtl w:val="true"/>
          <w:lang w:bidi="ar-SA"/>
        </w:rPr>
        <w:t>له قَدرٌ يَعتَمِدُ عليه في الصلاةِ</w:t>
      </w:r>
      <w:r>
        <w:rPr>
          <w:rFonts w:eastAsia="Amiri" w:cs="Amiri" w:ascii="Amiri" w:hAnsi="Amiri"/>
          <w:color w:val="111111"/>
          <w:sz w:val="28"/>
          <w:szCs w:val="28"/>
          <w:rtl w:val="true"/>
          <w:lang w:bidi="ar-SA"/>
        </w:rPr>
        <w:t>.</w:t>
      </w:r>
      <w:r>
        <w:rPr>
          <w:rStyle w:val="FootnoteAnchor"/>
          <w:rtl w:val="true"/>
        </w:rPr>
        <w:footnoteReference w:id="1981"/>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8039855_1280447820"/>
      <w:bookmarkStart w:id="552" w:name="_Toc202"/>
      <w:bookmarkEnd w:id="551"/>
      <w:r>
        <w:rPr>
          <w:rtl w:val="true"/>
        </w:rPr>
        <w:t>المَسألةُ الثالثةُ و السبعونَ حَدُّ الحُرِّ الزاني</w:t>
      </w:r>
      <w:bookmarkEnd w:id="552"/>
    </w:p>
    <w:p>
      <w:pPr>
        <w:pStyle w:val="BookText"/>
        <w:rPr/>
      </w:pPr>
      <w:r>
        <w:rPr>
          <w:rFonts w:ascii="Amiri" w:hAnsi="Amiri" w:eastAsia="Amiri" w:cs="Amiri"/>
          <w:color w:val="111111"/>
          <w:sz w:val="28"/>
          <w:sz w:val="28"/>
          <w:szCs w:val="28"/>
          <w:rtl w:val="true"/>
          <w:lang w:bidi="ar-SA"/>
        </w:rPr>
        <w:t>إنّ البِكرَ إذا زَنىٰ جُلِدَ، فإن عادَ جُلِدَ؛ ثَلاثَ 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رابعةً قُتِلَ</w:t>
      </w:r>
      <w:r>
        <w:rPr>
          <w:rFonts w:eastAsia="Amiri" w:cs="Amiri" w:ascii="Amiri" w:hAnsi="Amiri"/>
          <w:color w:val="111111"/>
          <w:sz w:val="28"/>
          <w:szCs w:val="28"/>
          <w:rtl w:val="true"/>
          <w:lang w:bidi="ar-SA"/>
        </w:rPr>
        <w:t>.</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8039857_1280447820"/>
      <w:bookmarkStart w:id="554" w:name="_Toc203"/>
      <w:bookmarkEnd w:id="553"/>
      <w:r>
        <w:rPr>
          <w:rtl w:val="true"/>
        </w:rPr>
        <w:t>المَسألةُ الرابعةُ و السبعونَ حَدُّ العبدِ الزاني</w:t>
      </w:r>
      <w:bookmarkEnd w:id="554"/>
    </w:p>
    <w:p>
      <w:pPr>
        <w:pStyle w:val="BookText"/>
        <w:rPr/>
      </w:pPr>
      <w:r>
        <w:rPr>
          <w:rFonts w:ascii="Amiri" w:hAnsi="Amiri" w:eastAsia="Amiri" w:cs="Amiri"/>
          <w:color w:val="111111"/>
          <w:sz w:val="28"/>
          <w:sz w:val="28"/>
          <w:szCs w:val="28"/>
          <w:rtl w:val="true"/>
          <w:lang w:bidi="ar-SA"/>
        </w:rPr>
        <w:t>و إنّ العَبدَ في الزنا يُحَدُّ، ثُمَّ يُقتَلُ في الثامنةِ‌</w:t>
      </w:r>
      <w:r>
        <w:rPr>
          <w:rStyle w:val="FootnoteAnchor"/>
          <w:rtl w:val="true"/>
        </w:rPr>
        <w:footnoteReference w:id="1983"/>
      </w:r>
      <w:r>
        <w:rPr>
          <w:rFonts w:ascii="Amiri" w:hAnsi="Amiri" w:eastAsia="Amiri" w:cs="Amiri"/>
          <w:color w:val="111111"/>
          <w:sz w:val="28"/>
          <w:sz w:val="28"/>
          <w:szCs w:val="28"/>
          <w:rtl w:val="true"/>
          <w:lang w:bidi="ar-SA"/>
        </w:rPr>
        <w:t>مِن فَعَلاتِه</w:t>
      </w:r>
      <w:r>
        <w:rPr>
          <w:rFonts w:eastAsia="Amiri" w:cs="Amiri" w:ascii="Amiri" w:hAnsi="Amiri"/>
          <w:color w:val="111111"/>
          <w:sz w:val="28"/>
          <w:szCs w:val="28"/>
          <w:rtl w:val="true"/>
          <w:lang w:bidi="ar-SA"/>
        </w:rPr>
        <w:t>.</w:t>
      </w:r>
      <w:r>
        <w:rPr>
          <w:rStyle w:val="FootnoteAnchor"/>
          <w:rtl w:val="true"/>
        </w:rPr>
        <w:footnoteReference w:id="198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Style w:val="FootnoteAnchor"/>
          <w:rtl w:val="true"/>
        </w:rPr>
        <w:footnoteReference w:id="1985"/>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bookmarkStart w:id="555" w:name="pg16437_172646"/>
    </w:p>
    <w:p>
      <w:pPr>
        <w:pStyle w:val="Heading5"/>
        <w:numPr>
          <w:ilvl w:val="4"/>
          <w:numId w:val="1"/>
        </w:numPr>
        <w:rPr/>
      </w:pPr>
      <w:bookmarkStart w:id="556" w:name="__RefHeading___Toc8039859_1280447820"/>
      <w:bookmarkStart w:id="557" w:name="_Toc204"/>
      <w:bookmarkEnd w:id="555"/>
      <w:bookmarkEnd w:id="556"/>
      <w:r>
        <w:rPr>
          <w:rtl w:val="true"/>
        </w:rPr>
        <w:t>المَسألةُ الخامسةُ و السبعونَ شاربُ الخَمرِ ثلاثاً</w:t>
      </w:r>
      <w:bookmarkEnd w:id="557"/>
    </w:p>
    <w:p>
      <w:pPr>
        <w:pStyle w:val="BookText"/>
        <w:rPr/>
      </w:pPr>
      <w:r>
        <w:rPr>
          <w:rFonts w:ascii="Amiri" w:hAnsi="Amiri" w:eastAsia="Amiri" w:cs="Amiri"/>
          <w:color w:val="111111"/>
          <w:sz w:val="28"/>
          <w:sz w:val="28"/>
          <w:szCs w:val="28"/>
          <w:rtl w:val="true"/>
          <w:lang w:bidi="ar-SA"/>
        </w:rPr>
        <w:t>و إنّ شارِبَ الخَمرِ يُقتَلُ في الثالثةِ</w:t>
      </w:r>
      <w:r>
        <w:rPr>
          <w:rFonts w:eastAsia="Amiri" w:cs="Amiri" w:ascii="Amiri" w:hAnsi="Amiri"/>
          <w:color w:val="111111"/>
          <w:sz w:val="28"/>
          <w:szCs w:val="28"/>
          <w:rtl w:val="true"/>
          <w:lang w:bidi="ar-SA"/>
        </w:rPr>
        <w:t>.</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8039861_1280447820"/>
      <w:bookmarkStart w:id="559" w:name="_Toc205"/>
      <w:bookmarkEnd w:id="558"/>
      <w:r>
        <w:rPr>
          <w:rtl w:val="true"/>
        </w:rPr>
        <w:t>المَسألةُ السادسةُ و السبعونَ حُكمُ مَن ضَرَبَ امرأةً فطَرَحَت</w:t>
      </w:r>
      <w:bookmarkEnd w:id="559"/>
    </w:p>
    <w:p>
      <w:pPr>
        <w:pStyle w:val="BookText"/>
        <w:rPr/>
      </w:pPr>
      <w:r>
        <w:rPr>
          <w:rFonts w:ascii="Amiri" w:hAnsi="Amiri" w:eastAsia="Amiri" w:cs="Amiri"/>
          <w:color w:val="111111"/>
          <w:sz w:val="28"/>
          <w:sz w:val="28"/>
          <w:szCs w:val="28"/>
          <w:rtl w:val="true"/>
          <w:lang w:bidi="ar-SA"/>
        </w:rPr>
        <w:t>إنّ مَن ضَرَبَ امرأةً فألقَت نُطفةً، فعَلَيه عِشرونَ ديناراً؛ فإن ألقَت عَلَقةً، فعَلَيه أربَعونَ ديناراً؛ فإن ألقَت مُضغةً، فعَلَيه سِتّون مِثقالاً</w:t>
      </w:r>
      <w:r>
        <w:rPr>
          <w:rStyle w:val="FootnoteAnchor"/>
          <w:rtl w:val="true"/>
        </w:rPr>
        <w:footnoteReference w:id="1987"/>
      </w:r>
      <w:r>
        <w:rPr>
          <w:rFonts w:ascii="Amiri" w:hAnsi="Amiri" w:eastAsia="Amiri" w:cs="Amiri"/>
          <w:color w:val="111111"/>
          <w:sz w:val="28"/>
          <w:sz w:val="28"/>
          <w:szCs w:val="28"/>
          <w:rtl w:val="true"/>
          <w:lang w:bidi="ar-SA"/>
        </w:rPr>
        <w:t>فإن ألقَت عَظماً مُكتَسِياً لَحماً، فعَلَيه ثَمانونَ ديناراً؛ فإن ألقَت جَنيناً لَم تَلِجْه الروحُ، فعَلَيه مائةُ مِثقالٍ</w:t>
      </w:r>
      <w:r>
        <w:rPr>
          <w:rFonts w:eastAsia="Amiri" w:cs="Amiri" w:ascii="Amiri" w:hAnsi="Amiri"/>
          <w:color w:val="111111"/>
          <w:sz w:val="28"/>
          <w:szCs w:val="28"/>
          <w:rtl w:val="true"/>
          <w:lang w:bidi="ar-SA"/>
        </w:rPr>
        <w:t>.</w:t>
      </w:r>
      <w:r>
        <w:rPr>
          <w:rStyle w:val="FootnoteAnchor"/>
          <w:rtl w:val="true"/>
        </w:rPr>
        <w:footnoteReference w:id="1988"/>
      </w:r>
    </w:p>
    <w:p>
      <w:pPr>
        <w:pStyle w:val="BookText"/>
        <w:rPr/>
      </w:pPr>
      <w:r>
        <w:rPr>
          <w:rFonts w:ascii="Amiri" w:hAnsi="Amiri" w:eastAsia="Amiri" w:cs="Amiri"/>
          <w:color w:val="111111"/>
          <w:sz w:val="28"/>
          <w:sz w:val="28"/>
          <w:szCs w:val="28"/>
          <w:rtl w:val="true"/>
          <w:lang w:bidi="ar-SA"/>
        </w:rPr>
        <w:t>و الحُجّةُ في هذا الترتيبِ 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الشيعةِ الإماميّةِ عليه</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8039863_1280447820"/>
      <w:bookmarkStart w:id="561" w:name="_Toc206"/>
      <w:bookmarkEnd w:id="560"/>
      <w:r>
        <w:rPr>
          <w:rtl w:val="true"/>
        </w:rPr>
        <w:t>المَسألةُ السابعةُ و السبعونَ إفزاعُ المُجامِعِ و عَزلُه</w:t>
      </w:r>
      <w:bookmarkEnd w:id="561"/>
    </w:p>
    <w:p>
      <w:pPr>
        <w:pStyle w:val="BookText"/>
        <w:rPr/>
      </w:pPr>
      <w:r>
        <w:rPr>
          <w:rFonts w:ascii="Amiri" w:hAnsi="Amiri" w:eastAsia="Amiri" w:cs="Amiri"/>
          <w:color w:val="111111"/>
          <w:sz w:val="28"/>
          <w:sz w:val="28"/>
          <w:szCs w:val="28"/>
          <w:rtl w:val="true"/>
          <w:lang w:bidi="ar-SA"/>
        </w:rPr>
        <w:t>و إنّ مَن أفزَعَ رجُلاً فعَزَلَ عن عُرسِه، فعَلَيه عُشرُ ديةِ الجَنينِ</w:t>
      </w:r>
      <w:r>
        <w:rPr>
          <w:rFonts w:eastAsia="Amiri" w:cs="Amiri" w:ascii="Amiri" w:hAnsi="Amiri"/>
          <w:color w:val="111111"/>
          <w:sz w:val="28"/>
          <w:szCs w:val="28"/>
          <w:rtl w:val="true"/>
          <w:lang w:bidi="ar-SA"/>
        </w:rPr>
        <w:t>.</w:t>
      </w:r>
      <w:r>
        <w:rPr>
          <w:rStyle w:val="FootnoteAnchor"/>
          <w:rtl w:val="true"/>
        </w:rPr>
        <w:footnoteReference w:id="198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صورةُ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يَهجُمَ رجُلٌ علىٰ غيرِه و هو مُواقِعٌ امرَأتَه</w:t>
      </w:r>
      <w:r>
        <w:rPr>
          <w:rStyle w:val="FootnoteAnchor"/>
          <w:rtl w:val="true"/>
        </w:rPr>
        <w:footnoteReference w:id="1990"/>
      </w:r>
      <w:r>
        <w:rPr>
          <w:rFonts w:ascii="Amiri" w:hAnsi="Amiri" w:eastAsia="Amiri" w:cs="Amiri"/>
          <w:color w:val="111111"/>
          <w:sz w:val="28"/>
          <w:sz w:val="28"/>
          <w:szCs w:val="28"/>
          <w:rtl w:val="true"/>
          <w:lang w:bidi="ar-SA"/>
        </w:rPr>
        <w:t>، فيُفزِعَه و يُعجِلَه عن إنزالِ الماءِ في الفَرجِ، فيَعزِلَ بحُكمِ الفَترةِ‌</w:t>
      </w:r>
      <w:r>
        <w:rPr>
          <w:rStyle w:val="FootnoteAnchor"/>
          <w:rtl w:val="true"/>
        </w:rPr>
        <w:footnoteReference w:id="1991"/>
      </w:r>
      <w:r>
        <w:rPr>
          <w:rFonts w:ascii="Amiri" w:hAnsi="Amiri" w:eastAsia="Amiri" w:cs="Amiri"/>
          <w:color w:val="111111"/>
          <w:sz w:val="28"/>
          <w:sz w:val="28"/>
          <w:szCs w:val="28"/>
          <w:rtl w:val="true"/>
          <w:lang w:bidi="ar-SA"/>
        </w:rPr>
        <w:t>، فيَجِبُ عليه ما ذَكَرناه</w:t>
      </w:r>
      <w:r>
        <w:rPr>
          <w:rFonts w:eastAsia="Amiri" w:cs="Amiri" w:ascii="Amiri" w:hAnsi="Amiri"/>
          <w:color w:val="111111"/>
          <w:sz w:val="28"/>
          <w:szCs w:val="28"/>
          <w:rtl w:val="true"/>
          <w:lang w:bidi="ar-SA"/>
        </w:rPr>
        <w:t xml:space="preserve">. </w:t>
      </w:r>
      <w:bookmarkStart w:id="562" w:name="pg16437_172647"/>
    </w:p>
    <w:p>
      <w:pPr>
        <w:pStyle w:val="BookText"/>
        <w:rPr/>
      </w:pPr>
      <w:bookmarkEnd w:id="562"/>
      <w:r>
        <w:rPr>
          <w:rFonts w:ascii="Amiri" w:hAnsi="Amiri" w:eastAsia="Amiri" w:cs="Amiri"/>
          <w:color w:val="111111"/>
          <w:sz w:val="28"/>
          <w:sz w:val="28"/>
          <w:szCs w:val="28"/>
          <w:rtl w:val="true"/>
          <w:lang w:bidi="ar-SA"/>
        </w:rPr>
        <w:t>و الحُجّةُ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الإماميّةِ</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8039865_1280447820"/>
      <w:bookmarkStart w:id="564" w:name="_Toc207"/>
      <w:bookmarkEnd w:id="563"/>
      <w:r>
        <w:rPr>
          <w:rtl w:val="true"/>
        </w:rPr>
        <w:t>المَسألةُ الثامنةُ و السبعونَ إنْ قَتَلَ اثنانِ أو أكثرُ واحداً</w:t>
      </w:r>
      <w:bookmarkEnd w:id="564"/>
    </w:p>
    <w:p>
      <w:pPr>
        <w:pStyle w:val="BookText"/>
        <w:rPr/>
      </w:pPr>
      <w:r>
        <w:rPr>
          <w:rFonts w:ascii="Amiri" w:hAnsi="Amiri" w:eastAsia="Amiri" w:cs="Amiri"/>
          <w:color w:val="111111"/>
          <w:sz w:val="28"/>
          <w:sz w:val="28"/>
          <w:szCs w:val="28"/>
          <w:rtl w:val="true"/>
          <w:lang w:bidi="ar-SA"/>
        </w:rPr>
        <w:t xml:space="preserve">و إنّ الِاثنَينِ إذا قَتَلا واحداً، أو أكثَرَ مِن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واحداً</w:t>
      </w:r>
      <w:r>
        <w:rPr>
          <w:rStyle w:val="FootnoteAnchor"/>
          <w:rtl w:val="true"/>
        </w:rPr>
        <w:footnoteReference w:id="1992"/>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الدمِ مُخيَّرونَ بَينَ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يَقتُلوا القاتِلينَ، و يَرُدّوا فَضلَ دِياتِهم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يَختاروا واحداً فيَقتُلوه</w:t>
      </w:r>
      <w:r>
        <w:rPr>
          <w:rStyle w:val="FootnoteAnchor"/>
          <w:rtl w:val="true"/>
        </w:rPr>
        <w:footnoteReference w:id="1993"/>
      </w:r>
      <w:r>
        <w:rPr>
          <w:rFonts w:ascii="Amiri" w:hAnsi="Amiri" w:eastAsia="Amiri" w:cs="Amiri"/>
          <w:color w:val="111111"/>
          <w:sz w:val="28"/>
          <w:sz w:val="28"/>
          <w:szCs w:val="28"/>
          <w:rtl w:val="true"/>
          <w:lang w:bidi="ar-SA"/>
        </w:rPr>
        <w:t>بقَتيلِهم، و يؤدّيَ‌</w:t>
      </w:r>
      <w:r>
        <w:rPr>
          <w:rStyle w:val="FootnoteAnchor"/>
          <w:rtl w:val="true"/>
        </w:rPr>
        <w:footnoteReference w:id="1994"/>
      </w:r>
      <w:r>
        <w:rPr>
          <w:rFonts w:ascii="Amiri" w:hAnsi="Amiri" w:eastAsia="Amiri" w:cs="Amiri"/>
          <w:color w:val="111111"/>
          <w:sz w:val="28"/>
          <w:sz w:val="28"/>
          <w:szCs w:val="28"/>
          <w:rtl w:val="true"/>
          <w:lang w:bidi="ar-SA"/>
        </w:rPr>
        <w:t>مَن بَقيَ مِن القَتَلةِ إلىٰ أَولياءِ المُقادِ منه الفاضلَ مِن الديةِ بحِسابِ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يَقبَلوا</w:t>
      </w:r>
      <w:r>
        <w:rPr>
          <w:rStyle w:val="FootnoteAnchor"/>
          <w:rtl w:val="true"/>
        </w:rPr>
        <w:footnoteReference w:id="1995"/>
      </w:r>
      <w:r>
        <w:rPr>
          <w:rFonts w:ascii="Amiri" w:hAnsi="Amiri" w:eastAsia="Amiri" w:cs="Amiri"/>
          <w:color w:val="111111"/>
          <w:sz w:val="28"/>
          <w:sz w:val="28"/>
          <w:szCs w:val="28"/>
          <w:rtl w:val="true"/>
          <w:lang w:bidi="ar-SA"/>
        </w:rPr>
        <w:t>الديةَ، فتَكونَ بَينَهم سِهاماً مُتَساويةً</w:t>
      </w:r>
      <w:r>
        <w:rPr>
          <w:rFonts w:eastAsia="Amiri" w:cs="Amiri" w:ascii="Amiri" w:hAnsi="Amiri"/>
          <w:color w:val="111111"/>
          <w:sz w:val="28"/>
          <w:szCs w:val="28"/>
          <w:rtl w:val="true"/>
          <w:lang w:bidi="ar-SA"/>
        </w:rPr>
        <w:t>.</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و الحُجّةُ علىٰ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عليه؛ بهذا الشرحِ‌</w:t>
      </w:r>
      <w:r>
        <w:rPr>
          <w:rStyle w:val="FootnoteAnchor"/>
          <w:rtl w:val="true"/>
        </w:rPr>
        <w:footnoteReference w:id="1997"/>
      </w:r>
      <w:r>
        <w:rPr>
          <w:rFonts w:ascii="Amiri" w:hAnsi="Amiri" w:eastAsia="Amiri" w:cs="Amiri"/>
          <w:color w:val="111111"/>
          <w:sz w:val="28"/>
          <w:sz w:val="28"/>
          <w:szCs w:val="28"/>
          <w:rtl w:val="true"/>
          <w:lang w:bidi="ar-SA"/>
        </w:rPr>
        <w:t>و البَيانِ</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8039867_1280447820"/>
      <w:bookmarkStart w:id="566" w:name="_Toc208"/>
      <w:bookmarkEnd w:id="565"/>
      <w:r>
        <w:rPr>
          <w:rtl w:val="true"/>
        </w:rPr>
        <w:t>المسألةُ التاسعةُ و السبعونَ إنْ قَتَلَ ثَلاثةٌ واحداً، و اختلفُوا فيما قامُوا به</w:t>
      </w:r>
      <w:bookmarkEnd w:id="56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ثَلاثةٌ قَتَلوا واحداً، فَتَوَلّىٰ أحَدُهم القَتلَ، و أمسَكَه</w:t>
      </w:r>
      <w:r>
        <w:rPr>
          <w:rStyle w:val="FootnoteAnchor"/>
          <w:rtl w:val="true"/>
        </w:rPr>
        <w:footnoteReference w:id="1998"/>
      </w:r>
      <w:r>
        <w:rPr>
          <w:rFonts w:ascii="Amiri" w:hAnsi="Amiri" w:eastAsia="Amiri" w:cs="Amiri"/>
          <w:color w:val="111111"/>
          <w:sz w:val="28"/>
          <w:sz w:val="28"/>
          <w:szCs w:val="28"/>
          <w:rtl w:val="true"/>
          <w:lang w:bidi="ar-SA"/>
        </w:rPr>
        <w:t>الآخَرُ، و كانَ الآخَرُ عَيناً؛ فإنّ الحُكمَ قَتلُ القاتِلِ، و حَبسُ الماسِكِ حتّىٰ يَموتَ، و سَملُ عَينِ الناظِرِ</w:t>
      </w:r>
      <w:r>
        <w:rPr>
          <w:rFonts w:eastAsia="Amiri" w:cs="Amiri" w:ascii="Amiri" w:hAnsi="Amiri"/>
          <w:color w:val="111111"/>
          <w:sz w:val="28"/>
          <w:szCs w:val="28"/>
          <w:rtl w:val="true"/>
          <w:lang w:bidi="ar-SA"/>
        </w:rPr>
        <w:t>.</w:t>
      </w:r>
      <w:r>
        <w:rPr>
          <w:rStyle w:val="FootnoteAnchor"/>
          <w:rtl w:val="true"/>
        </w:rPr>
        <w:footnoteReference w:id="1999"/>
      </w:r>
      <w:bookmarkStart w:id="567" w:name="pg16437_172648"/>
    </w:p>
    <w:p>
      <w:pPr>
        <w:pStyle w:val="BookText"/>
        <w:rPr/>
      </w:pPr>
      <w:bookmarkEnd w:id="567"/>
      <w:r>
        <w:rPr>
          <w:rFonts w:ascii="Amiri" w:hAnsi="Amiri" w:eastAsia="Amiri" w:cs="Amiri"/>
          <w:color w:val="111111"/>
          <w:sz w:val="28"/>
          <w:sz w:val="28"/>
          <w:szCs w:val="28"/>
          <w:rtl w:val="true"/>
          <w:lang w:bidi="ar-SA"/>
        </w:rPr>
        <w:t>و الحُجّةُ علىٰ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إطباقُ الفِرقةِ</w:t>
      </w:r>
      <w:r>
        <w:rPr>
          <w:rFonts w:eastAsia="Amiri" w:cs="Amiri" w:ascii="Amiri" w:hAnsi="Amiri"/>
          <w:color w:val="111111"/>
          <w:sz w:val="28"/>
          <w:szCs w:val="28"/>
          <w:rtl w:val="true"/>
          <w:lang w:bidi="ar-SA"/>
        </w:rPr>
        <w:t>.</w:t>
      </w:r>
      <w:r>
        <w:rPr>
          <w:rStyle w:val="FootnoteAnchor"/>
          <w:rtl w:val="true"/>
        </w:rPr>
        <w:footnoteReference w:id="2000"/>
      </w:r>
    </w:p>
    <w:p>
      <w:pPr>
        <w:pStyle w:val="Heading5"/>
        <w:numPr>
          <w:ilvl w:val="4"/>
          <w:numId w:val="1"/>
        </w:numPr>
        <w:rPr/>
      </w:pPr>
      <w:bookmarkStart w:id="568" w:name="__RefHeading___Toc8039869_1280447820"/>
      <w:bookmarkStart w:id="569" w:name="_Toc209"/>
      <w:bookmarkEnd w:id="568"/>
      <w:r>
        <w:rPr>
          <w:rtl w:val="true"/>
        </w:rPr>
        <w:t>المَسألةُ الثمانونَ حُكمُ مَنْ قَطَعَ رأسَ مَيِّتٍ‌</w:t>
      </w:r>
      <w:bookmarkEnd w:id="569"/>
    </w:p>
    <w:p>
      <w:pPr>
        <w:pStyle w:val="BookText"/>
        <w:rPr/>
      </w:pPr>
      <w:r>
        <w:rPr>
          <w:rFonts w:ascii="Amiri" w:hAnsi="Amiri" w:eastAsia="Amiri" w:cs="Amiri"/>
          <w:color w:val="111111"/>
          <w:sz w:val="28"/>
          <w:sz w:val="28"/>
          <w:szCs w:val="28"/>
          <w:rtl w:val="true"/>
          <w:lang w:bidi="ar-SA"/>
        </w:rPr>
        <w:t>مَن قَطَعَ رأسَ ميِّتٍ، فعَلَيه مائةُ دينارٍ؛ يَغرَمُها</w:t>
      </w:r>
      <w:r>
        <w:rPr>
          <w:rStyle w:val="FootnoteAnchor"/>
          <w:rtl w:val="true"/>
        </w:rPr>
        <w:footnoteReference w:id="2001"/>
      </w:r>
      <w:r>
        <w:rPr>
          <w:rFonts w:ascii="Amiri" w:hAnsi="Amiri" w:eastAsia="Amiri" w:cs="Amiri"/>
          <w:color w:val="111111"/>
          <w:sz w:val="28"/>
          <w:sz w:val="28"/>
          <w:szCs w:val="28"/>
          <w:rtl w:val="true"/>
          <w:lang w:bidi="ar-SA"/>
        </w:rPr>
        <w:t>لبَيتِ المالِ</w:t>
      </w:r>
      <w:r>
        <w:rPr>
          <w:rFonts w:eastAsia="Amiri" w:cs="Amiri" w:ascii="Amiri" w:hAnsi="Amiri"/>
          <w:color w:val="111111"/>
          <w:sz w:val="28"/>
          <w:szCs w:val="28"/>
          <w:rtl w:val="true"/>
          <w:lang w:bidi="ar-SA"/>
        </w:rPr>
        <w:t>.</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و الحُجّةُ فيما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المُتكرِّرُ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تَعجَّبَ المُخالِفونَ مِن إيجابِ غَرامةٍ في قَطعِ عُضوٍ ميِّتٍ، لا يُحِسُّ‌</w:t>
      </w:r>
      <w:r>
        <w:rPr>
          <w:rStyle w:val="FootnoteAnchor"/>
          <w:rtl w:val="true"/>
        </w:rPr>
        <w:footnoteReference w:id="2003"/>
      </w:r>
      <w:r>
        <w:rPr>
          <w:rFonts w:ascii="Amiri" w:hAnsi="Amiri" w:eastAsia="Amiri" w:cs="Amiri"/>
          <w:color w:val="111111"/>
          <w:sz w:val="28"/>
          <w:sz w:val="28"/>
          <w:szCs w:val="28"/>
          <w:rtl w:val="true"/>
          <w:lang w:bidi="ar-SA"/>
        </w:rPr>
        <w:t>، و لا حَياةَ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 تَعجُّبِهم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الغَرامةَ لَم تَجِبْ لِما يَرجِعُ إلَى الميِّتِ في نفسِه مِن الجِنايةِ عليه؛ لأنّ المَوتَ قد أزالَ عنه حُكمَ الجِناياتِ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مَثَّلَ بمَيِّتٍ، و كانَت جِنايتُه</w:t>
      </w:r>
      <w:r>
        <w:rPr>
          <w:rStyle w:val="FootnoteAnchor"/>
          <w:rtl w:val="true"/>
        </w:rPr>
        <w:footnoteReference w:id="2004"/>
      </w:r>
      <w:r>
        <w:rPr>
          <w:rFonts w:ascii="Amiri" w:hAnsi="Amiri" w:eastAsia="Amiri" w:cs="Amiri"/>
          <w:color w:val="111111"/>
          <w:sz w:val="28"/>
          <w:sz w:val="28"/>
          <w:szCs w:val="28"/>
          <w:rtl w:val="true"/>
          <w:lang w:bidi="ar-SA"/>
        </w:rPr>
        <w:t>في الدينِ مِن حَيثُ أقدَمَ علىٰ ما نَهَى اللّٰهُ عنه، و اجتَرأَ</w:t>
      </w:r>
      <w:r>
        <w:rPr>
          <w:rStyle w:val="FootnoteAnchor"/>
          <w:rtl w:val="true"/>
        </w:rPr>
        <w:footnoteReference w:id="2005"/>
      </w:r>
      <w:r>
        <w:rPr>
          <w:rFonts w:ascii="Amiri" w:hAnsi="Amiri" w:eastAsia="Amiri" w:cs="Amiri"/>
          <w:color w:val="111111"/>
          <w:sz w:val="28"/>
          <w:sz w:val="28"/>
          <w:szCs w:val="28"/>
          <w:rtl w:val="true"/>
          <w:lang w:bidi="ar-SA"/>
        </w:rPr>
        <w:t>علىٰ إ باحةِ ما حَظَرَه؛ فمِن هاهُنا وَجَبَت عليه الغَرامةُ، لا لِما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ذلكَ مَجرَى الكَفّاراتِ التي في حُقوقِ اللّٰهِ تَعالىٰ خاصّةً</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8039871_1280447820"/>
      <w:bookmarkStart w:id="571" w:name="_Toc210"/>
      <w:bookmarkEnd w:id="570"/>
      <w:r>
        <w:rPr>
          <w:rtl w:val="true"/>
        </w:rPr>
        <w:t>المَسألةُ الحاديةُ و الثمانونَ إذَا قَتَلَ الرجلُ امرأةً‌</w:t>
      </w:r>
      <w:bookmarkEnd w:id="57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الرجُلَ إذا قَتَلَ امرأةً، كانَ أَولياؤها مُخيَّرينَ‌</w:t>
      </w:r>
      <w:r>
        <w:rPr>
          <w:rStyle w:val="FootnoteAnchor"/>
          <w:rtl w:val="true"/>
        </w:rPr>
        <w:footnoteReference w:id="2006"/>
      </w:r>
      <w:r>
        <w:rPr>
          <w:rFonts w:ascii="Amiri" w:hAnsi="Amiri" w:eastAsia="Amiri" w:cs="Amiri"/>
          <w:color w:val="111111"/>
          <w:sz w:val="28"/>
          <w:sz w:val="28"/>
          <w:szCs w:val="28"/>
          <w:rtl w:val="true"/>
          <w:lang w:bidi="ar-SA"/>
        </w:rPr>
        <w:t xml:space="preserve">بَينَ القَوَدِ و رَدِّ فَضلِ الديَةِ علىٰ </w:t>
      </w:r>
      <w:bookmarkStart w:id="572" w:name="pg16437_172649"/>
    </w:p>
    <w:p>
      <w:pPr>
        <w:pStyle w:val="BookText"/>
        <w:rPr/>
      </w:pPr>
      <w:bookmarkEnd w:id="572"/>
      <w:r>
        <w:rPr>
          <w:rFonts w:ascii="Amiri" w:hAnsi="Amiri" w:eastAsia="Amiri" w:cs="Amiri"/>
          <w:color w:val="111111"/>
          <w:sz w:val="28"/>
          <w:sz w:val="28"/>
          <w:szCs w:val="28"/>
          <w:rtl w:val="true"/>
          <w:lang w:bidi="ar-SA"/>
        </w:rPr>
        <w:t>أهلِ القاتلِ، و هي نِصفُ الديَةِ؛ و بَينَ أن يَقبَلوا الديَةَ، و هي</w:t>
      </w:r>
      <w:r>
        <w:rPr>
          <w:rStyle w:val="FootnoteAnchor"/>
          <w:rtl w:val="true"/>
        </w:rPr>
        <w:footnoteReference w:id="2007"/>
      </w:r>
      <w:r>
        <w:rPr>
          <w:rFonts w:ascii="Amiri" w:hAnsi="Amiri" w:eastAsia="Amiri" w:cs="Amiri"/>
          <w:color w:val="111111"/>
          <w:sz w:val="28"/>
          <w:sz w:val="28"/>
          <w:szCs w:val="28"/>
          <w:rtl w:val="true"/>
          <w:lang w:bidi="ar-SA"/>
        </w:rPr>
        <w:t>نِصفُ ديَةِ الرجُلِ</w:t>
      </w:r>
      <w:r>
        <w:rPr>
          <w:rFonts w:eastAsia="Amiri" w:cs="Amiri" w:ascii="Amiri" w:hAnsi="Amiri"/>
          <w:color w:val="111111"/>
          <w:sz w:val="28"/>
          <w:szCs w:val="28"/>
          <w:rtl w:val="true"/>
          <w:lang w:bidi="ar-SA"/>
        </w:rPr>
        <w:t>.</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و هذا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نفسَ المَرأةِ ناقِصةُ القيمةِ عن نفسِ الرجُلِ‌</w:t>
      </w:r>
      <w:r>
        <w:rPr>
          <w:rStyle w:val="FootnoteAnchor"/>
          <w:rtl w:val="true"/>
        </w:rPr>
        <w:footnoteReference w:id="2009"/>
      </w:r>
      <w:r>
        <w:rPr>
          <w:rFonts w:ascii="Amiri" w:hAnsi="Amiri" w:eastAsia="Amiri" w:cs="Amiri"/>
          <w:color w:val="111111"/>
          <w:sz w:val="28"/>
          <w:sz w:val="28"/>
          <w:szCs w:val="28"/>
          <w:rtl w:val="true"/>
          <w:lang w:bidi="ar-SA"/>
        </w:rPr>
        <w:t>، و إذا قَتَلَ الرجُلُ امرأةً، و اختارَ الأولياءُ قَتلَه بها، فقَد قَتَلوا نفساً تَزيدُ قيمتُها علىٰ قيمةِ نفسِ المقتولةِ، فلا بُدَّ مِن رَدِّ الفَضلِ علىٰ أَولياءِ القاتِلِ‌</w:t>
      </w:r>
      <w:r>
        <w:rPr>
          <w:rStyle w:val="FootnoteAnchor"/>
          <w:rtl w:val="true"/>
        </w:rPr>
        <w:footnoteReference w:id="2010"/>
      </w:r>
      <w:r>
        <w:rPr>
          <w:rFonts w:ascii="Amiri" w:hAnsi="Amiri" w:eastAsia="Amiri" w:cs="Amiri"/>
          <w:color w:val="111111"/>
          <w:sz w:val="28"/>
          <w:sz w:val="28"/>
          <w:szCs w:val="28"/>
          <w:rtl w:val="true"/>
          <w:lang w:bidi="ar-SA"/>
        </w:rPr>
        <w:t>لأنّ ذلكَ هو العَدلُ</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8039873_1280447820"/>
      <w:bookmarkStart w:id="574" w:name="_Toc211"/>
      <w:bookmarkEnd w:id="573"/>
      <w:r>
        <w:rPr>
          <w:rtl w:val="true"/>
        </w:rPr>
        <w:t>المَسألةُ الثانيةُ و الثمانونَ‌ادّعاءُ رَجُلَينِ بالقَتلِ‌</w:t>
      </w:r>
      <w:bookmarkEnd w:id="574"/>
    </w:p>
    <w:p>
      <w:pPr>
        <w:pStyle w:val="BookText"/>
        <w:rPr/>
      </w:pPr>
      <w:r>
        <w:rPr>
          <w:rFonts w:ascii="Amiri" w:hAnsi="Amiri" w:eastAsia="Amiri" w:cs="Amiri"/>
          <w:color w:val="111111"/>
          <w:sz w:val="28"/>
          <w:sz w:val="28"/>
          <w:szCs w:val="28"/>
          <w:rtl w:val="true"/>
          <w:lang w:bidi="ar-SA"/>
        </w:rPr>
        <w:t>المَسألةُ الثانيةُ‌</w:t>
      </w:r>
      <w:r>
        <w:rPr>
          <w:rStyle w:val="FootnoteAnchor"/>
          <w:rtl w:val="true"/>
        </w:rPr>
        <w:footnoteReference w:id="2011"/>
      </w:r>
      <w:r>
        <w:rPr>
          <w:rFonts w:ascii="Amiri" w:hAnsi="Amiri" w:eastAsia="Amiri" w:cs="Amiri"/>
          <w:color w:val="111111"/>
          <w:sz w:val="28"/>
          <w:sz w:val="28"/>
          <w:szCs w:val="28"/>
          <w:rtl w:val="true"/>
          <w:lang w:bidi="ar-SA"/>
        </w:rPr>
        <w:t>و الثمانونَ‌</w:t>
      </w:r>
      <w:r>
        <w:rPr>
          <w:rStyle w:val="FootnoteAnchor"/>
          <w:rtl w:val="true"/>
        </w:rPr>
        <w:footnoteReference w:id="2012"/>
      </w:r>
      <w:r>
        <w:rPr>
          <w:rFonts w:ascii="Amiri" w:hAnsi="Amiri" w:eastAsia="Amiri" w:cs="Amiri"/>
          <w:color w:val="111111"/>
          <w:sz w:val="28"/>
          <w:sz w:val="28"/>
          <w:szCs w:val="28"/>
          <w:rtl w:val="true"/>
          <w:lang w:bidi="ar-SA"/>
        </w:rPr>
        <w:t>ادّعاءُ رَجُلَينِ بالقَتلِ</w:t>
      </w:r>
    </w:p>
    <w:p>
      <w:pPr>
        <w:pStyle w:val="BookText"/>
        <w:rPr/>
      </w:pPr>
      <w:r>
        <w:rPr>
          <w:rFonts w:ascii="Amiri" w:hAnsi="Amiri" w:eastAsia="Amiri" w:cs="Amiri"/>
          <w:color w:val="111111"/>
          <w:sz w:val="28"/>
          <w:sz w:val="28"/>
          <w:szCs w:val="28"/>
          <w:rtl w:val="true"/>
          <w:lang w:bidi="ar-SA"/>
        </w:rPr>
        <w:t>مَن وُجِدَ مقتولاً، فحَضَرَ رجُلانِ، فقالَ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قَتَلتُه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الآخَرُ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قَتَلتُه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r>
        <w:rPr>
          <w:rStyle w:val="FootnoteAnchor"/>
          <w:rtl w:val="true"/>
        </w:rPr>
        <w:footnoteReference w:id="2013"/>
      </w:r>
      <w:r>
        <w:rPr>
          <w:rFonts w:ascii="Amiri" w:hAnsi="Amiri" w:eastAsia="Amiri" w:cs="Amiri"/>
          <w:color w:val="111111"/>
          <w:sz w:val="28"/>
          <w:sz w:val="28"/>
          <w:szCs w:val="28"/>
          <w:rtl w:val="true"/>
          <w:lang w:bidi="ar-SA"/>
        </w:rPr>
        <w:t xml:space="preserve">أولياءَ المقتولِ مُخيَّرونَ بَينَ الأخذِ للمُقِرِّ بالعَمدِ أو المُقِرِّ </w:t>
      </w:r>
      <w:bookmarkStart w:id="575" w:name="pg16437_172650"/>
    </w:p>
    <w:p>
      <w:pPr>
        <w:pStyle w:val="BookText"/>
        <w:rPr/>
      </w:pPr>
      <w:bookmarkEnd w:id="575"/>
      <w:r>
        <w:rPr>
          <w:rFonts w:ascii="Amiri" w:hAnsi="Amiri" w:eastAsia="Amiri" w:cs="Amiri"/>
          <w:color w:val="111111"/>
          <w:sz w:val="28"/>
          <w:sz w:val="28"/>
          <w:szCs w:val="28"/>
          <w:rtl w:val="true"/>
          <w:lang w:bidi="ar-SA"/>
        </w:rPr>
        <w:t>بالخَطإ؛ و لَيسَ لهم قَتلُهما جميعاً، و لا إلزامُهما الديَةَ جميعاً</w:t>
      </w:r>
      <w:r>
        <w:rPr>
          <w:rFonts w:eastAsia="Amiri" w:cs="Amiri" w:ascii="Amiri" w:hAnsi="Amiri"/>
          <w:color w:val="111111"/>
          <w:sz w:val="28"/>
          <w:szCs w:val="28"/>
          <w:rtl w:val="true"/>
          <w:lang w:bidi="ar-SA"/>
        </w:rPr>
        <w:t>.</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و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إجماعِ الفِرقةِ المُحِقّةِ</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8039875_1280447820"/>
      <w:bookmarkStart w:id="577" w:name="_Toc212"/>
      <w:bookmarkEnd w:id="576"/>
      <w:r>
        <w:rPr>
          <w:rtl w:val="true"/>
        </w:rPr>
        <w:t>المَسألةُ الثالثةُ و الثمانونَ اعترافُ رَجلينِ بقتلِ رجلٍ واحدٍ</w:t>
      </w:r>
      <w:bookmarkEnd w:id="577"/>
    </w:p>
    <w:p>
      <w:pPr>
        <w:pStyle w:val="BookText"/>
        <w:rPr/>
      </w:pPr>
      <w:r>
        <w:rPr>
          <w:rFonts w:ascii="Amiri" w:hAnsi="Amiri" w:eastAsia="Amiri" w:cs="Amiri"/>
          <w:color w:val="111111"/>
          <w:sz w:val="28"/>
          <w:sz w:val="28"/>
          <w:szCs w:val="28"/>
          <w:rtl w:val="true"/>
          <w:lang w:bidi="ar-SA"/>
        </w:rPr>
        <w:t>المَسألةُ الثالثةُ‌</w:t>
      </w:r>
      <w:r>
        <w:rPr>
          <w:rStyle w:val="FootnoteAnchor"/>
          <w:rtl w:val="true"/>
        </w:rPr>
        <w:footnoteReference w:id="2015"/>
      </w:r>
      <w:r>
        <w:rPr>
          <w:rFonts w:ascii="Amiri" w:hAnsi="Amiri" w:eastAsia="Amiri" w:cs="Amiri"/>
          <w:color w:val="111111"/>
          <w:sz w:val="28"/>
          <w:sz w:val="28"/>
          <w:szCs w:val="28"/>
          <w:rtl w:val="true"/>
          <w:lang w:bidi="ar-SA"/>
        </w:rPr>
        <w:t>و الثمانونَ اعترافُ رَجلينِ بقتلِ رجلٍ واحدٍ</w:t>
      </w:r>
    </w:p>
    <w:p>
      <w:pPr>
        <w:pStyle w:val="BookText"/>
        <w:rPr/>
      </w:pPr>
      <w:r>
        <w:rPr>
          <w:rFonts w:ascii="Amiri" w:hAnsi="Amiri" w:eastAsia="Amiri" w:cs="Amiri"/>
          <w:color w:val="111111"/>
          <w:sz w:val="28"/>
          <w:sz w:val="28"/>
          <w:szCs w:val="28"/>
          <w:rtl w:val="true"/>
          <w:lang w:bidi="ar-SA"/>
        </w:rPr>
        <w:t>مَن وُجِدَ مقتولاً، فاعتَرَفَ رجُلٌ بقَتلِه عَمداً، ثُمَّ حَضَرَ آخَرُ فدَفَعَه عن إقرارِه و أقَرَّ هو بقَتلِه، فصَدَّقَه الأوّلُ في إقرارِه علىٰ نفسِه، و لَم تَقُم بيِّنةٌ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يُدرأُ عنهما القَتلُ و الديَةُ، و يودَى المقتولُ مِن بَيتِ المالِ</w:t>
      </w:r>
      <w:r>
        <w:rPr>
          <w:rFonts w:eastAsia="Amiri" w:cs="Amiri" w:ascii="Amiri" w:hAnsi="Amiri"/>
          <w:color w:val="111111"/>
          <w:sz w:val="28"/>
          <w:szCs w:val="28"/>
          <w:rtl w:val="true"/>
          <w:lang w:bidi="ar-SA"/>
        </w:rPr>
        <w:t>.</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و الحُجّةُ علىٰ ذلكَ</w:t>
      </w:r>
      <w:r>
        <w:rPr>
          <w:rFonts w:eastAsia="Amiri" w:cs="Amiri" w:ascii="Amiri" w:hAnsi="Amiri"/>
          <w:color w:val="111111"/>
          <w:sz w:val="28"/>
          <w:szCs w:val="28"/>
          <w:rtl w:val="true"/>
          <w:lang w:bidi="ar-SA"/>
        </w:rPr>
        <w:t>:</w:t>
      </w:r>
      <w:r>
        <w:rPr>
          <w:rStyle w:val="FootnoteAnchor"/>
          <w:rtl w:val="true"/>
        </w:rPr>
        <w:footnoteReference w:id="2017"/>
      </w:r>
      <w:r>
        <w:rPr>
          <w:rFonts w:ascii="Amiri" w:hAnsi="Amiri" w:eastAsia="Amiri" w:cs="Amiri"/>
          <w:color w:val="111111"/>
          <w:sz w:val="28"/>
          <w:sz w:val="28"/>
          <w:szCs w:val="28"/>
          <w:rtl w:val="true"/>
          <w:lang w:bidi="ar-SA"/>
        </w:rPr>
        <w:t>ما تَقدَّمَ ذِكرُه مِن إجماعِ الفِرقةِ</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8039877_1280447820"/>
      <w:bookmarkStart w:id="579" w:name="_Toc213"/>
      <w:bookmarkEnd w:id="578"/>
      <w:r>
        <w:rPr>
          <w:rtl w:val="true"/>
        </w:rPr>
        <w:t>المَسألةُ الرابعةُ و الثمانونَ ديَاتُ أهلِ الكتابِ و ولدِ الزنا</w:t>
      </w:r>
      <w:bookmarkEnd w:id="57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دِيَاتِ أهلِ الكتابِ ثَمانُمائةِ دِرهَمٍ للحُرِّ البالغِ الذَّكَرِ، و الأُنثىٰ أربَعُمائةِ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ديَةُ المَجوسِ ثَمانُمائةِ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ديَةُ وَلَدِ الزنا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الحُجّةُ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المُتقدِّمُ‌</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9"/>
      </w:r>
      <w:bookmarkStart w:id="580" w:name="pg16437_172652"/>
    </w:p>
    <w:p>
      <w:pPr>
        <w:pStyle w:val="Heading4"/>
        <w:numPr>
          <w:ilvl w:val="3"/>
          <w:numId w:val="1"/>
        </w:numPr>
        <w:rPr/>
      </w:pPr>
      <w:bookmarkStart w:id="581" w:name="__RefHeading___Toc8039879_1280447820"/>
      <w:bookmarkStart w:id="582" w:name="_Toc214"/>
      <w:bookmarkEnd w:id="580"/>
      <w:bookmarkEnd w:id="581"/>
      <w:r>
        <w:rPr>
          <w:rtl w:val="true"/>
        </w:rPr>
        <w:t>أحكامُ الإرثِ‌</w:t>
      </w:r>
      <w:bookmarkEnd w:id="582"/>
    </w:p>
    <w:p>
      <w:pPr>
        <w:pStyle w:val="Heading5"/>
        <w:numPr>
          <w:ilvl w:val="4"/>
          <w:numId w:val="1"/>
        </w:numPr>
        <w:rPr/>
      </w:pPr>
      <w:bookmarkStart w:id="583" w:name="__RefHeading___Toc8039881_1280447820"/>
      <w:bookmarkStart w:id="584" w:name="_Toc215"/>
      <w:bookmarkEnd w:id="583"/>
      <w:r>
        <w:rPr>
          <w:rtl w:val="true"/>
        </w:rPr>
        <w:t>المَسألةُ الخامسةُ و الثمانونَ مَن يَرِثُ مع الوالِدَينِ‌</w:t>
      </w:r>
      <w:bookmarkEnd w:id="584"/>
    </w:p>
    <w:p>
      <w:pPr>
        <w:pStyle w:val="BookText"/>
        <w:rPr/>
      </w:pPr>
      <w:r>
        <w:rPr>
          <w:rFonts w:ascii="Amiri" w:hAnsi="Amiri" w:eastAsia="Amiri" w:cs="Amiri"/>
          <w:color w:val="111111"/>
          <w:sz w:val="28"/>
          <w:sz w:val="28"/>
          <w:szCs w:val="28"/>
          <w:rtl w:val="true"/>
          <w:lang w:bidi="ar-SA"/>
        </w:rPr>
        <w:t>لا يَرِثُ مع الوالدَينِ أو أحَدِهما أحَدٌ مِن خَلقِ اللّٰهِ تَعالىٰ إلّاالوَلَدُ، و الزوجُ، و الزوجةُ</w:t>
      </w:r>
      <w:r>
        <w:rPr>
          <w:rFonts w:eastAsia="Amiri" w:cs="Amiri" w:ascii="Amiri" w:hAnsi="Amiri"/>
          <w:color w:val="111111"/>
          <w:sz w:val="28"/>
          <w:szCs w:val="28"/>
          <w:rtl w:val="true"/>
          <w:lang w:bidi="ar-SA"/>
        </w:rPr>
        <w:t>.</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و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لا خِلافَ بَينَ الأُمّةِ في اعتبارِ القُربىٰ فيمن يَرِثُ بالنسَبِ، و معلومٌ أنّ الأبَوَينِ أقرَبُ إلىٰ وَلَدِهما مِن الإخوةِ؛ لأنّ الإخوةَ إنّما يَتقرَّبونَ إلَى الميِّتِ بالوالدِ، و معلومٌ أنّ مَن تَقرَّبَ بنَفسِه أَولىٰ ممّن تَقرَّبَ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 قولُ مُخالِفِنا</w:t>
      </w:r>
      <w:r>
        <w:rPr>
          <w:rStyle w:val="FootnoteAnchor"/>
          <w:rtl w:val="true"/>
        </w:rPr>
        <w:footnoteReference w:id="2021"/>
      </w:r>
      <w:r>
        <w:rPr>
          <w:rFonts w:ascii="Amiri" w:hAnsi="Amiri" w:eastAsia="Amiri" w:cs="Amiri"/>
          <w:color w:val="111111"/>
          <w:sz w:val="28"/>
          <w:sz w:val="28"/>
          <w:szCs w:val="28"/>
          <w:rtl w:val="true"/>
          <w:lang w:bidi="ar-SA"/>
        </w:rPr>
        <w:t>في تَوريثِ الإخوةِ مع الأُمِّ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أجرَى الأُمَّ مَجرَى الأبِ في نَصِّ القُرآنِ و صَريحِه، و جَعَلَ لهما غايةً في الميراثِ، و أهبَطَهما إلىٰ غايةٍ أُخرىٰ، و لَم يُفرِّقْ‌</w:t>
      </w:r>
      <w:r>
        <w:rPr>
          <w:rStyle w:val="FootnoteAnchor"/>
          <w:rtl w:val="true"/>
        </w:rPr>
        <w:footnoteReference w:id="2022"/>
      </w:r>
      <w:r>
        <w:rPr>
          <w:rFonts w:ascii="Amiri" w:hAnsi="Amiri" w:eastAsia="Amiri" w:cs="Amiri"/>
          <w:color w:val="111111"/>
          <w:sz w:val="28"/>
          <w:sz w:val="28"/>
          <w:szCs w:val="28"/>
          <w:rtl w:val="true"/>
          <w:lang w:bidi="ar-SA"/>
        </w:rPr>
        <w:t>بَينَهما في الحُكمِ؛ فكَما لَيسَ لأحَدٍ مِن الإخوةِ و الأخَواتِ مع الوالدِ</w:t>
      </w:r>
      <w:r>
        <w:rPr>
          <w:rStyle w:val="FootnoteAnchor"/>
          <w:rtl w:val="true"/>
        </w:rPr>
        <w:footnoteReference w:id="2023"/>
      </w:r>
      <w:r>
        <w:rPr>
          <w:rFonts w:ascii="Amiri" w:hAnsi="Amiri" w:eastAsia="Amiri" w:cs="Amiri"/>
          <w:color w:val="111111"/>
          <w:sz w:val="28"/>
          <w:sz w:val="28"/>
          <w:szCs w:val="28"/>
          <w:rtl w:val="true"/>
          <w:lang w:bidi="ar-SA"/>
        </w:rPr>
        <w:t>نَصيبٌ، فكذلكَ‌</w:t>
      </w:r>
      <w:r>
        <w:rPr>
          <w:rStyle w:val="FootnoteAnchor"/>
          <w:rtl w:val="true"/>
        </w:rPr>
        <w:footnoteReference w:id="2024"/>
      </w:r>
      <w:bookmarkStart w:id="585" w:name="pg16437_172653"/>
    </w:p>
    <w:p>
      <w:pPr>
        <w:pStyle w:val="BookText"/>
        <w:rPr/>
      </w:pPr>
      <w:bookmarkEnd w:id="585"/>
      <w:r>
        <w:rPr>
          <w:rFonts w:ascii="Amiri" w:hAnsi="Amiri" w:eastAsia="Amiri" w:cs="Amiri"/>
          <w:color w:val="111111"/>
          <w:sz w:val="28"/>
          <w:sz w:val="28"/>
          <w:szCs w:val="28"/>
          <w:rtl w:val="true"/>
          <w:lang w:bidi="ar-SA"/>
        </w:rPr>
        <w:t>لا نَصيبَ لهم مع الوالدةِ</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8039883_1280447820"/>
      <w:bookmarkStart w:id="587" w:name="_Toc216"/>
      <w:bookmarkEnd w:id="586"/>
      <w:r>
        <w:rPr>
          <w:rtl w:val="true"/>
        </w:rPr>
        <w:t>المَسألةُ السادسةُ و الثمانونَ مَن خَلَّفَ والدينِ و بِنتاً</w:t>
      </w:r>
      <w:bookmarkEnd w:id="587"/>
    </w:p>
    <w:p>
      <w:pPr>
        <w:pStyle w:val="BookText"/>
        <w:rPr/>
      </w:pPr>
      <w:r>
        <w:rPr>
          <w:rFonts w:ascii="Amiri" w:hAnsi="Amiri" w:eastAsia="Amiri" w:cs="Amiri"/>
          <w:color w:val="111111"/>
          <w:sz w:val="28"/>
          <w:sz w:val="28"/>
          <w:szCs w:val="28"/>
          <w:rtl w:val="true"/>
          <w:lang w:bidi="ar-SA"/>
        </w:rPr>
        <w:t>مَن ماتَ و خَلَّفَ والدَينِ و بِنتاً، فللِابنةِ‌</w:t>
      </w:r>
      <w:r>
        <w:rPr>
          <w:rStyle w:val="FootnoteAnchor"/>
          <w:rtl w:val="true"/>
        </w:rPr>
        <w:footnoteReference w:id="2025"/>
      </w:r>
      <w:r>
        <w:rPr>
          <w:rFonts w:ascii="Amiri" w:hAnsi="Amiri" w:eastAsia="Amiri" w:cs="Amiri"/>
          <w:color w:val="111111"/>
          <w:sz w:val="28"/>
          <w:sz w:val="28"/>
          <w:szCs w:val="28"/>
          <w:rtl w:val="true"/>
          <w:lang w:bidi="ar-SA"/>
        </w:rPr>
        <w:t>النِّصفُ، و للأبَوَينِ السُّدُسانِ؛ و ما يَبقىٰ يُرَدُّ علَى البِنتِ و الوالِدَينِ بقَدرِ سِهامِهم</w:t>
      </w:r>
      <w:r>
        <w:rPr>
          <w:rFonts w:eastAsia="Amiri" w:cs="Amiri" w:ascii="Amiri" w:hAnsi="Amiri"/>
          <w:color w:val="111111"/>
          <w:sz w:val="28"/>
          <w:szCs w:val="28"/>
          <w:rtl w:val="true"/>
          <w:lang w:bidi="ar-SA"/>
        </w:rPr>
        <w:t>.</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و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لمّا قَسَّمَ المَواريثَ و بَيَّنَ مَقاديرَها، جَعَلَها تابعةً للقُربىٰ، ففَرَضَ للأقرَبِ أكثَرَ ممّا</w:t>
      </w:r>
      <w:r>
        <w:rPr>
          <w:rStyle w:val="FootnoteAnchor"/>
          <w:rtl w:val="true"/>
        </w:rPr>
        <w:footnoteReference w:id="2027"/>
      </w:r>
      <w:r>
        <w:rPr>
          <w:rFonts w:ascii="Amiri" w:hAnsi="Amiri" w:eastAsia="Amiri" w:cs="Amiri"/>
          <w:color w:val="111111"/>
          <w:sz w:val="28"/>
          <w:sz w:val="28"/>
          <w:szCs w:val="28"/>
          <w:rtl w:val="true"/>
          <w:lang w:bidi="ar-SA"/>
        </w:rPr>
        <w:t>فَرَضَه للأبعَدِ؛ كفَرضِه للأخِ مِن الأبِ و الأُمِّ المالَ كُلَّه، و للأُختِ الواحدةِ للأبِ و الأُمِّ النِّصفَ؛ و فَرَضَ للإخوةِ مِن الأُمِّ الثُّلُثَ، و للواحدةِ‌</w:t>
      </w:r>
      <w:r>
        <w:rPr>
          <w:rStyle w:val="FootnoteAnchor"/>
          <w:rtl w:val="true"/>
        </w:rPr>
        <w:footnoteReference w:id="2028"/>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بَقيَ مِن الميراثِ بَعدَ السهامِ المنصوصِ عليها شَيءٌ‌</w:t>
      </w:r>
      <w:r>
        <w:rPr>
          <w:rStyle w:val="FootnoteAnchor"/>
          <w:rtl w:val="true"/>
        </w:rPr>
        <w:footnoteReference w:id="2029"/>
      </w:r>
      <w:r>
        <w:rPr>
          <w:rFonts w:ascii="Amiri" w:hAnsi="Amiri" w:eastAsia="Amiri" w:cs="Amiri"/>
          <w:color w:val="111111"/>
          <w:sz w:val="28"/>
          <w:sz w:val="28"/>
          <w:szCs w:val="28"/>
          <w:rtl w:val="true"/>
          <w:lang w:bidi="ar-SA"/>
        </w:rPr>
        <w:t>، وَجَبَ أن يُقسَّمَ علىٰ ذَوي القَرباتِ بحَسَبِ قَرابتِهم و بقَدرِ سِهامِهم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يُشبِهُ ذلكَ مَن خَلَّفَ مالاً و وَرَثةً فاقتَسَموا</w:t>
      </w:r>
      <w:r>
        <w:rPr>
          <w:rStyle w:val="FootnoteAnchor"/>
          <w:rtl w:val="true"/>
        </w:rPr>
        <w:footnoteReference w:id="2030"/>
      </w:r>
      <w:r>
        <w:rPr>
          <w:rFonts w:ascii="Amiri" w:hAnsi="Amiri" w:eastAsia="Amiri" w:cs="Amiri"/>
          <w:color w:val="111111"/>
          <w:sz w:val="28"/>
          <w:sz w:val="28"/>
          <w:szCs w:val="28"/>
          <w:rtl w:val="true"/>
          <w:lang w:bidi="ar-SA"/>
        </w:rPr>
        <w:t>المالَ بَينَهم علىٰ قَدرِ سِهامِهم، ثُمَّ وُجِدَ بَعدَ ذلكَ للميِّتِ‌</w:t>
      </w:r>
      <w:r>
        <w:rPr>
          <w:rStyle w:val="FootnoteAnchor"/>
          <w:rtl w:val="true"/>
        </w:rPr>
        <w:footnoteReference w:id="2031"/>
      </w:r>
      <w:r>
        <w:rPr>
          <w:rFonts w:ascii="Amiri" w:hAnsi="Amiri" w:eastAsia="Amiri" w:cs="Amiri"/>
          <w:color w:val="111111"/>
          <w:sz w:val="28"/>
          <w:sz w:val="28"/>
          <w:szCs w:val="28"/>
          <w:rtl w:val="true"/>
          <w:lang w:bidi="ar-SA"/>
        </w:rPr>
        <w:t>مالٌ‌</w:t>
      </w:r>
      <w:r>
        <w:rPr>
          <w:rStyle w:val="FootnoteAnchor"/>
          <w:rtl w:val="true"/>
        </w:rPr>
        <w:footnoteReference w:id="2032"/>
      </w:r>
      <w:r>
        <w:rPr>
          <w:rFonts w:ascii="Amiri" w:hAnsi="Amiri" w:eastAsia="Amiri" w:cs="Amiri"/>
          <w:color w:val="111111"/>
          <w:sz w:val="28"/>
          <w:sz w:val="28"/>
          <w:szCs w:val="28"/>
          <w:rtl w:val="true"/>
          <w:lang w:bidi="ar-SA"/>
        </w:rPr>
        <w:t xml:space="preserve">لَم تَقَعِ القِسمةُ عليه؛ فلا خِلافَ في أنّه يُقسَّمُ هذا </w:t>
      </w:r>
      <w:bookmarkStart w:id="588" w:name="pg16437_172654"/>
    </w:p>
    <w:p>
      <w:pPr>
        <w:pStyle w:val="BookText"/>
        <w:rPr/>
      </w:pPr>
      <w:bookmarkEnd w:id="588"/>
      <w:r>
        <w:rPr>
          <w:rFonts w:ascii="Amiri" w:hAnsi="Amiri" w:eastAsia="Amiri" w:cs="Amiri"/>
          <w:color w:val="111111"/>
          <w:sz w:val="28"/>
          <w:sz w:val="28"/>
          <w:szCs w:val="28"/>
          <w:rtl w:val="true"/>
          <w:lang w:bidi="ar-SA"/>
        </w:rPr>
        <w:t>الباقي</w:t>
      </w:r>
      <w:r>
        <w:rPr>
          <w:rStyle w:val="FootnoteAnchor"/>
          <w:rtl w:val="true"/>
        </w:rPr>
        <w:footnoteReference w:id="2033"/>
      </w:r>
      <w:r>
        <w:rPr>
          <w:rFonts w:ascii="Amiri" w:hAnsi="Amiri" w:eastAsia="Amiri" w:cs="Amiri"/>
          <w:color w:val="111111"/>
          <w:sz w:val="28"/>
          <w:sz w:val="28"/>
          <w:szCs w:val="28"/>
          <w:rtl w:val="true"/>
          <w:lang w:bidi="ar-SA"/>
        </w:rPr>
        <w:t>كما قُسِّمَ الأوّلُ و بقَدرِ</w:t>
      </w:r>
      <w:r>
        <w:rPr>
          <w:rStyle w:val="FootnoteAnchor"/>
          <w:rtl w:val="true"/>
        </w:rPr>
        <w:footnoteReference w:id="2034"/>
      </w:r>
      <w:r>
        <w:rPr>
          <w:rFonts w:ascii="Amiri" w:hAnsi="Amiri" w:eastAsia="Amiri" w:cs="Amiri"/>
          <w:color w:val="111111"/>
          <w:sz w:val="28"/>
          <w:sz w:val="28"/>
          <w:szCs w:val="28"/>
          <w:rtl w:val="true"/>
          <w:lang w:bidi="ar-SA"/>
        </w:rPr>
        <w:t>سِهامِهم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أبَى الردَّ و أنكَرَه، و ادَّعىٰ أنّ الفاضلَ علَى السِّهامِ يُرَدُّ إلىٰ بَيتِ المالِ، و يُقيمُ بَيتَ المالِ مَقامَ العَصَبةِ، يَعتَرِفُ بأنّ الميِّتَ إذا ماتَ و كانَ له عَصَبةٌ أشتاتٌ، كانَ أحَقُّهم بالمالِ أقرَبَهم إلَى الميِّتِ؛ فقَد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يَفضُلُ عن السِّهامِ القُربىٰ؛ و نَحنُ نَعلَمُ أنّ ذَوي الأرحامِ و الأنسابِ أحَقُّ بالميِّتِ و أقرَبُ إليه مِن بَيتِ المالِ؛ فيَجِبُ أن يَكونوا</w:t>
      </w:r>
      <w:r>
        <w:rPr>
          <w:rStyle w:val="FootnoteAnchor"/>
          <w:rtl w:val="true"/>
        </w:rPr>
        <w:footnoteReference w:id="2035"/>
      </w:r>
      <w:r>
        <w:rPr>
          <w:rFonts w:ascii="Amiri" w:hAnsi="Amiri" w:eastAsia="Amiri" w:cs="Amiri"/>
          <w:color w:val="111111"/>
          <w:sz w:val="28"/>
          <w:sz w:val="28"/>
          <w:szCs w:val="28"/>
          <w:rtl w:val="true"/>
          <w:lang w:bidi="ar-SA"/>
        </w:rPr>
        <w:t>أحَقَّ بفاضِلِ السِّهامِ</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8039885_1280447820"/>
      <w:bookmarkStart w:id="590" w:name="_Toc217"/>
      <w:bookmarkEnd w:id="589"/>
      <w:r>
        <w:rPr>
          <w:rtl w:val="true"/>
        </w:rPr>
        <w:t>المَسألةُ السابعةُ و الثمانونَ مَن خَلَّفَ بِنتينِ و أحدَ أبويهِ و ابنَ ابنٍ‌</w:t>
      </w:r>
      <w:bookmarkEnd w:id="590"/>
    </w:p>
    <w:p>
      <w:pPr>
        <w:pStyle w:val="BookText"/>
        <w:rPr/>
      </w:pPr>
      <w:r>
        <w:rPr>
          <w:rFonts w:ascii="Amiri" w:hAnsi="Amiri" w:eastAsia="Amiri" w:cs="Amiri"/>
          <w:color w:val="111111"/>
          <w:sz w:val="28"/>
          <w:sz w:val="28"/>
          <w:szCs w:val="28"/>
          <w:rtl w:val="true"/>
          <w:lang w:bidi="ar-SA"/>
        </w:rPr>
        <w:t>مَن ماتَ و خَلَّفَ بِنتَينِ و أحَدَ أبَوَيه و ابنَ ابنٍ، فإنّ للبنتَينِ الثُّلُثَينِ، و للأبِ أو الأُمِّ السُّدُسَ، و ما بَقيَ يُرَدُّ علَى البِنتَينِ و الأبِ أو الأُمِّ‌</w:t>
      </w:r>
      <w:r>
        <w:rPr>
          <w:rStyle w:val="FootnoteAnchor"/>
          <w:rtl w:val="true"/>
        </w:rPr>
        <w:footnoteReference w:id="2036"/>
      </w:r>
      <w:r>
        <w:rPr>
          <w:rFonts w:ascii="Amiri" w:hAnsi="Amiri" w:eastAsia="Amiri" w:cs="Amiri"/>
          <w:color w:val="111111"/>
          <w:sz w:val="28"/>
          <w:sz w:val="28"/>
          <w:szCs w:val="28"/>
          <w:rtl w:val="true"/>
          <w:lang w:bidi="ar-SA"/>
        </w:rPr>
        <w:t>خاصّةً، و لَيسَ لِابنِ الِابنِ شَيءٌ</w:t>
      </w:r>
      <w:r>
        <w:rPr>
          <w:rFonts w:eastAsia="Amiri" w:cs="Amiri" w:ascii="Amiri" w:hAnsi="Amiri"/>
          <w:color w:val="111111"/>
          <w:sz w:val="28"/>
          <w:szCs w:val="28"/>
          <w:rtl w:val="true"/>
          <w:lang w:bidi="ar-SA"/>
        </w:rPr>
        <w:t>.</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و الحُجّةُ علىٰ‌</w:t>
      </w:r>
      <w:r>
        <w:rPr>
          <w:rStyle w:val="FootnoteAnchor"/>
          <w:rtl w:val="true"/>
        </w:rPr>
        <w:footnoteReference w:id="2038"/>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البَناتِ و الوالِدَينِ أقرَبُ إلَى الميِّتِ مِن ابنِ ابنِه، و يُعتَبَرُ فيمن يَرِثُ بالقَرابةِ كَيفيّةُ القَرابةِ‌</w:t>
      </w:r>
      <w:r>
        <w:rPr>
          <w:rStyle w:val="FootnoteAnchor"/>
          <w:rtl w:val="true"/>
        </w:rPr>
        <w:footnoteReference w:id="2039"/>
      </w:r>
      <w:r>
        <w:rPr>
          <w:rFonts w:ascii="Amiri" w:hAnsi="Amiri" w:eastAsia="Amiri" w:cs="Amiri"/>
          <w:color w:val="111111"/>
          <w:sz w:val="28"/>
          <w:sz w:val="28"/>
          <w:szCs w:val="28"/>
          <w:rtl w:val="true"/>
          <w:lang w:bidi="ar-SA"/>
        </w:rPr>
        <w:t>و قُربُها؛ و كما لَيسَ لِابنِ الِابنِ شَيءٌ مع الِابنِ، كذلكَ لا شَيءَ له مع البِنتِ‌</w:t>
      </w:r>
      <w:r>
        <w:rPr>
          <w:rStyle w:val="FootnoteAnchor"/>
          <w:rtl w:val="true"/>
        </w:rPr>
        <w:footnoteReference w:id="2040"/>
      </w:r>
      <w:r>
        <w:rPr>
          <w:rFonts w:ascii="Amiri" w:hAnsi="Amiri" w:eastAsia="Amiri" w:cs="Amiri"/>
          <w:color w:val="111111"/>
          <w:sz w:val="28"/>
          <w:sz w:val="28"/>
          <w:szCs w:val="28"/>
          <w:rtl w:val="true"/>
          <w:lang w:bidi="ar-SA"/>
        </w:rPr>
        <w:t>أو البَناتِ؛ لأنّ البَناتِ أولادٌ كالذُّكورِ</w:t>
      </w:r>
      <w:r>
        <w:rPr>
          <w:rFonts w:eastAsia="Amiri" w:cs="Amiri" w:ascii="Amiri" w:hAnsi="Amiri"/>
          <w:color w:val="111111"/>
          <w:sz w:val="28"/>
          <w:szCs w:val="28"/>
          <w:rtl w:val="true"/>
          <w:lang w:bidi="ar-SA"/>
        </w:rPr>
        <w:t xml:space="preserve">. </w:t>
      </w:r>
      <w:bookmarkStart w:id="591" w:name="pg16437_172655"/>
    </w:p>
    <w:p>
      <w:pPr>
        <w:pStyle w:val="Heading5"/>
        <w:numPr>
          <w:ilvl w:val="4"/>
          <w:numId w:val="1"/>
        </w:numPr>
        <w:rPr/>
      </w:pPr>
      <w:bookmarkStart w:id="592" w:name="__RefHeading___Toc8039887_1280447820"/>
      <w:bookmarkStart w:id="593" w:name="_Toc218"/>
      <w:bookmarkEnd w:id="591"/>
      <w:bookmarkEnd w:id="592"/>
      <w:r>
        <w:rPr>
          <w:rtl w:val="true"/>
        </w:rPr>
        <w:t>المسألةُ الثامنةُ و الثمانونَ لا يَحجُبُ الأُمَّ الإخوةُ مَن الأُمِّ خاصّةً‌</w:t>
      </w:r>
      <w:bookmarkEnd w:id="593"/>
    </w:p>
    <w:p>
      <w:pPr>
        <w:pStyle w:val="BookText"/>
        <w:rPr/>
      </w:pPr>
      <w:r>
        <w:rPr>
          <w:rFonts w:ascii="Amiri" w:hAnsi="Amiri" w:eastAsia="Amiri" w:cs="Amiri"/>
          <w:color w:val="111111"/>
          <w:sz w:val="28"/>
          <w:sz w:val="28"/>
          <w:szCs w:val="28"/>
          <w:rtl w:val="true"/>
          <w:lang w:bidi="ar-SA"/>
        </w:rPr>
        <w:t xml:space="preserve">لا يَحجُبُ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الثُّلُثِ إلَى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مِن الأُمِّ خاصّةً، و إنّما يَحجُبُها الإخوةُ مِن الأبِ و الأُمِّ أو مِن الأبِ</w:t>
      </w:r>
      <w:r>
        <w:rPr>
          <w:rFonts w:eastAsia="Amiri" w:cs="Amiri" w:ascii="Amiri" w:hAnsi="Amiri"/>
          <w:color w:val="111111"/>
          <w:sz w:val="28"/>
          <w:szCs w:val="28"/>
          <w:rtl w:val="true"/>
          <w:lang w:bidi="ar-SA"/>
        </w:rPr>
        <w:t>.</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و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أطلَقَ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xml:space="preserve">» </w:t>
      </w:r>
      <w:r>
        <w:rPr>
          <w:rStyle w:val="FootnoteAnchor"/>
          <w:rtl w:val="true"/>
        </w:rPr>
        <w:footnoteReference w:id="2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تحتجبون</w:t>
      </w:r>
      <w:r>
        <w:rPr>
          <w:rFonts w:eastAsia="Amiri" w:cs="Amiri" w:ascii="Amiri" w:hAnsi="Amiri"/>
          <w:color w:val="111111"/>
          <w:sz w:val="28"/>
          <w:szCs w:val="28"/>
          <w:rtl w:val="true"/>
          <w:lang w:bidi="ar-SA"/>
        </w:rPr>
        <w:t>».</w:t>
      </w:r>
      <w:r>
        <w:rPr>
          <w:rStyle w:val="FootnoteAnchor"/>
          <w:rtl w:val="true"/>
        </w:rPr>
        <w:footnoteReference w:id="2043"/>
      </w:r>
      <w:r>
        <w:rPr>
          <w:rFonts w:ascii="Amiri" w:hAnsi="Amiri" w:eastAsia="Amiri" w:cs="Amiri"/>
          <w:color w:val="111111"/>
          <w:sz w:val="28"/>
          <w:sz w:val="28"/>
          <w:szCs w:val="28"/>
          <w:rtl w:val="true"/>
          <w:lang w:bidi="ar-SA"/>
        </w:rPr>
        <w:t>، و لَم يُفرِّقْ بَينَ أحوالِ الإخوةِ في كَونِهم مِن أبٍ أو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عُمومٌ يُخصِّصُه</w:t>
      </w:r>
      <w:r>
        <w:rPr>
          <w:rStyle w:val="FootnoteAnchor"/>
          <w:rtl w:val="true"/>
        </w:rPr>
        <w:footnoteReference w:id="2044"/>
      </w:r>
      <w:r>
        <w:rPr>
          <w:rFonts w:ascii="Amiri" w:hAnsi="Amiri" w:eastAsia="Amiri" w:cs="Amiri"/>
          <w:color w:val="111111"/>
          <w:sz w:val="28"/>
          <w:sz w:val="28"/>
          <w:szCs w:val="28"/>
          <w:rtl w:val="true"/>
          <w:lang w:bidi="ar-SA"/>
        </w:rPr>
        <w:t>الدليلُ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بَينَنا في أنّ هذا العُمومَ مخصوصٌ؛ لأنّ إطلاقَه يَقتَضي دخولَ الكُفّارِ و المَماليكِ، و أنتم لا تَحجُبونَ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الثُّلُثِ إلَى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بالإخوةِ الكُفّارِ أو المَماليكِ</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8039889_1280447820"/>
      <w:bookmarkStart w:id="595" w:name="_Toc219"/>
      <w:bookmarkEnd w:id="594"/>
      <w:r>
        <w:rPr>
          <w:rtl w:val="true"/>
        </w:rPr>
        <w:t>المَسألةُ التاسعةُ و الثمانونَ مَن يَرِثُ مَعَ الوَلَدِ</w:t>
      </w:r>
      <w:bookmarkEnd w:id="59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لا يَرِثُ مع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Style w:val="FootnoteAnchor"/>
          <w:rtl w:val="true"/>
        </w:rPr>
        <w:footnoteReference w:id="2045"/>
      </w:r>
      <w:r>
        <w:rPr>
          <w:rFonts w:ascii="Amiri" w:hAnsi="Amiri" w:eastAsia="Amiri" w:cs="Amiri"/>
          <w:color w:val="111111"/>
          <w:sz w:val="28"/>
          <w:sz w:val="28"/>
          <w:szCs w:val="28"/>
          <w:rtl w:val="true"/>
          <w:lang w:bidi="ar-SA"/>
        </w:rPr>
        <w:t>مِن خَلقِ اللّٰهِ تَعالىٰ إلّاالأبَوانِ، و الزوجُ، و الزوجةُ</w:t>
      </w:r>
      <w:r>
        <w:rPr>
          <w:rFonts w:eastAsia="Amiri" w:cs="Amiri" w:ascii="Amiri" w:hAnsi="Amiri"/>
          <w:color w:val="111111"/>
          <w:sz w:val="28"/>
          <w:szCs w:val="28"/>
          <w:rtl w:val="true"/>
          <w:lang w:bidi="ar-SA"/>
        </w:rPr>
        <w:t>.</w:t>
      </w:r>
      <w:r>
        <w:rPr>
          <w:rStyle w:val="FootnoteAnchor"/>
          <w:rtl w:val="true"/>
        </w:rPr>
        <w:footnoteReference w:id="2046"/>
      </w:r>
      <w:bookmarkStart w:id="596" w:name="pg16437_172656"/>
    </w:p>
    <w:p>
      <w:pPr>
        <w:pStyle w:val="BookText"/>
        <w:rPr/>
      </w:pPr>
      <w:bookmarkEnd w:id="596"/>
      <w:r>
        <w:rPr>
          <w:rFonts w:ascii="Amiri" w:hAnsi="Amiri" w:eastAsia="Amiri" w:cs="Amiri"/>
          <w:color w:val="111111"/>
          <w:sz w:val="28"/>
          <w:sz w:val="28"/>
          <w:szCs w:val="28"/>
          <w:rtl w:val="true"/>
          <w:lang w:bidi="ar-SA"/>
        </w:rPr>
        <w:t>و هذا أيضاً في الإجماعِ الذي تَقدَّمَ ذِكرُه</w:t>
      </w:r>
      <w:r>
        <w:rPr>
          <w:rStyle w:val="FootnoteAnchor"/>
          <w:rtl w:val="true"/>
        </w:rPr>
        <w:footnoteReference w:id="2047"/>
      </w:r>
      <w:r>
        <w:rPr>
          <w:rFonts w:ascii="Amiri" w:hAnsi="Amiri" w:eastAsia="Amiri" w:cs="Amiri"/>
          <w:color w:val="111111"/>
          <w:sz w:val="28"/>
          <w:sz w:val="28"/>
          <w:szCs w:val="28"/>
          <w:rtl w:val="true"/>
          <w:lang w:bidi="ar-SA"/>
        </w:rPr>
        <w:t>، و 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بالإجماعِ أنّه لَيسَ للإخوةِ و الأخَواتِ مع الوَلَدِ الذَّكَرِ نَصيبٌ، و ما مَنَعَ مع وجودِ الذَّكَرِ مِن نَصيبٍ له هو مانعٌ مع</w:t>
      </w:r>
      <w:r>
        <w:rPr>
          <w:rStyle w:val="FootnoteAnchor"/>
          <w:rtl w:val="true"/>
        </w:rPr>
        <w:footnoteReference w:id="2048"/>
      </w:r>
      <w:r>
        <w:rPr>
          <w:rFonts w:ascii="Amiri" w:hAnsi="Amiri" w:eastAsia="Amiri" w:cs="Amiri"/>
          <w:color w:val="111111"/>
          <w:sz w:val="28"/>
          <w:sz w:val="28"/>
          <w:szCs w:val="28"/>
          <w:rtl w:val="true"/>
          <w:lang w:bidi="ar-SA"/>
        </w:rPr>
        <w:t>وجودِ الأُنثىٰ؛ لأنّهما جميعاً وَلَدانِ في الميراثِ، و يُنزَّلانِ مَنزِلةً واحدةً</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8039891_1280447820"/>
      <w:bookmarkStart w:id="598" w:name="_Toc220"/>
      <w:bookmarkEnd w:id="597"/>
      <w:r>
        <w:rPr>
          <w:rtl w:val="true"/>
        </w:rPr>
        <w:t>المَسألةُ التسعونَ حقيقةُ الحَبوةِ‌</w:t>
      </w:r>
      <w:bookmarkEnd w:id="598"/>
    </w:p>
    <w:p>
      <w:pPr>
        <w:pStyle w:val="BookText"/>
        <w:rPr/>
      </w:pPr>
      <w:r>
        <w:rPr>
          <w:rFonts w:ascii="Amiri" w:hAnsi="Amiri" w:eastAsia="Amiri" w:cs="Amiri"/>
          <w:color w:val="111111"/>
          <w:sz w:val="28"/>
          <w:sz w:val="28"/>
          <w:szCs w:val="28"/>
          <w:rtl w:val="true"/>
          <w:lang w:bidi="ar-SA"/>
        </w:rPr>
        <w:t>المَسألةُ التسعونَ حقيقةُ الحَبوةِ‌</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و إنّ الوَلَدَ الأكبَرَ يَفضُلُ علىٰ مَن دونَه مِن الأولادِ الذُّكورِ الوُرّاثِ‌</w:t>
      </w:r>
      <w:r>
        <w:rPr>
          <w:rStyle w:val="FootnoteAnchor"/>
          <w:rtl w:val="true"/>
        </w:rPr>
        <w:footnoteReference w:id="2050"/>
      </w:r>
      <w:r>
        <w:rPr>
          <w:rFonts w:ascii="Amiri" w:hAnsi="Amiri" w:eastAsia="Amiri" w:cs="Amiri"/>
          <w:color w:val="111111"/>
          <w:sz w:val="28"/>
          <w:sz w:val="28"/>
          <w:szCs w:val="28"/>
          <w:rtl w:val="true"/>
          <w:lang w:bidi="ar-SA"/>
        </w:rPr>
        <w:t>، بالسَّيفِ و المُصحَفِ و الخاتَمِ، إن كانَ ذلكَ في التَّرِكةِ أو شَيءٌ‌</w:t>
      </w:r>
      <w:r>
        <w:rPr>
          <w:rStyle w:val="FootnoteAnchor"/>
          <w:rtl w:val="true"/>
        </w:rPr>
        <w:footnoteReference w:id="2051"/>
      </w:r>
      <w:r>
        <w:rPr>
          <w:rFonts w:ascii="Amiri" w:hAnsi="Amiri" w:eastAsia="Amiri" w:cs="Amiri"/>
          <w:color w:val="111111"/>
          <w:sz w:val="28"/>
          <w:sz w:val="28"/>
          <w:szCs w:val="28"/>
          <w:rtl w:val="true"/>
          <w:lang w:bidi="ar-SA"/>
        </w:rPr>
        <w:t>منه؛ و لا يَفضُلُ بغَيرِه إن لَم يَكُن</w:t>
      </w:r>
      <w:r>
        <w:rPr>
          <w:rFonts w:eastAsia="Amiri" w:cs="Amiri" w:ascii="Amiri" w:hAnsi="Amiri"/>
          <w:color w:val="111111"/>
          <w:sz w:val="28"/>
          <w:szCs w:val="28"/>
          <w:rtl w:val="true"/>
          <w:lang w:bidi="ar-SA"/>
        </w:rPr>
        <w:t>.</w:t>
      </w:r>
      <w:r>
        <w:rPr>
          <w:rStyle w:val="FootnoteAnchor"/>
          <w:rtl w:val="true"/>
        </w:rPr>
        <w:footnoteReference w:id="205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أصحابَنا يَرَونَ‌</w:t>
      </w:r>
      <w:r>
        <w:rPr>
          <w:rStyle w:val="FootnoteAnchor"/>
          <w:rtl w:val="true"/>
        </w:rPr>
        <w:footnoteReference w:id="2053"/>
      </w:r>
      <w:r>
        <w:rPr>
          <w:rFonts w:ascii="Amiri" w:hAnsi="Amiri" w:eastAsia="Amiri" w:cs="Amiri"/>
          <w:color w:val="111111"/>
          <w:sz w:val="28"/>
          <w:sz w:val="28"/>
          <w:szCs w:val="28"/>
          <w:rtl w:val="true"/>
          <w:lang w:bidi="ar-SA"/>
        </w:rPr>
        <w:t>اختصاصَ الذَّكَرِ الأكبَرِ بما يُخلِّفُه</w:t>
      </w:r>
      <w:r>
        <w:rPr>
          <w:rStyle w:val="FootnoteAnchor"/>
          <w:rtl w:val="true"/>
        </w:rPr>
        <w:footnoteReference w:id="2054"/>
      </w:r>
      <w:r>
        <w:rPr>
          <w:rFonts w:ascii="Amiri" w:hAnsi="Amiri" w:eastAsia="Amiri" w:cs="Amiri"/>
          <w:color w:val="111111"/>
          <w:sz w:val="28"/>
          <w:sz w:val="28"/>
          <w:szCs w:val="28"/>
          <w:rtl w:val="true"/>
          <w:lang w:bidi="ar-SA"/>
        </w:rPr>
        <w:t>الميِّتُ مِن السَّيفِ و المُصحَفِ و الخاتَمِ</w:t>
      </w:r>
      <w:r>
        <w:rPr>
          <w:rFonts w:eastAsia="Amiri" w:cs="Amiri" w:ascii="Amiri" w:hAnsi="Amiri"/>
          <w:color w:val="111111"/>
          <w:sz w:val="28"/>
          <w:szCs w:val="28"/>
          <w:rtl w:val="true"/>
          <w:lang w:bidi="ar-SA"/>
        </w:rPr>
        <w:t>.</w:t>
      </w:r>
      <w:r>
        <w:rPr>
          <w:rStyle w:val="FootnoteAnchor"/>
          <w:rtl w:val="true"/>
        </w:rPr>
        <w:footnoteReference w:id="2055"/>
      </w:r>
      <w:r>
        <w:rPr>
          <w:rFonts w:ascii="Amiri" w:hAnsi="Amiri" w:eastAsia="Amiri" w:cs="Amiri"/>
          <w:color w:val="111111"/>
          <w:sz w:val="28"/>
          <w:sz w:val="28"/>
          <w:szCs w:val="28"/>
          <w:rtl w:val="true"/>
          <w:lang w:bidi="ar-SA"/>
        </w:rPr>
        <w:t>و قد وَرَدَت</w:t>
      </w:r>
      <w:r>
        <w:rPr>
          <w:rStyle w:val="FootnoteAnchor"/>
          <w:rtl w:val="true"/>
        </w:rPr>
        <w:footnoteReference w:id="2056"/>
      </w:r>
      <w:r>
        <w:rPr>
          <w:rFonts w:ascii="Amiri" w:hAnsi="Amiri" w:eastAsia="Amiri" w:cs="Amiri"/>
          <w:color w:val="111111"/>
          <w:sz w:val="28"/>
          <w:sz w:val="28"/>
          <w:szCs w:val="28"/>
          <w:rtl w:val="true"/>
          <w:lang w:bidi="ar-SA"/>
        </w:rPr>
        <w:t>بذلكَ أخبارٌ معروفةٌ</w:t>
      </w:r>
      <w:r>
        <w:rPr>
          <w:rFonts w:eastAsia="Amiri" w:cs="Amiri" w:ascii="Amiri" w:hAnsi="Amiri"/>
          <w:color w:val="111111"/>
          <w:sz w:val="28"/>
          <w:szCs w:val="28"/>
          <w:rtl w:val="true"/>
          <w:lang w:bidi="ar-SA"/>
        </w:rPr>
        <w:t>.</w:t>
      </w:r>
      <w:r>
        <w:rPr>
          <w:rStyle w:val="FootnoteAnchor"/>
          <w:rtl w:val="true"/>
        </w:rPr>
        <w:footnoteReference w:id="2057"/>
      </w:r>
      <w:bookmarkStart w:id="599" w:name="pg16437_172657"/>
    </w:p>
    <w:p>
      <w:pPr>
        <w:pStyle w:val="BookText"/>
        <w:rPr/>
      </w:pPr>
      <w:bookmarkEnd w:id="599"/>
      <w:r>
        <w:rPr>
          <w:rFonts w:ascii="Amiri" w:hAnsi="Amiri" w:eastAsia="Amiri" w:cs="Amiri"/>
          <w:color w:val="111111"/>
          <w:sz w:val="28"/>
          <w:sz w:val="28"/>
          <w:szCs w:val="28"/>
          <w:rtl w:val="true"/>
          <w:lang w:bidi="ar-SA"/>
        </w:rPr>
        <w:t>و الذي أَراه و</w:t>
      </w:r>
      <w:r>
        <w:rPr>
          <w:rStyle w:val="FootnoteAnchor"/>
          <w:rtl w:val="true"/>
        </w:rPr>
        <w:footnoteReference w:id="2058"/>
      </w:r>
      <w:r>
        <w:rPr>
          <w:rFonts w:ascii="Amiri" w:hAnsi="Amiri" w:eastAsia="Amiri" w:cs="Amiri"/>
          <w:color w:val="111111"/>
          <w:sz w:val="28"/>
          <w:sz w:val="28"/>
          <w:szCs w:val="28"/>
          <w:rtl w:val="true"/>
          <w:lang w:bidi="ar-SA"/>
        </w:rPr>
        <w:t>يَقوىٰ عِندي أن</w:t>
      </w:r>
      <w:r>
        <w:rPr>
          <w:rStyle w:val="FootnoteAnchor"/>
          <w:rtl w:val="true"/>
        </w:rPr>
        <w:footnoteReference w:id="2059"/>
      </w:r>
      <w:r>
        <w:rPr>
          <w:rFonts w:ascii="Amiri" w:hAnsi="Amiri" w:eastAsia="Amiri" w:cs="Amiri"/>
          <w:color w:val="111111"/>
          <w:sz w:val="28"/>
          <w:sz w:val="28"/>
          <w:szCs w:val="28"/>
          <w:rtl w:val="true"/>
          <w:lang w:bidi="ar-SA"/>
        </w:rPr>
        <w:t>لا نَترُكَ عُمومَ الكتابِ بأخبارِ الآحادِ، 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وَ إِنْ كٰانَتْ وٰاحِدَةً فَلَهَا اَلنِّصْفُ</w:t>
      </w:r>
      <w:r>
        <w:rPr>
          <w:rFonts w:eastAsia="Amiri" w:cs="Amiri" w:ascii="Amiri" w:hAnsi="Amiri"/>
          <w:color w:val="111111"/>
          <w:sz w:val="28"/>
          <w:szCs w:val="28"/>
          <w:rtl w:val="true"/>
          <w:lang w:bidi="ar-SA"/>
        </w:rPr>
        <w:t xml:space="preserve">» </w:t>
      </w:r>
      <w:r>
        <w:rPr>
          <w:rStyle w:val="FootnoteAnchor"/>
          <w:rtl w:val="true"/>
        </w:rPr>
        <w:footnoteReference w:id="2060"/>
      </w:r>
      <w:r>
        <w:rPr>
          <w:rFonts w:ascii="Amiri" w:hAnsi="Amiri" w:eastAsia="Amiri" w:cs="Amiri"/>
          <w:color w:val="111111"/>
          <w:sz w:val="28"/>
          <w:sz w:val="28"/>
          <w:szCs w:val="28"/>
          <w:rtl w:val="true"/>
          <w:lang w:bidi="ar-SA"/>
        </w:rPr>
        <w:t>في المطبوع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r>
        <w:rPr>
          <w:rStyle w:val="FootnoteAnchor"/>
          <w:rtl w:val="true"/>
        </w:rPr>
        <w:footnoteReference w:id="2061"/>
      </w:r>
      <w:r>
        <w:rPr>
          <w:rFonts w:ascii="Amiri" w:hAnsi="Amiri" w:eastAsia="Amiri" w:cs="Amiri"/>
          <w:color w:val="111111"/>
          <w:sz w:val="28"/>
          <w:sz w:val="28"/>
          <w:szCs w:val="28"/>
          <w:rtl w:val="true"/>
          <w:lang w:bidi="ar-SA"/>
        </w:rPr>
        <w:t>و ظاهرُ هذا الكلامِ يَقتَضي بُطلانَ هذا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عِندي أن يَكونَ هذا التخصيصُ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يُفرَدَ بهذه الأشياءِ الوَلَدُ الأكبَرُ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تُحسَبَ عليه مِن نَصيبِه؛ لأنّه أحَقُّ بها مِن النساءِ و الأَصاغِرِ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الأخبارِ المَرويّةِ أنّه يَختَصُّ بها و لا تُحسَبُ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مِن قولِهم أنّهم يُفضِّلونَه بذلكَ، و هذا لَفظُ أخبارِهم؛ و إذا حُسِبَ قيمةُ ذلكَ فلا 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ثابتٌ علىٰ كُلِّ حالٍ؛ لأنّه إذا خُصَّ بتسليمِ ذلكَ إليه و أُفرِدَ به و مُنِعَ غيرُه منه، فقد فُضِّلَ به و إن حُسِبَ عليه</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8039893_1280447820"/>
      <w:bookmarkStart w:id="601" w:name="_Toc221"/>
      <w:bookmarkEnd w:id="600"/>
      <w:r>
        <w:rPr>
          <w:rtl w:val="true"/>
        </w:rPr>
        <w:t>المَسألةُ الحاديةُ و التسعونَ وَلَدُ الصُّلبِ يَحجُبُ مَن دونَه</w:t>
      </w:r>
      <w:bookmarkEnd w:id="601"/>
    </w:p>
    <w:p>
      <w:pPr>
        <w:pStyle w:val="BookText"/>
        <w:rPr/>
      </w:pPr>
      <w:r>
        <w:rPr>
          <w:rFonts w:ascii="Amiri" w:hAnsi="Amiri" w:eastAsia="Amiri" w:cs="Amiri"/>
          <w:color w:val="111111"/>
          <w:sz w:val="28"/>
          <w:sz w:val="28"/>
          <w:szCs w:val="28"/>
          <w:rtl w:val="true"/>
          <w:lang w:bidi="ar-SA"/>
        </w:rPr>
        <w:t>و إنّ وَلَدَ الصُّلبِ يَحجُبُ مَن دونَه سُفلاً؛ ذَكَراً كانَ أو أُنثىٰ</w:t>
      </w:r>
      <w:r>
        <w:rPr>
          <w:rFonts w:eastAsia="Amiri" w:cs="Amiri" w:ascii="Amiri" w:hAnsi="Amiri"/>
          <w:color w:val="111111"/>
          <w:sz w:val="28"/>
          <w:szCs w:val="28"/>
          <w:rtl w:val="true"/>
          <w:lang w:bidi="ar-SA"/>
        </w:rPr>
        <w:t>.</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و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لا خِلافَ في أنّ وَلَدَ الصُّلبِ الذَّكَرَ</w:t>
      </w:r>
      <w:r>
        <w:rPr>
          <w:rStyle w:val="FootnoteAnchor"/>
          <w:rtl w:val="true"/>
        </w:rPr>
        <w:footnoteReference w:id="2063"/>
      </w:r>
      <w:r>
        <w:rPr>
          <w:rFonts w:ascii="Amiri" w:hAnsi="Amiri" w:eastAsia="Amiri" w:cs="Amiri"/>
          <w:color w:val="111111"/>
          <w:sz w:val="28"/>
          <w:sz w:val="28"/>
          <w:szCs w:val="28"/>
          <w:rtl w:val="true"/>
          <w:lang w:bidi="ar-SA"/>
        </w:rPr>
        <w:t>يَحجُبُ مَن دونَه؛ لأنّه وَلَدٌ، فكذلكَ‌</w:t>
      </w:r>
      <w:r>
        <w:rPr>
          <w:rStyle w:val="FootnoteAnchor"/>
          <w:rtl w:val="true"/>
        </w:rPr>
        <w:footnoteReference w:id="2064"/>
      </w:r>
      <w:r>
        <w:rPr>
          <w:rFonts w:ascii="Amiri" w:hAnsi="Amiri" w:eastAsia="Amiri" w:cs="Amiri"/>
          <w:color w:val="111111"/>
          <w:sz w:val="28"/>
          <w:sz w:val="28"/>
          <w:szCs w:val="28"/>
          <w:rtl w:val="true"/>
          <w:lang w:bidi="ar-SA"/>
        </w:rPr>
        <w:t>الأُنثىٰ</w:t>
      </w:r>
      <w:r>
        <w:rPr>
          <w:rFonts w:eastAsia="Amiri" w:cs="Amiri" w:ascii="Amiri" w:hAnsi="Amiri"/>
          <w:color w:val="111111"/>
          <w:sz w:val="28"/>
          <w:szCs w:val="28"/>
          <w:rtl w:val="true"/>
          <w:lang w:bidi="ar-SA"/>
        </w:rPr>
        <w:t xml:space="preserve">. </w:t>
      </w:r>
      <w:bookmarkStart w:id="602" w:name="pg16437_172658"/>
    </w:p>
    <w:p>
      <w:pPr>
        <w:pStyle w:val="Heading5"/>
        <w:numPr>
          <w:ilvl w:val="4"/>
          <w:numId w:val="1"/>
        </w:numPr>
        <w:rPr/>
      </w:pPr>
      <w:bookmarkStart w:id="603" w:name="__RefHeading___Toc8039895_1280447820"/>
      <w:bookmarkStart w:id="604" w:name="_Toc222"/>
      <w:bookmarkEnd w:id="602"/>
      <w:bookmarkEnd w:id="603"/>
      <w:r>
        <w:rPr>
          <w:rtl w:val="true"/>
        </w:rPr>
        <w:t>المَسألةُ الثانيةُ و التسعونَ الزوجُ يَرِثُ مِن الزوجةِ‌</w:t>
      </w:r>
      <w:bookmarkEnd w:id="604"/>
    </w:p>
    <w:p>
      <w:pPr>
        <w:pStyle w:val="BookText"/>
        <w:rPr/>
      </w:pPr>
      <w:r>
        <w:rPr>
          <w:rFonts w:ascii="Amiri" w:hAnsi="Amiri" w:eastAsia="Amiri" w:cs="Amiri"/>
          <w:color w:val="111111"/>
          <w:sz w:val="28"/>
          <w:sz w:val="28"/>
          <w:szCs w:val="28"/>
          <w:rtl w:val="true"/>
          <w:lang w:bidi="ar-SA"/>
        </w:rPr>
        <w:t>و إنّ‌</w:t>
      </w:r>
      <w:r>
        <w:rPr>
          <w:rStyle w:val="FootnoteAnchor"/>
          <w:rtl w:val="true"/>
        </w:rPr>
        <w:footnoteReference w:id="2065"/>
      </w:r>
      <w:r>
        <w:rPr>
          <w:rFonts w:ascii="Amiri" w:hAnsi="Amiri" w:eastAsia="Amiri" w:cs="Amiri"/>
          <w:color w:val="111111"/>
          <w:sz w:val="28"/>
          <w:sz w:val="28"/>
          <w:szCs w:val="28"/>
          <w:rtl w:val="true"/>
          <w:lang w:bidi="ar-SA"/>
        </w:rPr>
        <w:t xml:space="preserve">المَرأةَ إذا تُوُفّيَت، و خَلَّفَت زَوجاً لَم تُخلِّفْ وارثاً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عَصَبةٍ و لا ذي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كُلَّه له؛ نِصفاً بحَقِّه، و الباقي بالردِّ</w:t>
      </w:r>
      <w:r>
        <w:rPr>
          <w:rFonts w:eastAsia="Amiri" w:cs="Amiri" w:ascii="Amiri" w:hAnsi="Amiri"/>
          <w:color w:val="111111"/>
          <w:sz w:val="28"/>
          <w:szCs w:val="28"/>
          <w:rtl w:val="true"/>
          <w:lang w:bidi="ar-SA"/>
        </w:rPr>
        <w:t>.</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و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الزوجَ عندَ عَدَمِ وُرّاثِ‌</w:t>
      </w:r>
      <w:r>
        <w:rPr>
          <w:rStyle w:val="FootnoteAnchor"/>
          <w:rtl w:val="true"/>
        </w:rPr>
        <w:footnoteReference w:id="2067"/>
      </w:r>
      <w:r>
        <w:rPr>
          <w:rFonts w:ascii="Amiri" w:hAnsi="Amiri" w:eastAsia="Amiri" w:cs="Amiri"/>
          <w:color w:val="111111"/>
          <w:sz w:val="28"/>
          <w:sz w:val="28"/>
          <w:szCs w:val="28"/>
          <w:rtl w:val="true"/>
          <w:lang w:bidi="ar-SA"/>
        </w:rPr>
        <w:t>هذه المرأةِ و عَصَبَتِها قد جَرىٰ مَجرَى العَصَبةِ لها، و سَبيلُه سَبيلُ وَلَدِ المُلاعَنةِ لمّا انتَفىٰ منه أبوه الذي هو عَصَبَتُه و مِن جِهةٍ عاقِلَتُه، فبَقيَ لا عَصَبةَ له و لا عاقِلةَ، فجُعِلَت عَصَبةُ أُمِّه عَصَبةً يَعقِلونَ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هذه المَرأةُ التي لا عَصَبةٌ لها و لا ذو رَحِمٍ غيرُ زَوجِها، وُضِعَت مَوضِعَ ولدِها الذي يُعصِّبُ أبوه عنه و يَعقِلُ؛ و لمّا كانَ أبوه الذي هو زَوجُها يُعصِّبُ عن ابنِها، جازَ أن يَكونَ مُعصِّباً عنها و عاقلاً و غارماً لجِنايتِها عندَ عَدَمِ‌</w:t>
      </w:r>
      <w:r>
        <w:rPr>
          <w:rStyle w:val="FootnoteAnchor"/>
          <w:rtl w:val="true"/>
        </w:rPr>
        <w:footnoteReference w:id="2068"/>
      </w:r>
      <w:r>
        <w:rPr>
          <w:rFonts w:ascii="Amiri" w:hAnsi="Amiri" w:eastAsia="Amiri" w:cs="Amiri"/>
          <w:color w:val="111111"/>
          <w:sz w:val="28"/>
          <w:sz w:val="28"/>
          <w:szCs w:val="28"/>
          <w:rtl w:val="true"/>
          <w:lang w:bidi="ar-SA"/>
        </w:rPr>
        <w:t>عَصَبتِها</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8039897_1280447820"/>
      <w:bookmarkStart w:id="606" w:name="_Toc223"/>
      <w:bookmarkEnd w:id="605"/>
      <w:r>
        <w:rPr>
          <w:rtl w:val="true"/>
        </w:rPr>
        <w:t>المَسألةُ الثالثةُ و التسعونَ المَرأةُ لا تَرِثُ مِن الرِّباعِ‌</w:t>
      </w:r>
      <w:bookmarkEnd w:id="60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المَرأةَ‌</w:t>
      </w:r>
      <w:r>
        <w:rPr>
          <w:rStyle w:val="FootnoteAnchor"/>
          <w:rtl w:val="true"/>
        </w:rPr>
        <w:footnoteReference w:id="2069"/>
      </w:r>
      <w:r>
        <w:rPr>
          <w:rFonts w:ascii="Amiri" w:hAnsi="Amiri" w:eastAsia="Amiri" w:cs="Amiri"/>
          <w:color w:val="111111"/>
          <w:sz w:val="28"/>
          <w:sz w:val="28"/>
          <w:szCs w:val="28"/>
          <w:rtl w:val="true"/>
          <w:lang w:bidi="ar-SA"/>
        </w:rPr>
        <w:t>لا تَرِثُ مِن الرِّباعِ‌</w:t>
      </w:r>
      <w:r>
        <w:rPr>
          <w:rStyle w:val="FootnoteAnchor"/>
          <w:rtl w:val="true"/>
        </w:rPr>
        <w:footnoteReference w:id="2070"/>
      </w:r>
      <w:r>
        <w:rPr>
          <w:rFonts w:ascii="Amiri" w:hAnsi="Amiri" w:eastAsia="Amiri" w:cs="Amiri"/>
          <w:color w:val="111111"/>
          <w:sz w:val="28"/>
          <w:sz w:val="28"/>
          <w:szCs w:val="28"/>
          <w:rtl w:val="true"/>
          <w:lang w:bidi="ar-SA"/>
        </w:rPr>
        <w:t>شَيئاً، و لكِنْ تُعطىٰ حَقَّها بالقيمةِ مِن البِناءِ و الآلاتِ</w:t>
      </w:r>
      <w:r>
        <w:rPr>
          <w:rFonts w:eastAsia="Amiri" w:cs="Amiri" w:ascii="Amiri" w:hAnsi="Amiri"/>
          <w:color w:val="111111"/>
          <w:sz w:val="28"/>
          <w:szCs w:val="28"/>
          <w:rtl w:val="true"/>
          <w:lang w:bidi="ar-SA"/>
        </w:rPr>
        <w:t>.</w:t>
      </w:r>
      <w:r>
        <w:rPr>
          <w:rStyle w:val="FootnoteAnchor"/>
          <w:rtl w:val="true"/>
        </w:rPr>
        <w:footnoteReference w:id="2071"/>
      </w:r>
      <w:bookmarkStart w:id="607" w:name="pg16437_172659"/>
    </w:p>
    <w:p>
      <w:pPr>
        <w:pStyle w:val="BookText"/>
        <w:rPr/>
      </w:pPr>
      <w:bookmarkEnd w:id="607"/>
      <w:r>
        <w:rPr>
          <w:rFonts w:ascii="Amiri" w:hAnsi="Amiri" w:eastAsia="Amiri" w:cs="Amiri"/>
          <w:color w:val="111111"/>
          <w:sz w:val="28"/>
          <w:sz w:val="28"/>
          <w:szCs w:val="28"/>
          <w:rtl w:val="true"/>
          <w:lang w:bidi="ar-SA"/>
        </w:rPr>
        <w:t>و الذي أقولُه في هذه المَسألةِ و يَقوىٰ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لا تُعطىٰ مِن الرِّباعِ شَيئاً، و إن أُعطيَت عِوَضاً عن</w:t>
      </w:r>
      <w:r>
        <w:rPr>
          <w:rStyle w:val="FootnoteAnchor"/>
          <w:rtl w:val="true"/>
        </w:rPr>
        <w:footnoteReference w:id="2072"/>
      </w:r>
      <w:r>
        <w:rPr>
          <w:rFonts w:ascii="Amiri" w:hAnsi="Amiri" w:eastAsia="Amiri" w:cs="Amiri"/>
          <w:color w:val="111111"/>
          <w:sz w:val="28"/>
          <w:sz w:val="28"/>
          <w:szCs w:val="28"/>
          <w:rtl w:val="true"/>
          <w:lang w:bidi="ar-SA"/>
        </w:rPr>
        <w:t>قيمتِه من غيرِها؛ لأنّها مُعرَّضةٌ للأزواجِ، و لأِنْ‌</w:t>
      </w:r>
      <w:r>
        <w:rPr>
          <w:rStyle w:val="FootnoteAnchor"/>
          <w:rtl w:val="true"/>
        </w:rPr>
        <w:footnoteReference w:id="2073"/>
      </w:r>
      <w:r>
        <w:rPr>
          <w:rFonts w:ascii="Amiri" w:hAnsi="Amiri" w:eastAsia="Amiri" w:cs="Amiri"/>
          <w:color w:val="111111"/>
          <w:sz w:val="28"/>
          <w:sz w:val="28"/>
          <w:szCs w:val="28"/>
          <w:rtl w:val="true"/>
          <w:lang w:bidi="ar-SA"/>
        </w:rPr>
        <w:t>يَسكُنَ في رِباعِ الميِّتِ غيرُه ممّن تَستَجِدُّ مِن أزواجِها</w:t>
      </w:r>
      <w:r>
        <w:rPr>
          <w:rStyle w:val="FootnoteAnchor"/>
          <w:rtl w:val="true"/>
        </w:rPr>
        <w:footnoteReference w:id="2074"/>
      </w:r>
      <w:r>
        <w:rPr>
          <w:rFonts w:ascii="Amiri" w:hAnsi="Amiri" w:eastAsia="Amiri" w:cs="Amiri"/>
          <w:color w:val="111111"/>
          <w:sz w:val="28"/>
          <w:sz w:val="28"/>
          <w:szCs w:val="28"/>
          <w:rtl w:val="true"/>
          <w:lang w:bidi="ar-SA"/>
        </w:rPr>
        <w:t>فإذا أُعطيَت</w:t>
      </w:r>
      <w:r>
        <w:rPr>
          <w:rStyle w:val="FootnoteAnchor"/>
          <w:rtl w:val="true"/>
        </w:rPr>
        <w:footnoteReference w:id="2075"/>
      </w:r>
      <w:r>
        <w:rPr>
          <w:rFonts w:ascii="Amiri" w:hAnsi="Amiri" w:eastAsia="Amiri" w:cs="Amiri"/>
          <w:color w:val="111111"/>
          <w:sz w:val="28"/>
          <w:sz w:val="28"/>
          <w:szCs w:val="28"/>
          <w:rtl w:val="true"/>
          <w:lang w:bidi="ar-SA"/>
        </w:rPr>
        <w:t>حَقَّها</w:t>
      </w:r>
      <w:r>
        <w:rPr>
          <w:rStyle w:val="FootnoteAnchor"/>
          <w:rtl w:val="true"/>
        </w:rPr>
        <w:footnoteReference w:id="2076"/>
      </w:r>
      <w:r>
        <w:rPr>
          <w:rFonts w:ascii="Amiri" w:hAnsi="Amiri" w:eastAsia="Amiri" w:cs="Amiri"/>
          <w:color w:val="111111"/>
          <w:sz w:val="28"/>
          <w:sz w:val="28"/>
          <w:szCs w:val="28"/>
          <w:rtl w:val="true"/>
          <w:lang w:bidi="ar-SA"/>
        </w:rPr>
        <w:t>مِن قيمةِ الرِّباعِ، وَصَلَت إلَى الحَقِّ، و زالَ ثِقَلُ إسكانِ الغَيرِ في</w:t>
      </w:r>
      <w:r>
        <w:rPr>
          <w:rStyle w:val="FootnoteAnchor"/>
          <w:rtl w:val="true"/>
        </w:rPr>
        <w:footnoteReference w:id="2077"/>
      </w:r>
      <w:r>
        <w:rPr>
          <w:rFonts w:ascii="Amiri" w:hAnsi="Amiri" w:eastAsia="Amiri" w:cs="Amiri"/>
          <w:color w:val="111111"/>
          <w:sz w:val="28"/>
          <w:sz w:val="28"/>
          <w:szCs w:val="28"/>
          <w:rtl w:val="true"/>
          <w:lang w:bidi="ar-SA"/>
        </w:rPr>
        <w:t>مَساكِنِ المُتَوَفّىٰ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جَرىٰ ذلكَ مَجرىٰ ما قُلناه في تفضيلِ الوَلَدِ الأكبَرِ بالخاتَمِ و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ذلكَ لأنّ اللّٰهَ تَعالىٰ قد جَعَلَ لها الرُّبُعَ مِن التَّرِكةِ ثُمَّ الثُّمُنَ، و لَم يَستَثنِ شَيئاً، فلا يَجوزُ تخصيصُ ذلكَ إلّابدليلٍ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المَرويُّ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تُوَرَّثُ مِن الرِّباع</w:t>
      </w:r>
      <w:r>
        <w:rPr>
          <w:rFonts w:eastAsia="Amiri" w:cs="Amiri" w:ascii="Amiri" w:hAnsi="Amiri"/>
          <w:color w:val="111111"/>
          <w:sz w:val="28"/>
          <w:szCs w:val="28"/>
          <w:rtl w:val="true"/>
          <w:lang w:bidi="ar-SA"/>
        </w:rPr>
        <w:t>»</w:t>
      </w:r>
      <w:r>
        <w:rPr>
          <w:rStyle w:val="FootnoteAnchor"/>
          <w:rtl w:val="true"/>
        </w:rPr>
        <w:footnoteReference w:id="2078"/>
      </w:r>
      <w:r>
        <w:rPr>
          <w:rFonts w:ascii="Amiri" w:hAnsi="Amiri" w:eastAsia="Amiri" w:cs="Amiri"/>
          <w:color w:val="111111"/>
          <w:sz w:val="28"/>
          <w:sz w:val="28"/>
          <w:szCs w:val="28"/>
          <w:rtl w:val="true"/>
          <w:lang w:bidi="ar-SA"/>
        </w:rPr>
        <w:t>يَجوزُ أن يَكونَ محمولاً علىٰ ما ذَكَرناه</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8039899_1280447820"/>
      <w:bookmarkStart w:id="609" w:name="_Toc224"/>
      <w:bookmarkEnd w:id="608"/>
      <w:r>
        <w:rPr>
          <w:rtl w:val="true"/>
        </w:rPr>
        <w:t>المسألةُ الرابعةُ و التسعونَ إرثُ الإخوةِ و الأخَواتِ مِن الأبِ خاصّةً‌</w:t>
      </w:r>
      <w:bookmarkEnd w:id="60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لا إرثَ‌</w:t>
      </w:r>
      <w:r>
        <w:rPr>
          <w:rStyle w:val="FootnoteAnchor"/>
          <w:rtl w:val="true"/>
        </w:rPr>
        <w:footnoteReference w:id="2079"/>
      </w:r>
      <w:r>
        <w:rPr>
          <w:rFonts w:ascii="Amiri" w:hAnsi="Amiri" w:eastAsia="Amiri" w:cs="Amiri"/>
          <w:color w:val="111111"/>
          <w:sz w:val="28"/>
          <w:sz w:val="28"/>
          <w:szCs w:val="28"/>
          <w:rtl w:val="true"/>
          <w:lang w:bidi="ar-SA"/>
        </w:rPr>
        <w:t xml:space="preserve">للإخوةِ و الأخَواتِ مِن الأبِ خاصّةً، إذا كانَ إخوةٌ و أخَواتٌ لأبٍ </w:t>
      </w:r>
      <w:bookmarkStart w:id="610" w:name="pg16437_172660"/>
    </w:p>
    <w:p>
      <w:pPr>
        <w:pStyle w:val="BookText"/>
        <w:rPr/>
      </w:pPr>
      <w:bookmarkEnd w:id="610"/>
      <w:r>
        <w:rPr>
          <w:rFonts w:ascii="Amiri" w:hAnsi="Amiri" w:eastAsia="Amiri" w:cs="Amiri"/>
          <w:color w:val="111111"/>
          <w:sz w:val="28"/>
          <w:sz w:val="28"/>
          <w:szCs w:val="28"/>
          <w:rtl w:val="true"/>
          <w:lang w:bidi="ar-SA"/>
        </w:rPr>
        <w:t>و أُمٍّ؛ و أحَدُهم في ذلكَ يَجري مع أحَدِهم مَجرىٰ جَماعتِهم مع جَماعتِهم</w:t>
      </w:r>
      <w:r>
        <w:rPr>
          <w:rFonts w:eastAsia="Amiri" w:cs="Amiri" w:ascii="Amiri" w:hAnsi="Amiri"/>
          <w:color w:val="111111"/>
          <w:sz w:val="28"/>
          <w:szCs w:val="28"/>
          <w:rtl w:val="true"/>
          <w:lang w:bidi="ar-SA"/>
        </w:rPr>
        <w:t>.</w:t>
      </w:r>
      <w:r>
        <w:rPr>
          <w:rStyle w:val="FootnoteAnchor"/>
          <w:rtl w:val="true"/>
        </w:rPr>
        <w:footnoteReference w:id="2080"/>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مِن تَوريثِ الأخِ للأبِ مع الأخِ‌</w:t>
      </w:r>
      <w:r>
        <w:rPr>
          <w:rStyle w:val="FootnoteAnchor"/>
          <w:rtl w:val="true"/>
        </w:rPr>
        <w:footnoteReference w:id="2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 يَمنَعُ مِن تَوريثِ الأُختِ مِن الأبِ مع الأُختِ للأبِ و الأُمِّ</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8039901_1280447820"/>
      <w:bookmarkStart w:id="612" w:name="_Toc225"/>
      <w:bookmarkEnd w:id="611"/>
      <w:r>
        <w:rPr>
          <w:rtl w:val="true"/>
        </w:rPr>
        <w:t>المَسألةُ الخامسةُ و التسعونَ تَوريثُ الرجالِ و النساءِ بالنَّسَبِ‌</w:t>
      </w:r>
      <w:bookmarkEnd w:id="612"/>
    </w:p>
    <w:p>
      <w:pPr>
        <w:pStyle w:val="BookText"/>
        <w:rPr/>
      </w:pPr>
      <w:r>
        <w:rPr>
          <w:rFonts w:ascii="Amiri" w:hAnsi="Amiri" w:eastAsia="Amiri" w:cs="Amiri"/>
          <w:color w:val="111111"/>
          <w:sz w:val="28"/>
          <w:sz w:val="28"/>
          <w:szCs w:val="28"/>
          <w:rtl w:val="true"/>
          <w:lang w:bidi="ar-SA"/>
        </w:rPr>
        <w:t>و إنّ تَوريثَ الرجالِ و النساءِ بالنسَبِ، و باطلٌ قولُ مَن وَرَّثَ الرجالَ دونَ النساءِ</w:t>
      </w:r>
      <w:r>
        <w:rPr>
          <w:rFonts w:eastAsia="Amiri" w:cs="Amiri" w:ascii="Amiri" w:hAnsi="Amiri"/>
          <w:color w:val="111111"/>
          <w:sz w:val="28"/>
          <w:szCs w:val="28"/>
          <w:rtl w:val="true"/>
          <w:lang w:bidi="ar-SA"/>
        </w:rPr>
        <w:t>.</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الكتابِ؛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w:t>
      </w:r>
      <w:r>
        <w:rPr>
          <w:rStyle w:val="FootnoteAnchor"/>
          <w:rtl w:val="true"/>
        </w:rPr>
        <w:footnoteReference w:id="2083"/>
      </w:r>
      <w:r>
        <w:rPr>
          <w:rFonts w:ascii="Amiri" w:hAnsi="Amiri" w:eastAsia="Amiri" w:cs="Amiri"/>
          <w:color w:val="111111"/>
          <w:sz w:val="28"/>
          <w:sz w:val="28"/>
          <w:szCs w:val="28"/>
          <w:rtl w:val="true"/>
          <w:lang w:bidi="ar-SA"/>
        </w:rPr>
        <w:t>مِمّٰا قَلَّ مِنْهُ أَوْ كَثُرَ نَصِيباً مَفْرُوضاً</w:t>
      </w:r>
      <w:r>
        <w:rPr>
          <w:rFonts w:eastAsia="Amiri" w:cs="Amiri" w:ascii="Amiri" w:hAnsi="Amiri"/>
          <w:color w:val="111111"/>
          <w:sz w:val="28"/>
          <w:szCs w:val="28"/>
          <w:rtl w:val="true"/>
          <w:lang w:bidi="ar-SA"/>
        </w:rPr>
        <w:t xml:space="preserve">» </w:t>
      </w:r>
      <w:r>
        <w:rPr>
          <w:rStyle w:val="FootnoteAnchor"/>
          <w:rtl w:val="true"/>
        </w:rPr>
        <w:footnoteReference w:id="2084"/>
      </w:r>
      <w:r>
        <w:rPr>
          <w:rFonts w:ascii="Amiri" w:hAnsi="Amiri" w:eastAsia="Amiri" w:cs="Amiri"/>
          <w:color w:val="111111"/>
          <w:sz w:val="28"/>
          <w:sz w:val="28"/>
          <w:szCs w:val="28"/>
          <w:rtl w:val="true"/>
          <w:lang w:bidi="ar-SA"/>
        </w:rPr>
        <w:t xml:space="preserve">،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المَواريثَ بَينَ الرجالِ و النساءِ، و لَم يَخُصَّ الرجالَ منها بشَيءٍ دونَ النساءِ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كانَت الجاهِليّةُ تُوَرِّثُ الرجالَ دونَ النساءِ، فمَن ذَهَبَ إلىٰ ذلكَ فقَد أخَذَ بسُنّةِ الجاهِليّةِ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عَوَّلَ القومُ علىٰ خبرٍ ضعيفٍ مطعونٍ علىٰ راويهِ‌</w:t>
      </w:r>
      <w:r>
        <w:rPr>
          <w:rStyle w:val="FootnoteAnchor"/>
          <w:rtl w:val="true"/>
        </w:rPr>
        <w:footnoteReference w:id="2085"/>
      </w:r>
      <w:r>
        <w:rPr>
          <w:rFonts w:ascii="Amiri" w:hAnsi="Amiri" w:eastAsia="Amiri" w:cs="Amiri"/>
          <w:color w:val="111111"/>
          <w:sz w:val="28"/>
          <w:sz w:val="28"/>
          <w:szCs w:val="28"/>
          <w:rtl w:val="true"/>
          <w:lang w:bidi="ar-SA"/>
        </w:rPr>
        <w:t>و هو ما رُويَ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أبْقَت الفَرائضُ فلِأَولىٰ عَصَبةٍ ذَكَرٍ</w:t>
      </w:r>
      <w:r>
        <w:rPr>
          <w:rFonts w:eastAsia="Amiri" w:cs="Amiri" w:ascii="Amiri" w:hAnsi="Amiri"/>
          <w:color w:val="111111"/>
          <w:sz w:val="28"/>
          <w:szCs w:val="28"/>
          <w:rtl w:val="true"/>
          <w:lang w:bidi="ar-SA"/>
        </w:rPr>
        <w:t>»</w:t>
      </w:r>
      <w:r>
        <w:rPr>
          <w:rStyle w:val="FootnoteAnchor"/>
          <w:rtl w:val="true"/>
        </w:rPr>
        <w:footnoteReference w:id="2086"/>
      </w:r>
      <w:r>
        <w:rPr>
          <w:rFonts w:ascii="Amiri" w:hAnsi="Amiri" w:eastAsia="Amiri" w:cs="Amiri"/>
          <w:color w:val="111111"/>
          <w:sz w:val="28"/>
          <w:sz w:val="28"/>
          <w:szCs w:val="28"/>
          <w:rtl w:val="true"/>
          <w:lang w:bidi="ar-SA"/>
        </w:rPr>
        <w:t>، و رُويَ بلَفظٍ آخَرَ،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فِلأَولىٰ ذَكَرٍ قَرُبَ</w:t>
      </w:r>
      <w:r>
        <w:rPr>
          <w:rFonts w:eastAsia="Amiri" w:cs="Amiri" w:ascii="Amiri" w:hAnsi="Amiri"/>
          <w:color w:val="111111"/>
          <w:sz w:val="28"/>
          <w:szCs w:val="28"/>
          <w:rtl w:val="true"/>
          <w:lang w:bidi="ar-SA"/>
        </w:rPr>
        <w:t>»</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إذا سَلِمَ مِن القَدحِ في طَريقِه و تضعيفِ راويهِ،</w:t>
      </w:r>
      <w:r>
        <w:rPr>
          <w:rStyle w:val="FootnoteAnchor"/>
          <w:rtl w:val="true"/>
        </w:rPr>
        <w:footnoteReference w:id="2088"/>
      </w:r>
      <w:r>
        <w:rPr>
          <w:rFonts w:ascii="Amiri" w:hAnsi="Amiri" w:eastAsia="Amiri" w:cs="Amiri"/>
          <w:color w:val="111111"/>
          <w:sz w:val="28"/>
          <w:sz w:val="28"/>
          <w:szCs w:val="28"/>
          <w:rtl w:val="true"/>
          <w:lang w:bidi="ar-SA"/>
        </w:rPr>
        <w:t>فهو خبرُ واحدٍ، و أخبارُ الآحادِ لا توجِبُ عِلماً و لا عملاً؛ لأنّ العملَ تابعٌ للعِلمِ، علىٰ ما بيّنّاه في صَدرِ جوابِ هذه المَسائلِ، و إلّا</w:t>
      </w:r>
      <w:r>
        <w:rPr>
          <w:rStyle w:val="FootnoteAnchor"/>
          <w:rtl w:val="true"/>
        </w:rPr>
        <w:footnoteReference w:id="2089"/>
      </w:r>
      <w:r>
        <w:rPr>
          <w:rFonts w:ascii="Amiri" w:hAnsi="Amiri" w:eastAsia="Amiri" w:cs="Amiri"/>
          <w:color w:val="111111"/>
          <w:sz w:val="28"/>
          <w:sz w:val="28"/>
          <w:szCs w:val="28"/>
          <w:rtl w:val="true"/>
          <w:lang w:bidi="ar-SA"/>
        </w:rPr>
        <w:t>خُصَّ بهذا الخبرِ أيضاً الذي لا يوجِبُ عِلماً ظواهرُ الكتابِ الموجِبةُ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مُخالِفينا قد خالَفوا هذا الحديثَ، و وَرَّثوا الأُختَ بالتعصيبِ‌</w:t>
      </w:r>
      <w:r>
        <w:rPr>
          <w:rStyle w:val="FootnoteAnchor"/>
          <w:rtl w:val="true"/>
        </w:rPr>
        <w:footnoteReference w:id="2090"/>
      </w:r>
      <w:r>
        <w:rPr>
          <w:rFonts w:ascii="Amiri" w:hAnsi="Amiri" w:eastAsia="Amiri" w:cs="Amiri"/>
          <w:color w:val="111111"/>
          <w:sz w:val="28"/>
          <w:sz w:val="28"/>
          <w:szCs w:val="28"/>
          <w:rtl w:val="true"/>
          <w:lang w:bidi="ar-SA"/>
        </w:rPr>
        <w:t>و لَيسَت</w:t>
      </w:r>
      <w:r>
        <w:rPr>
          <w:rStyle w:val="FootnoteAnchor"/>
          <w:rtl w:val="true"/>
        </w:rPr>
        <w:footnoteReference w:id="2091"/>
      </w:r>
      <w:r>
        <w:rPr>
          <w:rFonts w:ascii="Amiri" w:hAnsi="Amiri" w:eastAsia="Amiri" w:cs="Amiri"/>
          <w:color w:val="111111"/>
          <w:sz w:val="28"/>
          <w:sz w:val="28"/>
          <w:szCs w:val="28"/>
          <w:rtl w:val="true"/>
          <w:lang w:bidi="ar-SA"/>
        </w:rPr>
        <w:t>بذَكَرٍ و لا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أقاموا الأُختَ مَقامَ الأخِ فوَرَّثوها بالتعصيبِ، فقد خالَفوا أوّلاً ظاهرَ الحديثِ؛ لأنّ الخبرَ اقتَضىٰ أن يَكونَ ما تُبقيهِ‌</w:t>
      </w:r>
      <w:r>
        <w:rPr>
          <w:rStyle w:val="FootnoteAnchor"/>
          <w:rtl w:val="true"/>
        </w:rPr>
        <w:footnoteReference w:id="2092"/>
      </w:r>
      <w:r>
        <w:rPr>
          <w:rFonts w:ascii="Amiri" w:hAnsi="Amiri" w:eastAsia="Amiri" w:cs="Amiri"/>
          <w:color w:val="111111"/>
          <w:sz w:val="28"/>
          <w:sz w:val="28"/>
          <w:szCs w:val="28"/>
          <w:rtl w:val="true"/>
          <w:lang w:bidi="ar-SA"/>
        </w:rPr>
        <w:t>الفَرائضُ للذُّكورِ دونَ الإناثِ</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جازَ لهم ذلكَ، جازَ لغَيرِهم أن يَجعَلَ البِنتَ عَصَبَةً، و يُقيمَها مَقامَ الابنِ في حالٍ مِن الأحوالِ</w:t>
      </w:r>
      <w:r>
        <w:rPr>
          <w:rFonts w:eastAsia="Amiri" w:cs="Amiri" w:ascii="Amiri" w:hAnsi="Amiri"/>
          <w:color w:val="111111"/>
          <w:sz w:val="28"/>
          <w:szCs w:val="28"/>
          <w:rtl w:val="true"/>
          <w:lang w:bidi="ar-SA"/>
        </w:rPr>
        <w:t xml:space="preserve">. </w:t>
      </w:r>
      <w:bookmarkStart w:id="613" w:name="pg16437_172662"/>
    </w:p>
    <w:p>
      <w:pPr>
        <w:pStyle w:val="BookText"/>
        <w:rPr/>
      </w:pPr>
      <w:bookmarkEnd w:id="613"/>
      <w:r>
        <w:rPr>
          <w:rFonts w:ascii="Amiri" w:hAnsi="Amiri" w:eastAsia="Amiri" w:cs="Amiri"/>
          <w:color w:val="111111"/>
          <w:sz w:val="28"/>
          <w:sz w:val="28"/>
          <w:szCs w:val="28"/>
          <w:rtl w:val="true"/>
          <w:lang w:bidi="ar-SA"/>
        </w:rPr>
        <w:t>علىٰ أنّهم إذا جازَ لهم أن يَخُصّوا ظاهرَ هذا الحديثِ،</w:t>
      </w:r>
      <w:r>
        <w:rPr>
          <w:rStyle w:val="FootnoteAnchor"/>
          <w:rtl w:val="true"/>
        </w:rPr>
        <w:footnoteReference w:id="2093"/>
      </w:r>
      <w:r>
        <w:rPr>
          <w:rFonts w:ascii="Amiri" w:hAnsi="Amiri" w:eastAsia="Amiri" w:cs="Amiri"/>
          <w:color w:val="111111"/>
          <w:sz w:val="28"/>
          <w:sz w:val="28"/>
          <w:szCs w:val="28"/>
          <w:rtl w:val="true"/>
          <w:lang w:bidi="ar-SA"/>
        </w:rPr>
        <w:t>جازَ لنا أن نَخُصَّه و نَستَعمِلَه في بعضِ المَواضعِ؛ كمَيِّتٍ خَلَّفَ أُختَينِ لأُمٍّ و ابنَ أخٍ و ابنةَ أخٍ لأبٍ و أُمٍّ و أخاً لأبٍ‌</w:t>
      </w:r>
      <w:r>
        <w:rPr>
          <w:rStyle w:val="FootnoteAnchor"/>
          <w:rtl w:val="true"/>
        </w:rPr>
        <w:footnoteReference w:id="2094"/>
      </w:r>
      <w:r>
        <w:rPr>
          <w:rFonts w:ascii="Amiri" w:hAnsi="Amiri" w:eastAsia="Amiri" w:cs="Amiri"/>
          <w:color w:val="111111"/>
          <w:sz w:val="28"/>
          <w:sz w:val="28"/>
          <w:szCs w:val="28"/>
          <w:rtl w:val="true"/>
          <w:lang w:bidi="ar-SA"/>
        </w:rPr>
        <w:t>فإنّ للأُختَينِ مِن الأُمِّ فَريضتَهُنَّ و هي</w:t>
      </w:r>
      <w:r>
        <w:rPr>
          <w:rStyle w:val="FootnoteAnchor"/>
          <w:rtl w:val="true"/>
        </w:rPr>
        <w:footnoteReference w:id="2095"/>
      </w:r>
      <w:r>
        <w:rPr>
          <w:rFonts w:ascii="Amiri" w:hAnsi="Amiri" w:eastAsia="Amiri" w:cs="Amiri"/>
          <w:color w:val="111111"/>
          <w:sz w:val="28"/>
          <w:sz w:val="28"/>
          <w:szCs w:val="28"/>
          <w:rtl w:val="true"/>
          <w:lang w:bidi="ar-SA"/>
        </w:rPr>
        <w:t>الثُّلُثُ، و ما بَقيَ فلأَولىٰ ذَكَرٍ، و هو الأخُ مِن الأبِ، دونَ ابنِ الأَخِ‌</w:t>
      </w:r>
      <w:r>
        <w:rPr>
          <w:rStyle w:val="FootnoteAnchor"/>
          <w:rtl w:val="true"/>
        </w:rPr>
        <w:footnoteReference w:id="2096"/>
      </w:r>
      <w:r>
        <w:rPr>
          <w:rFonts w:ascii="Amiri" w:hAnsi="Amiri" w:eastAsia="Amiri" w:cs="Amiri"/>
          <w:color w:val="111111"/>
          <w:sz w:val="28"/>
          <w:sz w:val="28"/>
          <w:szCs w:val="28"/>
          <w:rtl w:val="true"/>
          <w:lang w:bidi="ar-SA"/>
        </w:rPr>
        <w:t>و ابنةِ الأَخِ؛ لأنّه أقرَبُ منهما ببَطنٍ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إن خَلَّفَ المَيِّتُ امرأةً و عمّاً و عمّةً و خالاً و خالةً و ابنَ أخٍ أو أَخاً،</w:t>
      </w:r>
      <w:r>
        <w:rPr>
          <w:rStyle w:val="FootnoteAnchor"/>
          <w:rtl w:val="true"/>
        </w:rPr>
        <w:footnoteReference w:id="2097"/>
      </w:r>
      <w:r>
        <w:rPr>
          <w:rFonts w:ascii="Amiri" w:hAnsi="Amiri" w:eastAsia="Amiri" w:cs="Amiri"/>
          <w:color w:val="111111"/>
          <w:sz w:val="28"/>
          <w:sz w:val="28"/>
          <w:szCs w:val="28"/>
          <w:rtl w:val="true"/>
          <w:lang w:bidi="ar-SA"/>
        </w:rPr>
        <w:t>فللمَرأةِ الرُّبُعُ، و ما بَقيَ فلأَولىٰ ذَكَرٍ، و هو الأخُ أو ابنُ الأخِ، و سَقَطَ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 لَيسَت ممّا تَفرَّدَ بها الإماميّةُ؛ فقَد خالَفَ في العَصَبةِ جَماعةٌ مِن المُتقدِّمينَ و المُتأخِّرينَ، كابنِ عَبّاسٍ رَحِمَه اللّٰهُ‌</w:t>
      </w:r>
      <w:r>
        <w:rPr>
          <w:rStyle w:val="FootnoteAnchor"/>
          <w:rtl w:val="true"/>
        </w:rPr>
        <w:footnoteReference w:id="209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8039903_1280447820"/>
      <w:bookmarkStart w:id="615" w:name="_Toc226"/>
      <w:bookmarkEnd w:id="614"/>
      <w:r>
        <w:rPr>
          <w:rtl w:val="true"/>
        </w:rPr>
        <w:t>المَسألةُ السادسةُ و التسعونَ ميراثُ مَن خَلَّفَ ابنةَ ابنٍ و ابنَ عَمٍّ‌</w:t>
      </w:r>
      <w:bookmarkEnd w:id="61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ماتَ و خَلَّفَ ابنةَ ابنٍ‌</w:t>
      </w:r>
      <w:r>
        <w:rPr>
          <w:rStyle w:val="FootnoteAnchor"/>
          <w:rtl w:val="true"/>
        </w:rPr>
        <w:footnoteReference w:id="2099"/>
      </w:r>
      <w:r>
        <w:rPr>
          <w:rFonts w:ascii="Amiri" w:hAnsi="Amiri" w:eastAsia="Amiri" w:cs="Amiri"/>
          <w:color w:val="111111"/>
          <w:sz w:val="28"/>
          <w:sz w:val="28"/>
          <w:szCs w:val="28"/>
          <w:rtl w:val="true"/>
          <w:lang w:bidi="ar-SA"/>
        </w:rPr>
        <w:t>و ابنَ عَمٍّ، فميراثُه لِبنتِ ابنِه خاصّةً، و لَيسَ لِابنِ العَمِّ شَيءٌ</w:t>
      </w:r>
      <w:r>
        <w:rPr>
          <w:rFonts w:eastAsia="Amiri" w:cs="Amiri" w:ascii="Amiri" w:hAnsi="Amiri"/>
          <w:color w:val="111111"/>
          <w:sz w:val="28"/>
          <w:szCs w:val="28"/>
          <w:rtl w:val="true"/>
          <w:lang w:bidi="ar-SA"/>
        </w:rPr>
        <w:t xml:space="preserve">. </w:t>
      </w:r>
      <w:bookmarkStart w:id="616" w:name="pg16437_172663"/>
    </w:p>
    <w:p>
      <w:pPr>
        <w:pStyle w:val="BookText"/>
        <w:rPr/>
      </w:pPr>
      <w:bookmarkEnd w:id="616"/>
      <w:r>
        <w:rPr>
          <w:rFonts w:ascii="Amiri" w:hAnsi="Amiri" w:eastAsia="Amiri" w:cs="Amiri"/>
          <w:color w:val="111111"/>
          <w:sz w:val="28"/>
          <w:sz w:val="28"/>
          <w:szCs w:val="28"/>
          <w:rtl w:val="true"/>
          <w:lang w:bidi="ar-SA"/>
        </w:rPr>
        <w:t>و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وَلَدَ البِنتِ وَلَدٌ علَى الحقيقةِ للمَيِّتِ، فهي أقرَبُ إليه مِن ابنِ العَمِّ، و قد سَمّاها اللّٰهُ تَعالىٰ وَلَداً في مَواضِعَ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Style w:val="FootnoteAnchor"/>
          <w:rtl w:val="true"/>
        </w:rPr>
        <w:footnoteReference w:id="2101"/>
      </w:r>
      <w:r>
        <w:rPr>
          <w:rFonts w:ascii="Amiri" w:hAnsi="Amiri" w:eastAsia="Amiri" w:cs="Amiri"/>
          <w:color w:val="111111"/>
          <w:sz w:val="28"/>
          <w:sz w:val="28"/>
          <w:szCs w:val="28"/>
          <w:rtl w:val="true"/>
          <w:lang w:bidi="ar-SA"/>
        </w:rPr>
        <w:t>و أجمَعَت الأُمّةُ علىٰ‌</w:t>
      </w:r>
      <w:r>
        <w:rPr>
          <w:rStyle w:val="FootnoteAnchor"/>
          <w:rtl w:val="true"/>
        </w:rPr>
        <w:footnoteReference w:id="2102"/>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ابنِ ابنةٍ‌</w:t>
      </w:r>
      <w:r>
        <w:rPr>
          <w:rStyle w:val="FootnoteAnchor"/>
          <w:rtl w:val="true"/>
        </w:rPr>
        <w:footnoteReference w:id="2103"/>
      </w:r>
      <w:r>
        <w:rPr>
          <w:rFonts w:ascii="Amiri" w:hAnsi="Amiri" w:eastAsia="Amiri" w:cs="Amiri"/>
          <w:color w:val="111111"/>
          <w:sz w:val="28"/>
          <w:sz w:val="28"/>
          <w:szCs w:val="28"/>
          <w:rtl w:val="true"/>
          <w:lang w:bidi="ar-SA"/>
        </w:rPr>
        <w:t>مُحرَّمٌ علىٰ جَدِّه؛ لأنّه بهذه الآيةِ ابنٌ، و مُحرَّمٌ عليه نِكاحُ زَوجةِ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البِنتِ أقرَبُ إلىٰ جَدِّه مِن ابنِ العَمِّ</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8039905_1280447820"/>
      <w:bookmarkStart w:id="618" w:name="_Toc227"/>
      <w:bookmarkEnd w:id="617"/>
      <w:r>
        <w:rPr>
          <w:rtl w:val="true"/>
        </w:rPr>
        <w:t>المَسألةُ السابعةُ و التسعونَ إرثُ ابنِ الأخِ مع الجَدِّ</w:t>
      </w:r>
      <w:bookmarkEnd w:id="618"/>
    </w:p>
    <w:p>
      <w:pPr>
        <w:pStyle w:val="BookText"/>
        <w:rPr/>
      </w:pPr>
      <w:r>
        <w:rPr>
          <w:rFonts w:ascii="Amiri" w:hAnsi="Amiri" w:eastAsia="Amiri" w:cs="Amiri"/>
          <w:color w:val="111111"/>
          <w:sz w:val="28"/>
          <w:sz w:val="28"/>
          <w:szCs w:val="28"/>
          <w:rtl w:val="true"/>
          <w:lang w:bidi="ar-SA"/>
        </w:rPr>
        <w:t>و إنّ ابنَ الأخِ مع الجَدِّ يَقومُ مَقامَ الأخِ</w:t>
      </w:r>
      <w:r>
        <w:rPr>
          <w:rFonts w:eastAsia="Amiri" w:cs="Amiri" w:ascii="Amiri" w:hAnsi="Amiri"/>
          <w:color w:val="111111"/>
          <w:sz w:val="28"/>
          <w:szCs w:val="28"/>
          <w:rtl w:val="true"/>
          <w:lang w:bidi="ar-SA"/>
        </w:rPr>
        <w:t>.</w:t>
      </w:r>
      <w:r>
        <w:rPr>
          <w:rStyle w:val="FootnoteAnchor"/>
          <w:rtl w:val="true"/>
        </w:rPr>
        <w:footnoteReference w:id="2104"/>
      </w:r>
    </w:p>
    <w:p>
      <w:pPr>
        <w:pStyle w:val="BookText"/>
        <w:rPr/>
      </w:pPr>
      <w:r>
        <w:rPr>
          <w:rFonts w:ascii="Amiri" w:hAnsi="Amiri" w:eastAsia="Amiri" w:cs="Amiri"/>
          <w:color w:val="111111"/>
          <w:sz w:val="28"/>
          <w:sz w:val="28"/>
          <w:szCs w:val="28"/>
          <w:rtl w:val="true"/>
          <w:lang w:bidi="ar-SA"/>
        </w:rPr>
        <w:t>و الحُجّةُ علىٰ‌</w:t>
      </w:r>
      <w:r>
        <w:rPr>
          <w:rStyle w:val="FootnoteAnchor"/>
          <w:rtl w:val="true"/>
        </w:rPr>
        <w:footnoteReference w:id="2105"/>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w:t>
      </w:r>
      <w:r>
        <w:rPr>
          <w:rStyle w:val="FootnoteAnchor"/>
          <w:rtl w:val="true"/>
        </w:rPr>
        <w:footnoteReference w:id="2106"/>
      </w:r>
      <w:r>
        <w:rPr>
          <w:rFonts w:ascii="Amiri" w:hAnsi="Amiri" w:eastAsia="Amiri" w:cs="Amiri"/>
          <w:color w:val="111111"/>
          <w:sz w:val="28"/>
          <w:sz w:val="28"/>
          <w:szCs w:val="28"/>
          <w:rtl w:val="true"/>
          <w:lang w:bidi="ar-SA"/>
        </w:rPr>
        <w:t>لأحَدٍ أن يَطعَنَ في هذا الحُكمِ بأنّ‌</w:t>
      </w:r>
      <w:r>
        <w:rPr>
          <w:rStyle w:val="FootnoteAnchor"/>
          <w:rtl w:val="true"/>
        </w:rPr>
        <w:footnoteReference w:id="2107"/>
      </w:r>
      <w:r>
        <w:rPr>
          <w:rFonts w:ascii="Amiri" w:hAnsi="Amiri" w:eastAsia="Amiri" w:cs="Amiri"/>
          <w:color w:val="111111"/>
          <w:sz w:val="28"/>
          <w:sz w:val="28"/>
          <w:szCs w:val="28"/>
          <w:rtl w:val="true"/>
          <w:lang w:bidi="ar-SA"/>
        </w:rPr>
        <w:t>الجَدَّ أقرَبُ إلَى الميِّتِ مِن ابنِ الأخِ</w:t>
      </w:r>
      <w:r>
        <w:rPr>
          <w:rFonts w:eastAsia="Amiri" w:cs="Amiri" w:ascii="Amiri" w:hAnsi="Amiri"/>
          <w:color w:val="111111"/>
          <w:sz w:val="28"/>
          <w:szCs w:val="28"/>
          <w:rtl w:val="true"/>
          <w:lang w:bidi="ar-SA"/>
        </w:rPr>
        <w:t xml:space="preserve">. </w:t>
      </w:r>
      <w:bookmarkStart w:id="619" w:name="pg16437_172664"/>
    </w:p>
    <w:p>
      <w:pPr>
        <w:pStyle w:val="BookText"/>
        <w:rPr/>
      </w:pPr>
      <w:bookmarkEnd w:id="619"/>
      <w:r>
        <w:rPr>
          <w:rFonts w:ascii="Amiri" w:hAnsi="Amiri" w:eastAsia="Amiri" w:cs="Amiri"/>
          <w:color w:val="111111"/>
          <w:sz w:val="28"/>
          <w:sz w:val="28"/>
          <w:szCs w:val="28"/>
          <w:rtl w:val="true"/>
          <w:lang w:bidi="ar-SA"/>
        </w:rPr>
        <w:t xml:space="preserve">لأنّ ابنَ الأخِ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مَن سَمَّى اللّٰهُ تَعالىٰ له سَهماً، فهو أقوىٰ سَبَباً</w:t>
      </w:r>
      <w:r>
        <w:rPr>
          <w:rStyle w:val="FootnoteAnchor"/>
          <w:rtl w:val="true"/>
        </w:rPr>
        <w:footnoteReference w:id="2108"/>
      </w:r>
      <w:r>
        <w:rPr>
          <w:rFonts w:ascii="Amiri" w:hAnsi="Amiri" w:eastAsia="Amiri" w:cs="Amiri"/>
          <w:color w:val="111111"/>
          <w:sz w:val="28"/>
          <w:sz w:val="28"/>
          <w:szCs w:val="28"/>
          <w:rtl w:val="true"/>
          <w:lang w:bidi="ar-SA"/>
        </w:rPr>
        <w:t>مِن الجَدِّ الذي يَرِثُ‌</w:t>
      </w:r>
      <w:r>
        <w:rPr>
          <w:rStyle w:val="FootnoteAnchor"/>
          <w:rtl w:val="true"/>
        </w:rPr>
        <w:footnoteReference w:id="2109"/>
      </w:r>
      <w:r>
        <w:rPr>
          <w:rFonts w:ascii="Amiri" w:hAnsi="Amiri" w:eastAsia="Amiri" w:cs="Amiri"/>
          <w:color w:val="111111"/>
          <w:sz w:val="28"/>
          <w:sz w:val="28"/>
          <w:szCs w:val="28"/>
          <w:rtl w:val="true"/>
          <w:lang w:bidi="ar-SA"/>
        </w:rPr>
        <w:t>بالرَّحِمِ</w:t>
      </w:r>
      <w:r>
        <w:rPr>
          <w:rFonts w:eastAsia="Amiri" w:cs="Amiri" w:ascii="Amiri" w:hAnsi="Amiri"/>
          <w:color w:val="111111"/>
          <w:sz w:val="28"/>
          <w:szCs w:val="28"/>
          <w:rtl w:val="true"/>
          <w:lang w:bidi="ar-SA"/>
        </w:rPr>
        <w:t>.</w:t>
      </w:r>
      <w:r>
        <w:rPr>
          <w:rStyle w:val="FootnoteAnchor"/>
          <w:rtl w:val="true"/>
        </w:rPr>
        <w:footnoteReference w:id="2110"/>
      </w:r>
    </w:p>
    <w:p>
      <w:pPr>
        <w:pStyle w:val="Heading5"/>
        <w:numPr>
          <w:ilvl w:val="4"/>
          <w:numId w:val="1"/>
        </w:numPr>
        <w:rPr/>
      </w:pPr>
      <w:bookmarkStart w:id="620" w:name="__RefHeading___Toc8039907_1280447820"/>
      <w:bookmarkStart w:id="621" w:name="_Toc228"/>
      <w:bookmarkEnd w:id="620"/>
      <w:r>
        <w:rPr>
          <w:rtl w:val="true"/>
        </w:rPr>
        <w:t>المَسألةُ الثامنةُ و التسعونَ إرثُ وَلَدِ المُلاعَنةِ‌</w:t>
      </w:r>
      <w:bookmarkEnd w:id="621"/>
    </w:p>
    <w:p>
      <w:pPr>
        <w:pStyle w:val="BookText"/>
        <w:rPr/>
      </w:pPr>
      <w:r>
        <w:rPr>
          <w:rFonts w:ascii="Amiri" w:hAnsi="Amiri" w:eastAsia="Amiri" w:cs="Amiri"/>
          <w:color w:val="111111"/>
          <w:sz w:val="28"/>
          <w:sz w:val="28"/>
          <w:szCs w:val="28"/>
          <w:rtl w:val="true"/>
          <w:lang w:bidi="ar-SA"/>
        </w:rPr>
        <w:t>و إنّ ابنَ المُلاعَنةِ تَرِثُه أمُّه دونَ أبيهِ، و يَرِثُه مَن قَرُبَ إليه مِن جِهتِها، و لايَرِثُه</w:t>
      </w:r>
      <w:r>
        <w:rPr>
          <w:rStyle w:val="FootnoteAnchor"/>
          <w:rtl w:val="true"/>
        </w:rPr>
        <w:footnoteReference w:id="2111"/>
      </w:r>
      <w:r>
        <w:rPr>
          <w:rFonts w:ascii="Amiri" w:hAnsi="Amiri" w:eastAsia="Amiri" w:cs="Amiri"/>
          <w:color w:val="111111"/>
          <w:sz w:val="28"/>
          <w:sz w:val="28"/>
          <w:szCs w:val="28"/>
          <w:rtl w:val="true"/>
          <w:lang w:bidi="ar-SA"/>
        </w:rPr>
        <w:t>أبوه، و لا قَرابتُه مِن جِهةِ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به الأبُ بَعدَ إنكارِه، و أكذَبَ نفسَه بَعدَ المُلاعَنةِ، لَم يَكُن له أن يَرِثَه، و كانَ للِابنِ خاصّةً أن يَرِثَه</w:t>
      </w:r>
      <w:r>
        <w:rPr>
          <w:rFonts w:eastAsia="Amiri" w:cs="Amiri" w:ascii="Amiri" w:hAnsi="Amiri"/>
          <w:color w:val="111111"/>
          <w:sz w:val="28"/>
          <w:szCs w:val="28"/>
          <w:rtl w:val="true"/>
          <w:lang w:bidi="ar-SA"/>
        </w:rPr>
        <w:t>.</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و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 عليه</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8039909_1280447820"/>
      <w:bookmarkStart w:id="623" w:name="_Toc229"/>
      <w:bookmarkEnd w:id="622"/>
      <w:r>
        <w:rPr>
          <w:rtl w:val="true"/>
        </w:rPr>
        <w:t>المَسألةُ التاسعةُ و التسعونَ إرثُ المُطلَّقةِ في مرضِ بَعلِها</w:t>
      </w:r>
      <w:bookmarkEnd w:id="623"/>
    </w:p>
    <w:p>
      <w:pPr>
        <w:pStyle w:val="BookText"/>
        <w:rPr/>
      </w:pPr>
      <w:r>
        <w:rPr>
          <w:rFonts w:ascii="Amiri" w:hAnsi="Amiri" w:eastAsia="Amiri" w:cs="Amiri"/>
          <w:color w:val="111111"/>
          <w:sz w:val="28"/>
          <w:sz w:val="28"/>
          <w:szCs w:val="28"/>
          <w:rtl w:val="true"/>
          <w:lang w:bidi="ar-SA"/>
        </w:rPr>
        <w:t>و إنّ المُطلَّقةَ في مرضِ بَعلِها إذا ماتَ فيه، تَرِثُه ما بَينَه و بَينَ سَنةٍ، ما لَم تَتزوَّجْ أو يَصِحَّ بَعلُها</w:t>
      </w:r>
      <w:r>
        <w:rPr>
          <w:rFonts w:eastAsia="Amiri" w:cs="Amiri" w:ascii="Amiri" w:hAnsi="Amiri"/>
          <w:color w:val="111111"/>
          <w:sz w:val="28"/>
          <w:szCs w:val="28"/>
          <w:rtl w:val="true"/>
          <w:lang w:bidi="ar-SA"/>
        </w:rPr>
        <w:t>.</w:t>
      </w:r>
      <w:r>
        <w:rPr>
          <w:rStyle w:val="FootnoteAnchor"/>
          <w:rtl w:val="true"/>
        </w:rPr>
        <w:footnoteReference w:id="211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المَسألةُ قد بيّنّاها في جوابِ المَسائلِ الواردةِ قَبلَ هذه، فلا طائلَ في إعادتِها</w:t>
      </w:r>
      <w:r>
        <w:rPr>
          <w:rFonts w:eastAsia="Amiri" w:cs="Amiri" w:ascii="Amiri" w:hAnsi="Amiri"/>
          <w:color w:val="111111"/>
          <w:sz w:val="28"/>
          <w:szCs w:val="28"/>
          <w:rtl w:val="true"/>
          <w:lang w:bidi="ar-SA"/>
        </w:rPr>
        <w:t>.</w:t>
      </w:r>
      <w:r>
        <w:rPr>
          <w:rStyle w:val="FootnoteAnchor"/>
          <w:rtl w:val="true"/>
        </w:rPr>
        <w:footnoteReference w:id="2114"/>
      </w:r>
      <w:bookmarkStart w:id="624" w:name="pg16437_172665"/>
    </w:p>
    <w:p>
      <w:pPr>
        <w:pStyle w:val="Heading5"/>
        <w:numPr>
          <w:ilvl w:val="4"/>
          <w:numId w:val="1"/>
        </w:numPr>
        <w:rPr/>
      </w:pPr>
      <w:bookmarkStart w:id="625" w:name="__RefHeading___Toc8039911_1280447820"/>
      <w:bookmarkStart w:id="626" w:name="_Toc230"/>
      <w:bookmarkEnd w:id="624"/>
      <w:bookmarkEnd w:id="625"/>
      <w:r>
        <w:rPr>
          <w:rtl w:val="true"/>
        </w:rPr>
        <w:t>المَسألةُ المائةُ‌كَيفيّةُ تَوريثِ الخُنثىٰ‌</w:t>
      </w:r>
      <w:bookmarkEnd w:id="626"/>
    </w:p>
    <w:p>
      <w:pPr>
        <w:pStyle w:val="BookText"/>
        <w:rPr/>
      </w:pPr>
      <w:r>
        <w:rPr>
          <w:rFonts w:ascii="Amiri" w:hAnsi="Amiri" w:eastAsia="Amiri" w:cs="Amiri"/>
          <w:color w:val="111111"/>
          <w:sz w:val="28"/>
          <w:sz w:val="28"/>
          <w:szCs w:val="28"/>
          <w:rtl w:val="true"/>
          <w:lang w:bidi="ar-SA"/>
        </w:rPr>
        <w:t>المَسألةُ المائةُ‌</w:t>
      </w:r>
      <w:r>
        <w:rPr>
          <w:rStyle w:val="FootnoteAnchor"/>
          <w:rtl w:val="true"/>
        </w:rPr>
        <w:footnoteReference w:id="2115"/>
      </w:r>
      <w:r>
        <w:rPr>
          <w:rFonts w:ascii="Amiri" w:hAnsi="Amiri" w:eastAsia="Amiri" w:cs="Amiri"/>
          <w:color w:val="111111"/>
          <w:sz w:val="28"/>
          <w:sz w:val="28"/>
          <w:szCs w:val="28"/>
          <w:rtl w:val="true"/>
          <w:lang w:bidi="ar-SA"/>
        </w:rPr>
        <w:t>كَيفيّةُ تَوريثِ الخُنثىٰ</w:t>
      </w:r>
    </w:p>
    <w:p>
      <w:pPr>
        <w:pStyle w:val="BookText"/>
        <w:rPr/>
      </w:pPr>
      <w:r>
        <w:rPr>
          <w:rFonts w:ascii="Amiri" w:hAnsi="Amiri" w:eastAsia="Amiri" w:cs="Amiri"/>
          <w:color w:val="111111"/>
          <w:sz w:val="28"/>
          <w:sz w:val="28"/>
          <w:szCs w:val="28"/>
          <w:rtl w:val="true"/>
          <w:lang w:bidi="ar-SA"/>
        </w:rPr>
        <w:t>إنّ تَوريثَ الخُنثىٰ يُعتَبَرُ بالمَبالِ؛ فإن خَرَجَ مِن حَيثُ يَخرُجُ للرجُلِ، وُرِّثَ ميراثَ الرجالِ؛ و إن جَرىٰ مِن المَوضِعَينِ معاً، نُظِرَ إلَى</w:t>
      </w:r>
      <w:r>
        <w:rPr>
          <w:rStyle w:val="FootnoteAnchor"/>
          <w:rtl w:val="true"/>
        </w:rPr>
        <w:footnoteReference w:id="2116"/>
      </w:r>
      <w:r>
        <w:rPr>
          <w:rFonts w:ascii="Amiri" w:hAnsi="Amiri" w:eastAsia="Amiri" w:cs="Amiri"/>
          <w:color w:val="111111"/>
          <w:sz w:val="28"/>
          <w:sz w:val="28"/>
          <w:szCs w:val="28"/>
          <w:rtl w:val="true"/>
          <w:lang w:bidi="ar-SA"/>
        </w:rPr>
        <w:t>الأغلبِ منهما فوُرِّثَ‌</w:t>
      </w:r>
      <w:r>
        <w:rPr>
          <w:rStyle w:val="FootnoteAnchor"/>
          <w:rtl w:val="true"/>
        </w:rPr>
        <w:footnoteReference w:id="2117"/>
      </w:r>
      <w:r>
        <w:rPr>
          <w:rFonts w:ascii="Amiri" w:hAnsi="Amiri" w:eastAsia="Amiri" w:cs="Amiri"/>
          <w:color w:val="111111"/>
          <w:sz w:val="28"/>
          <w:sz w:val="28"/>
          <w:szCs w:val="28"/>
          <w:rtl w:val="true"/>
          <w:lang w:bidi="ar-SA"/>
        </w:rPr>
        <w:t>عليه؛ و إن تَساوىٰ ما يَخرُجُ مِن المَوضِعَينِ‌</w:t>
      </w:r>
      <w:r>
        <w:rPr>
          <w:rStyle w:val="FootnoteAnchor"/>
          <w:rtl w:val="true"/>
        </w:rPr>
        <w:footnoteReference w:id="2118"/>
      </w:r>
      <w:r>
        <w:rPr>
          <w:rFonts w:ascii="Amiri" w:hAnsi="Amiri" w:eastAsia="Amiri" w:cs="Amiri"/>
          <w:color w:val="111111"/>
          <w:sz w:val="28"/>
          <w:sz w:val="28"/>
          <w:szCs w:val="28"/>
          <w:rtl w:val="true"/>
          <w:lang w:bidi="ar-SA"/>
        </w:rPr>
        <w:t>، اعتُبِرَ بعَدَدِ الأضلاعِ؛ فإنِ استَوىٰ عَدَدُها وُرِّثَ ميراثَ النساءِ، و إن اختَلَفَ وُرِّثَ ميراثَ الرجالِ</w:t>
      </w:r>
      <w:r>
        <w:rPr>
          <w:rFonts w:eastAsia="Amiri" w:cs="Amiri" w:ascii="Amiri" w:hAnsi="Amiri"/>
          <w:color w:val="111111"/>
          <w:sz w:val="28"/>
          <w:szCs w:val="28"/>
          <w:rtl w:val="true"/>
          <w:lang w:bidi="ar-SA"/>
        </w:rPr>
        <w:t>.</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و الحُجّةُ علىٰ هذا الحُكمِ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إجماعُ الفِرقةِ المُحِقّةِ</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8039913_1280447820"/>
      <w:bookmarkStart w:id="628" w:name="_Toc231"/>
      <w:bookmarkEnd w:id="627"/>
      <w:r>
        <w:rPr>
          <w:rtl w:val="true"/>
        </w:rPr>
        <w:t>المَسألةُ الحاديةُ و المائةُ كيفيّةُ توريثِ مَن ليس له ما للرجالِ و للنساءِ‌</w:t>
      </w:r>
      <w:bookmarkEnd w:id="628"/>
    </w:p>
    <w:p>
      <w:pPr>
        <w:pStyle w:val="BookText"/>
        <w:rPr/>
      </w:pPr>
      <w:r>
        <w:rPr>
          <w:rFonts w:ascii="Amiri" w:hAnsi="Amiri" w:eastAsia="Amiri" w:cs="Amiri"/>
          <w:color w:val="111111"/>
          <w:sz w:val="28"/>
          <w:sz w:val="28"/>
          <w:szCs w:val="28"/>
          <w:rtl w:val="true"/>
          <w:lang w:bidi="ar-SA"/>
        </w:rPr>
        <w:t>و إنّ مَن</w:t>
      </w:r>
      <w:r>
        <w:rPr>
          <w:rStyle w:val="FootnoteAnchor"/>
          <w:rtl w:val="true"/>
        </w:rPr>
        <w:footnoteReference w:id="2120"/>
      </w:r>
      <w:r>
        <w:rPr>
          <w:rFonts w:ascii="Amiri" w:hAnsi="Amiri" w:eastAsia="Amiri" w:cs="Amiri"/>
          <w:color w:val="111111"/>
          <w:sz w:val="28"/>
          <w:sz w:val="28"/>
          <w:szCs w:val="28"/>
          <w:rtl w:val="true"/>
          <w:lang w:bidi="ar-SA"/>
        </w:rPr>
        <w:t>لَيسَ له ما للرجالِ و لا النساءِ يُوَرَّثُ بالقُرعةِ</w:t>
      </w:r>
      <w:r>
        <w:rPr>
          <w:rFonts w:eastAsia="Amiri" w:cs="Amiri" w:ascii="Amiri" w:hAnsi="Amiri"/>
          <w:color w:val="111111"/>
          <w:sz w:val="28"/>
          <w:szCs w:val="28"/>
          <w:rtl w:val="true"/>
          <w:lang w:bidi="ar-SA"/>
        </w:rPr>
        <w:t>.</w:t>
      </w:r>
      <w:r>
        <w:rPr>
          <w:rStyle w:val="FootnoteAnchor"/>
          <w:rtl w:val="true"/>
        </w:rPr>
        <w:footnoteReference w:id="212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الإجماعُ المُتقدِّمُ الحُجّةُ فيه</w:t>
      </w:r>
      <w:r>
        <w:rPr>
          <w:rFonts w:eastAsia="Amiri" w:cs="Amiri" w:ascii="Amiri" w:hAnsi="Amiri"/>
          <w:color w:val="111111"/>
          <w:sz w:val="28"/>
          <w:szCs w:val="28"/>
          <w:rtl w:val="true"/>
          <w:lang w:bidi="ar-SA"/>
        </w:rPr>
        <w:t xml:space="preserve">. </w:t>
      </w:r>
      <w:bookmarkStart w:id="629" w:name="pg16437_172666"/>
    </w:p>
    <w:p>
      <w:pPr>
        <w:pStyle w:val="Heading5"/>
        <w:numPr>
          <w:ilvl w:val="4"/>
          <w:numId w:val="1"/>
        </w:numPr>
        <w:rPr/>
      </w:pPr>
      <w:bookmarkStart w:id="630" w:name="__RefHeading___Toc8039915_1280447820"/>
      <w:bookmarkStart w:id="631" w:name="_Toc232"/>
      <w:bookmarkEnd w:id="629"/>
      <w:bookmarkEnd w:id="630"/>
      <w:r>
        <w:rPr>
          <w:rtl w:val="true"/>
        </w:rPr>
        <w:t>المَسألةُ الثانيةُ و المائةُ تَوريثُ رأسَينِ علىٰ حَقوٍ واحدٍ</w:t>
      </w:r>
      <w:bookmarkEnd w:id="631"/>
    </w:p>
    <w:p>
      <w:pPr>
        <w:pStyle w:val="BookText"/>
        <w:rPr/>
      </w:pPr>
      <w:r>
        <w:rPr>
          <w:rFonts w:ascii="Amiri" w:hAnsi="Amiri" w:eastAsia="Amiri" w:cs="Amiri"/>
          <w:color w:val="111111"/>
          <w:sz w:val="28"/>
          <w:sz w:val="28"/>
          <w:szCs w:val="28"/>
          <w:rtl w:val="true"/>
          <w:lang w:bidi="ar-SA"/>
        </w:rPr>
        <w:t>و إنّ الشخصَينِ إذا كانا علىٰ حَقوٍ واحدٍ، يُعتَبَرانِ بالنومِ؛ فإن نامَ أحَدُهما و استَيقَظَ الآخَرُ، فهُما اثنانِ؛ و إن ناما مَعاً، فهُما واحدٌ</w:t>
      </w:r>
      <w:r>
        <w:rPr>
          <w:rFonts w:eastAsia="Amiri" w:cs="Amiri" w:ascii="Amiri" w:hAnsi="Amiri"/>
          <w:color w:val="111111"/>
          <w:sz w:val="28"/>
          <w:szCs w:val="28"/>
          <w:rtl w:val="true"/>
          <w:lang w:bidi="ar-SA"/>
        </w:rPr>
        <w:t>.</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المُتقدِّمُ ذِكرُه</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8039917_1280447820"/>
      <w:bookmarkStart w:id="633" w:name="_Toc233"/>
      <w:bookmarkEnd w:id="632"/>
      <w:r>
        <w:rPr>
          <w:rtl w:val="true"/>
        </w:rPr>
        <w:t>المَسألةُ الثالثةُ و المائةُ أحكامُ إرثِ المملوكِ‌</w:t>
      </w:r>
      <w:bookmarkEnd w:id="633"/>
    </w:p>
    <w:p>
      <w:pPr>
        <w:pStyle w:val="BookText"/>
        <w:rPr/>
      </w:pPr>
      <w:r>
        <w:rPr>
          <w:rFonts w:ascii="Amiri" w:hAnsi="Amiri" w:eastAsia="Amiri" w:cs="Amiri"/>
          <w:color w:val="111111"/>
          <w:sz w:val="28"/>
          <w:sz w:val="28"/>
          <w:szCs w:val="28"/>
          <w:rtl w:val="true"/>
          <w:lang w:bidi="ar-SA"/>
        </w:rPr>
        <w:t>و إنّه لا ميراثَ للمملوكِ مِن حُرٍّ</w:t>
      </w:r>
      <w:r>
        <w:rPr>
          <w:rFonts w:eastAsia="Amiri" w:cs="Amiri" w:ascii="Amiri" w:hAnsi="Amiri"/>
          <w:color w:val="111111"/>
          <w:sz w:val="28"/>
          <w:szCs w:val="28"/>
          <w:rtl w:val="true"/>
          <w:lang w:bidi="ar-SA"/>
        </w:rPr>
        <w:t>.</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و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المُتقدِّمُ ذِكرُه</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8039919_1280447820"/>
      <w:bookmarkStart w:id="635" w:name="_Toc234"/>
      <w:bookmarkEnd w:id="634"/>
      <w:r>
        <w:rPr>
          <w:rtl w:val="true"/>
        </w:rPr>
        <w:t>المَسألةُ الرابعةُ و المائةُ‌</w:t>
      </w:r>
      <w:bookmarkEnd w:id="635"/>
    </w:p>
    <w:p>
      <w:pPr>
        <w:pStyle w:val="BookText"/>
        <w:rPr/>
      </w:pPr>
      <w:r>
        <w:rPr>
          <w:rFonts w:ascii="Amiri" w:hAnsi="Amiri" w:eastAsia="Amiri" w:cs="Amiri"/>
          <w:color w:val="111111"/>
          <w:sz w:val="28"/>
          <w:sz w:val="28"/>
          <w:szCs w:val="28"/>
          <w:rtl w:val="true"/>
          <w:lang w:bidi="ar-SA"/>
        </w:rPr>
        <w:t>المَسألةُ الرابعةُ و المائةُ‌</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و إنّ‌</w:t>
      </w:r>
      <w:r>
        <w:rPr>
          <w:rStyle w:val="FootnoteAnchor"/>
          <w:rtl w:val="true"/>
        </w:rPr>
        <w:footnoteReference w:id="2125"/>
      </w:r>
      <w:r>
        <w:rPr>
          <w:rFonts w:ascii="Amiri" w:hAnsi="Amiri" w:eastAsia="Amiri" w:cs="Amiri"/>
          <w:color w:val="111111"/>
          <w:sz w:val="28"/>
          <w:sz w:val="28"/>
          <w:szCs w:val="28"/>
          <w:rtl w:val="true"/>
          <w:lang w:bidi="ar-SA"/>
        </w:rPr>
        <w:t>الحُرَّ إذا ماتَ و خَلَّفَ مالاً و أُمّاً مملوكةً أو أباً مملوكاً أو ذا رَحِمٍ مملوكٍ، فالواجبُ أن يُشتَرَى المملوكُ مِن المالِ، و يُعتَقَ، و يُوَرَّثَ باقيَ التَّرِكةِ</w:t>
      </w:r>
      <w:r>
        <w:rPr>
          <w:rFonts w:eastAsia="Amiri" w:cs="Amiri" w:ascii="Amiri" w:hAnsi="Amiri"/>
          <w:color w:val="111111"/>
          <w:sz w:val="28"/>
          <w:szCs w:val="28"/>
          <w:rtl w:val="true"/>
          <w:lang w:bidi="ar-SA"/>
        </w:rPr>
        <w:t>.</w:t>
      </w:r>
      <w:r>
        <w:rPr>
          <w:rStyle w:val="FootnoteAnchor"/>
          <w:rtl w:val="true"/>
        </w:rPr>
        <w:footnoteReference w:id="212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أهلِ الحَقِّ عليه</w:t>
      </w:r>
      <w:r>
        <w:rPr>
          <w:rFonts w:eastAsia="Amiri" w:cs="Amiri" w:ascii="Amiri" w:hAnsi="Amiri"/>
          <w:color w:val="111111"/>
          <w:sz w:val="28"/>
          <w:szCs w:val="28"/>
          <w:rtl w:val="true"/>
          <w:lang w:bidi="ar-SA"/>
        </w:rPr>
        <w:t xml:space="preserve">. </w:t>
      </w:r>
      <w:bookmarkStart w:id="636" w:name="pg16437_172667"/>
    </w:p>
    <w:p>
      <w:pPr>
        <w:pStyle w:val="BookText"/>
        <w:rPr/>
      </w:pPr>
      <w:bookmarkEnd w:id="6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المملوكَ لا يَملِكُ شَيئاً في حالِ رِقِّه، فكَيفَ يَرِثُ و الميراثُ تمليكٌ؟</w:t>
      </w:r>
    </w:p>
    <w:p>
      <w:pPr>
        <w:pStyle w:val="Heading5"/>
        <w:numPr>
          <w:ilvl w:val="4"/>
          <w:numId w:val="1"/>
        </w:numPr>
        <w:rPr/>
      </w:pPr>
      <w:bookmarkStart w:id="637" w:name="__RefHeading___Toc8039921_1280447820"/>
      <w:bookmarkStart w:id="638" w:name="_Toc235"/>
      <w:bookmarkEnd w:id="637"/>
      <w:r>
        <w:rPr>
          <w:rtl w:val="true"/>
        </w:rPr>
        <w:t>المَسألةُ الخامسةُ و المائةُ ما يَرِثُه المُكاتَبُ‌</w:t>
      </w:r>
      <w:bookmarkEnd w:id="638"/>
    </w:p>
    <w:p>
      <w:pPr>
        <w:pStyle w:val="BookText"/>
        <w:rPr/>
      </w:pPr>
      <w:r>
        <w:rPr>
          <w:rFonts w:ascii="Amiri" w:hAnsi="Amiri" w:eastAsia="Amiri" w:cs="Amiri"/>
          <w:color w:val="111111"/>
          <w:sz w:val="28"/>
          <w:sz w:val="28"/>
          <w:szCs w:val="28"/>
          <w:rtl w:val="true"/>
          <w:lang w:bidi="ar-SA"/>
        </w:rPr>
        <w:t>و إنّ‌</w:t>
      </w:r>
      <w:r>
        <w:rPr>
          <w:rStyle w:val="FootnoteAnchor"/>
          <w:rtl w:val="true"/>
        </w:rPr>
        <w:footnoteReference w:id="2127"/>
      </w:r>
      <w:r>
        <w:rPr>
          <w:rFonts w:ascii="Amiri" w:hAnsi="Amiri" w:eastAsia="Amiri" w:cs="Amiri"/>
          <w:color w:val="111111"/>
          <w:sz w:val="28"/>
          <w:sz w:val="28"/>
          <w:szCs w:val="28"/>
          <w:rtl w:val="true"/>
          <w:lang w:bidi="ar-SA"/>
        </w:rPr>
        <w:t>المُكاتَبَ إذا ماتَ ذو رَحِمٍ له مِن الأحرارِ، و تَرَكَ مالاً، إنّه</w:t>
      </w:r>
      <w:r>
        <w:rPr>
          <w:rStyle w:val="FootnoteAnchor"/>
          <w:rtl w:val="true"/>
        </w:rPr>
        <w:footnoteReference w:id="2128"/>
      </w:r>
      <w:r>
        <w:rPr>
          <w:rFonts w:ascii="Amiri" w:hAnsi="Amiri" w:eastAsia="Amiri" w:cs="Amiri"/>
          <w:color w:val="111111"/>
          <w:sz w:val="28"/>
          <w:sz w:val="28"/>
          <w:szCs w:val="28"/>
          <w:rtl w:val="true"/>
          <w:lang w:bidi="ar-SA"/>
        </w:rPr>
        <w:t>يَرِثُ منه بحِسابِ ما عُتِقَ منه</w:t>
      </w:r>
      <w:r>
        <w:rPr>
          <w:rFonts w:eastAsia="Amiri" w:cs="Amiri" w:ascii="Amiri" w:hAnsi="Amiri"/>
          <w:color w:val="111111"/>
          <w:sz w:val="28"/>
          <w:szCs w:val="28"/>
          <w:rtl w:val="true"/>
          <w:lang w:bidi="ar-SA"/>
        </w:rPr>
        <w:t>.</w:t>
      </w:r>
      <w:r>
        <w:rPr>
          <w:rStyle w:val="FootnoteAnchor"/>
          <w:rtl w:val="true"/>
        </w:rPr>
        <w:footnoteReference w:id="2129"/>
      </w:r>
    </w:p>
    <w:p>
      <w:pPr>
        <w:pStyle w:val="Heading5"/>
        <w:numPr>
          <w:ilvl w:val="4"/>
          <w:numId w:val="1"/>
        </w:numPr>
        <w:rPr/>
      </w:pPr>
      <w:bookmarkStart w:id="639" w:name="__RefHeading___Toc8039923_1280447820"/>
      <w:bookmarkStart w:id="640" w:name="_Toc236"/>
      <w:bookmarkEnd w:id="639"/>
      <w:r>
        <w:rPr>
          <w:rtl w:val="true"/>
        </w:rPr>
        <w:t>المَسألةُ السادسةُ و المائةُ ما يورَثُ مِن المُكاتَبِ‌</w:t>
      </w:r>
      <w:bookmarkEnd w:id="640"/>
    </w:p>
    <w:p>
      <w:pPr>
        <w:pStyle w:val="BookText"/>
        <w:rPr/>
      </w:pPr>
      <w:r>
        <w:rPr>
          <w:rFonts w:ascii="IRNazanin" w:hAnsi="IRNazanin" w:eastAsia="IRNazanin"/>
          <w:color w:val="111111"/>
          <w:sz w:val="28"/>
          <w:sz w:val="28"/>
          <w:szCs w:val="28"/>
          <w:rtl w:val="true"/>
          <w:lang w:bidi="fa-IR"/>
        </w:rPr>
        <w:t>إن</w:t>
      </w:r>
      <w:r>
        <w:rPr>
          <w:rStyle w:val="FootnoteAnchor"/>
          <w:rtl w:val="true"/>
        </w:rPr>
        <w:footnoteReference w:id="2130"/>
      </w:r>
      <w:r>
        <w:rPr>
          <w:rFonts w:ascii="Amiri" w:hAnsi="Amiri" w:eastAsia="Amiri" w:cs="Amiri"/>
          <w:color w:val="111111"/>
          <w:sz w:val="28"/>
          <w:sz w:val="28"/>
          <w:szCs w:val="28"/>
          <w:rtl w:val="true"/>
          <w:lang w:bidi="ar-SA"/>
        </w:rPr>
        <w:t>ماتَ المُكاتَبُ و له وارثٌ مِن الأحرارِ، وَرِثَ‌</w:t>
      </w:r>
      <w:r>
        <w:rPr>
          <w:rStyle w:val="FootnoteAnchor"/>
          <w:rtl w:val="true"/>
        </w:rPr>
        <w:footnoteReference w:id="2131"/>
      </w:r>
      <w:r>
        <w:rPr>
          <w:rFonts w:ascii="Amiri" w:hAnsi="Amiri" w:eastAsia="Amiri" w:cs="Amiri"/>
          <w:color w:val="111111"/>
          <w:sz w:val="28"/>
          <w:sz w:val="28"/>
          <w:szCs w:val="28"/>
          <w:rtl w:val="true"/>
          <w:lang w:bidi="ar-SA"/>
        </w:rPr>
        <w:t>منه قَرابتُه بحِسابِ ما عُتِقَ منه،</w:t>
      </w:r>
      <w:r>
        <w:rPr>
          <w:rStyle w:val="FootnoteAnchor"/>
          <w:rtl w:val="true"/>
        </w:rPr>
        <w:footnoteReference w:id="2132"/>
      </w:r>
      <w:r>
        <w:rPr>
          <w:rFonts w:ascii="Amiri" w:hAnsi="Amiri" w:eastAsia="Amiri" w:cs="Amiri"/>
          <w:color w:val="111111"/>
          <w:sz w:val="28"/>
          <w:sz w:val="28"/>
          <w:szCs w:val="28"/>
          <w:rtl w:val="true"/>
          <w:lang w:bidi="ar-SA"/>
        </w:rPr>
        <w:t>و وَرِثَ الباقيَ مُكاتِبُه</w:t>
      </w:r>
      <w:r>
        <w:rPr>
          <w:rFonts w:eastAsia="Amiri" w:cs="Amiri" w:ascii="Amiri" w:hAnsi="Amiri"/>
          <w:color w:val="111111"/>
          <w:sz w:val="28"/>
          <w:szCs w:val="28"/>
          <w:rtl w:val="true"/>
          <w:lang w:bidi="ar-SA"/>
        </w:rPr>
        <w:t>.</w:t>
      </w:r>
      <w:r>
        <w:rPr>
          <w:rStyle w:val="FootnoteAnchor"/>
          <w:rtl w:val="true"/>
        </w:rPr>
        <w:footnoteReference w:id="213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هاتانِ المسألتانِ معاً</w:t>
      </w:r>
      <w:r>
        <w:rPr>
          <w:rStyle w:val="FootnoteAnchor"/>
          <w:rtl w:val="true"/>
        </w:rPr>
        <w:footnoteReference w:id="2134"/>
      </w:r>
      <w:r>
        <w:rPr>
          <w:rFonts w:ascii="Amiri" w:hAnsi="Amiri" w:eastAsia="Amiri" w:cs="Amiri"/>
          <w:color w:val="111111"/>
          <w:sz w:val="28"/>
          <w:sz w:val="28"/>
          <w:szCs w:val="28"/>
          <w:rtl w:val="true"/>
          <w:lang w:bidi="ar-SA"/>
        </w:rPr>
        <w:t>قد بيّنّا ما فيهما</w:t>
      </w:r>
      <w:r>
        <w:rPr>
          <w:rStyle w:val="FootnoteAnchor"/>
          <w:rtl w:val="true"/>
        </w:rPr>
        <w:footnoteReference w:id="2135"/>
      </w:r>
      <w:r>
        <w:rPr>
          <w:rFonts w:ascii="Amiri" w:hAnsi="Amiri" w:eastAsia="Amiri" w:cs="Amiri"/>
          <w:color w:val="111111"/>
          <w:sz w:val="28"/>
          <w:sz w:val="28"/>
          <w:szCs w:val="28"/>
          <w:rtl w:val="true"/>
          <w:lang w:bidi="ar-SA"/>
        </w:rPr>
        <w:t>و أوضَحناه في جوابِ المَسائلِ الأُولىٰ،</w:t>
      </w:r>
      <w:r>
        <w:rPr>
          <w:rStyle w:val="FootnoteAnchor"/>
          <w:rtl w:val="true"/>
        </w:rPr>
        <w:footnoteReference w:id="2136"/>
      </w:r>
      <w:r>
        <w:rPr>
          <w:rFonts w:ascii="Amiri" w:hAnsi="Amiri" w:eastAsia="Amiri" w:cs="Amiri"/>
          <w:color w:val="111111"/>
          <w:sz w:val="28"/>
          <w:sz w:val="28"/>
          <w:szCs w:val="28"/>
          <w:rtl w:val="true"/>
          <w:lang w:bidi="ar-SA"/>
        </w:rPr>
        <w:t>فلا معنىٰ لتَكرارِه</w:t>
      </w:r>
      <w:r>
        <w:rPr>
          <w:rFonts w:eastAsia="Amiri" w:cs="Amiri" w:ascii="Amiri" w:hAnsi="Amiri"/>
          <w:color w:val="111111"/>
          <w:sz w:val="28"/>
          <w:szCs w:val="28"/>
          <w:rtl w:val="true"/>
          <w:lang w:bidi="ar-SA"/>
        </w:rPr>
        <w:t xml:space="preserve">. </w:t>
      </w:r>
      <w:bookmarkStart w:id="641" w:name="pg16437_172668"/>
    </w:p>
    <w:p>
      <w:pPr>
        <w:pStyle w:val="Heading5"/>
        <w:numPr>
          <w:ilvl w:val="4"/>
          <w:numId w:val="1"/>
        </w:numPr>
        <w:rPr/>
      </w:pPr>
      <w:bookmarkStart w:id="642" w:name="__RefHeading___Toc8039925_1280447820"/>
      <w:bookmarkStart w:id="643" w:name="_Toc237"/>
      <w:bookmarkEnd w:id="641"/>
      <w:bookmarkEnd w:id="642"/>
      <w:r>
        <w:rPr>
          <w:rtl w:val="true"/>
        </w:rPr>
        <w:t>المَسألةُ السابعةُ و المائةُ‌إرثُ الكُفّارِ و المَجوسِ‌</w:t>
      </w:r>
      <w:bookmarkEnd w:id="643"/>
    </w:p>
    <w:p>
      <w:pPr>
        <w:pStyle w:val="BookText"/>
        <w:rPr/>
      </w:pPr>
      <w:r>
        <w:rPr>
          <w:rFonts w:ascii="Amiri" w:hAnsi="Amiri" w:eastAsia="Amiri" w:cs="Amiri"/>
          <w:color w:val="111111"/>
          <w:sz w:val="28"/>
          <w:sz w:val="28"/>
          <w:szCs w:val="28"/>
          <w:rtl w:val="true"/>
          <w:lang w:bidi="ar-SA"/>
        </w:rPr>
        <w:t>المَسألةُ السابعةُ و المائةُ‌</w:t>
      </w:r>
      <w:r>
        <w:rPr>
          <w:rStyle w:val="FootnoteAnchor"/>
          <w:rtl w:val="true"/>
        </w:rPr>
        <w:footnoteReference w:id="2137"/>
      </w:r>
      <w:r>
        <w:rPr>
          <w:rFonts w:ascii="Amiri" w:hAnsi="Amiri" w:eastAsia="Amiri" w:cs="Amiri"/>
          <w:color w:val="111111"/>
          <w:sz w:val="28"/>
          <w:sz w:val="28"/>
          <w:szCs w:val="28"/>
          <w:rtl w:val="true"/>
          <w:lang w:bidi="ar-SA"/>
        </w:rPr>
        <w:t>إرثُ الكُفّارِ و المَجوسِ</w:t>
      </w:r>
    </w:p>
    <w:p>
      <w:pPr>
        <w:pStyle w:val="BookText"/>
        <w:rPr/>
      </w:pPr>
      <w:r>
        <w:rPr>
          <w:rFonts w:ascii="Amiri" w:hAnsi="Amiri" w:eastAsia="Amiri" w:cs="Amiri"/>
          <w:color w:val="111111"/>
          <w:sz w:val="28"/>
          <w:sz w:val="28"/>
          <w:szCs w:val="28"/>
          <w:rtl w:val="true"/>
          <w:lang w:bidi="ar-SA"/>
        </w:rPr>
        <w:t>الكافرُ إذا ماتَ و خَلَّفَ والدَينِ و وَلَداً كُفّاراً، و له ابنُ عَمٍّ مِن المُسلِمينَ، إنّ تَرِكتَه لقَرابتِه مِن المُسلِمينَ خاصّةً</w:t>
      </w:r>
      <w:r>
        <w:rPr>
          <w:rFonts w:eastAsia="Amiri" w:cs="Amiri" w:ascii="Amiri" w:hAnsi="Amiri"/>
          <w:color w:val="111111"/>
          <w:sz w:val="28"/>
          <w:szCs w:val="28"/>
          <w:rtl w:val="true"/>
          <w:lang w:bidi="ar-SA"/>
        </w:rPr>
        <w:t>.</w:t>
      </w:r>
      <w:r>
        <w:rPr>
          <w:rStyle w:val="FootnoteAnchor"/>
          <w:rtl w:val="true"/>
        </w:rPr>
        <w:footnoteReference w:id="2138"/>
      </w:r>
    </w:p>
    <w:p>
      <w:pPr>
        <w:pStyle w:val="BookText"/>
        <w:rPr/>
      </w:pPr>
      <w:r>
        <w:rPr>
          <w:rFonts w:ascii="Amiri" w:hAnsi="Amiri" w:eastAsia="Amiri" w:cs="Amiri"/>
          <w:color w:val="111111"/>
          <w:sz w:val="28"/>
          <w:sz w:val="28"/>
          <w:szCs w:val="28"/>
          <w:rtl w:val="true"/>
          <w:lang w:bidi="ar-SA"/>
        </w:rPr>
        <w:t>و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المُحِقّةِ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الكُفّارَ بكُفرِهم قد صاروا كالمعدومينَ المفقودينَ، فكانَ هذا الميِّتُ لا وارثَ له إلّاالمُسلِمُ، فيَختَصُّ هو بميراثِه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 لَيسَت مما تَفرَّدَ بها الإماميّةُ، بَل أكثَرُ الفقهاءِ علىٰ مَذهبِهم فيها</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8039927_1280447820"/>
      <w:bookmarkStart w:id="645" w:name="_Toc238"/>
      <w:bookmarkEnd w:id="644"/>
      <w:r>
        <w:rPr>
          <w:rtl w:val="true"/>
        </w:rPr>
        <w:t>المسألةُ الثامنةُ و المائةُ ميراثُ المَجوسِ‌</w:t>
      </w:r>
      <w:bookmarkEnd w:id="645"/>
    </w:p>
    <w:p>
      <w:pPr>
        <w:pStyle w:val="BookText"/>
        <w:rPr/>
      </w:pPr>
      <w:r>
        <w:rPr>
          <w:rFonts w:ascii="Amiri" w:hAnsi="Amiri" w:eastAsia="Amiri" w:cs="Amiri"/>
          <w:color w:val="111111"/>
          <w:sz w:val="28"/>
          <w:sz w:val="28"/>
          <w:szCs w:val="28"/>
          <w:rtl w:val="true"/>
          <w:lang w:bidi="ar-SA"/>
        </w:rPr>
        <w:t>و إنّ ميراثَ المَجوسِ مِن</w:t>
      </w:r>
      <w:r>
        <w:rPr>
          <w:rStyle w:val="FootnoteAnchor"/>
          <w:rtl w:val="true"/>
        </w:rPr>
        <w:footnoteReference w:id="2139"/>
      </w:r>
      <w:r>
        <w:rPr>
          <w:rFonts w:ascii="Amiri" w:hAnsi="Amiri" w:eastAsia="Amiri" w:cs="Amiri"/>
          <w:color w:val="111111"/>
          <w:sz w:val="28"/>
          <w:sz w:val="28"/>
          <w:szCs w:val="28"/>
          <w:rtl w:val="true"/>
          <w:lang w:bidi="ar-SA"/>
        </w:rPr>
        <w:t>جِهةِ النَّسَبِ الصحيحِ، دونَ النكاحِ الفاسدِ</w:t>
      </w:r>
      <w:r>
        <w:rPr>
          <w:rFonts w:eastAsia="Amiri" w:cs="Amiri" w:ascii="Amiri" w:hAnsi="Amiri"/>
          <w:color w:val="111111"/>
          <w:sz w:val="28"/>
          <w:szCs w:val="28"/>
          <w:rtl w:val="true"/>
          <w:lang w:bidi="ar-SA"/>
        </w:rPr>
        <w:t>.</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و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المُتكرِّرُ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هذه المسألةُ مِمّا يَنفَرِدُ</w:t>
      </w:r>
      <w:r>
        <w:rPr>
          <w:rStyle w:val="FootnoteAnchor"/>
          <w:rtl w:val="true"/>
        </w:rPr>
        <w:footnoteReference w:id="2141"/>
      </w:r>
      <w:r>
        <w:rPr>
          <w:rFonts w:ascii="Amiri" w:hAnsi="Amiri" w:eastAsia="Amiri" w:cs="Amiri"/>
          <w:color w:val="111111"/>
          <w:sz w:val="28"/>
          <w:sz w:val="28"/>
          <w:szCs w:val="28"/>
          <w:rtl w:val="true"/>
          <w:lang w:bidi="ar-SA"/>
        </w:rPr>
        <w:t>بها الإماميّةُ، بَل يُوافِقُ‌</w:t>
      </w:r>
      <w:r>
        <w:rPr>
          <w:rStyle w:val="FootnoteAnchor"/>
          <w:rtl w:val="true"/>
        </w:rPr>
        <w:footnoteReference w:id="2142"/>
      </w:r>
      <w:r>
        <w:rPr>
          <w:rFonts w:ascii="Amiri" w:hAnsi="Amiri" w:eastAsia="Amiri" w:cs="Amiri"/>
          <w:color w:val="111111"/>
          <w:sz w:val="28"/>
          <w:sz w:val="28"/>
          <w:szCs w:val="28"/>
          <w:rtl w:val="true"/>
          <w:lang w:bidi="ar-SA"/>
        </w:rPr>
        <w:t>عليها الشافعيُّ،</w:t>
      </w:r>
      <w:r>
        <w:rPr>
          <w:rStyle w:val="FootnoteAnchor"/>
          <w:rtl w:val="true"/>
        </w:rPr>
        <w:footnoteReference w:id="2143"/>
      </w:r>
      <w:r>
        <w:rPr>
          <w:rFonts w:ascii="Amiri" w:hAnsi="Amiri" w:eastAsia="Amiri" w:cs="Amiri"/>
          <w:color w:val="111111"/>
          <w:sz w:val="28"/>
          <w:sz w:val="28"/>
          <w:szCs w:val="28"/>
          <w:rtl w:val="true"/>
          <w:lang w:bidi="ar-SA"/>
        </w:rPr>
        <w:t xml:space="preserve">و مِن </w:t>
      </w:r>
      <w:bookmarkStart w:id="646" w:name="pg16437_172669"/>
    </w:p>
    <w:p>
      <w:pPr>
        <w:pStyle w:val="BookText"/>
        <w:rPr/>
      </w:pPr>
      <w:bookmarkEnd w:id="646"/>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Style w:val="FootnoteAnchor"/>
          <w:rtl w:val="true"/>
        </w:rPr>
        <w:footnoteReference w:id="2144"/>
      </w:r>
      <w:r>
        <w:rPr>
          <w:rFonts w:ascii="Amiri" w:hAnsi="Amiri" w:eastAsia="Amiri" w:cs="Amiri"/>
          <w:color w:val="111111"/>
          <w:sz w:val="28"/>
          <w:sz w:val="28"/>
          <w:szCs w:val="28"/>
          <w:rtl w:val="true"/>
          <w:lang w:bidi="ar-SA"/>
        </w:rPr>
        <w:t>و الزُّهريُّ،</w:t>
      </w:r>
      <w:r>
        <w:rPr>
          <w:rStyle w:val="FootnoteAnchor"/>
          <w:rtl w:val="true"/>
        </w:rPr>
        <w:footnoteReference w:id="2145"/>
      </w:r>
      <w:r>
        <w:rPr>
          <w:rFonts w:ascii="Amiri" w:hAnsi="Amiri" w:eastAsia="Amiri" w:cs="Amiri"/>
          <w:color w:val="111111"/>
          <w:sz w:val="28"/>
          <w:sz w:val="28"/>
          <w:szCs w:val="28"/>
          <w:rtl w:val="true"/>
          <w:lang w:bidi="ar-SA"/>
        </w:rPr>
        <w:t>و الأوزاعيُّ</w:t>
      </w:r>
      <w:r>
        <w:rPr>
          <w:rFonts w:eastAsia="Amiri" w:cs="Amiri" w:ascii="Amiri" w:hAnsi="Amiri"/>
          <w:color w:val="111111"/>
          <w:sz w:val="28"/>
          <w:szCs w:val="28"/>
          <w:rtl w:val="true"/>
          <w:lang w:bidi="ar-SA"/>
        </w:rPr>
        <w:t>.</w:t>
      </w:r>
      <w:r>
        <w:rPr>
          <w:rStyle w:val="FootnoteAnchor"/>
          <w:rtl w:val="true"/>
        </w:rPr>
        <w:footnoteReference w:id="2146"/>
      </w:r>
    </w:p>
    <w:p>
      <w:pPr>
        <w:pStyle w:val="Heading5"/>
        <w:numPr>
          <w:ilvl w:val="4"/>
          <w:numId w:val="1"/>
        </w:numPr>
        <w:rPr/>
      </w:pPr>
      <w:bookmarkStart w:id="647" w:name="__RefHeading___Toc8039929_1280447820"/>
      <w:bookmarkStart w:id="648" w:name="_Toc239"/>
      <w:bookmarkEnd w:id="647"/>
      <w:r>
        <w:rPr>
          <w:rtl w:val="true"/>
        </w:rPr>
        <w:t>المَسألةُ التاسعةُ و المائةُ حُكمُ العَولِ في الفَرائِض</w:t>
      </w:r>
      <w:bookmarkEnd w:id="648"/>
    </w:p>
    <w:p>
      <w:pPr>
        <w:pStyle w:val="BookText"/>
        <w:rPr/>
      </w:pPr>
      <w:r>
        <w:rPr>
          <w:rFonts w:ascii="Amiri" w:hAnsi="Amiri" w:eastAsia="Amiri" w:cs="Amiri"/>
          <w:color w:val="111111"/>
          <w:sz w:val="28"/>
          <w:sz w:val="28"/>
          <w:szCs w:val="28"/>
          <w:rtl w:val="true"/>
          <w:lang w:bidi="ar-SA"/>
        </w:rPr>
        <w:t>إنّ الفَرائضَ لا تَعولُ</w:t>
      </w:r>
      <w:r>
        <w:rPr>
          <w:rFonts w:eastAsia="Amiri" w:cs="Amiri" w:ascii="Amiri" w:hAnsi="Amiri"/>
          <w:color w:val="111111"/>
          <w:sz w:val="28"/>
          <w:szCs w:val="28"/>
          <w:rtl w:val="true"/>
          <w:lang w:bidi="ar-SA"/>
        </w:rPr>
        <w:t>.</w:t>
      </w:r>
      <w:r>
        <w:rPr>
          <w:rStyle w:val="FootnoteAnchor"/>
          <w:rtl w:val="true"/>
        </w:rPr>
        <w:footnoteReference w:id="214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هذه المسألةُ ممّا يَنفَرِدُ</w:t>
      </w:r>
      <w:r>
        <w:rPr>
          <w:rStyle w:val="FootnoteAnchor"/>
          <w:rtl w:val="true"/>
        </w:rPr>
        <w:footnoteReference w:id="2148"/>
      </w:r>
      <w:r>
        <w:rPr>
          <w:rFonts w:ascii="Amiri" w:hAnsi="Amiri" w:eastAsia="Amiri" w:cs="Amiri"/>
          <w:color w:val="111111"/>
          <w:sz w:val="28"/>
          <w:sz w:val="28"/>
          <w:szCs w:val="28"/>
          <w:rtl w:val="true"/>
          <w:lang w:bidi="ar-SA"/>
        </w:rPr>
        <w:t>بها الإماميّةُ؛ لأنّ ابنَ عبّاسٍ قد نَفَى العَولَ،</w:t>
      </w:r>
      <w:r>
        <w:rPr>
          <w:rStyle w:val="FootnoteAnchor"/>
          <w:rtl w:val="true"/>
        </w:rPr>
        <w:footnoteReference w:id="2149"/>
      </w:r>
      <w:r>
        <w:rPr>
          <w:rFonts w:ascii="Amiri" w:hAnsi="Amiri" w:eastAsia="Amiri" w:cs="Amiri"/>
          <w:color w:val="111111"/>
          <w:sz w:val="28"/>
          <w:sz w:val="28"/>
          <w:szCs w:val="28"/>
          <w:rtl w:val="true"/>
          <w:lang w:bidi="ar-SA"/>
        </w:rPr>
        <w:t>و قولُه في ذلك مشهورٌ، و هو أيضاً مَذهَبُ داودَ الأصفَهانيِّ</w:t>
      </w:r>
      <w:r>
        <w:rPr>
          <w:rFonts w:eastAsia="Amiri" w:cs="Amiri" w:ascii="Amiri" w:hAnsi="Amiri"/>
          <w:color w:val="111111"/>
          <w:sz w:val="28"/>
          <w:szCs w:val="28"/>
          <w:rtl w:val="true"/>
          <w:lang w:bidi="ar-SA"/>
        </w:rPr>
        <w:t>.</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و إيضاحُ هذه المسألةِ و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السهامُ المُسمّاةُ في الفريضةِ يَضيقُ عنها المالُ و لا يَتَّسِعُ لها، كامرأةٍ خَلَّفَت ابنتَينِ و أبَوَينِ و زَوجاً، فللزوجِ الرُّبُعُ و للبنتَينِ الثُّلُثانِ و للأبَوَينِ السُّدُسانِ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يَضيقُ المالُ عنه؛ لأنّ المالَ لا يَجوزُ أن يَكونَ له ثُلُثانِ و سُدُسانِ و رُبُعٌ، و اللّٰهُ تَعالىٰ أعدَلُ و أحكَمُ من أن يَفرِضَ في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يَتَّسِعُ له المالُ؛ لأنّ ذلكَ سَفَهٌ و عَبَثٌ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عندنا</w:t>
      </w:r>
      <w:r>
        <w:rPr>
          <w:rStyle w:val="FootnoteAnchor"/>
          <w:rtl w:val="true"/>
        </w:rPr>
        <w:footnoteReference w:id="2151"/>
      </w:r>
      <w:r>
        <w:rPr>
          <w:rFonts w:ascii="Amiri" w:hAnsi="Amiri" w:eastAsia="Amiri" w:cs="Amiri"/>
          <w:color w:val="111111"/>
          <w:sz w:val="28"/>
          <w:sz w:val="28"/>
          <w:szCs w:val="28"/>
          <w:rtl w:val="true"/>
          <w:lang w:bidi="ar-SA"/>
        </w:rPr>
        <w:t>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للأبَوَينِ السُّدُسَينِ، و للزوجِ الرُّبُعَ، و ما بَقيَ للِابنتَينِ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مُخالِفونا الذينَ يَذهَبونَ إلَى العَولِ، يَجعَلونَ للزوجِ الخُمُسَ؛ ثَلاثةَ‌</w:t>
      </w:r>
      <w:r>
        <w:rPr>
          <w:rStyle w:val="FootnoteAnchor"/>
          <w:rtl w:val="true"/>
        </w:rPr>
        <w:footnoteReference w:id="2152"/>
      </w:r>
      <w:r>
        <w:rPr>
          <w:rFonts w:ascii="Amiri" w:hAnsi="Amiri" w:eastAsia="Amiri" w:cs="Amiri"/>
          <w:color w:val="111111"/>
          <w:sz w:val="28"/>
          <w:sz w:val="28"/>
          <w:szCs w:val="28"/>
          <w:rtl w:val="true"/>
          <w:lang w:bidi="ar-SA"/>
        </w:rPr>
        <w:t>أسهُمٍ مِن خَمسةَ عَشَرَ سَهماً، بخِلافِ الإجماعِ؛ لأنّ الزوجَ لا يُزادُ علَى النِّصفِ و لا يُنقَصُ مِن الرُّبُعِ‌</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أدخَلنا النُّقصانَ علَى البَناتِ خاصّةً لأنّ الأُمّةَ مُجمِعةٌ علىٰ أنّ الابنَتَينِ منقوصَتانِ في هذه المَسألةِ عن حقِّهما المُسَمّىٰ لهما، و لَم</w:t>
      </w:r>
      <w:r>
        <w:rPr>
          <w:rStyle w:val="FootnoteAnchor"/>
          <w:rtl w:val="true"/>
        </w:rPr>
        <w:footnoteReference w:id="2154"/>
      </w:r>
      <w:r>
        <w:rPr>
          <w:rFonts w:ascii="Amiri" w:hAnsi="Amiri" w:eastAsia="Amiri" w:cs="Amiri"/>
          <w:color w:val="111111"/>
          <w:sz w:val="28"/>
          <w:sz w:val="28"/>
          <w:szCs w:val="28"/>
          <w:rtl w:val="true"/>
          <w:lang w:bidi="ar-SA"/>
        </w:rPr>
        <w:t>تُجمِعْ علىٰ دخولِ النُّقصانِ علىٰ مَن</w:t>
      </w:r>
      <w:r>
        <w:rPr>
          <w:rStyle w:val="FootnoteAnchor"/>
          <w:rtl w:val="true"/>
        </w:rPr>
        <w:footnoteReference w:id="2155"/>
      </w:r>
      <w:r>
        <w:rPr>
          <w:rFonts w:ascii="Amiri" w:hAnsi="Amiri" w:eastAsia="Amiri" w:cs="Amiri"/>
          <w:color w:val="111111"/>
          <w:sz w:val="28"/>
          <w:sz w:val="28"/>
          <w:szCs w:val="28"/>
          <w:rtl w:val="true"/>
          <w:lang w:bidi="ar-SA"/>
        </w:rPr>
        <w:t>عَداهُما في ذلكَ، و لا خِلافَ و لا دَليلَ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ضاقَت المَسألةُ عن السهامِ، أدخَلنا النقصَ علىٰ مَن أجمَعَت الأُمّةُ علىٰ نقصِه، و وَفَّرنا منهم سَهمَ مَن عَداه</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قد جَعَلَ للبنتَينِ الثُلُثَينِ و للواحدةِ النِّصفَ، فكَيفَ نَقَصتَهما مِن حقِّهما؟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نَمنَعُ‌</w:t>
      </w:r>
      <w:r>
        <w:rPr>
          <w:rStyle w:val="FootnoteAnchor"/>
          <w:rtl w:val="true"/>
        </w:rPr>
        <w:footnoteReference w:id="2157"/>
      </w:r>
      <w:r>
        <w:rPr>
          <w:rFonts w:ascii="Amiri" w:hAnsi="Amiri" w:eastAsia="Amiri" w:cs="Amiri"/>
          <w:color w:val="111111"/>
          <w:sz w:val="28"/>
          <w:sz w:val="28"/>
          <w:szCs w:val="28"/>
          <w:rtl w:val="true"/>
          <w:lang w:bidi="ar-SA"/>
        </w:rPr>
        <w:t>مِن تخصيصِ هذا الظاهرِ بالإجماعِ، و إذا أجمَعَت الأُمّةُ علىٰ دخولِ النقصِ علَى البَناتِ، كانَ ذلكَ دليلاً علىٰ أنّه لَيسَ للبنتَينِ الثُّلُثانِ‌</w:t>
      </w:r>
      <w:r>
        <w:rPr>
          <w:rStyle w:val="FootnoteAnchor"/>
          <w:rtl w:val="true"/>
        </w:rPr>
        <w:footnoteReference w:id="2158"/>
      </w:r>
      <w:r>
        <w:rPr>
          <w:rFonts w:ascii="Amiri" w:hAnsi="Amiri" w:eastAsia="Amiri" w:cs="Amiri"/>
          <w:color w:val="111111"/>
          <w:sz w:val="28"/>
          <w:sz w:val="28"/>
          <w:szCs w:val="28"/>
          <w:rtl w:val="true"/>
          <w:lang w:bidi="ar-SA"/>
        </w:rPr>
        <w:t>و لا للواحدةِ النصفُ‌</w:t>
      </w:r>
      <w:r>
        <w:rPr>
          <w:rStyle w:val="FootnoteAnchor"/>
          <w:rtl w:val="true"/>
        </w:rPr>
        <w:footnoteReference w:id="2159"/>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الكلامُ في هذه المسألةِ طويلٌ، و هذه جُملةٌ كافيةٌ، و سنَبسُطُه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w:t>
      </w:r>
      <w:r>
        <w:rPr>
          <w:rFonts w:eastAsia="Amiri" w:cs="Amiri" w:ascii="Amiri" w:hAnsi="Amiri"/>
          <w:color w:val="111111"/>
          <w:sz w:val="28"/>
          <w:szCs w:val="28"/>
          <w:rtl w:val="true"/>
          <w:lang w:bidi="ar-SA"/>
        </w:rPr>
        <w:t>»</w:t>
      </w:r>
      <w:r>
        <w:rPr>
          <w:rStyle w:val="FootnoteAnchor"/>
          <w:rtl w:val="true"/>
        </w:rPr>
        <w:footnoteReference w:id="2160"/>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بحَمدِ اللّٰهِ تَعالىٰ و مَنِّه، و حُسنِ عَونِه و توفيقِه، و الحَمدُ لِلّٰهِ رَبِّ العالَمينَ، و صَلواتُه علىٰ سيّدِنا محمّدٍ و آلِه الطيّبينَ الطاهرينَ، و حَسبُنا اللّٰهُ و نِعمَ الوكيلُ</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9" w:name="pg16437_172673"/>
      <w:bookmarkStart w:id="650" w:name="pg16437_172673"/>
      <w:bookmarkEnd w:id="650"/>
    </w:p>
    <w:p>
      <w:pPr>
        <w:pStyle w:val="Heading3"/>
        <w:numPr>
          <w:ilvl w:val="2"/>
          <w:numId w:val="1"/>
        </w:numPr>
        <w:rPr/>
      </w:pPr>
      <w:bookmarkStart w:id="651" w:name="pg16437_172673"/>
      <w:bookmarkStart w:id="652" w:name="__RefHeading___Toc8039931_1280447820"/>
      <w:bookmarkStart w:id="653" w:name="_Toc240"/>
      <w:bookmarkEnd w:id="651"/>
      <w:bookmarkEnd w:id="652"/>
      <w:r>
        <w:rPr>
          <w:rtl w:val="true"/>
        </w:rPr>
        <w:t>(</w:t>
      </w:r>
      <w:r>
        <w:rPr/>
        <w:t>79</w:t>
      </w:r>
      <w:r>
        <w:rPr>
          <w:rtl w:val="true"/>
        </w:rPr>
        <w:t xml:space="preserve">) </w:t>
      </w:r>
      <w:r>
        <w:rPr>
          <w:rtl w:val="true"/>
        </w:rPr>
        <w:t>جواباتُ مَسائلِ أهلِ مَيّافارِقينَ‌</w:t>
      </w:r>
      <w:bookmarkEnd w:id="65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4" w:name="__RefHeading___Toc8039933_1280447820"/>
      <w:bookmarkStart w:id="655" w:name="_Toc241"/>
      <w:bookmarkEnd w:id="654"/>
      <w:r>
        <w:rPr>
          <w:rtl w:val="true"/>
        </w:rPr>
        <w:t>اشارة</w:t>
      </w:r>
      <w:bookmarkEnd w:id="65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6" w:name="pg16437_172675"/>
      <w:bookmarkStart w:id="657" w:name="pg16437_172675"/>
      <w:bookmarkEnd w:id="657"/>
    </w:p>
    <w:p>
      <w:pPr>
        <w:pStyle w:val="Heading4"/>
        <w:numPr>
          <w:ilvl w:val="3"/>
          <w:numId w:val="1"/>
        </w:numPr>
        <w:rPr/>
      </w:pPr>
      <w:bookmarkStart w:id="658" w:name="pg16437_172675"/>
      <w:bookmarkStart w:id="659" w:name="__RefHeading___Toc8039935_1280447820"/>
      <w:bookmarkStart w:id="660" w:name="_Toc242"/>
      <w:bookmarkEnd w:id="658"/>
      <w:bookmarkEnd w:id="659"/>
      <w:r>
        <w:rPr>
          <w:rtl w:val="true"/>
        </w:rPr>
        <w:t>مقدّمة التحقيق</w:t>
      </w:r>
      <w:bookmarkEnd w:id="660"/>
    </w:p>
    <w:p>
      <w:pPr>
        <w:pStyle w:val="Heading5"/>
        <w:numPr>
          <w:ilvl w:val="4"/>
          <w:numId w:val="1"/>
        </w:numPr>
        <w:rPr/>
      </w:pPr>
      <w:bookmarkStart w:id="661" w:name="__RefHeading___Toc8039937_1280447820"/>
      <w:bookmarkStart w:id="662" w:name="_Toc243"/>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وجّه مجموعة من الإماميّة من أهالي ميّافارقين أسئلة إلى الشريف المرتضى، أكثرها أسئلة فقهيّة، و تحتوي في ضمنها على بعض الأسئلة الكلاميّة و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المسائل و وصفها بأنّها مائة مسألة</w:t>
      </w:r>
      <w:r>
        <w:rPr>
          <w:rStyle w:val="FootnoteAnchor"/>
          <w:rtl w:val="true"/>
        </w:rPr>
        <w:footnoteReference w:id="2161"/>
      </w:r>
      <w:r>
        <w:rPr>
          <w:rFonts w:ascii="Amiri" w:hAnsi="Amiri" w:eastAsia="Amiri" w:cs="Amiri"/>
          <w:color w:val="111111"/>
          <w:sz w:val="28"/>
          <w:sz w:val="28"/>
          <w:szCs w:val="28"/>
          <w:rtl w:val="true"/>
          <w:lang w:bidi="ar-SA"/>
        </w:rPr>
        <w:t xml:space="preserve">، فيما سمّاها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Style w:val="FootnoteAnchor"/>
          <w:rtl w:val="true"/>
        </w:rPr>
        <w:footnoteReference w:id="2162"/>
      </w:r>
      <w:r>
        <w:rPr>
          <w:rFonts w:ascii="Amiri" w:hAnsi="Amiri" w:eastAsia="Amiri" w:cs="Amiri"/>
          <w:color w:val="111111"/>
          <w:sz w:val="28"/>
          <w:sz w:val="28"/>
          <w:szCs w:val="28"/>
          <w:rtl w:val="true"/>
          <w:lang w:bidi="ar-SA"/>
        </w:rPr>
        <w:t xml:space="preserve">لكن الموجود منها يحتوي على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و قد جاء في خاتمتها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المسائل و أجوبتها، و اللّٰه وليّ الحمد و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يدلّ على انتهاء المسائل، و عدم سقوط شيء منها؛ و لكن إذا صحّ كلام البُصروي من أنّها مائة مسألة، فقد تكون هذه الخاتمة من تصرّفات النسّاخ و إضافاتهم؛ و اللّٰه أعلم</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8039939_1280447820"/>
      <w:bookmarkStart w:id="664" w:name="_Toc244"/>
      <w:bookmarkEnd w:id="663"/>
      <w:r>
        <w:rPr>
          <w:rtl w:val="true"/>
        </w:rPr>
        <w:t>ميّافارِقِين</w:t>
      </w:r>
      <w:bookmarkEnd w:id="66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تشديد الياء، و كسر الراء و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مدينة بدِيَار بكر</w:t>
      </w:r>
      <w:r>
        <w:rPr>
          <w:rStyle w:val="FootnoteAnchor"/>
          <w:rtl w:val="true"/>
        </w:rPr>
        <w:footnoteReference w:id="2163"/>
      </w:r>
      <w:r>
        <w:rPr>
          <w:rFonts w:ascii="Amiri" w:hAnsi="Amiri" w:eastAsia="Amiri" w:cs="Amiri"/>
          <w:color w:val="111111"/>
          <w:sz w:val="28"/>
          <w:sz w:val="28"/>
          <w:szCs w:val="28"/>
          <w:rtl w:val="true"/>
          <w:lang w:bidi="ar-SA"/>
        </w:rPr>
        <w:t>، و هي من ثغور الجزيرة</w:t>
      </w:r>
      <w:r>
        <w:rPr>
          <w:rStyle w:val="FootnoteAnchor"/>
          <w:rtl w:val="true"/>
        </w:rPr>
        <w:footnoteReference w:id="2164"/>
      </w:r>
      <w:r>
        <w:rPr>
          <w:rFonts w:ascii="Amiri" w:hAnsi="Amiri" w:eastAsia="Amiri" w:cs="Amiri"/>
          <w:color w:val="111111"/>
          <w:sz w:val="28"/>
          <w:sz w:val="28"/>
          <w:szCs w:val="28"/>
          <w:rtl w:val="true"/>
          <w:lang w:bidi="ar-SA"/>
        </w:rPr>
        <w:t>، و 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الفارِقِي، و المافَرِقِي، و الميّافارِقِي، و الميّافارِقِيني</w:t>
      </w:r>
      <w:r>
        <w:rPr>
          <w:rFonts w:eastAsia="Amiri" w:cs="Amiri" w:ascii="Amiri" w:hAnsi="Amiri"/>
          <w:color w:val="111111"/>
          <w:sz w:val="28"/>
          <w:szCs w:val="28"/>
          <w:rtl w:val="true"/>
          <w:lang w:bidi="ar-SA"/>
        </w:rPr>
        <w:t>.</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 xml:space="preserve">و في هذا المجال لا بأس في التعرّف على منطقة الجزيرة التي وقعت فيها مدينة ميّافارِقِين، فقد أطلق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المنطقة الواقعة حالياً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تركية، و شمال العراق، و شمال شرق سورية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لوقوعها بين نهرَي دجلة و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قسّمت إلى ثلاث مناطق وفق القبائل التي عاشت فيها إبّان العهد الساساني قبل الإسلام، و هي قبائل بَكر و رَبِيعَة و مُضَر، و كلّها قبائل عدنانيّة، فسميّت تلك المناطق بأسمائها، فصارت 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بَكر، و دِيَار رَبِيعَة، ودِيَار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تقع دِيَار بَكر في شمال الجزيرة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تركية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دِيَار رَبِيعَة في الجنوب الشرقي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دِيَار مُضَر في الجنوب الغربي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شرق سورية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دِيَار بَكر، فعاصمتها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مدنها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ميّافارِقِين، و أرزَن، و حصن كيفا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 فافان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في 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دِيَار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ميّافارِقِين فقد سمّاها اليونان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الشهداء؛ لأنّها حوت عظام شهداء النصارى، و هي أهمّ مدن دِيَار بَكر و أشهرها أيّام الحمدانيّين في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ذات عيون تجري منها قنوات، و ذات قصور و عمائر و بساتين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تقطنها جالية من المسيحيّين و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تعرّضت إلى غارات الروم بصورة مستمرّة في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أهمّ كتاب كتب حولها هو تاريخ الفارِقِي تأليف أحمد بن يوسف بن عليّ بن الأزرق الفارِقِي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216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دِيَار رَبِيعَة، فعاصمتها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مدنها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العين، و ماردين، و دنيسر، و كفر توثا، و نصيبين، و أذرمة، و برقعيد، و سنجار، و جزيرة ابن عمر، و الحسنية، و بلد، و حديثة الموصل، و أربيل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دِيَار مُضَر، فعاصمتها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مدنها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الرافقة، و حرّان، و الرها، و حصن مسلمة، و قرقيسياء، و الرحبة، والدالية، و رصافة الشام، و هيت، و تكريت، و 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عانات</w:t>
      </w:r>
      <w:r>
        <w:rPr>
          <w:rFonts w:eastAsia="Amiri" w:cs="Amiri" w:ascii="Amiri" w:hAnsi="Amiri"/>
          <w:color w:val="111111"/>
          <w:sz w:val="28"/>
          <w:szCs w:val="28"/>
          <w:rtl w:val="true"/>
          <w:lang w:bidi="ar-SA"/>
        </w:rPr>
        <w:t>)</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رجعنا إلى مسائل أهل ميّافارِقِين محلّ بحثنا وجدنا أنّ السائلين قد ذكروا في مقدّمة الأسئلة أنّهم يعيشون في دِيَار متاخمة لدار الكفر، و هذا يؤيّد ما تقدّم من أنّ مدينتهم كانت ثغراً من الثغور، و أنّها تعرّضت لغارات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لديهم احتكاك فيها مع الأديان و المذاهب الإسلاميّة الأُخرى، و هذا الأمر واضح من نوع الأسئلة المطروحة؛ فإنّه يوجد في الكثير منها سؤال متعلّق بنوع العلاقة مع أتباع المذاهب الأُخرى،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صلاة الجمعة و العيدين خلف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السؤال عن جواز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أذان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السؤال عن حكم إعطاء الفطرة و الزكاة لكلّ الضعفاء سواء كانوا مؤمنين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طبيعة بعض الأسئلة تدلّ على أنّها ناظرة إلى فقه أهل السنّة، مثل السؤال عن حكم لحم الأرنب و الفقّاع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ذهب أهل السنّة بصورة عامّة إلى حلّيّتها</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بعض الأسئلة يدلّ على وجود علاقات عائليّة و قرابات مع المخالفين و أتباع الديانات الأُخرىٰ؛ ففي إحدى المسائل سألوا عن جواز أن يترحّم المؤمن و يستغفر لوالديه و أقاربه إذا كانوا من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سألوا في </w:t>
      </w:r>
    </w:p>
    <w:p>
      <w:pPr>
        <w:pStyle w:val="BookText"/>
        <w:rPr/>
      </w:pPr>
      <w:r>
        <w:rPr>
          <w:rFonts w:ascii="Amiri" w:hAnsi="Amiri" w:eastAsia="Amiri" w:cs="Amiri"/>
          <w:color w:val="111111"/>
          <w:sz w:val="28"/>
          <w:sz w:val="28"/>
          <w:szCs w:val="28"/>
          <w:rtl w:val="true"/>
          <w:lang w:bidi="ar-SA"/>
        </w:rPr>
        <w:t xml:space="preserve">مسألة أُخرىٰ عن إرث المسلم من النصراني إذا كان من أُولي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يعني وجود صِلات رحم مع المخالفين و أتباع الديانات الأُخرىٰ، كما يدلّ على وجود حالات من الانتقال من المذهب السنّي إلى المذهب الإمامي، بحيث يكون الوالدان من المخالفين فيما يكون ولدهم من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أبناء هذه المنطقة يعانون من فقدان العلماء و الفقهاء الذين يفتون على مذهب الإماميّة، حيث صرّحوا بذلك،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في ديار متاخمة لدار الكفر، و قلّما نجد مَن يوثق بدينه و أمانته في أخذ أعلام ديننا منه، و بنا أمسُّ حاجة إلى أن يفتينا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قد سطرناها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طلبوا من الشريف المرتضى أن يذكر لهم الفتوى فقط من دون الإتيان بالدليل؛ و هذا قد يدلّ على عدم كونهم من العلماء، و أنّهم كانوا يكتفون بالفتوى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ذكروا كتاب التكليف للشلمغاني عدّة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سمّوه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الشلمغاني، و هو يدلّ على أهمّيّة هذا الكتاب في تلك المنطقة، و ربما انتشاره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قد يكون ناشئاً من وجود الشلمغاني في تلك المناطق في فترة من حياته</w:t>
      </w:r>
      <w:r>
        <w:rPr>
          <w:rStyle w:val="FootnoteAnchor"/>
          <w:rtl w:val="true"/>
        </w:rPr>
        <w:footnoteReference w:id="2169"/>
      </w:r>
      <w:r>
        <w:rPr>
          <w:rFonts w:ascii="Amiri" w:hAnsi="Amiri" w:eastAsia="Amiri" w:cs="Amiri"/>
          <w:color w:val="111111"/>
          <w:sz w:val="28"/>
          <w:sz w:val="28"/>
          <w:szCs w:val="28"/>
          <w:rtl w:val="true"/>
          <w:lang w:bidi="ar-SA"/>
        </w:rPr>
        <w:t>، أو وجود الغلاة هناك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أنّ السائلين طلبوا في المقدّمة عدم ذكر الدليل على المسائل، لكنّهم طلبوا في خلال المسائل الدليل على المسألة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قد استجاب الشريف المرتضى لطلبهم الأوّل، فلم يذكر أدلّة مفصّلة، إلّاالإجماع إن كان، أو بعض الأدلّة الضروريّة، و ذلك بصورة مقتضبة؛ و لذلك جاءت أجوبته مختصرة، و لا تحتوي على بحوث علميّة كثيرة</w:t>
      </w:r>
      <w:r>
        <w:rPr>
          <w:rFonts w:eastAsia="Amiri" w:cs="Amiri" w:ascii="Amiri" w:hAnsi="Amiri"/>
          <w:color w:val="111111"/>
          <w:sz w:val="28"/>
          <w:szCs w:val="28"/>
          <w:rtl w:val="true"/>
          <w:lang w:bidi="ar-SA"/>
        </w:rPr>
        <w:t xml:space="preserve">. </w:t>
      </w:r>
      <w:bookmarkStart w:id="665" w:name="pg16437_172679"/>
    </w:p>
    <w:p>
      <w:pPr>
        <w:pStyle w:val="BookText"/>
        <w:rPr/>
      </w:pPr>
      <w:bookmarkEnd w:id="665"/>
      <w:r>
        <w:rPr>
          <w:rFonts w:ascii="Amiri" w:hAnsi="Amiri" w:eastAsia="Amiri" w:cs="Amiri"/>
          <w:color w:val="111111"/>
          <w:sz w:val="28"/>
          <w:sz w:val="28"/>
          <w:szCs w:val="28"/>
          <w:rtl w:val="true"/>
          <w:lang w:bidi="ar-SA"/>
        </w:rPr>
        <w:t>و الجدير بالذكر أنّ الشيخ المفيد قد أجاب قبل ذلك على أسئلة وردت عليه من ميّافارقين حول الغيبة، فأجاب عنها في أجوبة مسائل حَملت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جوابات الفارقيّين في الغيبة</w:t>
      </w:r>
      <w:r>
        <w:rPr>
          <w:rFonts w:eastAsia="Amiri" w:cs="Amiri" w:ascii="Amiri" w:hAnsi="Amiri"/>
          <w:color w:val="111111"/>
          <w:sz w:val="28"/>
          <w:szCs w:val="28"/>
          <w:rtl w:val="true"/>
          <w:lang w:bidi="ar-SA"/>
        </w:rPr>
        <w:t>»</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إجابة الشيخ المفيد و الشريف المرتضى على أسئلة أهالي ميّافارقين تدلّ على المركزيّة العلميّة و المرجعيّة الفكريّة التي وصلت إليها بغداد عند الإماميّة، حيث تتّجه إليها الأنظار من أقصى نقاط العالم الإسلامي، و تُوجّه إليها الأسئلة في مختلف المجالات، فيجيب عليها العلماء من الإماميّة، و يبيّنون آراءَهم التي صارت فيما بعد تمثّل الآراء المتداولة بين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كانت هذه المسائل قد طبعت في ضمن رسائل الشريف المرتضى،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طبعت في ذيل كتاب جواهر الفقه لابن البرّاج،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الذي قامت مؤسّسة النشر الإسلامي التابعة لجماعة المدرّسين بنشره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ترجمت إلى الفارسيّة في مجلّة نامۀ آستان قدس، العدد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8039941_1280447820"/>
      <w:bookmarkStart w:id="667" w:name="_Toc245"/>
      <w:bookmarkEnd w:id="666"/>
      <w:r>
        <w:rPr>
          <w:rtl w:val="true"/>
        </w:rPr>
        <w:t>مخطوطات الرسالة</w:t>
      </w:r>
      <w:bookmarkEnd w:id="667"/>
    </w:p>
    <w:p>
      <w:pPr>
        <w:pStyle w:val="Heading6"/>
        <w:numPr>
          <w:ilvl w:val="5"/>
          <w:numId w:val="1"/>
        </w:numPr>
        <w:rPr/>
      </w:pPr>
      <w:bookmarkStart w:id="668" w:name="__RefHeading___Toc8039943_1280447820"/>
      <w:bookmarkStart w:id="669" w:name="_Toc246"/>
      <w:bookmarkEnd w:id="668"/>
      <w:r>
        <w:rPr>
          <w:rtl w:val="true"/>
        </w:rPr>
        <w:t>ألف</w:t>
      </w:r>
      <w:r>
        <w:rPr>
          <w:rtl w:val="true"/>
        </w:rPr>
        <w:t xml:space="preserve">) </w:t>
      </w:r>
      <w:r>
        <w:rPr>
          <w:rtl w:val="true"/>
        </w:rPr>
        <w:t>النسخ المعتمدة</w:t>
      </w:r>
      <w:r>
        <w:rPr>
          <w:rtl w:val="true"/>
        </w:rPr>
        <w:t>:</w:t>
      </w:r>
      <w:bookmarkEnd w:id="6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 و هي ميكروفيلم من المخطوطة المرقّمة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مكتبة الروضة الرضويّة المقدّسة بمشهد، و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مدرسة الإمام الخميني رحمه اللّٰه بقائن، المرقّمة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و يوجد </w:t>
      </w:r>
      <w:bookmarkStart w:id="670" w:name="pg16437_172680"/>
    </w:p>
    <w:p>
      <w:pPr>
        <w:pStyle w:val="BookText"/>
        <w:rPr/>
      </w:pPr>
      <w:bookmarkEnd w:id="670"/>
      <w:r>
        <w:rPr>
          <w:rFonts w:ascii="Amiri" w:hAnsi="Amiri" w:eastAsia="Amiri" w:cs="Amiri"/>
          <w:color w:val="111111"/>
          <w:sz w:val="28"/>
          <w:sz w:val="28"/>
          <w:szCs w:val="28"/>
          <w:rtl w:val="true"/>
          <w:lang w:bidi="ar-SA"/>
        </w:rPr>
        <w:t xml:space="preserve">ميكروفيلم منها في مكتبة مركز إحياء التراث الإسلامي بقمّ المرقّم </w:t>
      </w:r>
      <w:r>
        <w:rPr>
          <w:rFonts w:eastAsia="Amiri" w:cs="Amiri" w:ascii="Amiri" w:hAnsi="Amiri"/>
          <w:color w:val="111111"/>
          <w:sz w:val="28"/>
          <w:szCs w:val="28"/>
          <w:lang w:bidi="ar-SA"/>
        </w:rPr>
        <w:t>1690</w:t>
      </w:r>
      <w:r>
        <w:rPr>
          <w:rFonts w:ascii="Amiri" w:hAnsi="Amiri" w:eastAsia="Amiri" w:cs="Amiri"/>
          <w:color w:val="111111"/>
          <w:sz w:val="28"/>
          <w:sz w:val="28"/>
          <w:szCs w:val="28"/>
          <w:rtl w:val="true"/>
          <w:lang w:bidi="ar-SA"/>
        </w:rPr>
        <w:t xml:space="preserve">، و الرسالة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ملك بطهران، المرقّمة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21002</w:t>
      </w:r>
      <w:r>
        <w:rPr>
          <w:rFonts w:ascii="Amiri" w:hAnsi="Amiri" w:eastAsia="Amiri" w:cs="Amiri"/>
          <w:color w:val="111111"/>
          <w:sz w:val="28"/>
          <w:sz w:val="28"/>
          <w:szCs w:val="28"/>
          <w:rtl w:val="true"/>
          <w:lang w:bidi="ar-SA"/>
        </w:rPr>
        <w:t xml:space="preserve">؛ نُسخت في عام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لم يعلم اسم ناسخها،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8039945_1280447820"/>
      <w:bookmarkStart w:id="672" w:name="_Toc247"/>
      <w:bookmarkEnd w:id="671"/>
      <w:r>
        <w:rPr>
          <w:rtl w:val="true"/>
        </w:rPr>
        <w:t>ب</w:t>
      </w:r>
      <w:r>
        <w:rPr>
          <w:rtl w:val="true"/>
        </w:rPr>
        <w:t xml:space="preserve">) </w:t>
      </w:r>
      <w:r>
        <w:rPr>
          <w:rtl w:val="true"/>
        </w:rPr>
        <w:t>سائر النسخ</w:t>
      </w:r>
      <w:r>
        <w:rPr>
          <w:rtl w:val="true"/>
        </w:rPr>
        <w:t>:</w:t>
      </w:r>
      <w:bookmarkEnd w:id="6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البروجردي رحمه اللّٰه بقمّ، المرقّمة </w:t>
      </w:r>
      <w:r>
        <w:rPr>
          <w:rFonts w:eastAsia="Amiri" w:cs="Amiri" w:ascii="Amiri" w:hAnsi="Amiri"/>
          <w:color w:val="111111"/>
          <w:sz w:val="28"/>
          <w:szCs w:val="28"/>
          <w:lang w:bidi="ar-SA"/>
        </w:rPr>
        <w:t>374/2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الوطنيّة بجامعة طهران، المرقّمة </w:t>
      </w:r>
      <w:r>
        <w:rPr>
          <w:rFonts w:eastAsia="Amiri" w:cs="Amiri" w:ascii="Amiri" w:hAnsi="Amiri"/>
          <w:color w:val="111111"/>
          <w:sz w:val="28"/>
          <w:szCs w:val="28"/>
          <w:lang w:bidi="ar-SA"/>
        </w:rPr>
        <w:t>1943/6</w:t>
      </w:r>
      <w:r>
        <w:rPr>
          <w:rFonts w:ascii="Amiri" w:hAnsi="Amiri" w:eastAsia="Amiri" w:cs="Amiri"/>
          <w:color w:val="111111"/>
          <w:sz w:val="28"/>
          <w:sz w:val="28"/>
          <w:szCs w:val="28"/>
          <w:rtl w:val="true"/>
          <w:lang w:bidi="ar-SA"/>
        </w:rPr>
        <w:t xml:space="preserve">؛ و هي تحتوي علىٰ مختارات من الرسالة، 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مفيد بن محمّد تقيّ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المشهد الرضوي، و فرغ من نسخها في عام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تشاهد في ظهر الورقة الأُولى من النسخة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للحقير محمّد باقر بن محمّد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يحتمل أنّ النسخة كانت ملكاً للعلّامة محمّد باقر المجلسي </w:t>
      </w:r>
    </w:p>
    <w:p>
      <w:pPr>
        <w:pStyle w:val="BookText"/>
        <w:rPr/>
      </w:pPr>
      <w:r>
        <w:rPr>
          <w:rFonts w:ascii="Amiri" w:hAnsi="Amiri" w:eastAsia="Amiri" w:cs="Amiri"/>
          <w:color w:val="111111"/>
          <w:sz w:val="28"/>
          <w:sz w:val="28"/>
          <w:szCs w:val="28"/>
          <w:rtl w:val="true"/>
          <w:lang w:bidi="ar-SA"/>
        </w:rPr>
        <w:t xml:space="preserve">رحمه اللّٰه،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Style w:val="FootnoteAnchor"/>
          <w:rtl w:val="true"/>
        </w:rPr>
        <w:footnoteReference w:id="21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438/3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3324/5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11432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10007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3" w:name="pg16437_172683"/>
      <w:bookmarkStart w:id="674" w:name="pg16437_172683"/>
      <w:bookmarkEnd w:id="674"/>
    </w:p>
    <w:p>
      <w:pPr>
        <w:pStyle w:val="Heading4"/>
        <w:numPr>
          <w:ilvl w:val="3"/>
          <w:numId w:val="1"/>
        </w:numPr>
        <w:rPr/>
      </w:pPr>
      <w:bookmarkStart w:id="675" w:name="pg16437_172683"/>
      <w:bookmarkStart w:id="676" w:name="__RefHeading___Toc8039947_1280447820"/>
      <w:bookmarkStart w:id="677" w:name="_Toc248"/>
      <w:bookmarkEnd w:id="675"/>
      <w:bookmarkEnd w:id="676"/>
      <w:r>
        <w:rPr>
          <w:rtl w:val="true"/>
        </w:rPr>
        <w:t>جواباتُ مَسائلِ أهلِ مَيّافارِقينَ‌</w:t>
      </w:r>
      <w:bookmarkEnd w:id="677"/>
    </w:p>
    <w:p>
      <w:pPr>
        <w:pStyle w:val="Heading5"/>
        <w:numPr>
          <w:ilvl w:val="4"/>
          <w:numId w:val="1"/>
        </w:numPr>
        <w:rPr/>
      </w:pPr>
      <w:bookmarkStart w:id="678" w:name="__RefHeading___Toc8039949_1280447820"/>
      <w:bookmarkStart w:id="679" w:name="_Toc249"/>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جواباتُ مَسائلِ أهلِ مَيّافارِقينَ‌</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 سيِّدِنا الشريفِ الأجَلِّ المُرتَضىٰ عَلَمِ الهُدىٰ ذي المَجدَينِ، و أدامَ أيّامَه، و حَرَسَ عِزَّه، و ثَبَّتَ‌</w:t>
      </w:r>
      <w:r>
        <w:rPr>
          <w:rStyle w:val="FootnoteAnchor"/>
          <w:rtl w:val="true"/>
        </w:rPr>
        <w:footnoteReference w:id="2173"/>
      </w:r>
      <w:r>
        <w:rPr>
          <w:rFonts w:ascii="Amiri" w:hAnsi="Amiri" w:eastAsia="Amiri" w:cs="Amiri"/>
          <w:color w:val="111111"/>
          <w:sz w:val="28"/>
          <w:sz w:val="28"/>
          <w:szCs w:val="28"/>
          <w:rtl w:val="true"/>
          <w:lang w:bidi="ar-SA"/>
        </w:rPr>
        <w:t xml:space="preserve">وَطأتَه، و كَبَتَ أعداءَه و حَسَدَتَه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دِيارٍ مُتاخِمةٍ لدارِ الكُفرِ، و قَلَّما نَجِدُ مَن يوثَقُ بدِينِه و أمانتِه في أخذِ أعلامِ دينِنا منه، و بنا أمَسُّ حاجةٍ إلىٰ أن يُفتيَنا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قد سَطَرناها، أكثَرُها موجودٌ في كُتُبِ أصحابِنا، ولكِنَّا</w:t>
      </w:r>
      <w:r>
        <w:rPr>
          <w:rStyle w:val="FootnoteAnchor"/>
          <w:rtl w:val="true"/>
        </w:rPr>
        <w:footnoteReference w:id="2174"/>
      </w:r>
      <w:r>
        <w:rPr>
          <w:rFonts w:ascii="Amiri" w:hAnsi="Amiri" w:eastAsia="Amiri" w:cs="Amiri"/>
          <w:color w:val="111111"/>
          <w:sz w:val="28"/>
          <w:sz w:val="28"/>
          <w:szCs w:val="28"/>
          <w:rtl w:val="true"/>
          <w:lang w:bidi="ar-SA"/>
        </w:rPr>
        <w:t>نؤثِرُ أن نَرىٰ خَطَّه الشريفَ؛ لنَعتَمِدَه</w:t>
      </w:r>
      <w:r>
        <w:rPr>
          <w:rStyle w:val="FootnoteAnchor"/>
          <w:rtl w:val="true"/>
        </w:rPr>
        <w:footnoteReference w:id="2175"/>
      </w:r>
      <w:r>
        <w:rPr>
          <w:rFonts w:ascii="Amiri" w:hAnsi="Amiri" w:eastAsia="Amiri" w:cs="Amiri"/>
          <w:color w:val="111111"/>
          <w:sz w:val="28"/>
          <w:sz w:val="28"/>
          <w:szCs w:val="28"/>
          <w:rtl w:val="true"/>
          <w:lang w:bidi="ar-SA"/>
        </w:rPr>
        <w:t>و نُعوِّلَ عليه؛ و ما نَلتَمِسُ إلّاالفَتوىٰ، بغَيرِ دليلٍ؛ لا أخْلانا اللّٰهُ منه برَحمتِه</w:t>
      </w:r>
      <w:r>
        <w:rPr>
          <w:rFonts w:eastAsia="Amiri" w:cs="Amiri" w:ascii="Amiri" w:hAnsi="Amiri"/>
          <w:color w:val="111111"/>
          <w:sz w:val="28"/>
          <w:szCs w:val="28"/>
          <w:rtl w:val="true"/>
          <w:lang w:bidi="ar-SA"/>
        </w:rPr>
        <w:t xml:space="preserve">. </w:t>
      </w:r>
      <w:bookmarkStart w:id="680" w:name="pg16437_172684"/>
    </w:p>
    <w:p>
      <w:pPr>
        <w:pStyle w:val="Heading5"/>
        <w:numPr>
          <w:ilvl w:val="4"/>
          <w:numId w:val="1"/>
        </w:numPr>
        <w:rPr/>
      </w:pPr>
      <w:bookmarkStart w:id="681" w:name="__RefHeading___Toc8039951_1280447820"/>
      <w:bookmarkStart w:id="682" w:name="_Toc250"/>
      <w:bookmarkEnd w:id="680"/>
      <w:bookmarkEnd w:id="681"/>
      <w:r>
        <w:rPr>
          <w:rtl w:val="true"/>
        </w:rPr>
        <w:t>مَسألةٌ أوّلةٌ‌عَدالةُ إمامِ الجَماعةِ‌</w:t>
      </w:r>
      <w:bookmarkEnd w:id="682"/>
    </w:p>
    <w:p>
      <w:pPr>
        <w:pStyle w:val="BookText"/>
        <w:rPr/>
      </w:pPr>
      <w:r>
        <w:rPr>
          <w:rFonts w:ascii="Amiri" w:hAnsi="Amiri" w:eastAsia="Amiri" w:cs="Amiri"/>
          <w:color w:val="111111"/>
          <w:sz w:val="28"/>
          <w:sz w:val="28"/>
          <w:szCs w:val="28"/>
          <w:rtl w:val="true"/>
          <w:lang w:bidi="ar-SA"/>
        </w:rPr>
        <w:t>مَسألةٌ أوّلةٌ‌</w:t>
      </w:r>
      <w:r>
        <w:rPr>
          <w:rStyle w:val="FootnoteAnchor"/>
          <w:rtl w:val="true"/>
        </w:rPr>
        <w:footnoteReference w:id="2176"/>
      </w:r>
      <w:r>
        <w:rPr>
          <w:rFonts w:ascii="Amiri" w:hAnsi="Amiri" w:eastAsia="Amiri" w:cs="Amiri"/>
          <w:color w:val="111111"/>
          <w:sz w:val="28"/>
          <w:sz w:val="28"/>
          <w:szCs w:val="28"/>
          <w:rtl w:val="true"/>
          <w:lang w:bidi="ar-SA"/>
        </w:rPr>
        <w:t>عَدالةُ إمامِ الجَماعةِ</w:t>
      </w:r>
    </w:p>
    <w:p>
      <w:pPr>
        <w:pStyle w:val="BookText"/>
        <w:rPr/>
      </w:pPr>
      <w:r>
        <w:rPr>
          <w:rFonts w:ascii="Amiri" w:hAnsi="Amiri" w:eastAsia="Amiri" w:cs="Amiri"/>
          <w:color w:val="111111"/>
          <w:sz w:val="28"/>
          <w:sz w:val="28"/>
          <w:szCs w:val="28"/>
          <w:rtl w:val="true"/>
          <w:lang w:bidi="ar-SA"/>
        </w:rPr>
        <w:t>الصلاةُ جَماعةً، و الفَضلُ فيها؛ و هَل تَجوزُ مع</w:t>
      </w:r>
      <w:r>
        <w:rPr>
          <w:rStyle w:val="FootnoteAnchor"/>
          <w:rtl w:val="true"/>
        </w:rPr>
        <w:footnoteReference w:id="2177"/>
      </w:r>
      <w:r>
        <w:rPr>
          <w:rFonts w:ascii="Amiri" w:hAnsi="Amiri" w:eastAsia="Amiri" w:cs="Amiri"/>
          <w:color w:val="111111"/>
          <w:sz w:val="28"/>
          <w:sz w:val="28"/>
          <w:szCs w:val="28"/>
          <w:rtl w:val="true"/>
          <w:lang w:bidi="ar-SA"/>
        </w:rPr>
        <w:t>عَدَمِ الموثوقِ بدِينِه،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الجَماعةِ فيها فَضلٌ كَثيرٌ، و ثَوابٌ كَبيرٌ، إذا وَثِقنا باعتقادِ المؤتَمِّ به و صِحّةِ دِينِه و عَدالتِه؛ لأنّ إمامةَ الفاسقِ عندَ أهلِ البَيتِ عليهم السلامُ لا تَجوزُ</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8039953_1280447820"/>
      <w:bookmarkStart w:id="684" w:name="_Toc251"/>
      <w:bookmarkEnd w:id="683"/>
      <w:r>
        <w:rPr>
          <w:rtl w:val="true"/>
        </w:rPr>
        <w:t>مَسألةٌ ثانيةٌ‌أحكامُ صَلاةِ الجُمُعةِ‌</w:t>
      </w:r>
      <w:bookmarkEnd w:id="684"/>
    </w:p>
    <w:p>
      <w:pPr>
        <w:pStyle w:val="BookText"/>
        <w:rPr/>
      </w:pPr>
      <w:r>
        <w:rPr>
          <w:rFonts w:ascii="Amiri" w:hAnsi="Amiri" w:eastAsia="Amiri" w:cs="Amiri"/>
          <w:color w:val="111111"/>
          <w:sz w:val="28"/>
          <w:sz w:val="28"/>
          <w:szCs w:val="28"/>
          <w:rtl w:val="true"/>
          <w:lang w:bidi="ar-SA"/>
        </w:rPr>
        <w:t>مَسألةٌ ثانيةٌ‌</w:t>
      </w:r>
      <w:r>
        <w:rPr>
          <w:rStyle w:val="FootnoteAnchor"/>
          <w:rtl w:val="true"/>
        </w:rPr>
        <w:footnoteReference w:id="2179"/>
      </w:r>
      <w:r>
        <w:rPr>
          <w:rFonts w:ascii="Amiri" w:hAnsi="Amiri" w:eastAsia="Amiri" w:cs="Amiri"/>
          <w:color w:val="111111"/>
          <w:sz w:val="28"/>
          <w:sz w:val="28"/>
          <w:szCs w:val="28"/>
          <w:rtl w:val="true"/>
          <w:lang w:bidi="ar-SA"/>
        </w:rPr>
        <w:t>أحكامُ صَلاةِ الجُمُعةِ</w:t>
      </w:r>
    </w:p>
    <w:p>
      <w:pPr>
        <w:pStyle w:val="BookText"/>
        <w:rPr/>
      </w:pPr>
      <w:r>
        <w:rPr>
          <w:rFonts w:ascii="Amiri" w:hAnsi="Amiri" w:eastAsia="Amiri" w:cs="Amiri"/>
          <w:color w:val="111111"/>
          <w:sz w:val="28"/>
          <w:sz w:val="28"/>
          <w:szCs w:val="28"/>
          <w:rtl w:val="true"/>
          <w:lang w:bidi="ar-SA"/>
        </w:rPr>
        <w:t>صَلاةُ الجُمُعةِ هَل يَجوزُ أن تُصَلّىٰ خَلفَ المؤالِفِ و المُخالِفِ جَميعاً؟</w:t>
      </w:r>
    </w:p>
    <w:p>
      <w:pPr>
        <w:pStyle w:val="BookText"/>
        <w:rPr/>
      </w:pPr>
      <w:r>
        <w:rPr>
          <w:rFonts w:ascii="Amiri" w:hAnsi="Amiri" w:eastAsia="Amiri" w:cs="Amiri"/>
          <w:color w:val="111111"/>
          <w:sz w:val="28"/>
          <w:sz w:val="28"/>
          <w:szCs w:val="28"/>
          <w:rtl w:val="true"/>
          <w:lang w:bidi="ar-SA"/>
        </w:rPr>
        <w:t>و هَل هي رَكعَتانِ مع الخُطبةِ تَقومُ مَقامَ الأربَعٍ؟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الجُمُعةِ رَكعَتانِ، مِن غيرِ زيادةٍ عليها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جُمُعةَ‌</w:t>
      </w:r>
      <w:r>
        <w:rPr>
          <w:rStyle w:val="FootnoteAnchor"/>
          <w:rtl w:val="true"/>
        </w:rPr>
        <w:footnoteReference w:id="2180"/>
      </w:r>
      <w:r>
        <w:rPr>
          <w:rFonts w:ascii="Amiri" w:hAnsi="Amiri" w:eastAsia="Amiri" w:cs="Amiri"/>
          <w:color w:val="111111"/>
          <w:sz w:val="28"/>
          <w:sz w:val="28"/>
          <w:szCs w:val="28"/>
          <w:rtl w:val="true"/>
          <w:lang w:bidi="ar-SA"/>
        </w:rPr>
        <w:t>إلّامع إمامٍ عادلٍ، أو مَن يَنصِبُه</w:t>
      </w:r>
      <w:r>
        <w:rPr>
          <w:rStyle w:val="FootnoteAnchor"/>
          <w:rtl w:val="true"/>
        </w:rPr>
        <w:footnoteReference w:id="2181"/>
      </w:r>
      <w:r>
        <w:rPr>
          <w:rFonts w:ascii="Amiri" w:hAnsi="Amiri" w:eastAsia="Amiri" w:cs="Amiri"/>
          <w:color w:val="111111"/>
          <w:sz w:val="28"/>
          <w:sz w:val="28"/>
          <w:szCs w:val="28"/>
          <w:rtl w:val="true"/>
          <w:lang w:bidi="ar-SA"/>
        </w:rPr>
        <w:t>الإمامُ العادلُ؛ فإذا عُدِمَ ذلكَ، صُلِّيَت الظُّهرُ أربَعَ رَكَعاتٍ</w:t>
      </w:r>
      <w:r>
        <w:rPr>
          <w:rFonts w:eastAsia="Amiri" w:cs="Amiri" w:ascii="Amiri" w:hAnsi="Amiri"/>
          <w:color w:val="111111"/>
          <w:sz w:val="28"/>
          <w:szCs w:val="28"/>
          <w:rtl w:val="true"/>
          <w:lang w:bidi="ar-SA"/>
        </w:rPr>
        <w:t xml:space="preserve">. </w:t>
      </w:r>
      <w:bookmarkStart w:id="685" w:name="pg16437_172685"/>
    </w:p>
    <w:p>
      <w:pPr>
        <w:pStyle w:val="BookText"/>
        <w:rPr/>
      </w:pPr>
      <w:bookmarkEnd w:id="685"/>
      <w:r>
        <w:rPr>
          <w:rFonts w:ascii="Amiri" w:hAnsi="Amiri" w:eastAsia="Amiri" w:cs="Amiri"/>
          <w:color w:val="111111"/>
          <w:sz w:val="28"/>
          <w:sz w:val="28"/>
          <w:szCs w:val="28"/>
          <w:rtl w:val="true"/>
          <w:lang w:bidi="ar-SA"/>
        </w:rPr>
        <w:t>و مَن اضطُرَّ الىٰ أن يُصَلّيَها مع مَن لا تَجوزُ</w:t>
      </w:r>
      <w:r>
        <w:rPr>
          <w:rStyle w:val="FootnoteAnchor"/>
          <w:rtl w:val="true"/>
        </w:rPr>
        <w:footnoteReference w:id="2182"/>
      </w:r>
      <w:r>
        <w:rPr>
          <w:rFonts w:ascii="Amiri" w:hAnsi="Amiri" w:eastAsia="Amiri" w:cs="Amiri"/>
          <w:color w:val="111111"/>
          <w:sz w:val="28"/>
          <w:sz w:val="28"/>
          <w:szCs w:val="28"/>
          <w:rtl w:val="true"/>
          <w:lang w:bidi="ar-SA"/>
        </w:rPr>
        <w:t>إمامتُه تَقيّةً، وَجَبَ عليه أن يُصَلّيَ بَعدَ ذلكَ ظُهراً أربَعاً</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8039955_1280447820"/>
      <w:bookmarkStart w:id="687" w:name="_Toc252"/>
      <w:bookmarkEnd w:id="686"/>
      <w:r>
        <w:rPr>
          <w:rtl w:val="true"/>
        </w:rPr>
        <w:t>مَسألةٌ ثالثةٌ أحكامُ صَلاةِ العيدَينِ‌</w:t>
      </w:r>
      <w:bookmarkEnd w:id="687"/>
    </w:p>
    <w:p>
      <w:pPr>
        <w:pStyle w:val="BookText"/>
        <w:rPr/>
      </w:pPr>
      <w:r>
        <w:rPr>
          <w:rFonts w:ascii="Amiri" w:hAnsi="Amiri" w:eastAsia="Amiri" w:cs="Amiri"/>
          <w:color w:val="111111"/>
          <w:sz w:val="28"/>
          <w:sz w:val="28"/>
          <w:szCs w:val="28"/>
          <w:rtl w:val="true"/>
          <w:lang w:bidi="ar-SA"/>
        </w:rPr>
        <w:t>صَلاةُ العيدَينِ بخُطبةٍ، أو غيرِ خُطبةٍ؟</w:t>
      </w:r>
    </w:p>
    <w:p>
      <w:pPr>
        <w:pStyle w:val="BookText"/>
        <w:rPr/>
      </w:pPr>
      <w:r>
        <w:rPr>
          <w:rFonts w:ascii="Amiri" w:hAnsi="Amiri" w:eastAsia="Amiri" w:cs="Amiri"/>
          <w:color w:val="111111"/>
          <w:sz w:val="28"/>
          <w:sz w:val="28"/>
          <w:szCs w:val="28"/>
          <w:rtl w:val="true"/>
          <w:lang w:bidi="ar-SA"/>
        </w:rPr>
        <w:t>أربَعُ رَكَعاتٍ، أو رَكعَتانِ؟ بتسليمةٍ واحدةٍ، أو اثنَتَينِ؟</w:t>
      </w:r>
    </w:p>
    <w:p>
      <w:pPr>
        <w:pStyle w:val="BookText"/>
        <w:rPr/>
      </w:pPr>
      <w:r>
        <w:rPr>
          <w:rFonts w:ascii="Amiri" w:hAnsi="Amiri" w:eastAsia="Amiri" w:cs="Amiri"/>
          <w:color w:val="111111"/>
          <w:sz w:val="28"/>
          <w:sz w:val="28"/>
          <w:szCs w:val="28"/>
          <w:rtl w:val="true"/>
          <w:lang w:bidi="ar-SA"/>
        </w:rPr>
        <w:t>و هَل يَقَعُ التكبيرُ في الِاثنَتَينِ الأوّلتَينِ، أو في الأربَعِ؟</w:t>
      </w:r>
    </w:p>
    <w:p>
      <w:pPr>
        <w:pStyle w:val="BookText"/>
        <w:rPr/>
      </w:pPr>
      <w:r>
        <w:rPr>
          <w:rFonts w:ascii="Amiri" w:hAnsi="Amiri" w:eastAsia="Amiri" w:cs="Amiri"/>
          <w:color w:val="111111"/>
          <w:sz w:val="28"/>
          <w:sz w:val="28"/>
          <w:szCs w:val="28"/>
          <w:rtl w:val="true"/>
          <w:lang w:bidi="ar-SA"/>
        </w:rPr>
        <w:t>و إذا عُدِمَ الموافِقُ، هَل تَجوزُ</w:t>
      </w:r>
      <w:r>
        <w:rPr>
          <w:rStyle w:val="FootnoteAnchor"/>
          <w:rtl w:val="true"/>
        </w:rPr>
        <w:footnoteReference w:id="2183"/>
      </w:r>
      <w:r>
        <w:rPr>
          <w:rFonts w:ascii="Amiri" w:hAnsi="Amiri" w:eastAsia="Amiri" w:cs="Amiri"/>
          <w:color w:val="111111"/>
          <w:sz w:val="28"/>
          <w:sz w:val="28"/>
          <w:szCs w:val="28"/>
          <w:rtl w:val="true"/>
          <w:lang w:bidi="ar-SA"/>
        </w:rPr>
        <w:t>خَلفَ المُخالِفِ؟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كُلِّ عيدٍ</w:t>
      </w:r>
      <w:r>
        <w:rPr>
          <w:rStyle w:val="FootnoteAnchor"/>
          <w:rtl w:val="true"/>
        </w:rPr>
        <w:footnoteReference w:id="2184"/>
      </w:r>
      <w:r>
        <w:rPr>
          <w:rFonts w:ascii="Amiri" w:hAnsi="Amiri" w:eastAsia="Amiri" w:cs="Amiri"/>
          <w:color w:val="111111"/>
          <w:sz w:val="28"/>
          <w:sz w:val="28"/>
          <w:szCs w:val="28"/>
          <w:rtl w:val="true"/>
          <w:lang w:bidi="ar-SA"/>
        </w:rPr>
        <w:t>مِن العيدَينِ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w:t>
      </w:r>
      <w:r>
        <w:rPr>
          <w:rStyle w:val="FootnoteAnchor"/>
          <w:rtl w:val="true"/>
        </w:rPr>
        <w:footnoteReference w:id="2185"/>
      </w:r>
      <w:r>
        <w:rPr>
          <w:rFonts w:ascii="Amiri" w:hAnsi="Amiri" w:eastAsia="Amiri" w:cs="Amiri"/>
          <w:color w:val="111111"/>
          <w:sz w:val="28"/>
          <w:sz w:val="28"/>
          <w:szCs w:val="28"/>
          <w:rtl w:val="true"/>
          <w:lang w:bidi="ar-SA"/>
        </w:rPr>
        <w:t>مِن الخُطبةِ في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تُكبَّرُ في الأُولىٰ خَمسُ تكبيراتٍ زائداتٍ، إذا انضافَ‌</w:t>
      </w:r>
      <w:r>
        <w:rPr>
          <w:rStyle w:val="FootnoteAnchor"/>
          <w:rtl w:val="true"/>
        </w:rPr>
        <w:footnoteReference w:id="2186"/>
      </w:r>
      <w:r>
        <w:rPr>
          <w:rFonts w:ascii="Amiri" w:hAnsi="Amiri" w:eastAsia="Amiri" w:cs="Amiri"/>
          <w:color w:val="111111"/>
          <w:sz w:val="28"/>
          <w:sz w:val="28"/>
          <w:szCs w:val="28"/>
          <w:rtl w:val="true"/>
          <w:lang w:bidi="ar-SA"/>
        </w:rPr>
        <w:t>إليهِنَّ تكبيرةُ الِافتتاحِ و تكبيرةُ الركوعِ، كُنَّ‌</w:t>
      </w:r>
      <w:r>
        <w:rPr>
          <w:rStyle w:val="FootnoteAnchor"/>
          <w:rtl w:val="true"/>
        </w:rPr>
        <w:footnoteReference w:id="2187"/>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تكبيرةُ‌</w:t>
      </w:r>
      <w:r>
        <w:rPr>
          <w:rStyle w:val="FootnoteAnchor"/>
          <w:rtl w:val="true"/>
        </w:rPr>
        <w:footnoteReference w:id="2188"/>
      </w:r>
      <w:r>
        <w:rPr>
          <w:rFonts w:ascii="Amiri" w:hAnsi="Amiri" w:eastAsia="Amiri" w:cs="Amiri"/>
          <w:color w:val="111111"/>
          <w:sz w:val="28"/>
          <w:sz w:val="28"/>
          <w:szCs w:val="28"/>
          <w:rtl w:val="true"/>
          <w:lang w:bidi="ar-SA"/>
        </w:rPr>
        <w:t>الثانيةِ ثَلاثُ‌</w:t>
      </w:r>
      <w:r>
        <w:rPr>
          <w:rStyle w:val="FootnoteAnchor"/>
          <w:rtl w:val="true"/>
        </w:rPr>
        <w:footnoteReference w:id="2189"/>
      </w:r>
      <w:r>
        <w:rPr>
          <w:rFonts w:ascii="Amiri" w:hAnsi="Amiri" w:eastAsia="Amiri" w:cs="Amiri"/>
          <w:color w:val="111111"/>
          <w:sz w:val="28"/>
          <w:sz w:val="28"/>
          <w:szCs w:val="28"/>
          <w:rtl w:val="true"/>
          <w:lang w:bidi="ar-SA"/>
        </w:rPr>
        <w:t>تكبيراتٍ زائداتٍ، يَكُنَّ مع تكبيرَتَي</w:t>
      </w:r>
      <w:r>
        <w:rPr>
          <w:rStyle w:val="FootnoteAnchor"/>
          <w:rtl w:val="true"/>
        </w:rPr>
        <w:footnoteReference w:id="2190"/>
      </w:r>
      <w:r>
        <w:rPr>
          <w:rFonts w:ascii="Amiri" w:hAnsi="Amiri" w:eastAsia="Amiri" w:cs="Amiri"/>
          <w:color w:val="111111"/>
          <w:sz w:val="28"/>
          <w:sz w:val="28"/>
          <w:szCs w:val="28"/>
          <w:rtl w:val="true"/>
          <w:lang w:bidi="ar-SA"/>
        </w:rPr>
        <w:t>الِافتتاحِ و الركوعِ خَمساً</w:t>
      </w:r>
      <w:r>
        <w:rPr>
          <w:rFonts w:eastAsia="Amiri" w:cs="Amiri" w:ascii="Amiri" w:hAnsi="Amiri"/>
          <w:color w:val="111111"/>
          <w:sz w:val="28"/>
          <w:szCs w:val="28"/>
          <w:rtl w:val="true"/>
          <w:lang w:bidi="ar-SA"/>
        </w:rPr>
        <w:t xml:space="preserve">. </w:t>
      </w:r>
      <w:bookmarkStart w:id="688" w:name="pg16437_172686"/>
    </w:p>
    <w:p>
      <w:pPr>
        <w:pStyle w:val="BookText"/>
        <w:rPr/>
      </w:pPr>
      <w:bookmarkEnd w:id="688"/>
      <w:r>
        <w:rPr>
          <w:rFonts w:ascii="Amiri" w:hAnsi="Amiri" w:eastAsia="Amiri" w:cs="Amiri"/>
          <w:color w:val="111111"/>
          <w:sz w:val="28"/>
          <w:sz w:val="28"/>
          <w:szCs w:val="28"/>
          <w:rtl w:val="true"/>
          <w:lang w:bidi="ar-SA"/>
        </w:rPr>
        <w:t>و القِراءةُ في الرَّكعَتَينِ مَعاً قَبلَ التكبيرِ</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8039957_1280447820"/>
      <w:bookmarkStart w:id="690" w:name="_Toc253"/>
      <w:bookmarkEnd w:id="689"/>
      <w:r>
        <w:rPr>
          <w:rtl w:val="true"/>
        </w:rPr>
        <w:t>مَسألةٌ رابعةٌ وقتُ صَلاةِ الظُّهرِ و العَصرِ</w:t>
      </w:r>
      <w:bookmarkEnd w:id="690"/>
    </w:p>
    <w:p>
      <w:pPr>
        <w:pStyle w:val="BookText"/>
        <w:rPr/>
      </w:pPr>
      <w:r>
        <w:rPr>
          <w:rFonts w:ascii="Amiri" w:hAnsi="Amiri" w:eastAsia="Amiri" w:cs="Amiri"/>
          <w:color w:val="111111"/>
          <w:sz w:val="28"/>
          <w:sz w:val="28"/>
          <w:szCs w:val="28"/>
          <w:rtl w:val="true"/>
          <w:lang w:bidi="ar-SA"/>
        </w:rPr>
        <w:t>صَلاةُ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نُصَلّيَهُما</w:t>
      </w:r>
      <w:r>
        <w:rPr>
          <w:rStyle w:val="FootnoteAnchor"/>
          <w:rtl w:val="true"/>
        </w:rPr>
        <w:footnoteReference w:id="2191"/>
      </w:r>
      <w:r>
        <w:rPr>
          <w:rFonts w:ascii="Amiri" w:hAnsi="Amiri" w:eastAsia="Amiri" w:cs="Amiri"/>
          <w:color w:val="111111"/>
          <w:sz w:val="28"/>
          <w:sz w:val="28"/>
          <w:szCs w:val="28"/>
          <w:rtl w:val="true"/>
          <w:lang w:bidi="ar-SA"/>
        </w:rPr>
        <w:t>عند زَوالِ الشمسِ بغَيرِ أن يُفصَلَ بَينَهما بغَيرِ السَّجدةِ و السُّبحةِ‌</w:t>
      </w:r>
      <w:r>
        <w:rPr>
          <w:rStyle w:val="FootnoteAnchor"/>
          <w:rtl w:val="true"/>
        </w:rPr>
        <w:footnoteReference w:id="2192"/>
      </w:r>
      <w:r>
        <w:rPr>
          <w:rFonts w:ascii="Amiri" w:hAnsi="Amiri" w:eastAsia="Amiri" w:cs="Amiri"/>
          <w:color w:val="111111"/>
          <w:sz w:val="28"/>
          <w:sz w:val="28"/>
          <w:szCs w:val="28"/>
          <w:rtl w:val="true"/>
          <w:lang w:bidi="ar-SA"/>
        </w:rPr>
        <w:t>التي هي ثَمانُ رَكَعاتٍ؟</w:t>
      </w:r>
    </w:p>
    <w:p>
      <w:pPr>
        <w:pStyle w:val="BookText"/>
        <w:rPr/>
      </w:pPr>
      <w:r>
        <w:rPr>
          <w:rFonts w:ascii="Amiri" w:hAnsi="Amiri" w:eastAsia="Amiri" w:cs="Amiri"/>
          <w:color w:val="111111"/>
          <w:sz w:val="28"/>
          <w:sz w:val="28"/>
          <w:szCs w:val="28"/>
          <w:rtl w:val="true"/>
          <w:lang w:bidi="ar-SA"/>
        </w:rPr>
        <w:t>و هَل يَجوزُ فيهما</w:t>
      </w:r>
      <w:r>
        <w:rPr>
          <w:rStyle w:val="FootnoteAnchor"/>
          <w:rtl w:val="true"/>
        </w:rPr>
        <w:footnoteReference w:id="2193"/>
      </w:r>
      <w:r>
        <w:rPr>
          <w:rFonts w:ascii="Amiri" w:hAnsi="Amiri" w:eastAsia="Amiri" w:cs="Amiri"/>
          <w:color w:val="111111"/>
          <w:sz w:val="28"/>
          <w:sz w:val="28"/>
          <w:szCs w:val="28"/>
          <w:rtl w:val="true"/>
          <w:lang w:bidi="ar-SA"/>
        </w:rPr>
        <w:t>أذانٌ واحدٌ و إقامَتانِ، أم لا يَجوزُ ذلكَ إلّابأذانَينِ و إقامتَينِ؟</w:t>
      </w:r>
    </w:p>
    <w:p>
      <w:pPr>
        <w:pStyle w:val="BookText"/>
        <w:rPr/>
      </w:pPr>
      <w:r>
        <w:rPr>
          <w:rFonts w:ascii="Amiri" w:hAnsi="Amiri" w:eastAsia="Amiri" w:cs="Amiri"/>
          <w:color w:val="111111"/>
          <w:sz w:val="28"/>
          <w:sz w:val="28"/>
          <w:szCs w:val="28"/>
          <w:rtl w:val="true"/>
          <w:lang w:bidi="ar-SA"/>
        </w:rPr>
        <w:t xml:space="preserve">فإن كانَ وقتُهما واحداً، فما السبَبُ الموجِبُ لأِنْ فاتَت مَولانا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حتّىٰ رُدَّت له الشمسُ؟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زالَت الشمسُ فقَد دَخَلَ وقتُ الظُّهرِ خاصّةً؛ فإذا مضىٰ مقدارُ ما يؤدّىٰ فيه أربَعُ رَكَعاتٍ، اشتَرَكَ‌</w:t>
      </w:r>
      <w:r>
        <w:rPr>
          <w:rStyle w:val="FootnoteAnchor"/>
          <w:rtl w:val="true"/>
        </w:rPr>
        <w:footnoteReference w:id="2194"/>
      </w:r>
      <w:r>
        <w:rPr>
          <w:rFonts w:ascii="Amiri" w:hAnsi="Amiri" w:eastAsia="Amiri" w:cs="Amiri"/>
          <w:color w:val="111111"/>
          <w:sz w:val="28"/>
          <w:sz w:val="28"/>
          <w:szCs w:val="28"/>
          <w:rtl w:val="true"/>
          <w:lang w:bidi="ar-SA"/>
        </w:rPr>
        <w:t>الوقتانِ بَينَ الظُّهرِ و العَصرِ إلىٰ أن يَبقىٰ مِن النهارِ ما يؤدّىٰ فيه أربَعُ رَكَعاتٍ، فيَخرُجُ وقتُ الظُّهرِ، و يَخلُصُ‌</w:t>
      </w:r>
      <w:r>
        <w:rPr>
          <w:rStyle w:val="FootnoteAnchor"/>
          <w:rtl w:val="true"/>
        </w:rPr>
        <w:footnoteReference w:id="2195"/>
      </w:r>
      <w:r>
        <w:rPr>
          <w:rFonts w:ascii="Amiri" w:hAnsi="Amiri" w:eastAsia="Amiri" w:cs="Amiri"/>
          <w:color w:val="111111"/>
          <w:sz w:val="28"/>
          <w:sz w:val="28"/>
          <w:szCs w:val="28"/>
          <w:rtl w:val="true"/>
          <w:lang w:bidi="ar-SA"/>
        </w:rPr>
        <w:t>ذلكَ الوقتُ للعَصرِ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صَلَّى الظُّهرَ في أوّلِ الوقتِ، ثُمَّ صَلّىٰ عَقيبَها بِلا فَصلٍ العَصرَ</w:t>
      </w:r>
      <w:r>
        <w:rPr>
          <w:rStyle w:val="FootnoteAnchor"/>
          <w:rtl w:val="true"/>
        </w:rPr>
        <w:footnoteReference w:id="2196"/>
      </w:r>
      <w:r>
        <w:rPr>
          <w:rFonts w:ascii="Amiri" w:hAnsi="Amiri" w:eastAsia="Amiri" w:cs="Amiri"/>
          <w:color w:val="111111"/>
          <w:sz w:val="28"/>
          <w:sz w:val="28"/>
          <w:szCs w:val="28"/>
          <w:rtl w:val="true"/>
          <w:lang w:bidi="ar-SA"/>
        </w:rPr>
        <w:t>، كانَ مؤدّياً للفَرضَينِ مَعاً في وقتِهما</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 xml:space="preserve">. </w:t>
      </w:r>
      <w:bookmarkStart w:id="691" w:name="pg16437_172687"/>
    </w:p>
    <w:p>
      <w:pPr>
        <w:pStyle w:val="BookText"/>
        <w:rPr/>
      </w:pPr>
      <w:bookmarkEnd w:id="691"/>
      <w:r>
        <w:rPr>
          <w:rFonts w:ascii="Amiri" w:hAnsi="Amiri" w:eastAsia="Amiri" w:cs="Amiri"/>
          <w:color w:val="111111"/>
          <w:sz w:val="28"/>
          <w:sz w:val="28"/>
          <w:szCs w:val="28"/>
          <w:rtl w:val="true"/>
          <w:lang w:bidi="ar-SA"/>
        </w:rPr>
        <w:t>و مَن أرادَ الفَضيلةَ و زياداتِ الثوابِ، صَلّىٰ بَينَ الظُّهرِ و العَصرِ النوافِلَ المسنونةَ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الأذانُ و الإقامةُ، فلَيسا</w:t>
      </w:r>
      <w:r>
        <w:rPr>
          <w:rStyle w:val="FootnoteAnchor"/>
          <w:rtl w:val="true"/>
        </w:rPr>
        <w:footnoteReference w:id="2198"/>
      </w:r>
      <w:r>
        <w:rPr>
          <w:rFonts w:ascii="Amiri" w:hAnsi="Amiri" w:eastAsia="Amiri" w:cs="Amiri"/>
          <w:color w:val="111111"/>
          <w:sz w:val="28"/>
          <w:sz w:val="28"/>
          <w:szCs w:val="28"/>
          <w:rtl w:val="true"/>
          <w:lang w:bidi="ar-SA"/>
        </w:rPr>
        <w:t xml:space="preserve">بمفروضَينِ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تحقيقِ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مسنونانِ، و إن كانَت الإقامةُ أوكَدَ مِن الأذانِ و أشَدَّ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الفَضيلةَ أذَّنَ و أقامَ لكُلِّ واحدةٍ مِن الصلاتَينِ، و يَجوزُ أن يؤذِّنَ و يُقيمَ دُفعةً واحدةً لهُما، كما يَجوزُ أن يَترُكَ الأذانَ و الإقامةَ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يَكونَ فاتَته صَلاةُ العَصرِ بخُروجِ‌</w:t>
      </w:r>
      <w:r>
        <w:rPr>
          <w:rStyle w:val="FootnoteAnchor"/>
          <w:rtl w:val="true"/>
        </w:rPr>
        <w:footnoteReference w:id="2199"/>
      </w:r>
      <w:r>
        <w:rPr>
          <w:rFonts w:ascii="Amiri" w:hAnsi="Amiri" w:eastAsia="Amiri" w:cs="Amiri"/>
          <w:color w:val="111111"/>
          <w:sz w:val="28"/>
          <w:sz w:val="28"/>
          <w:szCs w:val="28"/>
          <w:rtl w:val="true"/>
          <w:lang w:bidi="ar-SA"/>
        </w:rPr>
        <w:t>وقتِها؛ لأنّ ذلكَ لا يَجوزُ؛ لكَمالِه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فاتَته فَضيلةُ أوّلِ الوقتِ فرُدَّت عليه الشمسُ ليُدرِكَ الفَضيلةَ، و لا يَجوزُ غيرُ ذلكَ</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8039959_1280447820"/>
      <w:bookmarkStart w:id="693" w:name="_Toc254"/>
      <w:bookmarkEnd w:id="692"/>
      <w:r>
        <w:rPr>
          <w:rtl w:val="true"/>
        </w:rPr>
        <w:t>مسألةٌ خامسةٌ وقتُ صَلاةِ المَغرِبِ و العِشاءِ‌</w:t>
      </w:r>
      <w:bookmarkEnd w:id="693"/>
    </w:p>
    <w:p>
      <w:pPr>
        <w:pStyle w:val="BookText"/>
        <w:rPr/>
      </w:pPr>
      <w:r>
        <w:rPr>
          <w:rFonts w:ascii="Amiri" w:hAnsi="Amiri" w:eastAsia="Amiri" w:cs="Amiri"/>
          <w:color w:val="111111"/>
          <w:sz w:val="28"/>
          <w:sz w:val="28"/>
          <w:szCs w:val="28"/>
          <w:rtl w:val="true"/>
          <w:lang w:bidi="ar-SA"/>
        </w:rPr>
        <w:t>هَل بَينَ عِشاءِ المَغرِبِ و الآخِرةِ فَرقٌ، غيرُ الأربَعِ رَكَعاتٍ النافِلةِ؟</w:t>
      </w:r>
    </w:p>
    <w:p>
      <w:pPr>
        <w:pStyle w:val="BookText"/>
        <w:rPr/>
      </w:pPr>
      <w:r>
        <w:rPr>
          <w:rFonts w:ascii="Amiri" w:hAnsi="Amiri" w:eastAsia="Amiri" w:cs="Amiri"/>
          <w:color w:val="111111"/>
          <w:sz w:val="28"/>
          <w:sz w:val="28"/>
          <w:szCs w:val="28"/>
          <w:rtl w:val="true"/>
          <w:lang w:bidi="ar-SA"/>
        </w:rPr>
        <w:t>و أوّلُ عِشاءِ‌</w:t>
      </w:r>
      <w:r>
        <w:rPr>
          <w:rStyle w:val="FootnoteAnchor"/>
          <w:rtl w:val="true"/>
        </w:rPr>
        <w:footnoteReference w:id="2200"/>
      </w:r>
      <w:r>
        <w:rPr>
          <w:rFonts w:ascii="Amiri" w:hAnsi="Amiri" w:eastAsia="Amiri" w:cs="Amiri"/>
          <w:color w:val="111111"/>
          <w:sz w:val="28"/>
          <w:sz w:val="28"/>
          <w:szCs w:val="28"/>
          <w:rtl w:val="true"/>
          <w:lang w:bidi="ar-SA"/>
        </w:rPr>
        <w:t>المَغرِبِ لسُقوطِ القُرصِ، أم</w:t>
      </w:r>
      <w:r>
        <w:rPr>
          <w:rStyle w:val="FootnoteAnchor"/>
          <w:rtl w:val="true"/>
        </w:rPr>
        <w:footnoteReference w:id="2201"/>
      </w:r>
      <w:r>
        <w:rPr>
          <w:rFonts w:ascii="Amiri" w:hAnsi="Amiri" w:eastAsia="Amiri" w:cs="Amiri"/>
          <w:color w:val="111111"/>
          <w:sz w:val="28"/>
          <w:sz w:val="28"/>
          <w:szCs w:val="28"/>
          <w:rtl w:val="true"/>
          <w:lang w:bidi="ar-SA"/>
        </w:rPr>
        <w:t>إذا بَدَت ثَلاثةُ أنجُمٍ لا تُرىٰ بالنَّهارِ؟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غَرُبَت الشمسُ، دَخَلَ وقتُ صَلاةِ المَغرِبِ، مِن غيرِ مُراعاةٍ لطُلوعِ النُّجومِ‌</w:t>
      </w:r>
      <w:r>
        <w:rPr>
          <w:rStyle w:val="FootnoteAnchor"/>
          <w:rtl w:val="true"/>
        </w:rPr>
        <w:footnoteReference w:id="2202"/>
      </w:r>
      <w:r>
        <w:rPr>
          <w:rFonts w:ascii="Amiri" w:hAnsi="Amiri" w:eastAsia="Amiri" w:cs="Amiri"/>
          <w:color w:val="111111"/>
          <w:sz w:val="28"/>
          <w:sz w:val="28"/>
          <w:szCs w:val="28"/>
          <w:rtl w:val="true"/>
          <w:lang w:bidi="ar-SA"/>
        </w:rPr>
        <w:t>فإذا مضىٰ مِن الوقتِ مقدارُ ما يؤدّىٰ فيه ثَلاثُ‌</w:t>
      </w:r>
      <w:r>
        <w:rPr>
          <w:rStyle w:val="FootnoteAnchor"/>
          <w:rtl w:val="true"/>
        </w:rPr>
        <w:footnoteReference w:id="2203"/>
      </w:r>
      <w:r>
        <w:rPr>
          <w:rFonts w:ascii="Amiri" w:hAnsi="Amiri" w:eastAsia="Amiri" w:cs="Amiri"/>
          <w:color w:val="111111"/>
          <w:sz w:val="28"/>
          <w:sz w:val="28"/>
          <w:szCs w:val="28"/>
          <w:rtl w:val="true"/>
          <w:lang w:bidi="ar-SA"/>
        </w:rPr>
        <w:t xml:space="preserve">رَكَعاتٍ، اشتَرَكَ الوقتُ بَينَ صَلاةِ </w:t>
      </w:r>
      <w:bookmarkStart w:id="694" w:name="pg16437_172688"/>
    </w:p>
    <w:p>
      <w:pPr>
        <w:pStyle w:val="BookText"/>
        <w:rPr/>
      </w:pPr>
      <w:bookmarkEnd w:id="694"/>
      <w:r>
        <w:rPr>
          <w:rFonts w:ascii="Amiri" w:hAnsi="Amiri" w:eastAsia="Amiri" w:cs="Amiri"/>
          <w:color w:val="111111"/>
          <w:sz w:val="28"/>
          <w:sz w:val="28"/>
          <w:szCs w:val="28"/>
          <w:rtl w:val="true"/>
          <w:lang w:bidi="ar-SA"/>
        </w:rPr>
        <w:t>المغرِبِ و بَينَ صَلاةِ عِشاءِ الآخِرةِ؛ فإذا بَقيَ مِن انتصافِ الليلِ مقدارُ ما يؤدّىٰ فيه أربَعُ رَكَعاتٍ، مضىٰ وقتُ المَغرِبِ و خَلَصَ ذلكَ الوقتُ لعِشاءِ الآخِرةِ؛ و إذا انتَصَفَ الليلُ، فاتَت العِشاءُ الآخِرةُ</w:t>
      </w:r>
      <w:r>
        <w:rPr>
          <w:rFonts w:eastAsia="Amiri" w:cs="Amiri" w:ascii="Amiri" w:hAnsi="Amiri"/>
          <w:color w:val="111111"/>
          <w:sz w:val="28"/>
          <w:szCs w:val="28"/>
          <w:rtl w:val="true"/>
          <w:lang w:bidi="ar-SA"/>
        </w:rPr>
        <w:t>.</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و الأفضَلُ لِمَن يُريدُ الفَضيلةَ و يُريدُ الثوابَ، أن يُصلّيَ نَوافِلَ المَغرِبِ بَينَ صَلاةِ المَغرِبِ و بَينَ فَرضِ العِشاءِ الآخِرةِ؛ لأنّها مِن السُّنَنِ المؤكَّدةِ</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8039961_1280447820"/>
      <w:bookmarkStart w:id="696" w:name="_Toc255"/>
      <w:bookmarkEnd w:id="695"/>
      <w:r>
        <w:rPr>
          <w:rtl w:val="true"/>
        </w:rPr>
        <w:t>مَسألةٌ سادسةٌ تعيينُ الصلاةِ الوُسطىٰ‌</w:t>
      </w:r>
      <w:bookmarkEnd w:id="696"/>
    </w:p>
    <w:p>
      <w:pPr>
        <w:pStyle w:val="BookText"/>
        <w:rPr/>
      </w:pPr>
      <w:r>
        <w:rPr>
          <w:rFonts w:ascii="Amiri" w:hAnsi="Amiri" w:eastAsia="Amiri" w:cs="Amiri"/>
          <w:color w:val="111111"/>
          <w:sz w:val="28"/>
          <w:sz w:val="28"/>
          <w:szCs w:val="28"/>
          <w:rtl w:val="true"/>
          <w:lang w:bidi="ar-SA"/>
        </w:rPr>
        <w:t>المَعرِفةُ للصلاةِ الوُسطىٰ، و الدليلُ عليها</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الوسطىٰ عندَ أهلِ البَيتِ عليهم السلامُ هي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الشيعةِ الإماميّةِ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في قِراءةِ ابنِ مسعودٍ رَحمةُ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 صَلاةِ العَصرِ</w:t>
      </w:r>
      <w:r>
        <w:rPr>
          <w:rFonts w:eastAsia="Amiri" w:cs="Amiri" w:ascii="Amiri" w:hAnsi="Amiri"/>
          <w:color w:val="111111"/>
          <w:sz w:val="28"/>
          <w:szCs w:val="28"/>
          <w:rtl w:val="true"/>
          <w:lang w:bidi="ar-SA"/>
        </w:rPr>
        <w:t>».</w:t>
      </w:r>
      <w:r>
        <w:rPr>
          <w:rStyle w:val="FootnoteAnchor"/>
          <w:rtl w:val="true"/>
        </w:rPr>
        <w:footnoteReference w:id="220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سُمّيَت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بَينَ صَلاتَينِ مِن صَلاةِ النَّهارِ تَقدَّمَتا</w:t>
      </w:r>
      <w:r>
        <w:rPr>
          <w:rStyle w:val="FootnoteAnchor"/>
          <w:rtl w:val="true"/>
        </w:rPr>
        <w:footnoteReference w:id="2207"/>
      </w:r>
      <w:r>
        <w:rPr>
          <w:rFonts w:ascii="Amiri" w:hAnsi="Amiri" w:eastAsia="Amiri" w:cs="Amiri"/>
          <w:color w:val="111111"/>
          <w:sz w:val="28"/>
          <w:sz w:val="28"/>
          <w:szCs w:val="28"/>
          <w:rtl w:val="true"/>
          <w:lang w:bidi="ar-SA"/>
        </w:rPr>
        <w:t>عليها، و صَلاتَينِ مِن صَلاةِ الليلِ تأخَّرَتا</w:t>
      </w:r>
      <w:r>
        <w:rPr>
          <w:rStyle w:val="FootnoteAnchor"/>
          <w:rtl w:val="true"/>
        </w:rPr>
        <w:footnoteReference w:id="2208"/>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bookmarkStart w:id="697" w:name="pg16437_172689"/>
    </w:p>
    <w:p>
      <w:pPr>
        <w:pStyle w:val="Heading5"/>
        <w:numPr>
          <w:ilvl w:val="4"/>
          <w:numId w:val="1"/>
        </w:numPr>
        <w:rPr/>
      </w:pPr>
      <w:bookmarkStart w:id="698" w:name="__RefHeading___Toc8039963_1280447820"/>
      <w:bookmarkStart w:id="699" w:name="_Toc256"/>
      <w:bookmarkEnd w:id="697"/>
      <w:bookmarkEnd w:id="698"/>
      <w:r>
        <w:rPr>
          <w:rtl w:val="true"/>
        </w:rPr>
        <w:t>مَسألةٌ سابعةٌ ما يَجوزُ عليه السُّجودُ</w:t>
      </w:r>
      <w:bookmarkEnd w:id="699"/>
    </w:p>
    <w:p>
      <w:pPr>
        <w:pStyle w:val="BookText"/>
        <w:rPr/>
      </w:pPr>
      <w:r>
        <w:rPr>
          <w:rFonts w:ascii="Amiri" w:hAnsi="Amiri" w:eastAsia="Amiri" w:cs="Amiri"/>
          <w:color w:val="111111"/>
          <w:sz w:val="28"/>
          <w:sz w:val="28"/>
          <w:szCs w:val="28"/>
          <w:rtl w:val="true"/>
          <w:lang w:bidi="ar-SA"/>
        </w:rPr>
        <w:t>علىٰ ماذا يَجوزُ السجودُ</w:t>
      </w:r>
      <w:r>
        <w:rPr>
          <w:rStyle w:val="FootnoteAnchor"/>
          <w:rtl w:val="true"/>
        </w:rPr>
        <w:footnoteReference w:id="22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أيُّ شَيءٍ يُتوَقَّى السجودُ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السجودُ إلّاعلَى الأرضِ بعَينِها إذا كانَت طاهرةً، أو علىٰ ما أنبَتَته، إلّاأن يَكونَ مأكولاً كالثِّمارِ، أو ملبوساً كالقُطنِ و الكِتّانِ و</w:t>
      </w:r>
      <w:r>
        <w:rPr>
          <w:rStyle w:val="FootnoteAnchor"/>
          <w:rtl w:val="true"/>
        </w:rPr>
        <w:footnoteReference w:id="2210"/>
      </w:r>
      <w:r>
        <w:rPr>
          <w:rFonts w:ascii="Amiri" w:hAnsi="Amiri" w:eastAsia="Amiri" w:cs="Amiri"/>
          <w:color w:val="111111"/>
          <w:sz w:val="28"/>
          <w:sz w:val="28"/>
          <w:szCs w:val="28"/>
          <w:rtl w:val="true"/>
          <w:lang w:bidi="ar-SA"/>
        </w:rPr>
        <w:t>ما اتُّخِذَ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بالسجودِ علَى القِرطاسِ الخالي مِن الكتابةِ، و يُكرَهُ علَى المكتوبِ فيه؛ لشَغلِ القَلبِ بقِراءتِه</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8039965_1280447820"/>
      <w:bookmarkStart w:id="701" w:name="_Toc257"/>
      <w:bookmarkEnd w:id="700"/>
      <w:r>
        <w:rPr>
          <w:rtl w:val="true"/>
        </w:rPr>
        <w:t>مَسألةٌ ثامنةٌ حُكمُ التسليمِ في الصلاةِ‌</w:t>
      </w:r>
      <w:bookmarkEnd w:id="701"/>
    </w:p>
    <w:p>
      <w:pPr>
        <w:pStyle w:val="BookText"/>
        <w:rPr/>
      </w:pPr>
      <w:r>
        <w:rPr>
          <w:rFonts w:ascii="Amiri" w:hAnsi="Amiri" w:eastAsia="Amiri" w:cs="Amiri"/>
          <w:color w:val="111111"/>
          <w:sz w:val="28"/>
          <w:sz w:val="28"/>
          <w:szCs w:val="28"/>
          <w:rtl w:val="true"/>
          <w:lang w:bidi="ar-SA"/>
        </w:rPr>
        <w:t>التسليمُ، هَل هو واحدةٌ تِجاهَ القِبلةِ، أم اثنَتانِ عن يَمينٍ و شِمالٍ؟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التسليمُ عندَنا واجبٌ، و يُسلِّمُ المُصَلّي واحدةً‌</w:t>
      </w:r>
      <w:r>
        <w:rPr>
          <w:rStyle w:val="FootnoteAnchor"/>
          <w:rtl w:val="true"/>
        </w:rPr>
        <w:footnoteReference w:id="2211"/>
      </w:r>
      <w:r>
        <w:rPr>
          <w:rFonts w:ascii="Amiri" w:hAnsi="Amiri" w:eastAsia="Amiri" w:cs="Amiri"/>
          <w:color w:val="111111"/>
          <w:sz w:val="28"/>
          <w:sz w:val="28"/>
          <w:szCs w:val="28"/>
          <w:rtl w:val="true"/>
          <w:lang w:bidi="ar-SA"/>
        </w:rPr>
        <w:t>، يَستَقبِلُ بها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يَنحَرِفُ بوَجهِه قَليلاً إلىٰ جِهةِ يَمينِه إن كانَ مُنفَرِداً أو إماماً؛ و إن كانَ مأموماً، سَلَّمَ عن</w:t>
      </w:r>
      <w:r>
        <w:rPr>
          <w:rStyle w:val="FootnoteAnchor"/>
          <w:rtl w:val="true"/>
        </w:rPr>
        <w:footnoteReference w:id="2212"/>
      </w:r>
      <w:r>
        <w:rPr>
          <w:rFonts w:ascii="Amiri" w:hAnsi="Amiri" w:eastAsia="Amiri" w:cs="Amiri"/>
          <w:color w:val="111111"/>
          <w:sz w:val="28"/>
          <w:sz w:val="28"/>
          <w:szCs w:val="28"/>
          <w:rtl w:val="true"/>
          <w:lang w:bidi="ar-SA"/>
        </w:rPr>
        <w:t>يَمينِه و شِمالِه، إلّاأن تَكونَ‌</w:t>
      </w:r>
      <w:r>
        <w:rPr>
          <w:rStyle w:val="FootnoteAnchor"/>
          <w:rtl w:val="true"/>
        </w:rPr>
        <w:footnoteReference w:id="2213"/>
      </w:r>
      <w:r>
        <w:rPr>
          <w:rFonts w:ascii="Amiri" w:hAnsi="Amiri" w:eastAsia="Amiri" w:cs="Amiri"/>
          <w:color w:val="111111"/>
          <w:sz w:val="28"/>
          <w:sz w:val="28"/>
          <w:szCs w:val="28"/>
          <w:rtl w:val="true"/>
          <w:lang w:bidi="ar-SA"/>
        </w:rPr>
        <w:t>شِمالُه خاليةً مِن أحَدٍ، فيَقتَصِرُ علىٰ يَمينِه</w:t>
      </w:r>
      <w:r>
        <w:rPr>
          <w:rFonts w:eastAsia="Amiri" w:cs="Amiri" w:ascii="Amiri" w:hAnsi="Amiri"/>
          <w:color w:val="111111"/>
          <w:sz w:val="28"/>
          <w:szCs w:val="28"/>
          <w:rtl w:val="true"/>
          <w:lang w:bidi="ar-SA"/>
        </w:rPr>
        <w:t xml:space="preserve">. </w:t>
      </w:r>
      <w:bookmarkStart w:id="702" w:name="pg16437_172690"/>
    </w:p>
    <w:p>
      <w:pPr>
        <w:pStyle w:val="Heading5"/>
        <w:numPr>
          <w:ilvl w:val="4"/>
          <w:numId w:val="1"/>
        </w:numPr>
        <w:rPr/>
      </w:pPr>
      <w:bookmarkStart w:id="703" w:name="__RefHeading___Toc8039967_1280447820"/>
      <w:bookmarkStart w:id="704" w:name="_Toc258"/>
      <w:bookmarkEnd w:id="702"/>
      <w:bookmarkEnd w:id="703"/>
      <w:r>
        <w:rPr>
          <w:rtl w:val="true"/>
        </w:rPr>
        <w:t>مَسألةٌ تاسعةٌ استحبابُ القُنوتِ في الصلاةِ‌</w:t>
      </w:r>
      <w:bookmarkEnd w:id="704"/>
    </w:p>
    <w:p>
      <w:pPr>
        <w:pStyle w:val="BookText"/>
        <w:rPr/>
      </w:pPr>
      <w:r>
        <w:rPr>
          <w:rFonts w:ascii="Amiri" w:hAnsi="Amiri" w:eastAsia="Amiri" w:cs="Amiri"/>
          <w:color w:val="111111"/>
          <w:sz w:val="28"/>
          <w:sz w:val="28"/>
          <w:szCs w:val="28"/>
          <w:rtl w:val="true"/>
          <w:lang w:bidi="ar-SA"/>
        </w:rPr>
        <w:t>القُنوتُ، في جميعِ الفَرائضِ، أم في صَلاةٍ معلومةٍ؟</w:t>
      </w:r>
    </w:p>
    <w:p>
      <w:pPr>
        <w:pStyle w:val="BookText"/>
        <w:rPr/>
      </w:pPr>
      <w:r>
        <w:rPr>
          <w:rFonts w:ascii="Amiri" w:hAnsi="Amiri" w:eastAsia="Amiri" w:cs="Amiri"/>
          <w:color w:val="111111"/>
          <w:sz w:val="28"/>
          <w:sz w:val="28"/>
          <w:szCs w:val="28"/>
          <w:rtl w:val="true"/>
          <w:lang w:bidi="ar-SA"/>
        </w:rPr>
        <w:t>و هَل هو قَبلَ الركوعِ، أو بَعدَه؟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القُنوتُ مُستَحَبٌّ غيرُ مفروضٍ، و إن كانَ في الفَرضِ أشَدَّ استحباباً، و هو في صَلاةِ الجَهرِ بالقِراءةِ أشَدُّ تأكيداً و استحباباً</w:t>
      </w:r>
      <w:r>
        <w:rPr>
          <w:rStyle w:val="FootnoteAnchor"/>
          <w:rtl w:val="true"/>
        </w:rPr>
        <w:footnoteReference w:id="2214"/>
      </w:r>
      <w:r>
        <w:rPr>
          <w:rFonts w:ascii="Amiri" w:hAnsi="Amiri" w:eastAsia="Amiri" w:cs="Amiri"/>
          <w:color w:val="111111"/>
          <w:sz w:val="28"/>
          <w:sz w:val="28"/>
          <w:szCs w:val="28"/>
          <w:rtl w:val="true"/>
          <w:lang w:bidi="ar-SA"/>
        </w:rPr>
        <w:t>و لا إثمَ علىٰ مَن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مَكانُه قَبلَ الركوعِ مِن الركعةِ الثانيةِ‌</w:t>
      </w:r>
      <w:r>
        <w:rPr>
          <w:rStyle w:val="FootnoteAnchor"/>
          <w:rtl w:val="true"/>
        </w:rPr>
        <w:footnoteReference w:id="2215"/>
      </w:r>
      <w:r>
        <w:rPr>
          <w:rFonts w:ascii="Amiri" w:hAnsi="Amiri" w:eastAsia="Amiri" w:cs="Amiri"/>
          <w:color w:val="111111"/>
          <w:sz w:val="28"/>
          <w:sz w:val="28"/>
          <w:szCs w:val="28"/>
          <w:rtl w:val="true"/>
          <w:lang w:bidi="ar-SA"/>
        </w:rPr>
        <w:t>و يَرفَعُ يَدَيهِ بالقُنوتِ‌</w:t>
      </w:r>
      <w:r>
        <w:rPr>
          <w:rStyle w:val="FootnoteAnchor"/>
          <w:rtl w:val="true"/>
        </w:rPr>
        <w:footnoteReference w:id="2216"/>
      </w:r>
      <w:r>
        <w:rPr>
          <w:rFonts w:ascii="Amiri" w:hAnsi="Amiri" w:eastAsia="Amiri" w:cs="Amiri"/>
          <w:color w:val="111111"/>
          <w:sz w:val="28"/>
          <w:sz w:val="28"/>
          <w:szCs w:val="28"/>
          <w:rtl w:val="true"/>
          <w:lang w:bidi="ar-SA"/>
        </w:rPr>
        <w:t>، و يُكبِّرُ للقُنوتِ تكبيراً مُفرَداً</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8039969_1280447820"/>
      <w:bookmarkStart w:id="706" w:name="_Toc259"/>
      <w:bookmarkEnd w:id="705"/>
      <w:r>
        <w:rPr>
          <w:rtl w:val="true"/>
        </w:rPr>
        <w:t>مسألةٌ عاشِرةٌ التكبيراتُ السَّبعُ في مُفتَتَحِ الصلاةِ‌</w:t>
      </w:r>
      <w:bookmarkEnd w:id="706"/>
    </w:p>
    <w:p>
      <w:pPr>
        <w:pStyle w:val="BookText"/>
        <w:rPr/>
      </w:pPr>
      <w:r>
        <w:rPr>
          <w:rFonts w:ascii="Amiri" w:hAnsi="Amiri" w:eastAsia="Amiri" w:cs="Amiri"/>
          <w:color w:val="111111"/>
          <w:sz w:val="28"/>
          <w:sz w:val="28"/>
          <w:szCs w:val="28"/>
          <w:rtl w:val="true"/>
          <w:lang w:bidi="ar-SA"/>
        </w:rPr>
        <w:t>التكبيراتُ السبعُ عندَ التوجُّهِ، في الفَرضِ خاصّةً، أم في الفَرضِ و النوافِلِ؟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التكبيراتُ‌</w:t>
      </w:r>
      <w:r>
        <w:rPr>
          <w:rStyle w:val="FootnoteAnchor"/>
          <w:rtl w:val="true"/>
        </w:rPr>
        <w:footnoteReference w:id="2217"/>
      </w:r>
      <w:r>
        <w:rPr>
          <w:rFonts w:ascii="Amiri" w:hAnsi="Amiri" w:eastAsia="Amiri" w:cs="Amiri"/>
          <w:color w:val="111111"/>
          <w:sz w:val="28"/>
          <w:sz w:val="28"/>
          <w:szCs w:val="28"/>
          <w:rtl w:val="true"/>
          <w:lang w:bidi="ar-SA"/>
        </w:rPr>
        <w:t>السبعُ للدخولِ في الصلاةِ، إنّما تُستَعمَلُ‌</w:t>
      </w:r>
      <w:r>
        <w:rPr>
          <w:rStyle w:val="FootnoteAnchor"/>
          <w:rtl w:val="true"/>
        </w:rPr>
        <w:footnoteReference w:id="2218"/>
      </w:r>
      <w:r>
        <w:rPr>
          <w:rFonts w:ascii="Amiri" w:hAnsi="Amiri" w:eastAsia="Amiri" w:cs="Amiri"/>
          <w:color w:val="111111"/>
          <w:sz w:val="28"/>
          <w:sz w:val="28"/>
          <w:szCs w:val="28"/>
          <w:rtl w:val="true"/>
          <w:lang w:bidi="ar-SA"/>
        </w:rPr>
        <w:t>في الفَرضِ دونَ النوافِلِ، و هي مسنوناتٌ غيرُ مفروضاتٍ</w:t>
      </w:r>
      <w:r>
        <w:rPr>
          <w:rFonts w:eastAsia="Amiri" w:cs="Amiri" w:ascii="Amiri" w:hAnsi="Amiri"/>
          <w:color w:val="111111"/>
          <w:sz w:val="28"/>
          <w:szCs w:val="28"/>
          <w:rtl w:val="true"/>
          <w:lang w:bidi="ar-SA"/>
        </w:rPr>
        <w:t xml:space="preserve">. </w:t>
      </w:r>
      <w:bookmarkStart w:id="707" w:name="pg16437_172691"/>
    </w:p>
    <w:p>
      <w:pPr>
        <w:pStyle w:val="BookText"/>
        <w:rPr/>
      </w:pPr>
      <w:bookmarkEnd w:id="707"/>
      <w:r>
        <w:rPr>
          <w:rFonts w:ascii="Amiri" w:hAnsi="Amiri" w:eastAsia="Amiri" w:cs="Amiri"/>
          <w:color w:val="111111"/>
          <w:sz w:val="28"/>
          <w:sz w:val="28"/>
          <w:szCs w:val="28"/>
          <w:rtl w:val="true"/>
          <w:lang w:bidi="ar-SA"/>
        </w:rPr>
        <w:t xml:space="preserve">و يَكفي للدخولِ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كانَ أو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واحدةٌ،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يَحرُمُ بَعدَها ما لَم يَكُن مُحرَّماً مِن الأفعالِ و الأقوالِ</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8039971_1280447820"/>
      <w:bookmarkStart w:id="709" w:name="_Toc260"/>
      <w:bookmarkEnd w:id="708"/>
      <w:r>
        <w:rPr>
          <w:rtl w:val="true"/>
        </w:rPr>
        <w:t>مسألةٌ حاديةَ عَشَرَ الوُتَيرةُ‌</w:t>
      </w:r>
      <w:bookmarkEnd w:id="709"/>
    </w:p>
    <w:p>
      <w:pPr>
        <w:pStyle w:val="BookText"/>
        <w:rPr/>
      </w:pPr>
      <w:r>
        <w:rPr>
          <w:rFonts w:ascii="Amiri" w:hAnsi="Amiri" w:eastAsia="Amiri" w:cs="Amiri"/>
          <w:color w:val="111111"/>
          <w:sz w:val="28"/>
          <w:sz w:val="28"/>
          <w:szCs w:val="28"/>
          <w:rtl w:val="true"/>
          <w:lang w:bidi="ar-SA"/>
        </w:rPr>
        <w:t>الرَّكعَتانِ من جُلوسٍ بَعدَ فَريضةِ العَتَمةِ؛ بتَربُّعٍ أم تَورُّكٍ‌</w:t>
      </w:r>
      <w:r>
        <w:rPr>
          <w:rStyle w:val="FootnoteAnchor"/>
          <w:rtl w:val="true"/>
        </w:rPr>
        <w:footnoteReference w:id="22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رُويَ في فِعلِ هاتَينِ الرَّكعَتَينِ الترَبُّعُ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تُفعَلا</w:t>
      </w:r>
      <w:r>
        <w:rPr>
          <w:rStyle w:val="FootnoteAnchor"/>
          <w:rtl w:val="true"/>
        </w:rPr>
        <w:footnoteReference w:id="2220"/>
      </w:r>
      <w:r>
        <w:rPr>
          <w:rFonts w:ascii="Amiri" w:hAnsi="Amiri" w:eastAsia="Amiri" w:cs="Amiri"/>
          <w:color w:val="111111"/>
          <w:sz w:val="28"/>
          <w:sz w:val="28"/>
          <w:szCs w:val="28"/>
          <w:rtl w:val="true"/>
          <w:lang w:bidi="ar-SA"/>
        </w:rPr>
        <w:t>جميعاً، فِعلاً مُطلَقاً؛ لَم يُشتَرَطْ</w:t>
      </w:r>
      <w:r>
        <w:rPr>
          <w:rStyle w:val="FootnoteAnchor"/>
          <w:rtl w:val="true"/>
        </w:rPr>
        <w:footnoteReference w:id="2221"/>
      </w:r>
      <w:r>
        <w:rPr>
          <w:rFonts w:ascii="Amiri" w:hAnsi="Amiri" w:eastAsia="Amiri" w:cs="Amiri"/>
          <w:color w:val="111111"/>
          <w:sz w:val="28"/>
          <w:sz w:val="28"/>
          <w:szCs w:val="28"/>
          <w:rtl w:val="true"/>
          <w:lang w:bidi="ar-SA"/>
        </w:rPr>
        <w:t>فيه تَربُّعٌ و لاتَورُّكٌ؛</w:t>
      </w:r>
      <w:r>
        <w:rPr>
          <w:rStyle w:val="FootnoteAnchor"/>
          <w:rtl w:val="true"/>
        </w:rPr>
        <w:footnoteReference w:id="2222"/>
      </w:r>
      <w:r>
        <w:rPr>
          <w:rFonts w:ascii="Amiri" w:hAnsi="Amiri" w:eastAsia="Amiri" w:cs="Amiri"/>
          <w:color w:val="111111"/>
          <w:sz w:val="28"/>
          <w:sz w:val="28"/>
          <w:szCs w:val="28"/>
          <w:rtl w:val="true"/>
          <w:lang w:bidi="ar-SA"/>
        </w:rPr>
        <w:t>فالمُصَلّي مُخيَّرٌ فيهما</w:t>
      </w:r>
      <w:r>
        <w:rPr>
          <w:rStyle w:val="FootnoteAnchor"/>
          <w:rtl w:val="true"/>
        </w:rPr>
        <w:footnoteReference w:id="2223"/>
      </w:r>
      <w:r>
        <w:rPr>
          <w:rFonts w:ascii="Amiri" w:hAnsi="Amiri" w:eastAsia="Amiri" w:cs="Amiri"/>
          <w:color w:val="111111"/>
          <w:sz w:val="28"/>
          <w:sz w:val="28"/>
          <w:szCs w:val="28"/>
          <w:rtl w:val="true"/>
          <w:lang w:bidi="ar-SA"/>
        </w:rPr>
        <w:t>بَينَ الترَبُّعِ و التوَرُّكِ، و أيُّ الأمرَينِ فَعَلَ جازَ</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8039973_1280447820"/>
      <w:bookmarkStart w:id="711" w:name="_Toc261"/>
      <w:bookmarkEnd w:id="710"/>
      <w:r>
        <w:rPr>
          <w:rtl w:val="true"/>
        </w:rPr>
        <w:t>مَسألةٌ ثانيةَ عَشَرَ كَيفيّةُ غَسلِ الوجهِ في الوضوءِ‌</w:t>
      </w:r>
      <w:bookmarkEnd w:id="711"/>
    </w:p>
    <w:p>
      <w:pPr>
        <w:pStyle w:val="BookText"/>
        <w:rPr/>
      </w:pPr>
      <w:r>
        <w:rPr>
          <w:rFonts w:ascii="Amiri" w:hAnsi="Amiri" w:eastAsia="Amiri" w:cs="Amiri"/>
          <w:color w:val="111111"/>
          <w:sz w:val="28"/>
          <w:sz w:val="28"/>
          <w:szCs w:val="28"/>
          <w:rtl w:val="true"/>
          <w:lang w:bidi="ar-SA"/>
        </w:rPr>
        <w:t>غَسلُ الوجهِ عندَ الوضوءِ؛ باليَدِ اليُمنىٰ، أم باليَدَينِ جميعاً؟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المفروضُ إيصالُ الماءِ إلَى الوجهِ علىٰ سَبيلِ الغَسلِ، و الظاهرُ مِن القُرآنِ </w:t>
      </w:r>
      <w:bookmarkStart w:id="712" w:name="pg16437_172692"/>
    </w:p>
    <w:p>
      <w:pPr>
        <w:pStyle w:val="BookText"/>
        <w:rPr/>
      </w:pPr>
      <w:bookmarkEnd w:id="712"/>
      <w:r>
        <w:rPr>
          <w:rFonts w:ascii="Amiri" w:hAnsi="Amiri" w:eastAsia="Amiri" w:cs="Amiri"/>
          <w:color w:val="111111"/>
          <w:sz w:val="28"/>
          <w:sz w:val="28"/>
          <w:szCs w:val="28"/>
          <w:rtl w:val="true"/>
          <w:lang w:bidi="ar-SA"/>
        </w:rPr>
        <w:t>يَدخُلُ فيه غَسلُ الوجهِ باليَدَينِ مَعاً و باليَدِ الواحدةِ؛ إلّاأنّ السُّنّةَ وَرَدَت بأن يُغسَلَ الوَجهُ‌</w:t>
      </w:r>
      <w:r>
        <w:rPr>
          <w:rStyle w:val="FootnoteAnchor"/>
          <w:rtl w:val="true"/>
        </w:rPr>
        <w:footnoteReference w:id="2224"/>
      </w:r>
      <w:r>
        <w:rPr>
          <w:rFonts w:ascii="Amiri" w:hAnsi="Amiri" w:eastAsia="Amiri" w:cs="Amiri"/>
          <w:color w:val="111111"/>
          <w:sz w:val="28"/>
          <w:sz w:val="28"/>
          <w:szCs w:val="28"/>
          <w:rtl w:val="true"/>
          <w:lang w:bidi="ar-SA"/>
        </w:rPr>
        <w:t>باليَدِ اليُمنىٰ دونَ اليُسرىٰ، و فِعلُ المسنونِ أَولىٰ مِن غيرِه</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8039975_1280447820"/>
      <w:bookmarkStart w:id="714" w:name="_Toc262"/>
      <w:bookmarkEnd w:id="713"/>
      <w:r>
        <w:rPr>
          <w:rtl w:val="true"/>
        </w:rPr>
        <w:t>مَسألةٌ ثالثةَ عَشَرَ وجوبُ المَسحِ ببِلّةِ اليَدِ</w:t>
      </w:r>
      <w:bookmarkEnd w:id="714"/>
    </w:p>
    <w:p>
      <w:pPr>
        <w:pStyle w:val="BookText"/>
        <w:rPr/>
      </w:pPr>
      <w:r>
        <w:rPr>
          <w:rFonts w:ascii="Amiri" w:hAnsi="Amiri" w:eastAsia="Amiri" w:cs="Amiri"/>
          <w:color w:val="111111"/>
          <w:sz w:val="28"/>
          <w:sz w:val="28"/>
          <w:szCs w:val="28"/>
          <w:rtl w:val="true"/>
          <w:lang w:bidi="ar-SA"/>
        </w:rPr>
        <w:t>المَسحُ علَى الرأسِ و الرِّجلَينِ، بفاضِلِ ماءِ اليَدِ اليُسرىٰ‌</w:t>
      </w:r>
      <w:r>
        <w:rPr>
          <w:rStyle w:val="FootnoteAnchor"/>
          <w:rtl w:val="true"/>
        </w:rPr>
        <w:footnoteReference w:id="2225"/>
      </w:r>
      <w:r>
        <w:rPr>
          <w:rFonts w:ascii="Amiri" w:hAnsi="Amiri" w:eastAsia="Amiri" w:cs="Amiri"/>
          <w:color w:val="111111"/>
          <w:sz w:val="28"/>
          <w:sz w:val="28"/>
          <w:szCs w:val="28"/>
          <w:rtl w:val="true"/>
          <w:lang w:bidi="ar-SA"/>
        </w:rPr>
        <w:t>، أم بماءٍ مُجدَّدٍ؟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المفروضُ في مَسحِ الرأسِ و الرِّجلَينِ أن يَكونَ ببِلّةِ اليَدِ، مِن غيرِ استينافِ‌</w:t>
      </w:r>
      <w:r>
        <w:rPr>
          <w:rStyle w:val="FootnoteAnchor"/>
          <w:rtl w:val="true"/>
        </w:rPr>
        <w:footnoteReference w:id="2226"/>
      </w:r>
      <w:r>
        <w:rPr>
          <w:rFonts w:ascii="Amiri" w:hAnsi="Amiri" w:eastAsia="Amiri" w:cs="Amiri"/>
          <w:color w:val="111111"/>
          <w:sz w:val="28"/>
          <w:sz w:val="28"/>
          <w:szCs w:val="28"/>
          <w:rtl w:val="true"/>
          <w:lang w:bidi="ar-SA"/>
        </w:rPr>
        <w:t>ماءٍ مُجدَّدٍ؛ فمَن استأنَفَ ماءً جديداً لهُما، لَم يُجزِه ذلكَ، و وَجَبَت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يَجِدْ في يَدِه بِلّةً يَمسَحُ بها رأسَه و رِجلَيه، فقَد رُويَ أنّه يأخُذُ مِن بِلّةِ شَعرِ لِحيتِه أو حاجِبِه؛</w:t>
      </w:r>
      <w:r>
        <w:rPr>
          <w:rStyle w:val="FootnoteAnchor"/>
          <w:rtl w:val="true"/>
        </w:rPr>
        <w:footnoteReference w:id="2227"/>
      </w:r>
      <w:r>
        <w:rPr>
          <w:rFonts w:ascii="Amiri" w:hAnsi="Amiri" w:eastAsia="Amiri" w:cs="Amiri"/>
          <w:color w:val="111111"/>
          <w:sz w:val="28"/>
          <w:sz w:val="28"/>
          <w:szCs w:val="28"/>
          <w:rtl w:val="true"/>
          <w:lang w:bidi="ar-SA"/>
        </w:rPr>
        <w:t>فإن لَم يَجِدْ ذلكَ، استأنَفَ الوضوءَ</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8039977_1280447820"/>
      <w:bookmarkStart w:id="716" w:name="_Toc263"/>
      <w:bookmarkEnd w:id="715"/>
      <w:r>
        <w:rPr>
          <w:rtl w:val="true"/>
        </w:rPr>
        <w:t>مَسألةٌ رابعةَ عَشَرَ الرجوعُ إلَى الكُتُبِ الثلاثةِ‌</w:t>
      </w:r>
      <w:bookmarkEnd w:id="71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يُشكِلُ علينا مِن الفِقهِ، نأخُذُه مِن رسالةِ عليِّ بنِ موسَى بنِ بابَوَيهِ </w:t>
      </w:r>
    </w:p>
    <w:p>
      <w:pPr>
        <w:pStyle w:val="BookText"/>
        <w:rPr/>
      </w:pPr>
      <w:r>
        <w:rPr>
          <w:rFonts w:ascii="Amiri" w:hAnsi="Amiri" w:eastAsia="Amiri" w:cs="Amiri"/>
          <w:color w:val="111111"/>
          <w:sz w:val="28"/>
          <w:sz w:val="28"/>
          <w:szCs w:val="28"/>
          <w:rtl w:val="true"/>
          <w:lang w:bidi="ar-SA"/>
        </w:rPr>
        <w:t>القُمّيِّ‌</w:t>
      </w:r>
      <w:r>
        <w:rPr>
          <w:rStyle w:val="FootnoteAnchor"/>
          <w:rtl w:val="true"/>
        </w:rPr>
        <w:footnoteReference w:id="2228"/>
      </w:r>
      <w:r>
        <w:rPr>
          <w:rFonts w:ascii="IRNazanin" w:hAnsi="IRNazanin" w:eastAsia="IRNazanin"/>
          <w:color w:val="111111"/>
          <w:sz w:val="28"/>
          <w:sz w:val="28"/>
          <w:szCs w:val="28"/>
          <w:rtl w:val="true"/>
          <w:lang w:bidi="fa-IR"/>
        </w:rPr>
        <w:t>، أم</w:t>
      </w:r>
      <w:r>
        <w:rPr>
          <w:rStyle w:val="FootnoteAnchor"/>
          <w:rtl w:val="true"/>
        </w:rPr>
        <w:footnoteReference w:id="2229"/>
      </w:r>
      <w:r>
        <w:rPr>
          <w:rFonts w:ascii="Amiri" w:hAnsi="Amiri" w:eastAsia="Amiri" w:cs="Amiri"/>
          <w:color w:val="111111"/>
          <w:sz w:val="28"/>
          <w:sz w:val="28"/>
          <w:szCs w:val="28"/>
          <w:rtl w:val="true"/>
          <w:lang w:bidi="ar-SA"/>
        </w:rPr>
        <w:t>مِن كتابِ الشَّلمَغانيِّ‌</w:t>
      </w:r>
      <w:r>
        <w:rPr>
          <w:rStyle w:val="FootnoteAnchor"/>
          <w:rtl w:val="true"/>
        </w:rPr>
        <w:footnoteReference w:id="2230"/>
      </w:r>
    </w:p>
    <w:p>
      <w:pPr>
        <w:pStyle w:val="BookText"/>
        <w:rPr/>
      </w:pPr>
      <w:r>
        <w:rPr>
          <w:rFonts w:ascii="Amiri" w:hAnsi="Amiri" w:eastAsia="Amiri" w:cs="Amiri"/>
          <w:color w:val="111111"/>
          <w:sz w:val="28"/>
          <w:sz w:val="28"/>
          <w:szCs w:val="28"/>
          <w:rtl w:val="true"/>
          <w:lang w:bidi="ar-SA"/>
        </w:rPr>
        <w:t>و كتاب الشلمغاني المشار إليه في المتن هو كتاب التكليف، ألّفه في حال استقامته، و عُرض على الحسين بن روح، فذكر أنّه ما فيه من شيء إلّاو قد روي عن الأئمّة عليهم السلامُ، إلّاموضَعين أو ثلاثة، فإنّه كذب عليهم في روايتها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للشيخ الطوسي،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كتابِ عُبَيدِ اللّٰهِ الحَلَبيِّ‌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الرجوعُ إلىٰ كتابِ ابنِ بابَوَيهِ و إلىٰ كتابِ الحَلَبيِّ أَولىٰ مِن الرجوعِ إلىٰ كتابِ الشَّلمَغانيِّ علىٰ كُلِّ حالٍ</w:t>
      </w:r>
      <w:r>
        <w:rPr>
          <w:rFonts w:eastAsia="Amiri" w:cs="Amiri" w:ascii="Amiri" w:hAnsi="Amiri"/>
          <w:color w:val="111111"/>
          <w:sz w:val="28"/>
          <w:szCs w:val="28"/>
          <w:rtl w:val="true"/>
          <w:lang w:bidi="ar-SA"/>
        </w:rPr>
        <w:t xml:space="preserve">. </w:t>
      </w:r>
      <w:bookmarkStart w:id="717" w:name="pg16437_172694"/>
    </w:p>
    <w:p>
      <w:pPr>
        <w:pStyle w:val="Heading5"/>
        <w:numPr>
          <w:ilvl w:val="4"/>
          <w:numId w:val="1"/>
        </w:numPr>
        <w:rPr/>
      </w:pPr>
      <w:bookmarkStart w:id="718" w:name="__RefHeading___Toc8039979_1280447820"/>
      <w:bookmarkStart w:id="719" w:name="_Toc264"/>
      <w:bookmarkEnd w:id="717"/>
      <w:bookmarkEnd w:id="718"/>
      <w:r>
        <w:rPr>
          <w:rtl w:val="true"/>
        </w:rPr>
        <w:t xml:space="preserve">مَسألةٌ خامسةَ عَشَرَ عدمُ وجوبِ </w:t>
      </w:r>
      <w:r>
        <w:rPr>
          <w:rtl w:val="true"/>
        </w:rPr>
        <w:t>«</w:t>
      </w:r>
      <w:r>
        <w:rPr>
          <w:rtl w:val="true"/>
        </w:rPr>
        <w:t>مُحمّدٌ و عليٌّ خَيرُ البَشَرِ</w:t>
      </w:r>
      <w:r>
        <w:rPr>
          <w:rtl w:val="true"/>
        </w:rPr>
        <w:t xml:space="preserve">» </w:t>
      </w:r>
      <w:r>
        <w:rPr>
          <w:rtl w:val="true"/>
        </w:rPr>
        <w:t>في الأذانِ‌</w:t>
      </w:r>
      <w:bookmarkEnd w:id="719"/>
    </w:p>
    <w:p>
      <w:pPr>
        <w:pStyle w:val="BookText"/>
        <w:rPr/>
      </w:pPr>
      <w:r>
        <w:rPr>
          <w:rFonts w:ascii="Amiri" w:hAnsi="Amiri" w:eastAsia="Amiri" w:cs="Amiri"/>
          <w:color w:val="111111"/>
          <w:sz w:val="28"/>
          <w:sz w:val="28"/>
          <w:szCs w:val="28"/>
          <w:rtl w:val="true"/>
          <w:lang w:bidi="ar-SA"/>
        </w:rPr>
        <w:t xml:space="preserve">هَل يَجِبُ في الأذانِ بَعدَ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 عليٌّ 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 عليٌّ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مِن قولِه خارجٌ مِن لفظِ الأذانِ، جازَ؛ فإنّ الشهادةَ بذلكَ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يَقُلْ‌</w:t>
      </w:r>
      <w:r>
        <w:rPr>
          <w:rStyle w:val="FootnoteAnchor"/>
          <w:rtl w:val="true"/>
        </w:rPr>
        <w:footnoteReference w:id="2231"/>
      </w:r>
      <w:r>
        <w:rPr>
          <w:rFonts w:ascii="Amiri" w:hAnsi="Amiri" w:eastAsia="Amiri" w:cs="Amiri"/>
          <w:color w:val="111111"/>
          <w:sz w:val="28"/>
          <w:sz w:val="28"/>
          <w:szCs w:val="28"/>
          <w:rtl w:val="true"/>
          <w:lang w:bidi="ar-SA"/>
        </w:rPr>
        <w:t>، فلا شَيءَ عليه</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8039981_1280447820"/>
      <w:bookmarkStart w:id="721" w:name="_Toc265"/>
      <w:bookmarkEnd w:id="720"/>
      <w:r>
        <w:rPr>
          <w:rtl w:val="true"/>
        </w:rPr>
        <w:t xml:space="preserve">مَسألةٌ سادسةَ عَشَرَ </w:t>
      </w:r>
      <w:r>
        <w:rPr>
          <w:rtl w:val="true"/>
        </w:rPr>
        <w:t>«</w:t>
      </w:r>
      <w:r>
        <w:rPr>
          <w:rtl w:val="true"/>
        </w:rPr>
        <w:t>الصلاةُ خَيرٌ مِن النومِ</w:t>
      </w:r>
      <w:r>
        <w:rPr>
          <w:rtl w:val="true"/>
        </w:rPr>
        <w:t xml:space="preserve">» </w:t>
      </w:r>
      <w:r>
        <w:rPr>
          <w:rtl w:val="true"/>
        </w:rPr>
        <w:t>في الأذانِ بِدعةٌ‌</w:t>
      </w:r>
      <w:bookmarkEnd w:id="721"/>
    </w:p>
    <w:p>
      <w:pPr>
        <w:pStyle w:val="BookText"/>
        <w:rPr/>
      </w:pPr>
      <w:r>
        <w:rPr>
          <w:rFonts w:ascii="Amiri" w:hAnsi="Amiri" w:eastAsia="Amiri" w:cs="Amiri"/>
          <w:color w:val="111111"/>
          <w:sz w:val="28"/>
          <w:sz w:val="28"/>
          <w:szCs w:val="28"/>
          <w:rtl w:val="true"/>
          <w:lang w:bidi="ar-SA"/>
        </w:rPr>
        <w:t>مِن لَفظِ أذانِ المُخالِفينَ، يَقولونَ في أذانِ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يَجوزُ لنا أن نَقولَ ذلكَ،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ذلكَ في أذانِ الفَجرِ، فقَد أبدَعَ و خالَفَ السُّنّةَ؛ لإجماعِ‌</w:t>
      </w:r>
      <w:r>
        <w:rPr>
          <w:rStyle w:val="FootnoteAnchor"/>
          <w:rtl w:val="true"/>
        </w:rPr>
        <w:footnoteReference w:id="2232"/>
      </w:r>
      <w:r>
        <w:rPr>
          <w:rFonts w:ascii="Amiri" w:hAnsi="Amiri" w:eastAsia="Amiri" w:cs="Amiri"/>
          <w:color w:val="111111"/>
          <w:sz w:val="28"/>
          <w:sz w:val="28"/>
          <w:szCs w:val="28"/>
          <w:rtl w:val="true"/>
          <w:lang w:bidi="ar-SA"/>
        </w:rPr>
        <w:t>أهلِ البَيتِ علىٰ ذلكَ</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8039983_1280447820"/>
      <w:bookmarkStart w:id="723" w:name="_Toc266"/>
      <w:bookmarkEnd w:id="722"/>
      <w:r>
        <w:rPr>
          <w:rtl w:val="true"/>
        </w:rPr>
        <w:t>مَسألةٌ سابعةَ عَشَرَ الأئمّةُ عليهم السلام أحياءٌ يُشاهِدونَنا</w:t>
      </w:r>
      <w:bookmarkEnd w:id="72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يُشاهِدُنا، و يَسمَعُ كلامَنا، أم ميِّتٌ؟ </w:t>
      </w:r>
      <w:bookmarkStart w:id="724" w:name="pg16437_172695"/>
    </w:p>
    <w:p>
      <w:pPr>
        <w:pStyle w:val="BookText"/>
        <w:rPr/>
      </w:pPr>
      <w:bookmarkEnd w:id="72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الماضونَ عليهم السلامُ و المؤمِنونَ رَضيَ اللّٰهُ عنهم</w:t>
      </w:r>
      <w:r>
        <w:rPr>
          <w:rStyle w:val="FootnoteAnchor"/>
          <w:rtl w:val="true"/>
        </w:rPr>
        <w:footnoteReference w:id="2233"/>
      </w:r>
      <w:r>
        <w:rPr>
          <w:rFonts w:ascii="Amiri" w:hAnsi="Amiri" w:eastAsia="Amiri" w:cs="Amiri"/>
          <w:color w:val="111111"/>
          <w:sz w:val="28"/>
          <w:sz w:val="28"/>
          <w:szCs w:val="28"/>
          <w:rtl w:val="true"/>
          <w:lang w:bidi="ar-SA"/>
        </w:rPr>
        <w:t>يُنعَّمونَ و يُرزَقونَ؛ فإذا زيرَت قُبورُهم، أو صُلّيَ عليهم، أبلَغَهُم اللّٰهُ ذلكَ، و أعلَمَهم</w:t>
      </w:r>
      <w:r>
        <w:rPr>
          <w:rStyle w:val="FootnoteAnchor"/>
          <w:rtl w:val="true"/>
        </w:rPr>
        <w:footnoteReference w:id="2234"/>
      </w:r>
      <w:r>
        <w:rPr>
          <w:rFonts w:ascii="Amiri" w:hAnsi="Amiri" w:eastAsia="Amiri" w:cs="Amiri"/>
          <w:color w:val="111111"/>
          <w:sz w:val="28"/>
          <w:sz w:val="28"/>
          <w:szCs w:val="28"/>
          <w:rtl w:val="true"/>
          <w:lang w:bidi="ar-SA"/>
        </w:rPr>
        <w:t xml:space="preserve">به؛ فكانوا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سامِعينَ مُشاهِدينَ</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8039985_1280447820"/>
      <w:bookmarkStart w:id="726" w:name="_Toc267"/>
      <w:bookmarkEnd w:id="725"/>
      <w:r>
        <w:rPr>
          <w:rtl w:val="true"/>
        </w:rPr>
        <w:t>مَسألةٌ ثامنةَ عَشَرَ معنىٰ حضورِ الرسولِ و أميرِ المؤمنينَ عليهما السلام عندَ كُلِّ ميِّتٍ‌</w:t>
      </w:r>
      <w:bookmarkEnd w:id="726"/>
    </w:p>
    <w:p>
      <w:pPr>
        <w:pStyle w:val="BookText"/>
        <w:rPr/>
      </w:pPr>
      <w:r>
        <w:rPr>
          <w:rFonts w:ascii="Amiri" w:hAnsi="Amiri" w:eastAsia="Amiri" w:cs="Amiri"/>
          <w:color w:val="111111"/>
          <w:sz w:val="28"/>
          <w:sz w:val="28"/>
          <w:szCs w:val="28"/>
          <w:rtl w:val="true"/>
          <w:lang w:bidi="ar-SA"/>
        </w:rPr>
        <w:t xml:space="preserve">قد رُويَ أنّ سَيِّدَنا رَسولَ اللّٰهِ و مَولانا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و 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يَحضُرانِ عندَ كُلِّ ميِّتٍ وقتَ قَبضِ روحِه في شَرقِ الأرضِ و غَربِها؛</w:t>
      </w:r>
      <w:r>
        <w:rPr>
          <w:rStyle w:val="FootnoteAnchor"/>
          <w:rtl w:val="true"/>
        </w:rPr>
        <w:footnoteReference w:id="2235"/>
      </w:r>
      <w:r>
        <w:rPr>
          <w:rFonts w:ascii="Amiri" w:hAnsi="Amiri" w:eastAsia="Amiri" w:cs="Amiri"/>
          <w:color w:val="111111"/>
          <w:sz w:val="28"/>
          <w:sz w:val="28"/>
          <w:szCs w:val="28"/>
          <w:rtl w:val="true"/>
          <w:lang w:bidi="ar-SA"/>
        </w:rPr>
        <w:t>و نؤثِرُ أن نَكونَ مِن ذلكَ 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رُويَ ذلكَ؛ و المعنىٰ فيه أنّ اللّٰهَ تَعالىٰ يُعلِمُ المُحتَضَرَ و يُبشِّرُه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أهلِ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الحَظِّ و النفعِ بمُوالاتِه</w:t>
      </w:r>
      <w:r>
        <w:rPr>
          <w:rStyle w:val="FootnoteAnchor"/>
          <w:rtl w:val="true"/>
        </w:rPr>
        <w:footnoteReference w:id="2236"/>
      </w:r>
      <w:r>
        <w:rPr>
          <w:rFonts w:ascii="Amiri" w:hAnsi="Amiri" w:eastAsia="Amiri" w:cs="Amiri"/>
          <w:color w:val="111111"/>
          <w:sz w:val="28"/>
          <w:sz w:val="28"/>
          <w:szCs w:val="28"/>
          <w:rtl w:val="true"/>
          <w:lang w:bidi="ar-SA"/>
        </w:rPr>
        <w:t>و تَمسُّكِه بمُحمّدٍ و عليٍّ عليهما السلامُ؛ فكأنّه يَراهُما، و كأنّهما حاضِرانِ عندَه؛ لأجلِ هذا الإعلامِ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إذا كانَ من أهلِ العَداوةِ؛ فإنّه يُعلَمُ‌</w:t>
      </w:r>
      <w:r>
        <w:rPr>
          <w:rStyle w:val="FootnoteAnchor"/>
          <w:rtl w:val="true"/>
        </w:rPr>
        <w:footnoteReference w:id="2237"/>
      </w:r>
      <w:r>
        <w:rPr>
          <w:rFonts w:ascii="Amiri" w:hAnsi="Amiri" w:eastAsia="Amiri" w:cs="Amiri"/>
          <w:color w:val="111111"/>
          <w:sz w:val="28"/>
          <w:sz w:val="28"/>
          <w:szCs w:val="28"/>
          <w:rtl w:val="true"/>
          <w:lang w:bidi="ar-SA"/>
        </w:rPr>
        <w:t>بما عليه مِن الضرَرِ بعَداوتِهما و العُدولِ عنهما</w:t>
      </w:r>
      <w:r>
        <w:rPr>
          <w:rFonts w:eastAsia="Amiri" w:cs="Amiri" w:ascii="Amiri" w:hAnsi="Amiri"/>
          <w:color w:val="111111"/>
          <w:sz w:val="28"/>
          <w:szCs w:val="28"/>
          <w:rtl w:val="true"/>
          <w:lang w:bidi="ar-SA"/>
        </w:rPr>
        <w:t>.</w:t>
      </w:r>
      <w:r>
        <w:rPr>
          <w:rStyle w:val="FootnoteAnchor"/>
          <w:rtl w:val="true"/>
        </w:rPr>
        <w:footnoteReference w:id="2238"/>
      </w:r>
      <w:bookmarkStart w:id="727" w:name="pg16437_172696"/>
    </w:p>
    <w:p>
      <w:pPr>
        <w:pStyle w:val="BookText"/>
        <w:rPr/>
      </w:pPr>
      <w:bookmarkEnd w:id="727"/>
      <w:r>
        <w:rPr>
          <w:rFonts w:ascii="Amiri" w:hAnsi="Amiri" w:eastAsia="Amiri" w:cs="Amiri"/>
          <w:color w:val="111111"/>
          <w:sz w:val="28"/>
          <w:sz w:val="28"/>
          <w:szCs w:val="28"/>
          <w:rtl w:val="true"/>
          <w:lang w:bidi="ar-SA"/>
        </w:rPr>
        <w:t>و كَيفَ‌</w:t>
      </w:r>
      <w:r>
        <w:rPr>
          <w:rStyle w:val="FootnoteAnchor"/>
          <w:rtl w:val="true"/>
        </w:rPr>
        <w:footnoteReference w:id="2239"/>
      </w:r>
      <w:r>
        <w:rPr>
          <w:rFonts w:ascii="Amiri" w:hAnsi="Amiri" w:eastAsia="Amiri" w:cs="Amiri"/>
          <w:color w:val="111111"/>
          <w:sz w:val="28"/>
          <w:sz w:val="28"/>
          <w:szCs w:val="28"/>
          <w:rtl w:val="true"/>
          <w:lang w:bidi="ar-SA"/>
        </w:rPr>
        <w:t>يَجوزُ أن يَكونَ شَخصانِ يَحضُرانِ علىٰ سَبيلِ المُجاوَرةِ‌</w:t>
      </w:r>
      <w:r>
        <w:rPr>
          <w:rStyle w:val="FootnoteAnchor"/>
          <w:rtl w:val="true"/>
        </w:rPr>
        <w:footnoteReference w:id="2240"/>
      </w:r>
      <w:r>
        <w:rPr>
          <w:rFonts w:ascii="Amiri" w:hAnsi="Amiri" w:eastAsia="Amiri" w:cs="Amiri"/>
          <w:color w:val="111111"/>
          <w:sz w:val="28"/>
          <w:sz w:val="28"/>
          <w:szCs w:val="28"/>
          <w:rtl w:val="true"/>
          <w:lang w:bidi="ar-SA"/>
        </w:rPr>
        <w:t>و الحُلولِ في الشرقِ و الغَربِ عندَ كُلِّ مُحتَضَرٍ؟ و ذلكَ مُحالٌ</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8039987_1280447820"/>
      <w:bookmarkStart w:id="729" w:name="_Toc268"/>
      <w:bookmarkEnd w:id="728"/>
      <w:r>
        <w:rPr>
          <w:rtl w:val="true"/>
        </w:rPr>
        <w:t>مَسألةٌ تاسعةَ عَشَرَ هل الأئمّةُ عليهم السلام يَتفاضَلُ بعضُهم علىٰ بعضٍ؟</w:t>
      </w:r>
      <w:bookmarkEnd w:id="729"/>
    </w:p>
    <w:p>
      <w:pPr>
        <w:pStyle w:val="BookText"/>
        <w:rPr/>
      </w:pPr>
      <w:r>
        <w:rPr>
          <w:rFonts w:ascii="Amiri" w:hAnsi="Amiri" w:eastAsia="Amiri" w:cs="Amiri"/>
          <w:color w:val="111111"/>
          <w:sz w:val="28"/>
          <w:sz w:val="28"/>
          <w:szCs w:val="28"/>
          <w:rtl w:val="true"/>
          <w:lang w:bidi="ar-SA"/>
        </w:rPr>
        <w:t>الأئمّةُ عليهم السلامُ في الفَضلِ سَواءٌ بَعدَ مَولانا أميرِ المؤمنينَ عليه السلامُ، أم يَتفاضَلُ بعضُهم علىٰ بعضٍ؟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في الدينِ لا يُقطَعُ عليه إلّابالسمعِ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الأئمّةَ عليهم السلامُ مُتَساوونَ‌</w:t>
      </w:r>
      <w:r>
        <w:rPr>
          <w:rStyle w:val="FootnoteAnchor"/>
          <w:rtl w:val="true"/>
        </w:rPr>
        <w:footnoteReference w:id="2241"/>
      </w:r>
      <w:r>
        <w:rPr>
          <w:rFonts w:ascii="Amiri" w:hAnsi="Amiri" w:eastAsia="Amiri" w:cs="Amiri"/>
          <w:color w:val="111111"/>
          <w:sz w:val="28"/>
          <w:sz w:val="28"/>
          <w:szCs w:val="28"/>
          <w:rtl w:val="true"/>
          <w:lang w:bidi="ar-SA"/>
        </w:rPr>
        <w:t>في الفَضلِ</w:t>
      </w:r>
      <w:r>
        <w:rPr>
          <w:rFonts w:eastAsia="Amiri" w:cs="Amiri" w:ascii="Amiri" w:hAnsi="Amiri"/>
          <w:color w:val="111111"/>
          <w:sz w:val="28"/>
          <w:szCs w:val="28"/>
          <w:rtl w:val="true"/>
          <w:lang w:bidi="ar-SA"/>
        </w:rPr>
        <w:t>.</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و رُويَ أنّ كُلَّ‌</w:t>
      </w:r>
      <w:r>
        <w:rPr>
          <w:rStyle w:val="FootnoteAnchor"/>
          <w:rtl w:val="true"/>
        </w:rPr>
        <w:footnoteReference w:id="2243"/>
      </w:r>
      <w:r>
        <w:rPr>
          <w:rFonts w:ascii="Amiri" w:hAnsi="Amiri" w:eastAsia="Amiri" w:cs="Amiri"/>
          <w:color w:val="111111"/>
          <w:sz w:val="28"/>
          <w:sz w:val="28"/>
          <w:szCs w:val="28"/>
          <w:rtl w:val="true"/>
          <w:lang w:bidi="ar-SA"/>
        </w:rPr>
        <w:t>إمامٍ أفضَلُ ممّن يَليهِ، سِوَى القائمِ عليه السلامُ فإنّه أفضَلُ مِن المُتقدِّمينَ عليه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التوقُّفُ في ذلكَ؛ فلا دليلَ قاطعاً</w:t>
      </w:r>
      <w:r>
        <w:rPr>
          <w:rStyle w:val="FootnoteAnchor"/>
          <w:rtl w:val="true"/>
        </w:rPr>
        <w:footnoteReference w:id="2244"/>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bookmarkStart w:id="730" w:name="pg16437_172697"/>
    </w:p>
    <w:p>
      <w:pPr>
        <w:pStyle w:val="Heading5"/>
        <w:numPr>
          <w:ilvl w:val="4"/>
          <w:numId w:val="1"/>
        </w:numPr>
        <w:rPr/>
      </w:pPr>
      <w:bookmarkStart w:id="731" w:name="__RefHeading___Toc8039989_1280447820"/>
      <w:bookmarkStart w:id="732" w:name="_Toc269"/>
      <w:bookmarkEnd w:id="730"/>
      <w:bookmarkEnd w:id="731"/>
      <w:r>
        <w:rPr>
          <w:rtl w:val="true"/>
        </w:rPr>
        <w:t>مَسألةٌ عِشرونَ تَساوي الحَسَنِ و الحُسَينِ عليهما السلام في الفَضلِ‌</w:t>
      </w:r>
      <w:bookmarkEnd w:id="732"/>
    </w:p>
    <w:p>
      <w:pPr>
        <w:pStyle w:val="BookText"/>
        <w:rPr/>
      </w:pPr>
      <w:r>
        <w:rPr>
          <w:rFonts w:ascii="Amiri" w:hAnsi="Amiri" w:eastAsia="Amiri" w:cs="Amiri"/>
          <w:color w:val="111111"/>
          <w:sz w:val="28"/>
          <w:sz w:val="28"/>
          <w:szCs w:val="28"/>
          <w:rtl w:val="true"/>
          <w:lang w:bidi="ar-SA"/>
        </w:rPr>
        <w:t>هَل بَينَ السيِّدَينِ الحَسَنِ و الحُسَينِ عليهما السلامُ فَرقٌ في الفَضلِ، أم هُما سَواءٌ؟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تساويهِما عليهما السلامُ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يُفضَّلُ أحَدُهما علَى الآخَرِ بِلا دليلٍ عليه، و لا طريقٍ إليه</w:t>
      </w:r>
      <w:r>
        <w:rPr>
          <w:rStyle w:val="FootnoteAnchor"/>
          <w:rtl w:val="true"/>
        </w:rPr>
        <w:footnoteReference w:id="2245"/>
      </w:r>
      <w:r>
        <w:rPr>
          <w:rFonts w:ascii="Amiri" w:hAnsi="Amiri" w:eastAsia="Amiri" w:cs="Amiri"/>
          <w:color w:val="111111"/>
          <w:sz w:val="28"/>
          <w:sz w:val="28"/>
          <w:szCs w:val="28"/>
          <w:rtl w:val="true"/>
          <w:lang w:bidi="ar-SA"/>
        </w:rPr>
        <w:t>فلا تَعلُّقَ لذلكَ بتكليفِنا</w:t>
      </w:r>
      <w:r>
        <w:rPr>
          <w:rStyle w:val="FootnoteAnchor"/>
          <w:rtl w:val="true"/>
        </w:rPr>
        <w:footnoteReference w:id="2246"/>
      </w:r>
      <w:r>
        <w:rPr>
          <w:rFonts w:ascii="Amiri" w:hAnsi="Amiri" w:eastAsia="Amiri" w:cs="Amiri"/>
          <w:color w:val="111111"/>
          <w:sz w:val="28"/>
          <w:sz w:val="28"/>
          <w:szCs w:val="28"/>
          <w:rtl w:val="true"/>
          <w:lang w:bidi="ar-SA"/>
        </w:rPr>
        <w:t>فيُنصَبَ لنا دليلٌ عليه</w:t>
      </w:r>
      <w:r>
        <w:rPr>
          <w:rFonts w:eastAsia="Amiri" w:cs="Amiri" w:ascii="Amiri" w:hAnsi="Amiri"/>
          <w:color w:val="111111"/>
          <w:sz w:val="28"/>
          <w:szCs w:val="28"/>
          <w:rtl w:val="true"/>
          <w:lang w:bidi="ar-SA"/>
        </w:rPr>
        <w:t>.</w:t>
      </w:r>
      <w:r>
        <w:rPr>
          <w:rStyle w:val="FootnoteAnchor"/>
          <w:rtl w:val="true"/>
        </w:rPr>
        <w:footnoteReference w:id="2247"/>
      </w:r>
    </w:p>
    <w:p>
      <w:pPr>
        <w:pStyle w:val="Heading5"/>
        <w:numPr>
          <w:ilvl w:val="4"/>
          <w:numId w:val="1"/>
        </w:numPr>
        <w:rPr/>
      </w:pPr>
      <w:bookmarkStart w:id="733" w:name="__RefHeading___Toc8039991_1280447820"/>
      <w:bookmarkStart w:id="734" w:name="_Toc270"/>
      <w:bookmarkEnd w:id="733"/>
      <w:r>
        <w:rPr>
          <w:rtl w:val="true"/>
        </w:rPr>
        <w:t>مَسألةٌ حاديةٌ و عِشرونَ إنّ اللّٰهَ تعالىٰ أطْلَعَ الأئمّةَ عليهم السلام علَى الغائباتِ‌</w:t>
      </w:r>
      <w:bookmarkEnd w:id="734"/>
    </w:p>
    <w:p>
      <w:pPr>
        <w:pStyle w:val="BookText"/>
        <w:rPr/>
      </w:pPr>
      <w:r>
        <w:rPr>
          <w:rFonts w:ascii="Amiri" w:hAnsi="Amiri" w:eastAsia="Amiri" w:cs="Amiri"/>
          <w:color w:val="111111"/>
          <w:sz w:val="28"/>
          <w:sz w:val="28"/>
          <w:szCs w:val="28"/>
          <w:rtl w:val="true"/>
          <w:lang w:bidi="ar-SA"/>
        </w:rPr>
        <w:t>كُلُّ الأئمّةِ عليهم السلامُ يُخبِرونَ بالشيءِ قبلَ كَونِه،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شَرطِ الإمامةِ الإخبارُ عن الشيءِ قَبلَ كَونِه، لأنّ ذلكَ مُعجِزٌ؛ و قد يَجوزُ إظهارُ المُعجِزاتِ علىٰ أيدي الأئمّةِ عليهم السلامُ، و قد يَجوزُ أن لا تَظهَرَ علىٰ أيديِهم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أنّا قد عَلِمنا بالأخبارِ الشائعةِ أنّهم عليهم السلامُ أخبَروا بالغائباتِ؛ فعَلِمنا أنّ اللّٰهَ تَعالىٰ قد أطلَعَهم علىٰ ذلكَ</w:t>
      </w:r>
      <w:r>
        <w:rPr>
          <w:rFonts w:eastAsia="Amiri" w:cs="Amiri" w:ascii="Amiri" w:hAnsi="Amiri"/>
          <w:color w:val="111111"/>
          <w:sz w:val="28"/>
          <w:szCs w:val="28"/>
          <w:rtl w:val="true"/>
          <w:lang w:bidi="ar-SA"/>
        </w:rPr>
        <w:t xml:space="preserve">. </w:t>
      </w:r>
      <w:bookmarkStart w:id="735" w:name="pg16437_172698"/>
    </w:p>
    <w:p>
      <w:pPr>
        <w:pStyle w:val="Heading5"/>
        <w:numPr>
          <w:ilvl w:val="4"/>
          <w:numId w:val="1"/>
        </w:numPr>
        <w:rPr/>
      </w:pPr>
      <w:bookmarkStart w:id="736" w:name="__RefHeading___Toc8039993_1280447820"/>
      <w:bookmarkStart w:id="737" w:name="_Toc271"/>
      <w:bookmarkEnd w:id="735"/>
      <w:bookmarkEnd w:id="736"/>
      <w:r>
        <w:rPr>
          <w:rtl w:val="true"/>
        </w:rPr>
        <w:t>مَسألةٌ ثانيةٌ و عِشرونَ متىٰ يَظهَرُ الحُجّةُ عليه السلام؟</w:t>
      </w:r>
      <w:bookmarkEnd w:id="737"/>
    </w:p>
    <w:p>
      <w:pPr>
        <w:pStyle w:val="BookText"/>
        <w:rPr/>
      </w:pPr>
      <w:r>
        <w:rPr>
          <w:rFonts w:ascii="Amiri" w:hAnsi="Amiri" w:eastAsia="Amiri" w:cs="Amiri"/>
          <w:color w:val="111111"/>
          <w:sz w:val="28"/>
          <w:sz w:val="28"/>
          <w:szCs w:val="28"/>
          <w:rtl w:val="true"/>
          <w:lang w:bidi="ar-SA"/>
        </w:rPr>
        <w:t>لصاحبِ الزمانِ عليه السلامُ يومٌ معلومٌ يَظهَرُ فيه؟</w:t>
      </w:r>
    </w:p>
    <w:p>
      <w:pPr>
        <w:pStyle w:val="BookText"/>
        <w:rPr/>
      </w:pPr>
      <w:r>
        <w:rPr>
          <w:rFonts w:ascii="Amiri" w:hAnsi="Amiri" w:eastAsia="Amiri" w:cs="Amiri"/>
          <w:color w:val="111111"/>
          <w:sz w:val="28"/>
          <w:sz w:val="28"/>
          <w:szCs w:val="28"/>
          <w:rtl w:val="true"/>
          <w:lang w:bidi="ar-SA"/>
        </w:rPr>
        <w:t>و هَل يُشاهِدُنا،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يُمكِنُ نَعتُ الوقتِ الذي يَظهَرُ فيه صاحبُ الزمانِ عليه السلامُ، و إنّما يُعلَمُ‌</w:t>
      </w:r>
      <w:r>
        <w:rPr>
          <w:rStyle w:val="FootnoteAnchor"/>
          <w:rtl w:val="true"/>
        </w:rPr>
        <w:footnoteReference w:id="2248"/>
      </w:r>
      <w:r>
        <w:rPr>
          <w:rFonts w:ascii="Amiri" w:hAnsi="Amiri" w:eastAsia="Amiri" w:cs="Amiri"/>
          <w:color w:val="111111"/>
          <w:sz w:val="28"/>
          <w:sz w:val="28"/>
          <w:szCs w:val="28"/>
          <w:rtl w:val="true"/>
          <w:lang w:bidi="ar-SA"/>
        </w:rPr>
        <w:t>علىٰ سَبيلِ الجُملةِ أنّه يَظهَرُ في الوقتِ الذي يأمَنُ فيه المَخافةَ، و تَزولُ عنه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عليه السلامُ مُشاهِدٌ</w:t>
      </w:r>
      <w:r>
        <w:rPr>
          <w:rStyle w:val="FootnoteAnchor"/>
          <w:rtl w:val="true"/>
        </w:rPr>
        <w:footnoteReference w:id="2249"/>
      </w:r>
      <w:r>
        <w:rPr>
          <w:rFonts w:ascii="Amiri" w:hAnsi="Amiri" w:eastAsia="Amiri" w:cs="Amiri"/>
          <w:color w:val="111111"/>
          <w:sz w:val="28"/>
          <w:sz w:val="28"/>
          <w:szCs w:val="28"/>
          <w:rtl w:val="true"/>
          <w:lang w:bidi="ar-SA"/>
        </w:rPr>
        <w:t>لنا، و مُحيطٌ بنا، و غيرُ خافٍ عليه شَيءٌ مِن أحوالِنا</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8039995_1280447820"/>
      <w:bookmarkStart w:id="739" w:name="_Toc272"/>
      <w:bookmarkEnd w:id="738"/>
      <w:r>
        <w:rPr>
          <w:rtl w:val="true"/>
        </w:rPr>
        <w:t>مَسألةٌ ثالثةٌ و عِشرونَ المُحارِبُ لعَليٍّ عليه السلام كافرٌ</w:t>
      </w:r>
      <w:bookmarkEnd w:id="739"/>
    </w:p>
    <w:p>
      <w:pPr>
        <w:pStyle w:val="BookText"/>
        <w:rPr/>
      </w:pPr>
      <w:r>
        <w:rPr>
          <w:rFonts w:ascii="Amiri" w:hAnsi="Amiri" w:eastAsia="Amiri" w:cs="Amiri"/>
          <w:color w:val="111111"/>
          <w:sz w:val="28"/>
          <w:sz w:val="28"/>
          <w:szCs w:val="28"/>
          <w:rtl w:val="true"/>
          <w:lang w:bidi="ar-SA"/>
        </w:rPr>
        <w:t>صاحبُ جَيشِ البَصرةِ و الِاعتقادُ فيه و في غيرِه، و كَيفَ كانوا علىٰ عهدِ رسولِ اللّٰهِ صَلَّى اللّٰهُ عليه و آلِه؟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قِتالُ أميرِ المؤمنينَ صَلَواتُ اللّٰهِ عليه بَغيٌ و كُفرٌ، جارٍ مَجرىٰ قِتالِ النبيِّ صَلَّى اللّٰهُ عليه و آلِه؛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يا عليُّ حَربي، و سِلمُكَ 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0"/>
      </w:r>
      <w:r>
        <w:rPr>
          <w:rFonts w:ascii="Amiri" w:hAnsi="Amiri" w:eastAsia="Amiri" w:cs="Amiri"/>
          <w:color w:val="111111"/>
          <w:sz w:val="28"/>
          <w:sz w:val="28"/>
          <w:szCs w:val="28"/>
          <w:rtl w:val="true"/>
          <w:lang w:bidi="ar-SA"/>
        </w:rPr>
        <w:t>و إنّما يُريدُ أنّ أحكامَ حُروبِنا واحدةٌ</w:t>
      </w:r>
      <w:r>
        <w:rPr>
          <w:rFonts w:eastAsia="Amiri" w:cs="Amiri" w:ascii="Amiri" w:hAnsi="Amiri"/>
          <w:color w:val="111111"/>
          <w:sz w:val="28"/>
          <w:szCs w:val="28"/>
          <w:rtl w:val="true"/>
          <w:lang w:bidi="ar-SA"/>
        </w:rPr>
        <w:t xml:space="preserve">. </w:t>
      </w:r>
      <w:bookmarkStart w:id="740" w:name="pg16437_172699"/>
    </w:p>
    <w:p>
      <w:pPr>
        <w:pStyle w:val="BookText"/>
        <w:rPr/>
      </w:pPr>
      <w:bookmarkEnd w:id="740"/>
      <w:r>
        <w:rPr>
          <w:rFonts w:ascii="Amiri" w:hAnsi="Amiri" w:eastAsia="Amiri" w:cs="Amiri"/>
          <w:color w:val="111111"/>
          <w:sz w:val="28"/>
          <w:sz w:val="28"/>
          <w:szCs w:val="28"/>
          <w:rtl w:val="true"/>
          <w:lang w:bidi="ar-SA"/>
        </w:rPr>
        <w:t>فمَن حارَبَه عليه السلامُ و ماتَ مِن غيرِ تَوبةٍ، قَطَعنا علىٰ أنّه ما كانَ في وقتٍ مِن الأوقاتِ مؤمِناً، و إن أظهَرَ الإيمانَ؛ لأنّ مَن كانَ مؤمِناً علَى الحَقيقةِ في الباطنِ، لا يَجوزُ أن يَكونَ علىٰ ما كانَ القومُ‌</w:t>
      </w:r>
      <w:r>
        <w:rPr>
          <w:rStyle w:val="FootnoteAnchor"/>
          <w:rtl w:val="true"/>
        </w:rPr>
        <w:footnoteReference w:id="2251"/>
      </w:r>
      <w:r>
        <w:rPr>
          <w:rFonts w:ascii="Amiri" w:hAnsi="Amiri" w:eastAsia="Amiri" w:cs="Amiri"/>
          <w:color w:val="111111"/>
          <w:sz w:val="28"/>
          <w:sz w:val="28"/>
          <w:szCs w:val="28"/>
          <w:rtl w:val="true"/>
          <w:lang w:bidi="ar-SA"/>
        </w:rPr>
        <w:t>عليه؛ لأدِلّةٍ لَيسَ هذا</w:t>
      </w:r>
      <w:r>
        <w:rPr>
          <w:rStyle w:val="FootnoteAnchor"/>
          <w:rtl w:val="true"/>
        </w:rPr>
        <w:footnoteReference w:id="2252"/>
      </w:r>
      <w:r>
        <w:rPr>
          <w:rFonts w:ascii="Amiri" w:hAnsi="Amiri" w:eastAsia="Amiri" w:cs="Amiri"/>
          <w:color w:val="111111"/>
          <w:sz w:val="28"/>
          <w:sz w:val="28"/>
          <w:szCs w:val="28"/>
          <w:rtl w:val="true"/>
          <w:lang w:bidi="ar-SA"/>
        </w:rPr>
        <w:t>مَوضِعَ ذِكرِها</w:t>
      </w:r>
      <w:r>
        <w:rPr>
          <w:rFonts w:eastAsia="Amiri" w:cs="Amiri" w:ascii="Amiri" w:hAnsi="Amiri"/>
          <w:color w:val="111111"/>
          <w:sz w:val="28"/>
          <w:szCs w:val="28"/>
          <w:rtl w:val="true"/>
          <w:lang w:bidi="ar-SA"/>
        </w:rPr>
        <w:t>.</w:t>
      </w:r>
      <w:r>
        <w:rPr>
          <w:rStyle w:val="FootnoteAnchor"/>
          <w:rtl w:val="true"/>
        </w:rPr>
        <w:footnoteReference w:id="2253"/>
      </w:r>
    </w:p>
    <w:p>
      <w:pPr>
        <w:pStyle w:val="Heading5"/>
        <w:numPr>
          <w:ilvl w:val="4"/>
          <w:numId w:val="1"/>
        </w:numPr>
        <w:rPr/>
      </w:pPr>
      <w:bookmarkStart w:id="741" w:name="__RefHeading___Toc8039997_1280447820"/>
      <w:bookmarkStart w:id="742" w:name="_Toc273"/>
      <w:bookmarkEnd w:id="741"/>
      <w:r>
        <w:rPr>
          <w:rtl w:val="true"/>
        </w:rPr>
        <w:t>مَسألةٌ رابعةٌ و عِشرونَ تفضيلُ الأنبياءِ علَى المَلائكةِ‌</w:t>
      </w:r>
      <w:bookmarkEnd w:id="742"/>
    </w:p>
    <w:p>
      <w:pPr>
        <w:pStyle w:val="BookText"/>
        <w:rPr/>
      </w:pPr>
      <w:r>
        <w:rPr>
          <w:rFonts w:ascii="Amiri" w:hAnsi="Amiri" w:eastAsia="Amiri" w:cs="Amiri"/>
          <w:color w:val="111111"/>
          <w:sz w:val="28"/>
          <w:sz w:val="28"/>
          <w:szCs w:val="28"/>
          <w:rtl w:val="true"/>
          <w:lang w:bidi="ar-SA"/>
        </w:rPr>
        <w:t>أيُّما أفضَلُ؛ الأنبياءُ، أو المَلائكةُ عليهم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 عليهم السلامُ أفضَلُ مِن المَلائكةِ، و الدليلُ علىٰ ذلكَ إجماعُ الشيعةِ الإماميّةِ عليه، و إجماعُهم حُجّةٌ؛ لأنّه لا يَخلو هذا الإجماعُ في كُلِّ زمانٍ مِن إمامٍ معصومٍ يَكونُ فيه</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8039999_1280447820"/>
      <w:bookmarkStart w:id="744" w:name="_Toc274"/>
      <w:bookmarkEnd w:id="743"/>
      <w:r>
        <w:rPr>
          <w:rtl w:val="true"/>
        </w:rPr>
        <w:t>مَسألةٌ خامسةٌ و عِشرونَ معنىٰ أنّه لَولا النبيُّ و الأئمّةُ لَما خَلَقَ اللّٰهُ السماءَ و الأرضَ‌</w:t>
      </w:r>
      <w:bookmarkEnd w:id="74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w:t>
      </w:r>
      <w:r>
        <w:rPr>
          <w:rStyle w:val="FootnoteAnchor"/>
          <w:rtl w:val="true"/>
        </w:rPr>
        <w:footnoteReference w:id="2254"/>
      </w:r>
      <w:r>
        <w:rPr>
          <w:rFonts w:ascii="Amiri" w:hAnsi="Amiri" w:eastAsia="Amiri" w:cs="Amiri"/>
          <w:color w:val="111111"/>
          <w:sz w:val="28"/>
          <w:sz w:val="28"/>
          <w:szCs w:val="28"/>
          <w:rtl w:val="true"/>
          <w:lang w:bidi="ar-SA"/>
        </w:rPr>
        <w:t xml:space="preserve">في أنّ اللّٰهَ تَعالىٰ لَو لَم يَخلُقْ مُحمّداً و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سَماءً و لا أرضاً و لا جَنّةً و لا ناراً و لا الخَلقَ؟ </w:t>
      </w:r>
      <w:bookmarkStart w:id="745" w:name="pg16437_172700"/>
    </w:p>
    <w:p>
      <w:pPr>
        <w:pStyle w:val="BookText"/>
        <w:rPr/>
      </w:pPr>
      <w:bookmarkEnd w:id="74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w:t>
      </w:r>
      <w:r>
        <w:rPr>
          <w:rStyle w:val="FootnoteAnchor"/>
          <w:rtl w:val="true"/>
        </w:rPr>
        <w:footnoteReference w:id="2255"/>
      </w:r>
      <w:r>
        <w:rPr>
          <w:rFonts w:ascii="Amiri" w:hAnsi="Amiri" w:eastAsia="Amiri" w:cs="Amiri"/>
          <w:color w:val="111111"/>
          <w:sz w:val="28"/>
          <w:sz w:val="28"/>
          <w:szCs w:val="28"/>
          <w:rtl w:val="true"/>
          <w:lang w:bidi="ar-SA"/>
        </w:rPr>
        <w:t>وَرَدَت روايةٌ بذلكَ؛</w:t>
      </w:r>
      <w:r>
        <w:rPr>
          <w:rStyle w:val="FootnoteAnchor"/>
          <w:rtl w:val="true"/>
        </w:rPr>
        <w:footnoteReference w:id="2256"/>
      </w:r>
      <w:r>
        <w:rPr>
          <w:rFonts w:ascii="Amiri" w:hAnsi="Amiri" w:eastAsia="Amiri" w:cs="Amiri"/>
          <w:color w:val="111111"/>
          <w:sz w:val="28"/>
          <w:sz w:val="28"/>
          <w:szCs w:val="28"/>
          <w:rtl w:val="true"/>
          <w:lang w:bidi="ar-SA"/>
        </w:rPr>
        <w:t>و المعنىٰ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إذا عَلِمَ المَصلحةَ لسائرِ المُكلَّفينَ في نُبوّةِ النبيِّ عليه السلامُ و إبلاغِه لهُم الشرائعَ، و أنّ أحَداً لا يَقومُ في ذلكَ مَقامَه، و أنّ أميرَ المؤمنينَ عليه السلامُ هو الوصيُّ و الإمامُ بَعدَه؛ و المعلومُ أنّ أحَداً لا يَقومُ في ذلكَ مَقامَه،</w:t>
      </w:r>
      <w:r>
        <w:rPr>
          <w:rStyle w:val="FootnoteAnchor"/>
          <w:rtl w:val="true"/>
        </w:rPr>
        <w:footnoteReference w:id="2257"/>
      </w:r>
      <w:r>
        <w:rPr>
          <w:rFonts w:ascii="Amiri" w:hAnsi="Amiri" w:eastAsia="Amiri" w:cs="Amiri"/>
          <w:color w:val="111111"/>
          <w:sz w:val="28"/>
          <w:sz w:val="28"/>
          <w:szCs w:val="28"/>
          <w:rtl w:val="true"/>
          <w:lang w:bidi="ar-SA"/>
        </w:rPr>
        <w:t>و كذلكَ الأئمّةُ مِن وَلَدِه عليهم السلامُ على نَسَقِهم؛ و لَو</w:t>
      </w:r>
      <w:r>
        <w:rPr>
          <w:rStyle w:val="FootnoteAnchor"/>
          <w:rtl w:val="true"/>
        </w:rPr>
        <w:footnoteReference w:id="2258"/>
      </w:r>
      <w:r>
        <w:rPr>
          <w:rFonts w:ascii="Amiri" w:hAnsi="Amiri" w:eastAsia="Amiri" w:cs="Amiri"/>
          <w:color w:val="111111"/>
          <w:sz w:val="28"/>
          <w:sz w:val="28"/>
          <w:szCs w:val="28"/>
          <w:rtl w:val="true"/>
          <w:lang w:bidi="ar-SA"/>
        </w:rPr>
        <w:t>لَم يَخلُقْ هؤلاءِ عليهم السلامُ، لَما كانَ خَلقٌ لأحَدٍ و لا تكليفٌ لبَشَرٍ؛ للمعنَى الذي ذَكَرناه</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8040001_1280447820"/>
      <w:bookmarkStart w:id="747" w:name="_Toc275"/>
      <w:bookmarkEnd w:id="746"/>
      <w:r>
        <w:rPr>
          <w:rtl w:val="true"/>
        </w:rPr>
        <w:t>مسألةٌ سادسةٌ و عِشرونَ حَقيقةُ الكُفرِ و الشركِ و الإيمانِ‌</w:t>
      </w:r>
      <w:bookmarkEnd w:id="747"/>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r>
        <w:rPr>
          <w:rStyle w:val="FootnoteAnchor"/>
          <w:rtl w:val="true"/>
        </w:rPr>
        <w:footnoteReference w:id="2259"/>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الاسمَ دونَ المعنىٰ فقَد كَفَرَ، و مَن عَبَدَ الِاسمَ و المعنىٰ فقَد أشرَكَ، و مَن عَبَدَ المعنىٰ بحَقيقةِ المَعرفةِ فهو مؤمنٌ حَقّاً</w:t>
      </w:r>
      <w:r>
        <w:rPr>
          <w:rFonts w:eastAsia="Amiri" w:cs="Amiri" w:ascii="Amiri" w:hAnsi="Amiri"/>
          <w:color w:val="111111"/>
          <w:sz w:val="28"/>
          <w:szCs w:val="28"/>
          <w:rtl w:val="true"/>
          <w:lang w:bidi="ar-SA"/>
        </w:rPr>
        <w:t>»</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شُبهةَ أنّ‌</w:t>
      </w:r>
      <w:r>
        <w:rPr>
          <w:rStyle w:val="FootnoteAnchor"/>
          <w:rtl w:val="true"/>
        </w:rPr>
        <w:footnoteReference w:id="2261"/>
      </w:r>
      <w:r>
        <w:rPr>
          <w:rFonts w:ascii="Amiri" w:hAnsi="Amiri" w:eastAsia="Amiri" w:cs="Amiri"/>
          <w:color w:val="111111"/>
          <w:sz w:val="28"/>
          <w:sz w:val="28"/>
          <w:szCs w:val="28"/>
          <w:rtl w:val="true"/>
          <w:lang w:bidi="ar-SA"/>
        </w:rPr>
        <w:t xml:space="preserve">عابدَ غيرِ اللّٰهِ تَعالىٰ كافرٌ، و الِاسمُ غيرُ المُسَمّىٰ؛ فمَن عَبَدَ الِاسمَ </w:t>
      </w:r>
      <w:bookmarkStart w:id="748" w:name="pg16437_172701"/>
    </w:p>
    <w:p>
      <w:pPr>
        <w:pStyle w:val="BookText"/>
        <w:rPr/>
      </w:pPr>
      <w:bookmarkEnd w:id="748"/>
      <w:r>
        <w:rPr>
          <w:rFonts w:ascii="Amiri" w:hAnsi="Amiri" w:eastAsia="Amiri" w:cs="Amiri"/>
          <w:color w:val="111111"/>
          <w:sz w:val="28"/>
          <w:sz w:val="28"/>
          <w:szCs w:val="28"/>
          <w:rtl w:val="true"/>
          <w:lang w:bidi="ar-SA"/>
        </w:rPr>
        <w:t>دونَ المُسمّىٰ، كانَ كافراً؛ لعبادتِه غيرَ اللّٰهِ تَعالىٰ</w:t>
      </w:r>
      <w:r>
        <w:rPr>
          <w:rFonts w:eastAsia="Amiri" w:cs="Amiri" w:ascii="Amiri" w:hAnsi="Amiri"/>
          <w:color w:val="111111"/>
          <w:sz w:val="28"/>
          <w:szCs w:val="28"/>
          <w:rtl w:val="true"/>
          <w:lang w:bidi="ar-SA"/>
        </w:rPr>
        <w:t>.</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و مَن عَبَدَ الِاسمَ و المُسَمّىٰ، كانَ مُشرِكاً؛ لعبادتِه مع اللّٰهِ تَعالىٰ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فوَجَبَ أن تَكونَ العبادةُ للّٰهِ تَعالىٰ وَحدَه خالصةً، و هو المُسَمّىٰ</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8040003_1280447820"/>
      <w:bookmarkStart w:id="750" w:name="_Toc276"/>
      <w:bookmarkEnd w:id="749"/>
      <w:r>
        <w:rPr>
          <w:rtl w:val="true"/>
        </w:rPr>
        <w:t>مَسألةٌ سابعةٌ و عِشرونَ حَقيقةُ التوحيد</w:t>
      </w:r>
      <w:bookmarkEnd w:id="750"/>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الناسَ في التوحيدِ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 و نافٍ، و مُشبِّهٍ؛ فالمُشبِّهُ مُشرِكٌ، و النافي مُبطِلٌ، و المُثبِتُ مؤمنٌ</w:t>
      </w:r>
      <w:r>
        <w:rPr>
          <w:rFonts w:eastAsia="Amiri" w:cs="Amiri" w:ascii="Amiri" w:hAnsi="Amiri"/>
          <w:color w:val="111111"/>
          <w:sz w:val="28"/>
          <w:szCs w:val="28"/>
          <w:rtl w:val="true"/>
          <w:lang w:bidi="ar-SA"/>
        </w:rPr>
        <w:t>»</w:t>
      </w:r>
      <w:r>
        <w:rPr>
          <w:rStyle w:val="FootnoteAnchor"/>
          <w:rtl w:val="true"/>
        </w:rPr>
        <w:footnoteReference w:id="2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هاهُنا</w:t>
      </w:r>
      <w:r>
        <w:rPr>
          <w:rStyle w:val="FootnoteAnchor"/>
          <w:rtl w:val="true"/>
        </w:rPr>
        <w:footnoteReference w:id="2264"/>
      </w:r>
      <w:r>
        <w:rPr>
          <w:rFonts w:ascii="Amiri" w:hAnsi="Amiri" w:eastAsia="Amiri" w:cs="Amiri"/>
          <w:color w:val="111111"/>
          <w:sz w:val="28"/>
          <w:sz w:val="28"/>
          <w:szCs w:val="28"/>
          <w:rtl w:val="true"/>
          <w:lang w:bidi="ar-SA"/>
        </w:rPr>
        <w:t>بالمُثبِتِ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أثبَتَ الشيءَ علىٰ ما هو عليه، و اعتَقَده علىٰ ما هو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النافي مُبطِلٌ؛ لأنّه بالعَكسِ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المُشبِّهُ، فهو مَن اعتَقَدَ أنّ للّٰهِ تَعالىٰ شَبيهاً، و ذلكَ مُشرِكٌ، لا شُبهةَ في شِركِه</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8040005_1280447820"/>
      <w:bookmarkStart w:id="752" w:name="_Toc277"/>
      <w:bookmarkEnd w:id="751"/>
      <w:r>
        <w:rPr>
          <w:rtl w:val="true"/>
        </w:rPr>
        <w:t>مَسألةٌ ثامنةٌ و عِشرونَ حُكمُ إرثِ الإخوانِ‌</w:t>
      </w:r>
      <w:bookmarkEnd w:id="752"/>
    </w:p>
    <w:p>
      <w:pPr>
        <w:pStyle w:val="BookText"/>
        <w:rPr/>
      </w:pPr>
      <w:r>
        <w:rPr>
          <w:rFonts w:ascii="Amiri" w:hAnsi="Amiri" w:eastAsia="Amiri" w:cs="Amiri"/>
          <w:color w:val="111111"/>
          <w:sz w:val="28"/>
          <w:sz w:val="28"/>
          <w:szCs w:val="28"/>
          <w:rtl w:val="true"/>
          <w:lang w:bidi="ar-SA"/>
        </w:rPr>
        <w:t>الأخُ مِن الأبِ يَرِثُ مع الأخِ مِن الأُمِّ؟ و كذلكَ مع الأخِ مِن الأبِ و الأُمِّ؟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اجتَمَعَ إخوةٌ مِن أبٍ، و إخوةٌ من أبٍ‌</w:t>
      </w:r>
      <w:r>
        <w:rPr>
          <w:rStyle w:val="FootnoteAnchor"/>
          <w:rtl w:val="true"/>
        </w:rPr>
        <w:footnoteReference w:id="2265"/>
      </w:r>
      <w:r>
        <w:rPr>
          <w:rFonts w:ascii="Amiri" w:hAnsi="Amiri" w:eastAsia="Amiri" w:cs="Amiri"/>
          <w:color w:val="111111"/>
          <w:sz w:val="28"/>
          <w:sz w:val="28"/>
          <w:szCs w:val="28"/>
          <w:rtl w:val="true"/>
          <w:lang w:bidi="ar-SA"/>
        </w:rPr>
        <w:t>و أُمٍّ، مع إخوةٍ مِن أُمٍّ‌</w:t>
      </w:r>
      <w:r>
        <w:rPr>
          <w:rStyle w:val="FootnoteAnchor"/>
          <w:rtl w:val="true"/>
        </w:rPr>
        <w:footnoteReference w:id="2266"/>
      </w:r>
      <w:r>
        <w:rPr>
          <w:rFonts w:ascii="Amiri" w:hAnsi="Amiri" w:eastAsia="Amiri" w:cs="Amiri"/>
          <w:color w:val="111111"/>
          <w:sz w:val="28"/>
          <w:sz w:val="28"/>
          <w:szCs w:val="28"/>
          <w:rtl w:val="true"/>
          <w:lang w:bidi="ar-SA"/>
        </w:rPr>
        <w:t xml:space="preserve">، كانَ للإخوةِ </w:t>
      </w:r>
      <w:bookmarkStart w:id="753" w:name="pg16437_172702"/>
    </w:p>
    <w:p>
      <w:pPr>
        <w:pStyle w:val="BookText"/>
        <w:rPr/>
      </w:pPr>
      <w:bookmarkEnd w:id="753"/>
      <w:r>
        <w:rPr>
          <w:rFonts w:ascii="Amiri" w:hAnsi="Amiri" w:eastAsia="Amiri" w:cs="Amiri"/>
          <w:color w:val="111111"/>
          <w:sz w:val="28"/>
          <w:sz w:val="28"/>
          <w:szCs w:val="28"/>
          <w:rtl w:val="true"/>
          <w:lang w:bidi="ar-SA"/>
        </w:rPr>
        <w:t>مِن الأُمِّ الثلُثُ، و الباقي للإخوةِ مِن الأبِ 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أخاً واحداً أو أُختاً واحدةً مِن أمٍّ، معها أخٌ لأبٍ‌</w:t>
      </w:r>
      <w:r>
        <w:rPr>
          <w:rStyle w:val="FootnoteAnchor"/>
          <w:rtl w:val="true"/>
        </w:rPr>
        <w:footnoteReference w:id="2267"/>
      </w:r>
      <w:r>
        <w:rPr>
          <w:rFonts w:ascii="Amiri" w:hAnsi="Amiri" w:eastAsia="Amiri" w:cs="Amiri"/>
          <w:color w:val="111111"/>
          <w:sz w:val="28"/>
          <w:sz w:val="28"/>
          <w:szCs w:val="28"/>
          <w:rtl w:val="true"/>
          <w:lang w:bidi="ar-SA"/>
        </w:rPr>
        <w:t>أو أختٌ لأبٍ، كانَ للأخِ أو الأُختِ مِن الأُمِّ السدُسُ، و الباقي للأخِ مِن الأبِ أو الأُختِ‌</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اجتَمَعَ إخوةٌ لأبٍ مع إخوةٍ لأبٍ و أُمٍّ، كانَ المالُ كُلُّه للإخوةِ مِن الأبِ و الأُمِّ، و لا حَظَّ لوُلدِ الأبِ خاصّةً فيه</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8040007_1280447820"/>
      <w:bookmarkStart w:id="755" w:name="_Toc278"/>
      <w:bookmarkEnd w:id="754"/>
      <w:r>
        <w:rPr>
          <w:rtl w:val="true"/>
        </w:rPr>
        <w:t>مَسألةٌ تاسعةٌ و عِشرونَ الثوبُ المُصابُ بالمَنيِّ و لَم يُعرَفْ مكانُه</w:t>
      </w:r>
      <w:bookmarkEnd w:id="755"/>
    </w:p>
    <w:p>
      <w:pPr>
        <w:pStyle w:val="BookText"/>
        <w:rPr/>
      </w:pPr>
      <w:r>
        <w:rPr>
          <w:rFonts w:ascii="Amiri" w:hAnsi="Amiri" w:eastAsia="Amiri" w:cs="Amiri"/>
          <w:color w:val="111111"/>
          <w:sz w:val="28"/>
          <w:sz w:val="28"/>
          <w:szCs w:val="28"/>
          <w:rtl w:val="true"/>
          <w:lang w:bidi="ar-SA"/>
        </w:rPr>
        <w:t>الثوبُ إذا أصابَته الجَنابةُ، و لَم يُعرَفِ المكانُ؛ تَجوزُ الصلاةُ فيه؟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 مكانُ الجَنابةِ مِن الثوبِ، غُسِلَ ذلكَ المَوضِعُ؛ و إن لَم يُعرَفْ بعَينِه، غُسِلَ الثوبُ جميعُه، و لَم تَجُزِ الصلاةُ فيه</w:t>
      </w:r>
      <w:r>
        <w:rPr>
          <w:rStyle w:val="FootnoteAnchor"/>
          <w:rtl w:val="true"/>
        </w:rPr>
        <w:footnoteReference w:id="2269"/>
      </w:r>
      <w:r>
        <w:rPr>
          <w:rFonts w:ascii="Amiri" w:hAnsi="Amiri" w:eastAsia="Amiri" w:cs="Amiri"/>
          <w:color w:val="111111"/>
          <w:sz w:val="28"/>
          <w:sz w:val="28"/>
          <w:szCs w:val="28"/>
          <w:rtl w:val="true"/>
          <w:lang w:bidi="ar-SA"/>
        </w:rPr>
        <w:t>قَبلَ الغَسلِ</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8040009_1280447820"/>
      <w:bookmarkStart w:id="757" w:name="_Toc279"/>
      <w:bookmarkEnd w:id="756"/>
      <w:r>
        <w:rPr>
          <w:rtl w:val="true"/>
        </w:rPr>
        <w:t>مَسألةٌ ثَلاثونَ إصابةُ الثوبِ بالكَلبِ الناشِفِ‌</w:t>
      </w:r>
      <w:bookmarkEnd w:id="75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أصاب الثوبَ كَلبٌ‌</w:t>
      </w:r>
      <w:r>
        <w:rPr>
          <w:rStyle w:val="FootnoteAnchor"/>
          <w:rtl w:val="true"/>
        </w:rPr>
        <w:footnoteReference w:id="2270"/>
      </w:r>
      <w:r>
        <w:rPr>
          <w:rFonts w:ascii="Amiri" w:hAnsi="Amiri" w:eastAsia="Amiri" w:cs="Amiri"/>
          <w:color w:val="111111"/>
          <w:sz w:val="28"/>
          <w:sz w:val="28"/>
          <w:szCs w:val="28"/>
          <w:rtl w:val="true"/>
          <w:lang w:bidi="ar-SA"/>
        </w:rPr>
        <w:t>ناشِفٌ‌</w:t>
      </w:r>
      <w:r>
        <w:rPr>
          <w:rStyle w:val="FootnoteAnchor"/>
          <w:rtl w:val="true"/>
        </w:rPr>
        <w:footnoteReference w:id="2271"/>
      </w:r>
      <w:r>
        <w:rPr>
          <w:rFonts w:ascii="Amiri" w:hAnsi="Amiri" w:eastAsia="Amiri" w:cs="Amiri"/>
          <w:color w:val="111111"/>
          <w:sz w:val="28"/>
          <w:sz w:val="28"/>
          <w:szCs w:val="28"/>
          <w:rtl w:val="true"/>
          <w:lang w:bidi="ar-SA"/>
        </w:rPr>
        <w:t>، يُصَلّىٰ فيه، أم</w:t>
      </w:r>
      <w:r>
        <w:rPr>
          <w:rStyle w:val="FootnoteAnchor"/>
          <w:rtl w:val="true"/>
        </w:rPr>
        <w:footnoteReference w:id="2272"/>
      </w:r>
      <w:r>
        <w:rPr>
          <w:rFonts w:ascii="IRNazanin" w:hAnsi="IRNazanin" w:eastAsia="IRNazanin"/>
          <w:color w:val="111111"/>
          <w:sz w:val="28"/>
          <w:sz w:val="28"/>
          <w:szCs w:val="28"/>
          <w:rtl w:val="true"/>
          <w:lang w:bidi="fa-IR"/>
        </w:rPr>
        <w:t xml:space="preserve">لا؟ </w:t>
      </w:r>
      <w:bookmarkStart w:id="758" w:name="pg16437_172703"/>
    </w:p>
    <w:p>
      <w:pPr>
        <w:pStyle w:val="BookText"/>
        <w:rPr/>
      </w:pPr>
      <w:bookmarkEnd w:id="75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تَتعدّىٰ نَجاسةُ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نَشافةِ 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يُماسُّه مِن ثَوبٍ أو بَدَنٍ‌</w:t>
      </w:r>
      <w:r>
        <w:rPr>
          <w:rStyle w:val="FootnoteAnchor"/>
          <w:rtl w:val="true"/>
        </w:rPr>
        <w:footnoteReference w:id="2273"/>
      </w:r>
      <w:r>
        <w:rPr>
          <w:rFonts w:ascii="Amiri" w:hAnsi="Amiri" w:eastAsia="Amiri" w:cs="Amiri"/>
          <w:color w:val="111111"/>
          <w:sz w:val="28"/>
          <w:sz w:val="28"/>
          <w:szCs w:val="28"/>
          <w:rtl w:val="true"/>
          <w:lang w:bidi="ar-SA"/>
        </w:rPr>
        <w:t>، و إنّما تَتعدّىٰ مع النَّداوةِ و البَلَلِ في أحَدِهما؛ و أمّا مع نَشافتِهما مَعاً</w:t>
      </w:r>
      <w:r>
        <w:rPr>
          <w:rStyle w:val="FootnoteAnchor"/>
          <w:rtl w:val="true"/>
        </w:rPr>
        <w:footnoteReference w:id="2274"/>
      </w:r>
      <w:r>
        <w:rPr>
          <w:rFonts w:ascii="Amiri" w:hAnsi="Amiri" w:eastAsia="Amiri" w:cs="Amiri"/>
          <w:color w:val="111111"/>
          <w:sz w:val="28"/>
          <w:sz w:val="28"/>
          <w:szCs w:val="28"/>
          <w:rtl w:val="true"/>
          <w:lang w:bidi="ar-SA"/>
        </w:rPr>
        <w:t>، فلا تَتعدَّى</w:t>
      </w:r>
      <w:r>
        <w:rPr>
          <w:rStyle w:val="FootnoteAnchor"/>
          <w:rtl w:val="true"/>
        </w:rPr>
        <w:footnoteReference w:id="2275"/>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8040011_1280447820"/>
      <w:bookmarkStart w:id="760" w:name="_Toc280"/>
      <w:bookmarkEnd w:id="759"/>
      <w:r>
        <w:rPr>
          <w:rtl w:val="true"/>
        </w:rPr>
        <w:t>مَسألةٌ حاديةٌ و ثَلاثونَ حُكمُ المُجامِعِ أهلَه في نَهارِ رَمَضانَ‌</w:t>
      </w:r>
      <w:bookmarkEnd w:id="760"/>
    </w:p>
    <w:p>
      <w:pPr>
        <w:pStyle w:val="BookText"/>
        <w:rPr/>
      </w:pPr>
      <w:r>
        <w:rPr>
          <w:rFonts w:ascii="Amiri" w:hAnsi="Amiri" w:eastAsia="Amiri" w:cs="Amiri"/>
          <w:color w:val="111111"/>
          <w:sz w:val="28"/>
          <w:sz w:val="28"/>
          <w:szCs w:val="28"/>
          <w:rtl w:val="true"/>
          <w:lang w:bidi="ar-SA"/>
        </w:rPr>
        <w:t>مَن جامَعَ أهلَه في شَهرِ رَمَضانَ بالنهارِ، ما يَجِبُ عليه؟ و ما كَفّارتُه؟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المُجامِعِ في شَهرِ رَمَضانَ نَهاراً القَضاءُ و الكَفّارةُ جميعاً،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الكَفّارةُ عِتقُ رَقَبةٍ، أو صيامُ شَهرَينِ مُتَتابِعَينِ، أو إطعامُ سِتّينَ مِسكيناً؛ لكُلِّ مِسكينٍ 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مُخيَّرٌ عندَنا</w:t>
      </w:r>
      <w:r>
        <w:rPr>
          <w:rStyle w:val="FootnoteAnchor"/>
          <w:rtl w:val="true"/>
        </w:rPr>
        <w:footnoteReference w:id="2276"/>
      </w:r>
      <w:r>
        <w:rPr>
          <w:rFonts w:ascii="Amiri" w:hAnsi="Amiri" w:eastAsia="Amiri" w:cs="Amiri"/>
          <w:color w:val="111111"/>
          <w:sz w:val="28"/>
          <w:sz w:val="28"/>
          <w:szCs w:val="28"/>
          <w:rtl w:val="true"/>
          <w:lang w:bidi="ar-SA"/>
        </w:rPr>
        <w:t>بَينَ الثلاثِ، أيَّ شَيءٍ فَعَلَ‌</w:t>
      </w:r>
      <w:r>
        <w:rPr>
          <w:rStyle w:val="FootnoteAnchor"/>
          <w:rtl w:val="true"/>
        </w:rPr>
        <w:footnoteReference w:id="2277"/>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5"/>
        <w:numPr>
          <w:ilvl w:val="4"/>
          <w:numId w:val="1"/>
        </w:numPr>
        <w:rPr/>
      </w:pPr>
      <w:bookmarkStart w:id="761" w:name="__RefHeading___Toc8040013_1280447820"/>
      <w:bookmarkStart w:id="762" w:name="_Toc281"/>
      <w:bookmarkEnd w:id="761"/>
      <w:r>
        <w:rPr>
          <w:rtl w:val="true"/>
        </w:rPr>
        <w:t>مَسألةٌ ثانيةٌ و ثَلاثونَ لا تَجوزُ الصلاةُ في ثَوبٍ أصابَه خَمرٌ</w:t>
      </w:r>
      <w:bookmarkEnd w:id="762"/>
    </w:p>
    <w:p>
      <w:pPr>
        <w:pStyle w:val="BookText"/>
        <w:rPr/>
      </w:pPr>
      <w:r>
        <w:rPr>
          <w:rFonts w:ascii="Amiri" w:hAnsi="Amiri" w:eastAsia="Amiri" w:cs="Amiri"/>
          <w:color w:val="111111"/>
          <w:sz w:val="28"/>
          <w:sz w:val="28"/>
          <w:szCs w:val="28"/>
          <w:rtl w:val="true"/>
          <w:lang w:bidi="ar-SA"/>
        </w:rPr>
        <w:t>الثوبُ يُصيبُه الخَمرُ، هَل تَجوزُ الصلاةُ فيه،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تَجوزُ الصلاةُ في ثَوبٍ فيه خَمرٌ</w:t>
      </w:r>
      <w:r>
        <w:rPr>
          <w:rFonts w:eastAsia="Amiri" w:cs="Amiri" w:ascii="Amiri" w:hAnsi="Amiri"/>
          <w:color w:val="111111"/>
          <w:sz w:val="28"/>
          <w:szCs w:val="28"/>
          <w:rtl w:val="true"/>
          <w:lang w:bidi="ar-SA"/>
        </w:rPr>
        <w:t xml:space="preserve">. </w:t>
      </w:r>
      <w:bookmarkStart w:id="763" w:name="pg16437_172704"/>
    </w:p>
    <w:p>
      <w:pPr>
        <w:pStyle w:val="BookText"/>
        <w:rPr/>
      </w:pPr>
      <w:bookmarkEnd w:id="763"/>
      <w:r>
        <w:rPr>
          <w:rFonts w:ascii="Amiri" w:hAnsi="Amiri" w:eastAsia="Amiri" w:cs="Amiri"/>
          <w:color w:val="111111"/>
          <w:sz w:val="28"/>
          <w:sz w:val="28"/>
          <w:szCs w:val="28"/>
          <w:rtl w:val="true"/>
          <w:lang w:bidi="ar-SA"/>
        </w:rPr>
        <w:t>و نَجاسةُ الخَمرِ أغلَظُ مِن سائرِ النجاساتِ؛ لأنّ الدمَ و إن كانَ نَجِساً، فقَد أُبيحَ لنا ان نُصلّيَ في الثوبِ إذا كانَ فيه دونَ قَدرِ الدِّرهَمِ مِن الدمِ؛ و البَولَ قد عُفيَ عنه فيما يُرشَّشُ عندَ الاستنجاءِ كرُؤوسِ الإبَرِ</w:t>
      </w:r>
      <w:r>
        <w:rPr>
          <w:rStyle w:val="FootnoteAnchor"/>
          <w:rtl w:val="true"/>
        </w:rPr>
        <w:footnoteReference w:id="2278"/>
      </w:r>
      <w:r>
        <w:rPr>
          <w:rFonts w:ascii="Amiri" w:hAnsi="Amiri" w:eastAsia="Amiri" w:cs="Amiri"/>
          <w:color w:val="111111"/>
          <w:sz w:val="28"/>
          <w:sz w:val="28"/>
          <w:szCs w:val="28"/>
          <w:rtl w:val="true"/>
          <w:lang w:bidi="ar-SA"/>
        </w:rPr>
        <w:t xml:space="preserve">و الخَمرَ ما عُفيَ عنه في مَوضِعٍ مِن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 ناشئاً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منها</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8040015_1280447820"/>
      <w:bookmarkStart w:id="765" w:name="_Toc282"/>
      <w:bookmarkEnd w:id="764"/>
      <w:r>
        <w:rPr>
          <w:rtl w:val="true"/>
        </w:rPr>
        <w:t>مَسألةٌ ثالثةٌ و ثَلاثونَ‌حُكمُ مَن غابَ عن أهلِه سِنِينَ‌</w:t>
      </w:r>
      <w:bookmarkEnd w:id="765"/>
    </w:p>
    <w:p>
      <w:pPr>
        <w:pStyle w:val="BookText"/>
        <w:rPr/>
      </w:pPr>
      <w:r>
        <w:rPr>
          <w:rFonts w:ascii="Amiri" w:hAnsi="Amiri" w:eastAsia="Amiri" w:cs="Amiri"/>
          <w:color w:val="111111"/>
          <w:sz w:val="28"/>
          <w:sz w:val="28"/>
          <w:szCs w:val="28"/>
          <w:rtl w:val="true"/>
          <w:lang w:bidi="ar-SA"/>
        </w:rPr>
        <w:t>مَسألةٌ ثالثةٌ و ثَلاثونَ‌</w:t>
      </w:r>
      <w:r>
        <w:rPr>
          <w:rStyle w:val="FootnoteAnchor"/>
          <w:rtl w:val="true"/>
        </w:rPr>
        <w:footnoteReference w:id="2279"/>
      </w:r>
      <w:r>
        <w:rPr>
          <w:rFonts w:ascii="Amiri" w:hAnsi="Amiri" w:eastAsia="Amiri" w:cs="Amiri"/>
          <w:color w:val="111111"/>
          <w:sz w:val="28"/>
          <w:sz w:val="28"/>
          <w:szCs w:val="28"/>
          <w:rtl w:val="true"/>
          <w:lang w:bidi="ar-SA"/>
        </w:rPr>
        <w:t>حُكمُ مَن غابَ عن أهلِه سِنِينَ</w:t>
      </w:r>
    </w:p>
    <w:p>
      <w:pPr>
        <w:pStyle w:val="BookText"/>
        <w:rPr/>
      </w:pPr>
      <w:r>
        <w:rPr>
          <w:rFonts w:ascii="Amiri" w:hAnsi="Amiri" w:eastAsia="Amiri" w:cs="Amiri"/>
          <w:color w:val="111111"/>
          <w:sz w:val="28"/>
          <w:sz w:val="28"/>
          <w:szCs w:val="28"/>
          <w:rtl w:val="true"/>
          <w:lang w:bidi="ar-SA"/>
        </w:rPr>
        <w:t>القَولُ في رَجُلٍ تَزوَّجَ امرأةً و دَخَلَ‌</w:t>
      </w:r>
      <w:r>
        <w:rPr>
          <w:rStyle w:val="FootnoteAnchor"/>
          <w:rtl w:val="true"/>
        </w:rPr>
        <w:footnoteReference w:id="2280"/>
      </w:r>
      <w:r>
        <w:rPr>
          <w:rFonts w:ascii="Amiri" w:hAnsi="Amiri" w:eastAsia="Amiri" w:cs="Amiri"/>
          <w:color w:val="111111"/>
          <w:sz w:val="28"/>
          <w:sz w:val="28"/>
          <w:szCs w:val="28"/>
          <w:rtl w:val="true"/>
          <w:lang w:bidi="ar-SA"/>
        </w:rPr>
        <w:t>بها، ثُمَّ غابَ عنها سِنينَ‌</w:t>
      </w:r>
      <w:r>
        <w:rPr>
          <w:rStyle w:val="FootnoteAnchor"/>
          <w:rtl w:val="true"/>
        </w:rPr>
        <w:footnoteReference w:id="2281"/>
      </w:r>
      <w:r>
        <w:rPr>
          <w:rFonts w:ascii="Amiri" w:hAnsi="Amiri" w:eastAsia="Amiri" w:cs="Amiri"/>
          <w:color w:val="111111"/>
          <w:sz w:val="28"/>
          <w:sz w:val="28"/>
          <w:szCs w:val="28"/>
          <w:rtl w:val="true"/>
          <w:lang w:bidi="ar-SA"/>
        </w:rPr>
        <w:t>، ثُمَّ وَضَعَت وَلَداً و ادَّعَت أنّه من الزوجِ؛ هَل يُصدَّقُ قولُها في ذلكَ و يُلحَقُ الوَلَدُ بالزوجِ، أم لا؟</w:t>
      </w:r>
    </w:p>
    <w:p>
      <w:pPr>
        <w:pStyle w:val="BookText"/>
        <w:rPr/>
      </w:pPr>
      <w:r>
        <w:rPr>
          <w:rFonts w:ascii="Amiri" w:hAnsi="Amiri" w:eastAsia="Amiri" w:cs="Amiri"/>
          <w:color w:val="111111"/>
          <w:sz w:val="28"/>
          <w:sz w:val="28"/>
          <w:szCs w:val="28"/>
          <w:rtl w:val="true"/>
          <w:lang w:bidi="ar-SA"/>
        </w:rPr>
        <w:t>و ما يَجِبُ عليها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يُلحَقُ الولدُ بالزوجِ الغائبِ؛ لأنّ الفِراشَ الذي عَناه النبيُّ عليه السلامُ بقَولِه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Style w:val="FootnoteAnchor"/>
          <w:rtl w:val="true"/>
        </w:rPr>
        <w:footnoteReference w:id="2282"/>
      </w:r>
      <w:r>
        <w:rPr>
          <w:rFonts w:ascii="Amiri" w:hAnsi="Amiri" w:eastAsia="Amiri" w:cs="Amiri"/>
          <w:color w:val="111111"/>
          <w:sz w:val="28"/>
          <w:sz w:val="28"/>
          <w:szCs w:val="28"/>
          <w:rtl w:val="true"/>
          <w:lang w:bidi="ar-SA"/>
        </w:rPr>
        <w:t>معدومٌ هاهُنا</w:t>
      </w:r>
      <w:r>
        <w:rPr>
          <w:rStyle w:val="FootnoteAnchor"/>
          <w:rtl w:val="true"/>
        </w:rPr>
        <w:footnoteReference w:id="2283"/>
      </w:r>
      <w:r>
        <w:rPr>
          <w:rFonts w:ascii="Amiri" w:hAnsi="Amiri" w:eastAsia="Amiri" w:cs="Amiri"/>
          <w:color w:val="111111"/>
          <w:sz w:val="28"/>
          <w:sz w:val="28"/>
          <w:szCs w:val="28"/>
          <w:rtl w:val="true"/>
          <w:lang w:bidi="ar-SA"/>
        </w:rPr>
        <w:t>لأنّ الفِراشَ عبارةٌ عن</w:t>
      </w:r>
      <w:r>
        <w:rPr>
          <w:rStyle w:val="FootnoteAnchor"/>
          <w:rtl w:val="true"/>
        </w:rPr>
        <w:footnoteReference w:id="2284"/>
      </w:r>
      <w:r>
        <w:rPr>
          <w:rFonts w:ascii="Amiri" w:hAnsi="Amiri" w:eastAsia="Amiri" w:cs="Amiri"/>
          <w:color w:val="111111"/>
          <w:sz w:val="28"/>
          <w:sz w:val="28"/>
          <w:szCs w:val="28"/>
          <w:rtl w:val="true"/>
          <w:lang w:bidi="ar-SA"/>
        </w:rPr>
        <w:t xml:space="preserve">مَكانِ الوَطيِ، و الوَطيُ </w:t>
      </w:r>
      <w:bookmarkStart w:id="766" w:name="pg16437_172705"/>
    </w:p>
    <w:p>
      <w:pPr>
        <w:pStyle w:val="BookText"/>
        <w:rPr/>
      </w:pPr>
      <w:bookmarkEnd w:id="766"/>
      <w:r>
        <w:rPr>
          <w:rFonts w:ascii="Amiri" w:hAnsi="Amiri" w:eastAsia="Amiri" w:cs="Amiri"/>
          <w:color w:val="111111"/>
          <w:sz w:val="28"/>
          <w:sz w:val="28"/>
          <w:szCs w:val="28"/>
          <w:rtl w:val="true"/>
          <w:lang w:bidi="ar-SA"/>
        </w:rPr>
        <w:t>هاهُنا مُتعذِّرٌ، فلا فِراشَ، فالولدُ غيرُ لاحِقٍ، هذا إذا كانَت غَيبتُه زائدةً علَى الحَملِ</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8040017_1280447820"/>
      <w:bookmarkStart w:id="768" w:name="_Toc283"/>
      <w:bookmarkEnd w:id="767"/>
      <w:r>
        <w:rPr>
          <w:rtl w:val="true"/>
        </w:rPr>
        <w:t>مَسألةٌ رابعةٌ و ثَلاثونَ عدمُ جوازِ الترَحُّمِ للأقارِبِ الكُفّارِ</w:t>
      </w:r>
      <w:bookmarkEnd w:id="768"/>
    </w:p>
    <w:p>
      <w:pPr>
        <w:pStyle w:val="BookText"/>
        <w:rPr/>
      </w:pPr>
      <w:r>
        <w:rPr>
          <w:rFonts w:ascii="Amiri" w:hAnsi="Amiri" w:eastAsia="Amiri" w:cs="Amiri"/>
          <w:color w:val="111111"/>
          <w:sz w:val="28"/>
          <w:sz w:val="28"/>
          <w:szCs w:val="28"/>
          <w:rtl w:val="true"/>
          <w:lang w:bidi="ar-SA"/>
        </w:rPr>
        <w:t>هَل يَجوزُ للمؤمِنِ الِاستغفارُ و الترَحُّمُ لوالدَيهِ و أقارِبِه، إذا كانوا مُخالِفينَ؟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الِاستغفارُ و لا التَرحُّمُ عَلى الكُفّارِ</w:t>
      </w:r>
      <w:r>
        <w:rPr>
          <w:rStyle w:val="FootnoteAnchor"/>
          <w:rtl w:val="true"/>
        </w:rPr>
        <w:footnoteReference w:id="2285"/>
      </w:r>
      <w:r>
        <w:rPr>
          <w:rFonts w:ascii="Amiri" w:hAnsi="Amiri" w:eastAsia="Amiri" w:cs="Amiri"/>
          <w:color w:val="111111"/>
          <w:sz w:val="28"/>
          <w:sz w:val="28"/>
          <w:szCs w:val="28"/>
          <w:rtl w:val="true"/>
          <w:lang w:bidi="ar-SA"/>
        </w:rPr>
        <w:t>، و إن كانوا أقارِبَ؛ لأنّ اللّٰهَ تَعالىٰ قد قَطَعَ علىٰ عِقابِ الكُفّارِ و أنّه لا شَفاعةَ فيهم، و لا يَجوزُ أن نَسألَ فِعلَ ما عَلِمنا و قَطَعنا علىٰ أنّه لا يَفعَلُه</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8040019_1280447820"/>
      <w:bookmarkStart w:id="770" w:name="_Toc284"/>
      <w:bookmarkEnd w:id="769"/>
      <w:r>
        <w:rPr>
          <w:rtl w:val="true"/>
        </w:rPr>
        <w:t>مسألةٌ خامسةٌ و ثَلاثونَ عدمُ جوازِ إعطاءِ الفِطرةِ و الزكاةِ للمُخالِفينَ‌</w:t>
      </w:r>
      <w:bookmarkEnd w:id="770"/>
    </w:p>
    <w:p>
      <w:pPr>
        <w:pStyle w:val="BookText"/>
        <w:rPr/>
      </w:pPr>
      <w:r>
        <w:rPr>
          <w:rFonts w:ascii="Amiri" w:hAnsi="Amiri" w:eastAsia="Amiri" w:cs="Amiri"/>
          <w:color w:val="111111"/>
          <w:sz w:val="28"/>
          <w:sz w:val="28"/>
          <w:szCs w:val="28"/>
          <w:rtl w:val="true"/>
          <w:lang w:bidi="ar-SA"/>
        </w:rPr>
        <w:t>الفِطرةُ و الزكاةُ لضُعَفاءِ المؤمِنينَ خاصّةً، أم لسائرِ الضعفاءِ عامّةً؟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إخراجُ فِطرةٍ و لا زَكاةٍ و لا صَدَقةٍ إلىٰ مُخالِفٍ يَبلُغُ به خِلافُه إلَى الكُفرِ؛ فمَن أخرَجَ زكاةً أو فِطرةً إلىٰ مَن هذه صفتُه، وَجَبَ عليه الإعادةُ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تَجاوَزَ أصحابُنا ذلكَ؛ فحَرَّموا إخراجَ الزكاةِ إلَى الفاسِقِ، و إن كانَ مؤمِناً</w:t>
      </w:r>
      <w:r>
        <w:rPr>
          <w:rFonts w:eastAsia="Amiri" w:cs="Amiri" w:ascii="Amiri" w:hAnsi="Amiri"/>
          <w:color w:val="111111"/>
          <w:sz w:val="28"/>
          <w:szCs w:val="28"/>
          <w:rtl w:val="true"/>
          <w:lang w:bidi="ar-SA"/>
        </w:rPr>
        <w:t>.</w:t>
      </w:r>
      <w:r>
        <w:rPr>
          <w:rStyle w:val="FootnoteAnchor"/>
          <w:rtl w:val="true"/>
        </w:rPr>
        <w:footnoteReference w:id="2286"/>
      </w:r>
      <w:bookmarkStart w:id="771" w:name="pg16437_172706"/>
    </w:p>
    <w:p>
      <w:pPr>
        <w:pStyle w:val="Heading5"/>
        <w:numPr>
          <w:ilvl w:val="4"/>
          <w:numId w:val="1"/>
        </w:numPr>
        <w:rPr/>
      </w:pPr>
      <w:bookmarkStart w:id="772" w:name="__RefHeading___Toc8040021_1280447820"/>
      <w:bookmarkStart w:id="773" w:name="_Toc285"/>
      <w:bookmarkEnd w:id="771"/>
      <w:bookmarkEnd w:id="772"/>
      <w:r>
        <w:rPr>
          <w:rtl w:val="true"/>
        </w:rPr>
        <w:t>مَسألةٌ سادسةٌ و ثَلاثونَ عدمُ انعقادِ اليَمينِ علَى المَعصيةِ‌</w:t>
      </w:r>
      <w:bookmarkEnd w:id="773"/>
    </w:p>
    <w:p>
      <w:pPr>
        <w:pStyle w:val="BookText"/>
        <w:rPr/>
      </w:pPr>
      <w:r>
        <w:rPr>
          <w:rFonts w:ascii="Amiri" w:hAnsi="Amiri" w:eastAsia="Amiri" w:cs="Amiri"/>
          <w:color w:val="111111"/>
          <w:sz w:val="28"/>
          <w:sz w:val="28"/>
          <w:szCs w:val="28"/>
          <w:rtl w:val="true"/>
          <w:lang w:bidi="ar-SA"/>
        </w:rPr>
        <w:t xml:space="preserve">القولُ فيمن يَحلِفُ علىٰ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و ما شاكَلَه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فأمكَنَه ذلكَ، فتَرَكَه فَزَعاً مِن اللّٰهِ تَعالىٰ؛ ما الذي يَجِبُ عليه لليَمينِ؟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تَنعَقِدُ اليَمينُ علىٰ فِعلِ مَعصيةٍ؛ و مَن حَلَفَ باللّٰهِ تَعالىٰ أنّه يَفعَلُ شَيئاً مِن المَعاصي، لَم تَنعَقِدْ يَمينُه، و لا تَجِبُ‌</w:t>
      </w:r>
      <w:r>
        <w:rPr>
          <w:rStyle w:val="FootnoteAnchor"/>
          <w:rtl w:val="true"/>
        </w:rPr>
        <w:footnoteReference w:id="2287"/>
      </w:r>
      <w:r>
        <w:rPr>
          <w:rFonts w:ascii="Amiri" w:hAnsi="Amiri" w:eastAsia="Amiri" w:cs="Amiri"/>
          <w:color w:val="111111"/>
          <w:sz w:val="28"/>
          <w:sz w:val="28"/>
          <w:szCs w:val="28"/>
          <w:rtl w:val="true"/>
          <w:lang w:bidi="ar-SA"/>
        </w:rPr>
        <w:t>عليه الكَفّارةُ إذا لَم يَفعَلْ ذلكَ؛ لأنّ الحِنثَ يَلزَمُ مع انعقادِ اليَمينِ، و لا يَجِبُ مع عدمِ انعقادِها</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8040023_1280447820"/>
      <w:bookmarkStart w:id="775" w:name="_Toc286"/>
      <w:bookmarkEnd w:id="774"/>
      <w:r>
        <w:rPr>
          <w:rtl w:val="true"/>
        </w:rPr>
        <w:t>مَسألةٌ سابعةٌ و ثَلاثونَ هَل زَوَّجَ أميرُ المؤمنينَ عليه السلام فلاناً ابنَتَه؟</w:t>
      </w:r>
      <w:bookmarkEnd w:id="775"/>
    </w:p>
    <w:p>
      <w:pPr>
        <w:pStyle w:val="BookText"/>
        <w:rPr/>
      </w:pPr>
      <w:r>
        <w:rPr>
          <w:rFonts w:ascii="Amiri" w:hAnsi="Amiri" w:eastAsia="Amiri" w:cs="Amiri"/>
          <w:color w:val="111111"/>
          <w:sz w:val="28"/>
          <w:sz w:val="28"/>
          <w:szCs w:val="28"/>
          <w:rtl w:val="true"/>
          <w:lang w:bidi="ar-SA"/>
        </w:rPr>
        <w:t xml:space="preserve">القولُ في تزويجِ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و ما الحُجّةُ؟</w:t>
      </w:r>
    </w:p>
    <w:p>
      <w:pPr>
        <w:pStyle w:val="BookText"/>
        <w:rPr/>
      </w:pPr>
      <w:r>
        <w:rPr>
          <w:rFonts w:ascii="Amiri" w:hAnsi="Amiri" w:eastAsia="Amiri" w:cs="Amiri"/>
          <w:color w:val="111111"/>
          <w:sz w:val="28"/>
          <w:sz w:val="28"/>
          <w:szCs w:val="28"/>
          <w:rtl w:val="true"/>
          <w:lang w:bidi="ar-SA"/>
        </w:rPr>
        <w:t>و كذلكَ بَناتُ سيِّدِنا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زَوَّجَ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بمَن أُشيرَ إليه إلّاعلىٰ سَبيلِ التقيّةِ و الإكراهِ، دونَ الإيثارِ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في ذلكَ ما هو</w:t>
      </w:r>
      <w:r>
        <w:rPr>
          <w:rStyle w:val="FootnoteAnchor"/>
          <w:rtl w:val="true"/>
        </w:rPr>
        <w:footnoteReference w:id="2288"/>
      </w:r>
      <w:r>
        <w:rPr>
          <w:rFonts w:ascii="Amiri" w:hAnsi="Amiri" w:eastAsia="Amiri" w:cs="Amiri"/>
          <w:color w:val="111111"/>
          <w:sz w:val="28"/>
          <w:sz w:val="28"/>
          <w:szCs w:val="28"/>
          <w:rtl w:val="true"/>
          <w:lang w:bidi="ar-SA"/>
        </w:rPr>
        <w:t>مشهورٌ</w:t>
      </w:r>
      <w:r>
        <w:rPr>
          <w:rStyle w:val="FootnoteAnchor"/>
          <w:rtl w:val="true"/>
        </w:rPr>
        <w:footnoteReference w:id="2289"/>
      </w:r>
      <w:r>
        <w:rPr>
          <w:rFonts w:ascii="Amiri" w:hAnsi="Amiri" w:eastAsia="Amiri" w:cs="Amiri"/>
          <w:color w:val="111111"/>
          <w:sz w:val="28"/>
          <w:sz w:val="28"/>
          <w:szCs w:val="28"/>
          <w:rtl w:val="true"/>
          <w:lang w:bidi="ar-SA"/>
        </w:rPr>
        <w:t>فالتقيّةُ تُبيحُ ما لَولاها لَم يَكُن مُباحاً</w:t>
      </w:r>
      <w:r>
        <w:rPr>
          <w:rFonts w:eastAsia="Amiri" w:cs="Amiri" w:ascii="Amiri" w:hAnsi="Amiri"/>
          <w:color w:val="111111"/>
          <w:sz w:val="28"/>
          <w:szCs w:val="28"/>
          <w:rtl w:val="true"/>
          <w:lang w:bidi="ar-SA"/>
        </w:rPr>
        <w:t xml:space="preserve">. </w:t>
      </w:r>
      <w:bookmarkStart w:id="776" w:name="pg16437_172707"/>
    </w:p>
    <w:p>
      <w:pPr>
        <w:pStyle w:val="BookText"/>
        <w:rPr/>
      </w:pPr>
      <w:bookmarkEnd w:id="776"/>
      <w:r>
        <w:rPr>
          <w:rFonts w:ascii="Amiri" w:hAnsi="Amiri" w:eastAsia="Amiri" w:cs="Amiri"/>
          <w:color w:val="111111"/>
          <w:sz w:val="28"/>
          <w:sz w:val="28"/>
          <w:szCs w:val="28"/>
          <w:rtl w:val="true"/>
          <w:lang w:bidi="ar-SA"/>
        </w:rPr>
        <w:t>فأمّا النبيُّ صَلَّى اللّٰهُ عليه و آلِه، فإنّما زَوَّجَ مَن أُشيرَ إليه في حالٍ كانَ فيها مُظهِراً للإيمانِ، و إنّما تَجدَّدَ بَعدَ ذلكَ ما 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عندَ أكثَرِكم أنّ مَن ماتَ علىٰ كُفرِه فلا يَجوزُ أن يَكونَ قد سَبَقَ منه إيمانٌ‌</w:t>
      </w:r>
      <w:r>
        <w:rPr>
          <w:rStyle w:val="FootnoteAnchor"/>
          <w:rtl w:val="true"/>
        </w:rPr>
        <w:footnoteReference w:id="22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نَقولُ، و يَجوزُ أن يَكونَ النبيُّ عليه السلامُ أنكَحَ مَن وَقَعَت الإشارةُ إليه قَبلَ أن يُعلِمَه اللّٰهُ تَعالىٰ بما يَكونُ في المُستَقبَلِ؛ فإنّا غيرُ عالِمينَ بتأريخِ هذا الإعلامِ و تَقدُّمِه و تأخُّرِه</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8040025_1280447820"/>
      <w:bookmarkStart w:id="778" w:name="_Toc287"/>
      <w:bookmarkEnd w:id="777"/>
      <w:r>
        <w:rPr>
          <w:rtl w:val="true"/>
        </w:rPr>
        <w:t>مَسألةٌ ثامنةٌ و ثَلاثونَ ثوابُ زيارةِ قُبورِ الأئمّةِ عليهم السلام</w:t>
      </w:r>
      <w:bookmarkEnd w:id="778"/>
    </w:p>
    <w:p>
      <w:pPr>
        <w:pStyle w:val="BookText"/>
        <w:rPr/>
      </w:pPr>
      <w:r>
        <w:rPr>
          <w:rFonts w:ascii="Amiri" w:hAnsi="Amiri" w:eastAsia="Amiri" w:cs="Amiri"/>
          <w:color w:val="111111"/>
          <w:sz w:val="28"/>
          <w:sz w:val="28"/>
          <w:szCs w:val="28"/>
          <w:rtl w:val="true"/>
          <w:lang w:bidi="ar-SA"/>
        </w:rPr>
        <w:t>ما رُويَ عن الثوابِ في الزيارةِ؟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زيارةِ قُبورِ الأئمّةِ عليهم السلامُ فَضلاً كَبيراً</w:t>
      </w:r>
      <w:r>
        <w:rPr>
          <w:rStyle w:val="FootnoteAnchor"/>
          <w:rtl w:val="true"/>
        </w:rPr>
        <w:footnoteReference w:id="2291"/>
      </w:r>
      <w:r>
        <w:rPr>
          <w:rFonts w:ascii="Amiri" w:hAnsi="Amiri" w:eastAsia="Amiri" w:cs="Amiri"/>
          <w:color w:val="111111"/>
          <w:sz w:val="28"/>
          <w:sz w:val="28"/>
          <w:szCs w:val="28"/>
          <w:rtl w:val="true"/>
          <w:lang w:bidi="ar-SA"/>
        </w:rPr>
        <w:t>، تَشهَدُ به الرواياتُ، و أجمَعَت عليه الطائفةُ؛ و الرواياتُ لا تُحصىٰ</w:t>
      </w:r>
      <w:r>
        <w:rPr>
          <w:rFonts w:eastAsia="Amiri" w:cs="Amiri" w:ascii="Amiri" w:hAnsi="Amiri"/>
          <w:color w:val="111111"/>
          <w:sz w:val="28"/>
          <w:szCs w:val="28"/>
          <w:rtl w:val="true"/>
          <w:lang w:bidi="ar-SA"/>
        </w:rPr>
        <w:t>.</w:t>
      </w:r>
      <w:r>
        <w:rPr>
          <w:rStyle w:val="FootnoteAnchor"/>
          <w:rtl w:val="true"/>
        </w:rPr>
        <w:footnoteReference w:id="229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أميرَ المؤمنينَ عليه السلامُ كانَت</w:t>
      </w:r>
      <w:r>
        <w:rPr>
          <w:rStyle w:val="FootnoteAnchor"/>
          <w:rtl w:val="true"/>
        </w:rPr>
        <w:footnoteReference w:id="2293"/>
      </w: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w:t>
      </w:r>
      <w:r>
        <w:rPr>
          <w:rStyle w:val="FootnoteAnchor"/>
          <w:rtl w:val="true"/>
        </w:rPr>
        <w:footnoteReference w:id="2294"/>
      </w:r>
      <w:bookmarkStart w:id="779" w:name="pg16437_172708"/>
    </w:p>
    <w:p>
      <w:pPr>
        <w:pStyle w:val="BookText"/>
        <w:rPr/>
      </w:pPr>
      <w:bookmarkEnd w:id="779"/>
      <w:r>
        <w:rPr>
          <w:rFonts w:ascii="Amiri" w:hAnsi="Amiri" w:eastAsia="Amiri" w:cs="Amiri"/>
          <w:color w:val="111111"/>
          <w:sz w:val="28"/>
          <w:sz w:val="28"/>
          <w:szCs w:val="28"/>
          <w:rtl w:val="true"/>
          <w:lang w:bidi="ar-SA"/>
        </w:rPr>
        <w:t>و رُويَ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 عليه السلامُ مُحِّصَت ذُنوبُه كما يُمحَّصُ الثوبُ في الماءِ، و يُكتَبُ له بكُلِّ خُطوةٍ حَجّةٌ، و كُلَّما رَفَعَ قَدَمَه عُمرةٌ</w:t>
      </w:r>
      <w:r>
        <w:rPr>
          <w:rFonts w:eastAsia="Amiri" w:cs="Amiri" w:ascii="Amiri" w:hAnsi="Amiri"/>
          <w:color w:val="111111"/>
          <w:sz w:val="28"/>
          <w:szCs w:val="28"/>
          <w:rtl w:val="true"/>
          <w:lang w:bidi="ar-SA"/>
        </w:rPr>
        <w:t>».</w:t>
      </w:r>
      <w:r>
        <w:rPr>
          <w:rStyle w:val="FootnoteAnchor"/>
          <w:rtl w:val="true"/>
        </w:rPr>
        <w:footnoteReference w:id="2295"/>
      </w:r>
    </w:p>
    <w:p>
      <w:pPr>
        <w:pStyle w:val="Heading5"/>
        <w:numPr>
          <w:ilvl w:val="4"/>
          <w:numId w:val="1"/>
        </w:numPr>
        <w:rPr/>
      </w:pPr>
      <w:bookmarkStart w:id="780" w:name="__RefHeading___Toc8040027_1280447820"/>
      <w:bookmarkStart w:id="781" w:name="_Toc288"/>
      <w:bookmarkEnd w:id="780"/>
      <w:r>
        <w:rPr>
          <w:rtl w:val="true"/>
        </w:rPr>
        <w:t>مَسألةٌ تاسعةٌ و ثَلاثونَ حقيقةُ المسافرِ الذي يَجِبُ عليه التقصيرُ</w:t>
      </w:r>
      <w:bookmarkEnd w:id="781"/>
    </w:p>
    <w:p>
      <w:pPr>
        <w:pStyle w:val="BookText"/>
        <w:rPr/>
      </w:pPr>
      <w:r>
        <w:rPr>
          <w:rFonts w:ascii="Amiri" w:hAnsi="Amiri" w:eastAsia="Amiri" w:cs="Amiri"/>
          <w:color w:val="111111"/>
          <w:sz w:val="28"/>
          <w:sz w:val="28"/>
          <w:szCs w:val="28"/>
          <w:rtl w:val="true"/>
          <w:lang w:bidi="ar-SA"/>
        </w:rPr>
        <w:t xml:space="preserve">التقصيرُ في الصلاةِ و الصيامِ واجبٌ لِمَن يُسافِرُ في طاعةِ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و الجهادِ و الزيارةِ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أم</w:t>
      </w:r>
      <w:r>
        <w:rPr>
          <w:rStyle w:val="FootnoteAnchor"/>
          <w:rtl w:val="true"/>
        </w:rPr>
        <w:footnoteReference w:id="2296"/>
      </w:r>
      <w:r>
        <w:rPr>
          <w:rFonts w:ascii="Amiri" w:hAnsi="Amiri" w:eastAsia="Amiri" w:cs="Amiri"/>
          <w:color w:val="111111"/>
          <w:sz w:val="28"/>
          <w:sz w:val="28"/>
          <w:szCs w:val="28"/>
          <w:rtl w:val="true"/>
          <w:lang w:bidi="ar-SA"/>
        </w:rPr>
        <w:t>للتاجرِ و الجُنديِّ‌</w:t>
      </w:r>
      <w:r>
        <w:rPr>
          <w:rStyle w:val="FootnoteAnchor"/>
          <w:rtl w:val="true"/>
        </w:rPr>
        <w:footnoteReference w:id="2297"/>
      </w:r>
      <w:r>
        <w:rPr>
          <w:rFonts w:ascii="Amiri" w:hAnsi="Amiri" w:eastAsia="Amiri" w:cs="Amiri"/>
          <w:color w:val="111111"/>
          <w:sz w:val="28"/>
          <w:sz w:val="28"/>
          <w:szCs w:val="28"/>
          <w:rtl w:val="true"/>
          <w:lang w:bidi="ar-SA"/>
        </w:rPr>
        <w:t>و كُلِّ مُسافِرٍ؟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التقصيرُ إنّما يَجِبُ علىٰ مَن كان سَفَرُه لَيسَ بمَعصيةٍ؛ سَواءٌ كانَ مُباحاً أو طاعةً</w:t>
      </w:r>
      <w:r>
        <w:rPr>
          <w:rFonts w:eastAsia="Amiri" w:cs="Amiri" w:ascii="Amiri" w:hAnsi="Amiri"/>
          <w:color w:val="111111"/>
          <w:sz w:val="28"/>
          <w:szCs w:val="28"/>
          <w:rtl w:val="true"/>
          <w:lang w:bidi="ar-SA"/>
        </w:rPr>
        <w:t>.</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و مَن كانَ سَفَرُه أكثَرَ مِن حَضَرِه، فلا تقصيرَ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تقصيرَ علَى المُتصيِّدِ</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8040029_1280447820"/>
      <w:bookmarkStart w:id="783" w:name="_Toc289"/>
      <w:bookmarkEnd w:id="782"/>
      <w:r>
        <w:rPr>
          <w:rtl w:val="true"/>
        </w:rPr>
        <w:t>مَسألةٌ أربَعونَ استحبابُ التختُّمِ باليَدِ اليُمنىٰ‌</w:t>
      </w:r>
      <w:bookmarkEnd w:id="78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التخَتُّمُ، في اليَدَينِ، أم في اليُمنىٰ‌</w:t>
      </w:r>
      <w:r>
        <w:rPr>
          <w:rStyle w:val="FootnoteAnchor"/>
          <w:rtl w:val="true"/>
        </w:rPr>
        <w:footnoteReference w:id="2299"/>
      </w:r>
      <w:r>
        <w:rPr>
          <w:rFonts w:ascii="Amiri" w:hAnsi="Amiri" w:eastAsia="Amiri" w:cs="Amiri"/>
          <w:color w:val="111111"/>
          <w:sz w:val="28"/>
          <w:sz w:val="28"/>
          <w:szCs w:val="28"/>
          <w:rtl w:val="true"/>
          <w:lang w:bidi="ar-SA"/>
        </w:rPr>
        <w:t xml:space="preserve">وَحدَها؟ </w:t>
      </w:r>
      <w:bookmarkStart w:id="784" w:name="pg16437_172709"/>
    </w:p>
    <w:p>
      <w:pPr>
        <w:pStyle w:val="BookText"/>
        <w:rPr/>
      </w:pPr>
      <w:bookmarkEnd w:id="78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المسنونُ في الخاتَمِ أن يَكونَ في اليَمينِ‌</w:t>
      </w:r>
      <w:r>
        <w:rPr>
          <w:rStyle w:val="FootnoteAnchor"/>
          <w:rtl w:val="true"/>
        </w:rPr>
        <w:footnoteReference w:id="2300"/>
      </w:r>
      <w:r>
        <w:rPr>
          <w:rFonts w:ascii="Amiri" w:hAnsi="Amiri" w:eastAsia="Amiri" w:cs="Amiri"/>
          <w:color w:val="111111"/>
          <w:sz w:val="28"/>
          <w:sz w:val="28"/>
          <w:szCs w:val="28"/>
          <w:rtl w:val="true"/>
          <w:lang w:bidi="ar-SA"/>
        </w:rPr>
        <w:t>، مع الِاختيارِ و عدمِ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أضافَ إلَى اليَمينِ اليَسارَ،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الِاقتصارُ علَى اليَسارِ مِن غيرِ تَقيّةٍ</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8040031_1280447820"/>
      <w:bookmarkStart w:id="786" w:name="_Toc290"/>
      <w:bookmarkEnd w:id="785"/>
      <w:r>
        <w:rPr>
          <w:rtl w:val="true"/>
        </w:rPr>
        <w:t>مَسألةٌ حاديةٌ و أربَعونَ المُعوَّلُ في معرفةِ أوائلِ الشُّهورِ</w:t>
      </w:r>
      <w:bookmarkEnd w:id="786"/>
    </w:p>
    <w:p>
      <w:pPr>
        <w:pStyle w:val="BookText"/>
        <w:rPr/>
      </w:pPr>
      <w:r>
        <w:rPr>
          <w:rFonts w:ascii="Amiri" w:hAnsi="Amiri" w:eastAsia="Amiri" w:cs="Amiri"/>
          <w:color w:val="111111"/>
          <w:sz w:val="28"/>
          <w:sz w:val="28"/>
          <w:szCs w:val="28"/>
          <w:rtl w:val="true"/>
          <w:lang w:bidi="ar-SA"/>
        </w:rPr>
        <w:t>الهِلالُ يُغَمُّ‌</w:t>
      </w:r>
      <w:r>
        <w:rPr>
          <w:rStyle w:val="FootnoteAnchor"/>
          <w:rtl w:val="true"/>
        </w:rPr>
        <w:footnoteReference w:id="2301"/>
      </w:r>
      <w:r>
        <w:rPr>
          <w:rFonts w:ascii="Amiri" w:hAnsi="Amiri" w:eastAsia="Amiri" w:cs="Amiri"/>
          <w:color w:val="111111"/>
          <w:sz w:val="28"/>
          <w:sz w:val="28"/>
          <w:szCs w:val="28"/>
          <w:rtl w:val="true"/>
          <w:lang w:bidi="ar-SA"/>
        </w:rPr>
        <w:t>في بِلادِنا كَثيراً و يَخفىٰ‌</w:t>
      </w:r>
      <w:r>
        <w:rPr>
          <w:rStyle w:val="FootnoteAnchor"/>
          <w:rtl w:val="true"/>
        </w:rPr>
        <w:footnoteReference w:id="2302"/>
      </w:r>
      <w:r>
        <w:rPr>
          <w:rFonts w:ascii="Amiri" w:hAnsi="Amiri" w:eastAsia="Amiri" w:cs="Amiri"/>
          <w:color w:val="111111"/>
          <w:sz w:val="28"/>
          <w:sz w:val="28"/>
          <w:szCs w:val="28"/>
          <w:rtl w:val="true"/>
          <w:lang w:bidi="ar-SA"/>
        </w:rPr>
        <w:t>علينا؛ فهَل له حِسابٌ يُعوَّلُ عليه، غيرُ رأيِ العَينِ؟</w:t>
      </w:r>
    </w:p>
    <w:p>
      <w:pPr>
        <w:pStyle w:val="BookText"/>
        <w:rPr/>
      </w:pPr>
      <w:r>
        <w:rPr>
          <w:rFonts w:ascii="Amiri" w:hAnsi="Amiri" w:eastAsia="Amiri" w:cs="Amiri"/>
          <w:color w:val="111111"/>
          <w:sz w:val="28"/>
          <w:sz w:val="28"/>
          <w:szCs w:val="28"/>
          <w:rtl w:val="true"/>
          <w:lang w:bidi="ar-SA"/>
        </w:rPr>
        <w:t>و اليومُ الذي يُرىٰ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 أم</w:t>
      </w:r>
      <w:r>
        <w:rPr>
          <w:rStyle w:val="FootnoteAnchor"/>
          <w:rtl w:val="true"/>
        </w:rPr>
        <w:footnoteReference w:id="2303"/>
      </w:r>
      <w:r>
        <w:rPr>
          <w:rFonts w:ascii="Amiri" w:hAnsi="Amiri" w:eastAsia="Amiri" w:cs="Amiri"/>
          <w:color w:val="111111"/>
          <w:sz w:val="28"/>
          <w:sz w:val="28"/>
          <w:szCs w:val="28"/>
          <w:rtl w:val="true"/>
          <w:lang w:bidi="ar-SA"/>
        </w:rPr>
        <w:t>مِن الشهرِ المُتقدِّمِ؟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المُعوَّلُ في مَعرفةِ أوائلِ الشهورِ و أواخِرِها، علىٰ رؤيةِ الهِلالِ، دونَ الحِسابِ و العَدَدِ؛</w:t>
      </w:r>
      <w:r>
        <w:rPr>
          <w:rStyle w:val="FootnoteAnchor"/>
          <w:rtl w:val="true"/>
        </w:rPr>
        <w:footnoteReference w:id="2304"/>
      </w:r>
      <w:r>
        <w:rPr>
          <w:rFonts w:ascii="Amiri" w:hAnsi="Amiri" w:eastAsia="Amiri" w:cs="Amiri"/>
          <w:color w:val="111111"/>
          <w:sz w:val="28"/>
          <w:sz w:val="28"/>
          <w:szCs w:val="28"/>
          <w:rtl w:val="true"/>
          <w:lang w:bidi="ar-SA"/>
        </w:rPr>
        <w:t>فإذا رُئيَ‌</w:t>
      </w:r>
      <w:r>
        <w:rPr>
          <w:rStyle w:val="FootnoteAnchor"/>
          <w:rtl w:val="true"/>
        </w:rPr>
        <w:footnoteReference w:id="2305"/>
      </w:r>
      <w:r>
        <w:rPr>
          <w:rFonts w:ascii="Amiri" w:hAnsi="Amiri" w:eastAsia="Amiri" w:cs="Amiri"/>
          <w:color w:val="111111"/>
          <w:sz w:val="28"/>
          <w:sz w:val="28"/>
          <w:szCs w:val="28"/>
          <w:rtl w:val="true"/>
          <w:lang w:bidi="ar-SA"/>
        </w:rPr>
        <w:t>الهِلالُ لَيلةَ ثَلاثينَ، فهو أوّلُ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غُمَّ، فالشهرُ ثَلاثونَ؛ و لا تعويلَ إلّاعلىٰ ذلكَ، دونَ ما يَدَّعيهِ أصحابُ العَدَدِ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رُئيَ الهِلالُ في نَهارِ يومٍ، فذلكَ اليومُ مِن الشهرِ الماضي دونَ المُستَقبَلِ</w:t>
      </w:r>
      <w:r>
        <w:rPr>
          <w:rFonts w:eastAsia="Amiri" w:cs="Amiri" w:ascii="Amiri" w:hAnsi="Amiri"/>
          <w:color w:val="111111"/>
          <w:sz w:val="28"/>
          <w:szCs w:val="28"/>
          <w:rtl w:val="true"/>
          <w:lang w:bidi="ar-SA"/>
        </w:rPr>
        <w:t xml:space="preserve">. </w:t>
      </w:r>
      <w:bookmarkStart w:id="787" w:name="pg16437_172710"/>
    </w:p>
    <w:p>
      <w:pPr>
        <w:pStyle w:val="Heading5"/>
        <w:numPr>
          <w:ilvl w:val="4"/>
          <w:numId w:val="1"/>
        </w:numPr>
        <w:rPr/>
      </w:pPr>
      <w:bookmarkStart w:id="788" w:name="__RefHeading___Toc8040033_1280447820"/>
      <w:bookmarkStart w:id="789" w:name="_Toc291"/>
      <w:bookmarkEnd w:id="787"/>
      <w:bookmarkEnd w:id="788"/>
      <w:r>
        <w:rPr>
          <w:rtl w:val="true"/>
        </w:rPr>
        <w:t>مَسألةٌ ثانيةٌ و أربَعونَ حُكمُ لَحمِ الأرنَبِ‌</w:t>
      </w:r>
      <w:bookmarkEnd w:id="789"/>
    </w:p>
    <w:p>
      <w:pPr>
        <w:pStyle w:val="BookText"/>
        <w:rPr/>
      </w:pPr>
      <w:r>
        <w:rPr>
          <w:rFonts w:ascii="Amiri" w:hAnsi="Amiri" w:eastAsia="Amiri" w:cs="Amiri"/>
          <w:color w:val="111111"/>
          <w:sz w:val="28"/>
          <w:sz w:val="28"/>
          <w:szCs w:val="28"/>
          <w:rtl w:val="true"/>
          <w:lang w:bidi="ar-SA"/>
        </w:rPr>
        <w:t>لَحمُ الأرنَبِ حَلالٌ، أم حَرامٌ؟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لَحمُ الأرنَبِ حَرامٌ عندَ أهلِ البَيتِ عليهم السلامُ، و قد وَرَدَت رواياتٌ كَثيرةٌ بذلكَ</w:t>
      </w:r>
      <w:r>
        <w:rPr>
          <w:rFonts w:eastAsia="Amiri" w:cs="Amiri" w:ascii="Amiri" w:hAnsi="Amiri"/>
          <w:color w:val="111111"/>
          <w:sz w:val="28"/>
          <w:szCs w:val="28"/>
          <w:rtl w:val="true"/>
          <w:lang w:bidi="ar-SA"/>
        </w:rPr>
        <w:t>.</w:t>
      </w:r>
      <w:r>
        <w:rPr>
          <w:rStyle w:val="FootnoteAnchor"/>
          <w:rtl w:val="true"/>
        </w:rPr>
        <w:footnoteReference w:id="2306"/>
      </w:r>
      <w:r>
        <w:rPr>
          <w:rFonts w:ascii="Amiri" w:hAnsi="Amiri" w:eastAsia="Amiri" w:cs="Amiri"/>
          <w:color w:val="111111"/>
          <w:sz w:val="28"/>
          <w:sz w:val="28"/>
          <w:szCs w:val="28"/>
          <w:rtl w:val="true"/>
          <w:lang w:bidi="ar-SA"/>
        </w:rPr>
        <w:t>و لا خِلافَ بَينَ الشيعةِ الإماميّةِ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الأرنَبُ عندَهم نَجِسٌ؛ لا يُستَباحُ وَبَرُه و</w:t>
      </w:r>
      <w:r>
        <w:rPr>
          <w:rStyle w:val="FootnoteAnchor"/>
          <w:rtl w:val="true"/>
        </w:rPr>
        <w:footnoteReference w:id="2307"/>
      </w:r>
      <w:r>
        <w:rPr>
          <w:rFonts w:ascii="Amiri" w:hAnsi="Amiri" w:eastAsia="Amiri" w:cs="Amiri"/>
          <w:color w:val="111111"/>
          <w:sz w:val="28"/>
          <w:sz w:val="28"/>
          <w:szCs w:val="28"/>
          <w:rtl w:val="true"/>
          <w:lang w:bidi="ar-SA"/>
        </w:rPr>
        <w:t>صوفُه</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8040035_1280447820"/>
      <w:bookmarkStart w:id="791" w:name="_Toc292"/>
      <w:bookmarkEnd w:id="790"/>
      <w:r>
        <w:rPr>
          <w:rtl w:val="true"/>
        </w:rPr>
        <w:t>مَسألةٌ ثالثةٌ و أربَعونَ حُكمُ شُربِ الفُقّاعِ‌</w:t>
      </w:r>
      <w:bookmarkEnd w:id="791"/>
    </w:p>
    <w:p>
      <w:pPr>
        <w:pStyle w:val="BookText"/>
        <w:rPr/>
      </w:pPr>
      <w:r>
        <w:rPr>
          <w:rFonts w:ascii="Amiri" w:hAnsi="Amiri" w:eastAsia="Amiri" w:cs="Amiri"/>
          <w:color w:val="111111"/>
          <w:sz w:val="28"/>
          <w:sz w:val="28"/>
          <w:szCs w:val="28"/>
          <w:rtl w:val="true"/>
          <w:lang w:bidi="ar-SA"/>
        </w:rPr>
        <w:t>ما حُكمُ‌</w:t>
      </w:r>
      <w:r>
        <w:rPr>
          <w:rStyle w:val="FootnoteAnchor"/>
          <w:rtl w:val="true"/>
        </w:rPr>
        <w:footnoteReference w:id="2308"/>
      </w:r>
      <w:r>
        <w:rPr>
          <w:rFonts w:ascii="Amiri" w:hAnsi="Amiri" w:eastAsia="Amiri" w:cs="Amiri"/>
          <w:color w:val="111111"/>
          <w:sz w:val="28"/>
          <w:sz w:val="28"/>
          <w:szCs w:val="28"/>
          <w:rtl w:val="true"/>
          <w:lang w:bidi="ar-SA"/>
        </w:rPr>
        <w:t>شُربِ الفُقّاعِ؟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الشيعةِ الإماميّةِ حَرامٌ، يَجري في التحريمِ مَجرَى الأشربةِ المُسكِرةِ‌</w:t>
      </w:r>
      <w:r>
        <w:rPr>
          <w:rStyle w:val="FootnoteAnchor"/>
          <w:rtl w:val="true"/>
        </w:rPr>
        <w:footnoteReference w:id="2309"/>
      </w:r>
      <w:r>
        <w:rPr>
          <w:rFonts w:ascii="Amiri" w:hAnsi="Amiri" w:eastAsia="Amiri" w:cs="Amiri"/>
          <w:color w:val="111111"/>
          <w:sz w:val="28"/>
          <w:sz w:val="28"/>
          <w:szCs w:val="28"/>
          <w:rtl w:val="true"/>
          <w:lang w:bidi="ar-SA"/>
        </w:rPr>
        <w:t>، و إن لَم يَكُن في نفسِه مُسكِراً؛ فلَيسَ التحريمُ واقفاً</w:t>
      </w:r>
      <w:r>
        <w:rPr>
          <w:rStyle w:val="FootnoteAnchor"/>
          <w:rtl w:val="true"/>
        </w:rPr>
        <w:footnoteReference w:id="2310"/>
      </w:r>
      <w:r>
        <w:rPr>
          <w:rFonts w:ascii="Amiri" w:hAnsi="Amiri" w:eastAsia="Amiri" w:cs="Amiri"/>
          <w:color w:val="111111"/>
          <w:sz w:val="28"/>
          <w:sz w:val="28"/>
          <w:szCs w:val="28"/>
          <w:rtl w:val="true"/>
          <w:lang w:bidi="ar-SA"/>
        </w:rPr>
        <w:t>علَى الإسكارِ</w:t>
      </w:r>
      <w:r>
        <w:rPr>
          <w:rFonts w:eastAsia="Amiri" w:cs="Amiri" w:ascii="Amiri" w:hAnsi="Amiri"/>
          <w:color w:val="111111"/>
          <w:sz w:val="28"/>
          <w:szCs w:val="28"/>
          <w:rtl w:val="true"/>
          <w:lang w:bidi="ar-SA"/>
        </w:rPr>
        <w:t xml:space="preserve">. </w:t>
      </w:r>
      <w:bookmarkStart w:id="792" w:name="pg16437_172711"/>
    </w:p>
    <w:p>
      <w:pPr>
        <w:pStyle w:val="BookText"/>
        <w:rPr/>
      </w:pPr>
      <w:bookmarkEnd w:id="792"/>
      <w:r>
        <w:rPr>
          <w:rFonts w:ascii="Amiri" w:hAnsi="Amiri" w:eastAsia="Amiri" w:cs="Amiri"/>
          <w:color w:val="111111"/>
          <w:sz w:val="28"/>
          <w:sz w:val="28"/>
          <w:szCs w:val="28"/>
          <w:rtl w:val="true"/>
          <w:lang w:bidi="ar-SA"/>
        </w:rPr>
        <w:t>و مَن شَرِبَ الفُقّاعَ، وَجَبَ عليه عندَهم الحَدُّ، كما يَجِبُ‌</w:t>
      </w:r>
      <w:r>
        <w:rPr>
          <w:rStyle w:val="FootnoteAnchor"/>
          <w:rtl w:val="true"/>
        </w:rPr>
        <w:footnoteReference w:id="2311"/>
      </w:r>
      <w:r>
        <w:rPr>
          <w:rFonts w:ascii="Amiri" w:hAnsi="Amiri" w:eastAsia="Amiri" w:cs="Amiri"/>
          <w:color w:val="111111"/>
          <w:sz w:val="28"/>
          <w:sz w:val="28"/>
          <w:szCs w:val="28"/>
          <w:rtl w:val="true"/>
          <w:lang w:bidi="ar-SA"/>
        </w:rPr>
        <w:t>علىٰ مَن شَرِبَ الخَمرَ</w:t>
      </w:r>
      <w:r>
        <w:rPr>
          <w:rStyle w:val="FootnoteAnchor"/>
          <w:rtl w:val="true"/>
        </w:rPr>
        <w:footnoteReference w:id="2312"/>
      </w:r>
      <w:r>
        <w:rPr>
          <w:rFonts w:ascii="Amiri" w:hAnsi="Amiri" w:eastAsia="Amiri" w:cs="Amiri"/>
          <w:color w:val="111111"/>
          <w:sz w:val="28"/>
          <w:sz w:val="28"/>
          <w:szCs w:val="28"/>
          <w:rtl w:val="true"/>
          <w:lang w:bidi="ar-SA"/>
        </w:rPr>
        <w:t>و سائرَ الأشرِبةِ المُسكِرةِ</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8040037_1280447820"/>
      <w:bookmarkStart w:id="794" w:name="_Toc293"/>
      <w:bookmarkEnd w:id="793"/>
      <w:r>
        <w:rPr>
          <w:rtl w:val="true"/>
        </w:rPr>
        <w:t>مَسألةٌ رابعةٌ و أربَعونَ حِلّيّةُ المُتعةِ‌</w:t>
      </w:r>
      <w:bookmarkEnd w:id="794"/>
    </w:p>
    <w:p>
      <w:pPr>
        <w:pStyle w:val="BookText"/>
        <w:rPr/>
      </w:pPr>
      <w:r>
        <w:rPr>
          <w:rFonts w:ascii="Amiri" w:hAnsi="Amiri" w:eastAsia="Amiri" w:cs="Amiri"/>
          <w:color w:val="111111"/>
          <w:sz w:val="28"/>
          <w:sz w:val="28"/>
          <w:szCs w:val="28"/>
          <w:rtl w:val="true"/>
          <w:lang w:bidi="ar-SA"/>
        </w:rPr>
        <w:t>المُتعةُ، هَل تَجوزُ في وقتِنا هذا، أم لا؟</w:t>
      </w:r>
    </w:p>
    <w:p>
      <w:pPr>
        <w:pStyle w:val="BookText"/>
        <w:rPr/>
      </w:pPr>
      <w:r>
        <w:rPr>
          <w:rFonts w:ascii="Amiri" w:hAnsi="Amiri" w:eastAsia="Amiri" w:cs="Amiri"/>
          <w:color w:val="111111"/>
          <w:sz w:val="28"/>
          <w:sz w:val="28"/>
          <w:szCs w:val="28"/>
          <w:rtl w:val="true"/>
          <w:lang w:bidi="ar-SA"/>
        </w:rPr>
        <w:t>و بمَن تَكونُ؟</w:t>
      </w:r>
    </w:p>
    <w:p>
      <w:pPr>
        <w:pStyle w:val="BookText"/>
        <w:rPr/>
      </w:pPr>
      <w:r>
        <w:rPr>
          <w:rFonts w:ascii="Amiri" w:hAnsi="Amiri" w:eastAsia="Amiri" w:cs="Amiri"/>
          <w:color w:val="111111"/>
          <w:sz w:val="28"/>
          <w:sz w:val="28"/>
          <w:szCs w:val="28"/>
          <w:rtl w:val="true"/>
          <w:lang w:bidi="ar-SA"/>
        </w:rPr>
        <w:t>و ما شُروطُها؟</w:t>
      </w:r>
    </w:p>
    <w:p>
      <w:pPr>
        <w:pStyle w:val="BookText"/>
        <w:rPr/>
      </w:pPr>
      <w:r>
        <w:rPr>
          <w:rFonts w:ascii="Amiri" w:hAnsi="Amiri" w:eastAsia="Amiri" w:cs="Amiri"/>
          <w:color w:val="111111"/>
          <w:sz w:val="28"/>
          <w:sz w:val="28"/>
          <w:szCs w:val="28"/>
          <w:rtl w:val="true"/>
          <w:lang w:bidi="ar-SA"/>
        </w:rPr>
        <w:t>بمؤالِفٍ، أو مُخالِفٍ و ذِمّيٍّ؟</w:t>
      </w:r>
    </w:p>
    <w:p>
      <w:pPr>
        <w:pStyle w:val="BookText"/>
        <w:rPr/>
      </w:pPr>
      <w:r>
        <w:rPr>
          <w:rFonts w:ascii="Amiri" w:hAnsi="Amiri" w:eastAsia="Amiri" w:cs="Amiri"/>
          <w:color w:val="111111"/>
          <w:sz w:val="28"/>
          <w:sz w:val="28"/>
          <w:szCs w:val="28"/>
          <w:rtl w:val="true"/>
          <w:lang w:bidi="ar-SA"/>
        </w:rPr>
        <w:t>و هَل للولدِ ميراثٌ كغَيرِه</w:t>
      </w:r>
      <w:r>
        <w:rPr>
          <w:rStyle w:val="FootnoteAnchor"/>
          <w:rtl w:val="true"/>
        </w:rPr>
        <w:footnoteReference w:id="2313"/>
      </w:r>
      <w:r>
        <w:rPr>
          <w:rFonts w:ascii="Amiri" w:hAnsi="Amiri" w:eastAsia="Amiri" w:cs="Amiri"/>
          <w:color w:val="111111"/>
          <w:sz w:val="28"/>
          <w:sz w:val="28"/>
          <w:szCs w:val="28"/>
          <w:rtl w:val="true"/>
          <w:lang w:bidi="ar-SA"/>
        </w:rPr>
        <w:t>مِن الأولادِ،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المُتعةُ مُباحةٌ مِن زمنِ رسولِ اللّٰهِ صَلَّى اللّٰهُ عليه و آلِه و إلىٰ‌</w:t>
      </w:r>
      <w:r>
        <w:rPr>
          <w:rStyle w:val="FootnoteAnchor"/>
          <w:rtl w:val="true"/>
        </w:rPr>
        <w:footnoteReference w:id="2314"/>
      </w:r>
      <w:r>
        <w:rPr>
          <w:rFonts w:ascii="Amiri" w:hAnsi="Amiri" w:eastAsia="Amiri" w:cs="Amiri"/>
          <w:color w:val="111111"/>
          <w:sz w:val="28"/>
          <w:sz w:val="28"/>
          <w:szCs w:val="28"/>
          <w:rtl w:val="true"/>
          <w:lang w:bidi="ar-SA"/>
        </w:rPr>
        <w:t>وقتِنا هذا، و ما تَغيَّرَت إباحتُها إلىٰ 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يُتمتَّعَ بالمؤمِناتِ، دونَ المُخالِفاتِ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يَجوزُ عندَ عدمِ المؤمِناتِ أن يُتمتَّعَ بالمُستَضعَفاتِ اللواتي لَسنَ بمُعانِداتٍ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يَجوزُ عندَ الضرورةِ التمتُّعُ بالذِّمّيّةِ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شُروطِها الذي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الأجَلِ، و الأجرِ؛</w:t>
      </w:r>
      <w:r>
        <w:rPr>
          <w:rStyle w:val="FootnoteAnchor"/>
          <w:rtl w:val="true"/>
        </w:rPr>
        <w:footnoteReference w:id="2315"/>
      </w:r>
      <w:r>
        <w:rPr>
          <w:rFonts w:ascii="Amiri" w:hAnsi="Amiri" w:eastAsia="Amiri" w:cs="Amiri"/>
          <w:color w:val="111111"/>
          <w:sz w:val="28"/>
          <w:sz w:val="28"/>
          <w:szCs w:val="28"/>
          <w:rtl w:val="true"/>
          <w:lang w:bidi="ar-SA"/>
        </w:rPr>
        <w:t>مِن غيرِ إبهامٍ لهما</w:t>
      </w:r>
      <w:r>
        <w:rPr>
          <w:rFonts w:eastAsia="Amiri" w:cs="Amiri" w:ascii="Amiri" w:hAnsi="Amiri"/>
          <w:color w:val="111111"/>
          <w:sz w:val="28"/>
          <w:szCs w:val="28"/>
          <w:rtl w:val="true"/>
          <w:lang w:bidi="ar-SA"/>
        </w:rPr>
        <w:t xml:space="preserve">. </w:t>
      </w:r>
      <w:bookmarkStart w:id="795" w:name="pg16437_172712"/>
    </w:p>
    <w:p>
      <w:pPr>
        <w:pStyle w:val="BookText"/>
        <w:rPr/>
      </w:pPr>
      <w:bookmarkEnd w:id="795"/>
      <w:r>
        <w:rPr>
          <w:rFonts w:ascii="Amiri" w:hAnsi="Amiri" w:eastAsia="Amiri" w:cs="Amiri"/>
          <w:color w:val="111111"/>
          <w:sz w:val="28"/>
          <w:sz w:val="28"/>
          <w:szCs w:val="28"/>
          <w:rtl w:val="true"/>
          <w:lang w:bidi="ar-SA"/>
        </w:rPr>
        <w:t>و الولدُ لاحِقٌ، و هو يَرِثُ أباه، كما يَرِثُه أولادُه مِن غيرِ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المُتمتَّعُ بها، فلا ميراثَ لها إن شُرِطَ في العَقدِ ذلكَ؛ و إن لَم يُشرَطْ</w:t>
      </w:r>
      <w:r>
        <w:rPr>
          <w:rStyle w:val="FootnoteAnchor"/>
          <w:rtl w:val="true"/>
        </w:rPr>
        <w:footnoteReference w:id="2316"/>
      </w:r>
      <w:r>
        <w:rPr>
          <w:rFonts w:ascii="Amiri" w:hAnsi="Amiri" w:eastAsia="Amiri" w:cs="Amiri"/>
          <w:color w:val="111111"/>
          <w:sz w:val="28"/>
          <w:sz w:val="28"/>
          <w:szCs w:val="28"/>
          <w:rtl w:val="true"/>
          <w:lang w:bidi="ar-SA"/>
        </w:rPr>
        <w:t>، كانَ لها الميراثُ</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8040039_1280447820"/>
      <w:bookmarkStart w:id="797" w:name="_Toc294"/>
      <w:bookmarkEnd w:id="796"/>
      <w:r>
        <w:rPr>
          <w:rtl w:val="true"/>
        </w:rPr>
        <w:t>مَسألةٌ خامسةٌ و أربَعونَ حُرمةُ اللَّعِبِ بالشِّطْرَنجِ و النَّرْدِ</w:t>
      </w:r>
      <w:bookmarkEnd w:id="797"/>
    </w:p>
    <w:p>
      <w:pPr>
        <w:pStyle w:val="BookText"/>
        <w:rPr/>
      </w:pPr>
      <w:r>
        <w:rPr>
          <w:rFonts w:ascii="Amiri" w:hAnsi="Amiri" w:eastAsia="Amiri" w:cs="Amiri"/>
          <w:color w:val="111111"/>
          <w:sz w:val="28"/>
          <w:sz w:val="28"/>
          <w:szCs w:val="28"/>
          <w:rtl w:val="true"/>
          <w:lang w:bidi="ar-SA"/>
        </w:rPr>
        <w:t>لَعِبُ الشِّطْرَنجِ و النَّرْدِ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اللَّعِبُ بالشِّطْرَنجِ و النَّرْدِ مُحرَّمٌ محظورٌ، و اللَّعِبُ بالنَّرْدِ أغلَظُ و أعظَمُ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فُسحةَ‌</w:t>
      </w:r>
      <w:r>
        <w:rPr>
          <w:rStyle w:val="FootnoteAnchor"/>
          <w:rtl w:val="true"/>
        </w:rPr>
        <w:footnoteReference w:id="2317"/>
      </w:r>
      <w:r>
        <w:rPr>
          <w:rFonts w:ascii="Amiri" w:hAnsi="Amiri" w:eastAsia="Amiri" w:cs="Amiri"/>
          <w:color w:val="111111"/>
          <w:sz w:val="28"/>
          <w:sz w:val="28"/>
          <w:szCs w:val="28"/>
          <w:rtl w:val="true"/>
          <w:lang w:bidi="ar-SA"/>
        </w:rPr>
        <w:t>عندَ الشيعةِ الإماميّةِ في اللَّعِبِ بشَيءٍ منها علىٰ وجهٍ و لا سببٍ‌</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8040041_1280447820"/>
      <w:bookmarkStart w:id="799" w:name="_Toc295"/>
      <w:bookmarkEnd w:id="798"/>
      <w:r>
        <w:rPr>
          <w:rtl w:val="true"/>
        </w:rPr>
        <w:t>مَسألةٌ سادسةٌ و أربَعونَ حُكمُ لُبسِ جُلودِ الثعالبِ و الأرانبِ، و الصلاةِ فيها</w:t>
      </w:r>
      <w:bookmarkEnd w:id="799"/>
    </w:p>
    <w:p>
      <w:pPr>
        <w:pStyle w:val="BookText"/>
        <w:rPr/>
      </w:pPr>
      <w:r>
        <w:rPr>
          <w:rFonts w:ascii="Amiri" w:hAnsi="Amiri" w:eastAsia="Amiri" w:cs="Amiri"/>
          <w:color w:val="111111"/>
          <w:sz w:val="28"/>
          <w:sz w:val="28"/>
          <w:szCs w:val="28"/>
          <w:rtl w:val="true"/>
          <w:lang w:bidi="ar-SA"/>
        </w:rPr>
        <w:t>لُبسُ وَبَرِ الثعلَبِ و الأَرنَبِ‌</w:t>
      </w:r>
      <w:r>
        <w:rPr>
          <w:rStyle w:val="FootnoteAnchor"/>
          <w:rtl w:val="true"/>
        </w:rPr>
        <w:footnoteReference w:id="2319"/>
      </w:r>
      <w:r>
        <w:rPr>
          <w:rFonts w:ascii="Amiri" w:hAnsi="Amiri" w:eastAsia="Amiri" w:cs="Amiri"/>
          <w:color w:val="111111"/>
          <w:sz w:val="28"/>
          <w:sz w:val="28"/>
          <w:szCs w:val="28"/>
          <w:rtl w:val="true"/>
          <w:lang w:bidi="ar-SA"/>
        </w:rPr>
        <w:t>و ما يَجري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تَجوزُ</w:t>
      </w:r>
      <w:r>
        <w:rPr>
          <w:rStyle w:val="FootnoteAnchor"/>
          <w:rtl w:val="true"/>
        </w:rPr>
        <w:footnoteReference w:id="2320"/>
      </w:r>
      <w:r>
        <w:rPr>
          <w:rFonts w:ascii="Amiri" w:hAnsi="Amiri" w:eastAsia="Amiri" w:cs="Amiri"/>
          <w:color w:val="111111"/>
          <w:sz w:val="28"/>
          <w:sz w:val="28"/>
          <w:szCs w:val="28"/>
          <w:rtl w:val="true"/>
          <w:lang w:bidi="ar-SA"/>
        </w:rPr>
        <w:t>الصلاةُ فيه،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لُبسُ جُلودِ الثعالِبِ و الأرانِبِ و ما اتُّخِذَ مِن أوبارِهما، لا قَبلَ الدِّباغِ‌</w:t>
      </w:r>
      <w:r>
        <w:rPr>
          <w:rStyle w:val="FootnoteAnchor"/>
          <w:rtl w:val="true"/>
        </w:rPr>
        <w:footnoteReference w:id="2321"/>
      </w:r>
      <w:r>
        <w:rPr>
          <w:rFonts w:ascii="Amiri" w:hAnsi="Amiri" w:eastAsia="Amiri" w:cs="Amiri"/>
          <w:color w:val="111111"/>
          <w:sz w:val="28"/>
          <w:sz w:val="28"/>
          <w:szCs w:val="28"/>
          <w:rtl w:val="true"/>
          <w:lang w:bidi="ar-SA"/>
        </w:rPr>
        <w:t>و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الشيعةِ الإماميةِ خاصّةً عليه</w:t>
      </w:r>
      <w:r>
        <w:rPr>
          <w:rFonts w:eastAsia="Amiri" w:cs="Amiri" w:ascii="Amiri" w:hAnsi="Amiri"/>
          <w:color w:val="111111"/>
          <w:sz w:val="28"/>
          <w:szCs w:val="28"/>
          <w:rtl w:val="true"/>
          <w:lang w:bidi="ar-SA"/>
        </w:rPr>
        <w:t xml:space="preserve">. </w:t>
      </w:r>
      <w:bookmarkStart w:id="800" w:name="pg16437_172713"/>
    </w:p>
    <w:p>
      <w:pPr>
        <w:pStyle w:val="Heading5"/>
        <w:numPr>
          <w:ilvl w:val="4"/>
          <w:numId w:val="1"/>
        </w:numPr>
        <w:rPr/>
      </w:pPr>
      <w:bookmarkStart w:id="801" w:name="__RefHeading___Toc8040043_1280447820"/>
      <w:bookmarkStart w:id="802" w:name="_Toc296"/>
      <w:bookmarkEnd w:id="800"/>
      <w:bookmarkEnd w:id="801"/>
      <w:r>
        <w:rPr>
          <w:rtl w:val="true"/>
        </w:rPr>
        <w:t>مَسألةٌ سابعةٌ و أربَعونَ لُبسُ ما يُتَّخَذُ مِن جُلودِ الغَنَمِ‌</w:t>
      </w:r>
      <w:bookmarkEnd w:id="802"/>
    </w:p>
    <w:p>
      <w:pPr>
        <w:pStyle w:val="BookText"/>
        <w:rPr/>
      </w:pPr>
      <w:r>
        <w:rPr>
          <w:rFonts w:ascii="Amiri" w:hAnsi="Amiri" w:eastAsia="Amiri" w:cs="Amiri"/>
          <w:color w:val="111111"/>
          <w:sz w:val="28"/>
          <w:sz w:val="28"/>
          <w:szCs w:val="28"/>
          <w:rtl w:val="true"/>
          <w:lang w:bidi="ar-SA"/>
        </w:rPr>
        <w:t>ما يُلبَسُ مِن</w:t>
      </w:r>
      <w:r>
        <w:rPr>
          <w:rStyle w:val="FootnoteAnchor"/>
          <w:rtl w:val="true"/>
        </w:rPr>
        <w:footnoteReference w:id="2322"/>
      </w:r>
      <w:r>
        <w:rPr>
          <w:rFonts w:ascii="Amiri" w:hAnsi="Amiri" w:eastAsia="Amiri" w:cs="Amiri"/>
          <w:color w:val="111111"/>
          <w:sz w:val="28"/>
          <w:sz w:val="28"/>
          <w:szCs w:val="28"/>
          <w:rtl w:val="true"/>
          <w:lang w:bidi="ar-SA"/>
        </w:rPr>
        <w:t>الفَروِ و الفِراءِ‌</w:t>
      </w:r>
      <w:r>
        <w:rPr>
          <w:rStyle w:val="FootnoteAnchor"/>
          <w:rtl w:val="true"/>
        </w:rPr>
        <w:footnoteReference w:id="2323"/>
      </w:r>
      <w:r>
        <w:rPr>
          <w:rFonts w:ascii="Amiri" w:hAnsi="Amiri" w:eastAsia="Amiri" w:cs="Amiri"/>
          <w:color w:val="111111"/>
          <w:sz w:val="28"/>
          <w:sz w:val="28"/>
          <w:szCs w:val="28"/>
          <w:rtl w:val="true"/>
          <w:lang w:bidi="ar-SA"/>
        </w:rPr>
        <w:t>الحُمُرِ</w:t>
      </w:r>
      <w:r>
        <w:rPr>
          <w:rStyle w:val="FootnoteAnchor"/>
          <w:rtl w:val="true"/>
        </w:rPr>
        <w:footnoteReference w:id="23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اتُّخِذَ مِن جُلودِ الغَنَمِ فَرواً بَعدَ الذكاةِ بالذَّبحِ يَجوزُ لُبسُه، قَبلَ الدِّباغِ إذا كانَ خالياً مِن نَجاسةِ الدمِ، و بَعدَ الدِّباغِ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في ذلكَ بَينَ المُسلِمينَ</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8040045_1280447820"/>
      <w:bookmarkStart w:id="804" w:name="_Toc297"/>
      <w:bookmarkEnd w:id="803"/>
      <w:r>
        <w:rPr>
          <w:rtl w:val="true"/>
        </w:rPr>
        <w:t>مَسألةٌ ثامنةٌ و أربَعونَ حُكمُ لُبسِ القَزِّ و الخَزِّ</w:t>
      </w:r>
      <w:bookmarkEnd w:id="804"/>
    </w:p>
    <w:p>
      <w:pPr>
        <w:pStyle w:val="BookText"/>
        <w:rPr/>
      </w:pPr>
      <w:r>
        <w:rPr>
          <w:rFonts w:ascii="Amiri" w:hAnsi="Amiri" w:eastAsia="Amiri" w:cs="Amiri"/>
          <w:color w:val="111111"/>
          <w:sz w:val="28"/>
          <w:sz w:val="28"/>
          <w:szCs w:val="28"/>
          <w:rtl w:val="true"/>
          <w:lang w:bidi="ar-SA"/>
        </w:rPr>
        <w:t>لُبسُ القَزِّ و الخَزِّ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Style w:val="FootnoteAnchor"/>
          <w:rtl w:val="true"/>
        </w:rPr>
        <w:footnoteReference w:id="2325"/>
      </w:r>
      <w:r>
        <w:rPr>
          <w:rFonts w:ascii="Amiri" w:hAnsi="Amiri" w:eastAsia="Amiri" w:cs="Amiri"/>
          <w:color w:val="111111"/>
          <w:sz w:val="28"/>
          <w:sz w:val="28"/>
          <w:szCs w:val="28"/>
          <w:rtl w:val="true"/>
          <w:lang w:bidi="ar-SA"/>
        </w:rPr>
        <w:t>القَزُّ و الإبريسَمُ مُحرَّمٌ لُبسُهما علَى الذُّكورِ دونَ الإناثِ، إذا كانَ الثوبُ منسوجاً بالقَزِّ خالصاً، مِن غيرِ أن يُخالِطَه شَيءٌ مِن القُطنِ و الكِتّانِ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w:t>
      </w:r>
      <w:r>
        <w:rPr>
          <w:rStyle w:val="FootnoteAnchor"/>
          <w:rtl w:val="true"/>
        </w:rPr>
        <w:footnoteReference w:id="2326"/>
      </w:r>
      <w:r>
        <w:rPr>
          <w:rFonts w:ascii="Amiri" w:hAnsi="Amiri" w:eastAsia="Amiri" w:cs="Amiri"/>
          <w:color w:val="111111"/>
          <w:sz w:val="28"/>
          <w:sz w:val="28"/>
          <w:szCs w:val="28"/>
          <w:rtl w:val="true"/>
          <w:lang w:bidi="ar-SA"/>
        </w:rPr>
        <w:t>الخَزُّ، فيَجوزُ لُبسُه بَعدَ الذَّكاةِ و الدِّباغِ،</w:t>
      </w:r>
      <w:r>
        <w:rPr>
          <w:rStyle w:val="FootnoteAnchor"/>
          <w:rtl w:val="true"/>
        </w:rPr>
        <w:footnoteReference w:id="2327"/>
      </w:r>
      <w:r>
        <w:rPr>
          <w:rFonts w:ascii="Amiri" w:hAnsi="Amiri" w:eastAsia="Amiri" w:cs="Amiri"/>
          <w:color w:val="111111"/>
          <w:sz w:val="28"/>
          <w:sz w:val="28"/>
          <w:szCs w:val="28"/>
          <w:rtl w:val="true"/>
          <w:lang w:bidi="ar-SA"/>
        </w:rPr>
        <w:t>للذُّكورِ و الإناثِ، علىٰ كُلِّ حالٍ</w:t>
      </w:r>
      <w:r>
        <w:rPr>
          <w:rFonts w:eastAsia="Amiri" w:cs="Amiri" w:ascii="Amiri" w:hAnsi="Amiri"/>
          <w:color w:val="111111"/>
          <w:sz w:val="28"/>
          <w:szCs w:val="28"/>
          <w:rtl w:val="true"/>
          <w:lang w:bidi="ar-SA"/>
        </w:rPr>
        <w:t xml:space="preserve">. </w:t>
      </w:r>
      <w:bookmarkStart w:id="805" w:name="pg16437_172714"/>
    </w:p>
    <w:p>
      <w:pPr>
        <w:pStyle w:val="Heading5"/>
        <w:numPr>
          <w:ilvl w:val="4"/>
          <w:numId w:val="1"/>
        </w:numPr>
        <w:rPr/>
      </w:pPr>
      <w:bookmarkStart w:id="806" w:name="__RefHeading___Toc8040047_1280447820"/>
      <w:bookmarkStart w:id="807" w:name="_Toc298"/>
      <w:bookmarkEnd w:id="805"/>
      <w:bookmarkEnd w:id="806"/>
      <w:r>
        <w:rPr>
          <w:rtl w:val="true"/>
        </w:rPr>
        <w:t>مسألةٌ تاسعةٌ و أربَعونَ معنىٰ تحليلِ المَولىٰ أمَتَه للغَيرِ</w:t>
      </w:r>
      <w:bookmarkEnd w:id="807"/>
    </w:p>
    <w:p>
      <w:pPr>
        <w:pStyle w:val="BookText"/>
        <w:rPr/>
      </w:pPr>
      <w:r>
        <w:rPr>
          <w:rFonts w:ascii="Amiri" w:hAnsi="Amiri" w:eastAsia="Amiri" w:cs="Amiri"/>
          <w:color w:val="111111"/>
          <w:sz w:val="28"/>
          <w:sz w:val="28"/>
          <w:szCs w:val="28"/>
          <w:rtl w:val="true"/>
          <w:lang w:bidi="ar-SA"/>
        </w:rPr>
        <w:t xml:space="preserve">القَولُ في المُحلِّلِ و المُحلَّلةِ موجودٌ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8"/>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للرجُلِ و المرأةِ أمَةٌ، فيُحِلُّها</w:t>
      </w:r>
      <w:r>
        <w:rPr>
          <w:rStyle w:val="FootnoteAnchor"/>
          <w:rtl w:val="true"/>
        </w:rPr>
        <w:footnoteReference w:id="2329"/>
      </w:r>
      <w:r>
        <w:rPr>
          <w:rFonts w:ascii="Amiri" w:hAnsi="Amiri" w:eastAsia="Amiri" w:cs="Amiri"/>
          <w:color w:val="111111"/>
          <w:sz w:val="28"/>
          <w:sz w:val="28"/>
          <w:szCs w:val="28"/>
          <w:rtl w:val="true"/>
          <w:lang w:bidi="ar-SA"/>
        </w:rPr>
        <w:t>لغَيرِه</w:t>
      </w:r>
      <w:r>
        <w:rPr>
          <w:rStyle w:val="FootnoteAnchor"/>
          <w:rtl w:val="true"/>
        </w:rPr>
        <w:footnoteReference w:id="2330"/>
      </w:r>
      <w:r>
        <w:rPr>
          <w:rFonts w:ascii="Amiri" w:hAnsi="Amiri" w:eastAsia="Amiri" w:cs="Amiri"/>
          <w:color w:val="111111"/>
          <w:sz w:val="28"/>
          <w:sz w:val="28"/>
          <w:szCs w:val="28"/>
          <w:rtl w:val="true"/>
          <w:lang w:bidi="ar-SA"/>
        </w:rPr>
        <w:t>مُدّةً معلومةً، و يَستَرجِعُها</w:t>
      </w:r>
      <w:r>
        <w:rPr>
          <w:rStyle w:val="FootnoteAnchor"/>
          <w:rtl w:val="true"/>
        </w:rPr>
        <w:footnoteReference w:id="2331"/>
      </w:r>
      <w:r>
        <w:rPr>
          <w:rFonts w:ascii="Amiri" w:hAnsi="Amiri" w:eastAsia="Amiri" w:cs="Amiri"/>
          <w:color w:val="111111"/>
          <w:sz w:val="28"/>
          <w:sz w:val="28"/>
          <w:szCs w:val="28"/>
          <w:rtl w:val="true"/>
          <w:lang w:bidi="ar-SA"/>
        </w:rPr>
        <w:t>منه؛ هَل ذلكَ جائزٌ،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رُويَ ذلكَ</w:t>
      </w:r>
      <w:r>
        <w:rPr>
          <w:rFonts w:eastAsia="Amiri" w:cs="Amiri" w:ascii="Amiri" w:hAnsi="Amiri"/>
          <w:color w:val="111111"/>
          <w:sz w:val="28"/>
          <w:szCs w:val="28"/>
          <w:rtl w:val="true"/>
          <w:lang w:bidi="ar-SA"/>
        </w:rPr>
        <w:t>.</w:t>
      </w:r>
      <w:r>
        <w:rPr>
          <w:rStyle w:val="FootnoteAnchor"/>
          <w:rtl w:val="true"/>
        </w:rPr>
        <w:footnoteReference w:id="2332"/>
      </w:r>
      <w:r>
        <w:rPr>
          <w:rFonts w:ascii="Amiri" w:hAnsi="Amiri" w:eastAsia="Amiri" w:cs="Amiri"/>
          <w:color w:val="111111"/>
          <w:sz w:val="28"/>
          <w:sz w:val="28"/>
          <w:szCs w:val="28"/>
          <w:rtl w:val="true"/>
          <w:lang w:bidi="ar-SA"/>
        </w:rPr>
        <w:t>و المعنىٰ في هذا التحليلِ الذي وَرَدَت به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تَعقِدَ المرأةُ علىٰ أمَتِها و الرجُلُ علىٰ جاريتِه عَقدَ مُتعةٍ؛ لأنّ إباحةَ المرأةِ لا تَكونُ‌</w:t>
      </w:r>
      <w:r>
        <w:rPr>
          <w:rStyle w:val="FootnoteAnchor"/>
          <w:rtl w:val="true"/>
        </w:rPr>
        <w:footnoteReference w:id="2333"/>
      </w:r>
      <w:r>
        <w:rPr>
          <w:rFonts w:ascii="Amiri" w:hAnsi="Amiri" w:eastAsia="Amiri" w:cs="Amiri"/>
          <w:color w:val="111111"/>
          <w:sz w:val="28"/>
          <w:sz w:val="28"/>
          <w:szCs w:val="28"/>
          <w:rtl w:val="true"/>
          <w:lang w:bidi="ar-SA"/>
        </w:rPr>
        <w:t>إلّافي عَقدِ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يَجوزُ نِكاحُ المُتعةِ بلَفظِ الإباحةِ و التحليلِ، كما يَجوزُ بلَفظِ الِاستمتاعِ أو النكاحِ‌</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8040049_1280447820"/>
      <w:bookmarkStart w:id="809" w:name="_Toc299"/>
      <w:bookmarkEnd w:id="808"/>
      <w:r>
        <w:rPr>
          <w:rtl w:val="true"/>
        </w:rPr>
        <w:t>مسألةٌ خَمسونَ جَعلُ أُمِّ الوَلَدِ في ضِمنِ الميراثِ‌</w:t>
      </w:r>
      <w:bookmarkEnd w:id="80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أُمَّهاتُ الأولادِ؛ يُقسَّمنَ في الميراثِ، أم لا؟ </w:t>
      </w:r>
      <w:bookmarkStart w:id="810" w:name="pg16437_172715"/>
    </w:p>
    <w:p>
      <w:pPr>
        <w:pStyle w:val="BookText"/>
        <w:rPr/>
      </w:pPr>
      <w:bookmarkEnd w:id="810"/>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أُمَّهاتُ الأولادِ عندَنا علىٰ جُملةِ الرِّقِّ، ما</w:t>
      </w:r>
      <w:r>
        <w:rPr>
          <w:rStyle w:val="FootnoteAnchor"/>
          <w:rtl w:val="true"/>
        </w:rPr>
        <w:footnoteReference w:id="2335"/>
      </w:r>
      <w:r>
        <w:rPr>
          <w:rFonts w:ascii="Amiri" w:hAnsi="Amiri" w:eastAsia="Amiri" w:cs="Amiri"/>
          <w:color w:val="111111"/>
          <w:sz w:val="28"/>
          <w:sz w:val="28"/>
          <w:szCs w:val="28"/>
          <w:rtl w:val="true"/>
          <w:lang w:bidi="ar-SA"/>
        </w:rPr>
        <w:t>خَرَجنَ عنه بالوَلَدِ؛ و يُقسَّمنَ في الميراثِ، و يُجعَلنَ في نُصُبِ‌</w:t>
      </w:r>
      <w:r>
        <w:rPr>
          <w:rStyle w:val="FootnoteAnchor"/>
          <w:rtl w:val="true"/>
        </w:rPr>
        <w:footnoteReference w:id="2336"/>
      </w:r>
      <w:r>
        <w:rPr>
          <w:rFonts w:ascii="Amiri" w:hAnsi="Amiri" w:eastAsia="Amiri" w:cs="Amiri"/>
          <w:color w:val="111111"/>
          <w:sz w:val="28"/>
          <w:sz w:val="28"/>
          <w:szCs w:val="28"/>
          <w:rtl w:val="true"/>
          <w:lang w:bidi="ar-SA"/>
        </w:rPr>
        <w:t>أولادِهِنّ، فيُعتَقنَ عليهِنّ‌</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عندَنا بَيعُ أُمِّ الوَلَدِ بَعدَ مَوتِ وَلَدِها</w:t>
      </w:r>
      <w:r>
        <w:rPr>
          <w:rFonts w:eastAsia="Amiri" w:cs="Amiri" w:ascii="Amiri" w:hAnsi="Amiri"/>
          <w:color w:val="111111"/>
          <w:sz w:val="28"/>
          <w:szCs w:val="28"/>
          <w:rtl w:val="true"/>
          <w:lang w:bidi="ar-SA"/>
        </w:rPr>
        <w:t>.</w:t>
      </w:r>
      <w:r>
        <w:rPr>
          <w:rStyle w:val="FootnoteAnchor"/>
          <w:rtl w:val="true"/>
        </w:rPr>
        <w:footnoteReference w:id="2338"/>
      </w:r>
    </w:p>
    <w:p>
      <w:pPr>
        <w:pStyle w:val="Heading5"/>
        <w:numPr>
          <w:ilvl w:val="4"/>
          <w:numId w:val="1"/>
        </w:numPr>
        <w:rPr/>
      </w:pPr>
      <w:bookmarkStart w:id="811" w:name="__RefHeading___Toc8040051_1280447820"/>
      <w:bookmarkStart w:id="812" w:name="_Toc300"/>
      <w:bookmarkEnd w:id="811"/>
      <w:r>
        <w:rPr>
          <w:rtl w:val="true"/>
        </w:rPr>
        <w:t>مَسألةٌ حاديةٌ و خَمسونَ جوازُ تَملُّكِ السبايا و نِكاحِهنَّ‌</w:t>
      </w:r>
      <w:bookmarkEnd w:id="812"/>
    </w:p>
    <w:p>
      <w:pPr>
        <w:pStyle w:val="BookText"/>
        <w:rPr/>
      </w:pPr>
      <w:r>
        <w:rPr>
          <w:rFonts w:ascii="Amiri" w:hAnsi="Amiri" w:eastAsia="Amiri" w:cs="Amiri"/>
          <w:color w:val="111111"/>
          <w:sz w:val="28"/>
          <w:sz w:val="28"/>
          <w:szCs w:val="28"/>
          <w:rtl w:val="true"/>
          <w:lang w:bidi="ar-SA"/>
        </w:rPr>
        <w:t>المَسبِيّاتُ في هذا العَصرِ؛ يَجوزُ استملاكُهنَّ و نِكاحُهنَّ،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تَملُّكُ السبايا و نِكاحُهنَّ، و إن كانَ سَباهُنَّ غيرُ الإمامِ المُحِقِّ؛ لأنّ أئمّتَنا عليهم السلامُ قد رَخَّصوا لشيعتِهم في ذلكَ، إرفاقاً بهم، و تسهيلاً عليهم؛ لأنّ المِحنةَ بحَظْرِ</w:t>
      </w:r>
      <w:r>
        <w:rPr>
          <w:rStyle w:val="FootnoteAnchor"/>
          <w:rtl w:val="true"/>
        </w:rPr>
        <w:footnoteReference w:id="2339"/>
      </w:r>
      <w:r>
        <w:rPr>
          <w:rFonts w:ascii="Amiri" w:hAnsi="Amiri" w:eastAsia="Amiri" w:cs="Amiri"/>
          <w:color w:val="111111"/>
          <w:sz w:val="28"/>
          <w:sz w:val="28"/>
          <w:szCs w:val="28"/>
          <w:rtl w:val="true"/>
          <w:lang w:bidi="ar-SA"/>
        </w:rPr>
        <w:t>ذلكَ؛ فلا يَكادونَ‌</w:t>
      </w:r>
      <w:r>
        <w:rPr>
          <w:rStyle w:val="FootnoteAnchor"/>
          <w:rtl w:val="true"/>
        </w:rPr>
        <w:footnoteReference w:id="2340"/>
      </w:r>
      <w:r>
        <w:rPr>
          <w:rFonts w:ascii="Amiri" w:hAnsi="Amiri" w:eastAsia="Amiri" w:cs="Amiri"/>
          <w:color w:val="111111"/>
          <w:sz w:val="28"/>
          <w:sz w:val="28"/>
          <w:szCs w:val="28"/>
          <w:rtl w:val="true"/>
          <w:lang w:bidi="ar-SA"/>
        </w:rPr>
        <w:t>يَنفَكّونَ منها في أكثَرِ الأزمانِ، فتَكونُ‌</w:t>
      </w:r>
      <w:r>
        <w:rPr>
          <w:rStyle w:val="FootnoteAnchor"/>
          <w:rtl w:val="true"/>
        </w:rPr>
        <w:footnoteReference w:id="2341"/>
      </w:r>
      <w:r>
        <w:rPr>
          <w:rFonts w:ascii="Amiri" w:hAnsi="Amiri" w:eastAsia="Amiri" w:cs="Amiri"/>
          <w:color w:val="111111"/>
          <w:sz w:val="28"/>
          <w:sz w:val="28"/>
          <w:szCs w:val="28"/>
          <w:rtl w:val="true"/>
          <w:lang w:bidi="ar-SA"/>
        </w:rPr>
        <w:t>غَليظةً شَديدةً</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8040053_1280447820"/>
      <w:bookmarkStart w:id="814" w:name="_Toc301"/>
      <w:bookmarkEnd w:id="813"/>
      <w:r>
        <w:rPr>
          <w:rtl w:val="true"/>
        </w:rPr>
        <w:t>مَسألةٌ ثانيةٌ و خَمسونَ حُكمُ زَكاةِ الغَلّاتِ‌</w:t>
      </w:r>
      <w:bookmarkEnd w:id="81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الزكاةُ في الغَلّةِ؛ هي بَعدَ حاصِلِ السُّلطانِ و مَؤونةِ القَريةِ، أم</w:t>
      </w:r>
      <w:r>
        <w:rPr>
          <w:rStyle w:val="FootnoteAnchor"/>
          <w:rtl w:val="true"/>
        </w:rPr>
        <w:footnoteReference w:id="2342"/>
      </w:r>
      <w:r>
        <w:rPr>
          <w:rFonts w:ascii="Amiri" w:hAnsi="Amiri" w:eastAsia="Amiri" w:cs="Amiri"/>
          <w:color w:val="111111"/>
          <w:sz w:val="28"/>
          <w:sz w:val="28"/>
          <w:szCs w:val="28"/>
          <w:rtl w:val="true"/>
          <w:lang w:bidi="ar-SA"/>
        </w:rPr>
        <w:t xml:space="preserve">في الأصلِ؟ </w:t>
      </w:r>
      <w:bookmarkStart w:id="815" w:name="pg16437_172716"/>
    </w:p>
    <w:p>
      <w:pPr>
        <w:pStyle w:val="BookText"/>
        <w:rPr/>
      </w:pPr>
      <w:bookmarkEnd w:id="81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w:t>
      </w:r>
      <w:r>
        <w:rPr>
          <w:rStyle w:val="FootnoteAnchor"/>
          <w:rtl w:val="true"/>
        </w:rPr>
        <w:footnoteReference w:id="2343"/>
      </w:r>
      <w:r>
        <w:rPr>
          <w:rFonts w:ascii="Amiri" w:hAnsi="Amiri" w:eastAsia="Amiri" w:cs="Amiri"/>
          <w:color w:val="111111"/>
          <w:sz w:val="28"/>
          <w:sz w:val="28"/>
          <w:szCs w:val="28"/>
          <w:rtl w:val="true"/>
          <w:lang w:bidi="ar-SA"/>
        </w:rPr>
        <w:t>تَجِبُ الزكاةُ في الحِنطةِ و الشَّعيرِ و التَّمرِ و الزَّبيبِ إذا بَلَغَ ما يَحصُلُ لمالِكِ الأرضِ في خاصّتِه خَمسةُ أَوسُقٍ، و الوَسْقُ سِتّونَ صاعاً، و الصاعُ تِسعةُ 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إذا بَلَغَه العُشرُ إن</w:t>
      </w:r>
      <w:r>
        <w:rPr>
          <w:rStyle w:val="FootnoteAnchor"/>
          <w:rtl w:val="true"/>
        </w:rPr>
        <w:footnoteReference w:id="2344"/>
      </w:r>
      <w:r>
        <w:rPr>
          <w:rFonts w:ascii="Amiri" w:hAnsi="Amiri" w:eastAsia="Amiri" w:cs="Amiri"/>
          <w:color w:val="111111"/>
          <w:sz w:val="28"/>
          <w:sz w:val="28"/>
          <w:szCs w:val="28"/>
          <w:rtl w:val="true"/>
          <w:lang w:bidi="ar-SA"/>
        </w:rPr>
        <w:t>كانَ يُسقىٰ سَيْحاً، و إن كانَ يُسقىٰ بالدَّوالي و النَّواضِحِ ففيه نِصفُ العُشرِ، و ما زادَ علَى الخَمسةِ أوسُقٍ فبحِسابِ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فيما دونَ الخَمسةِ أوسُقٍ‌</w:t>
      </w:r>
      <w:r>
        <w:rPr>
          <w:rStyle w:val="FootnoteAnchor"/>
          <w:rtl w:val="true"/>
        </w:rPr>
        <w:footnoteReference w:id="2345"/>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8040055_1280447820"/>
      <w:bookmarkStart w:id="817" w:name="_Toc302"/>
      <w:bookmarkEnd w:id="816"/>
      <w:r>
        <w:rPr>
          <w:rtl w:val="true"/>
        </w:rPr>
        <w:t>مَسألةٌ ثالثةٌ و خَمسونَ كَفّارةُ حِنثِ اليَمينِ‌</w:t>
      </w:r>
      <w:bookmarkEnd w:id="817"/>
    </w:p>
    <w:p>
      <w:pPr>
        <w:pStyle w:val="BookText"/>
        <w:rPr/>
      </w:pPr>
      <w:r>
        <w:rPr>
          <w:rFonts w:ascii="Amiri" w:hAnsi="Amiri" w:eastAsia="Amiri" w:cs="Amiri"/>
          <w:color w:val="111111"/>
          <w:sz w:val="28"/>
          <w:sz w:val="28"/>
          <w:szCs w:val="28"/>
          <w:rtl w:val="true"/>
          <w:lang w:bidi="ar-SA"/>
        </w:rPr>
        <w:t>ما يَجِبُ علىٰ مَن حَلَفَ أن لا يَشرَبَ الخَمرَ، أو يَركَبَ مَعصيةً، ثُمَّ فَعَلَ؟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مَن فَعَلَ ذلكَ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مَساكينَ، أو كِسوَتُهم، أو 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مُخيَّرٌ بَينَ هذه الكَفّاراتِ الثلاثِ؛ فمَن لَم يَجِدْ منها شَيئاً، كانَ عليه صيامُ ثَلاثةِ أيّامٍ</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8040057_1280447820"/>
      <w:bookmarkStart w:id="819" w:name="_Toc303"/>
      <w:bookmarkEnd w:id="818"/>
      <w:r>
        <w:rPr>
          <w:rtl w:val="true"/>
        </w:rPr>
        <w:t>مَسألةٌ رابعةٌ و خَمسونَ إسلامُ الذمّيِّ و له مَرأةٌ ذِمّيّةٌ‌</w:t>
      </w:r>
      <w:bookmarkEnd w:id="81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المَرأةُ الذمّيّةُ تَكونُ تَحتَ الذمّيِّ، فيُسلِمُ الرجُلُ؛ هَل تَنفَكُّ بالإسلامِ، أم تَبقىٰ </w:t>
      </w:r>
      <w:bookmarkStart w:id="820" w:name="pg16437_172717"/>
    </w:p>
    <w:p>
      <w:pPr>
        <w:pStyle w:val="BookText"/>
        <w:rPr/>
      </w:pPr>
      <w:bookmarkEnd w:id="820"/>
      <w:r>
        <w:rPr>
          <w:rFonts w:ascii="Amiri" w:hAnsi="Amiri" w:eastAsia="Amiri" w:cs="Amiri"/>
          <w:color w:val="111111"/>
          <w:sz w:val="28"/>
          <w:sz w:val="28"/>
          <w:szCs w:val="28"/>
          <w:rtl w:val="true"/>
          <w:lang w:bidi="ar-SA"/>
        </w:rPr>
        <w:t>علىٰ حالِها في حِبالِه</w:t>
      </w:r>
      <w:r>
        <w:rPr>
          <w:rStyle w:val="FootnoteAnchor"/>
          <w:rtl w:val="true"/>
        </w:rPr>
        <w:footnoteReference w:id="23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يَنفَسِخُ نِكاحٌ‌</w:t>
      </w:r>
      <w:r>
        <w:rPr>
          <w:rStyle w:val="FootnoteAnchor"/>
          <w:rtl w:val="true"/>
        </w:rPr>
        <w:footnoteReference w:id="2347"/>
      </w:r>
      <w:r>
        <w:rPr>
          <w:rFonts w:ascii="Amiri" w:hAnsi="Amiri" w:eastAsia="Amiri" w:cs="Amiri"/>
          <w:color w:val="111111"/>
          <w:sz w:val="28"/>
          <w:sz w:val="28"/>
          <w:szCs w:val="28"/>
          <w:rtl w:val="true"/>
          <w:lang w:bidi="ar-SA"/>
        </w:rPr>
        <w:t>بَينَ الذِّميِّ و زَوجتِه الذمّيّةِ بإسلامِ الزوجِ، بَل النكاحُ بَينَهما باقٍ علىٰ حالِه، بِلا خِلافٍ بَينَ الأُمّةِ</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8040059_1280447820"/>
      <w:bookmarkStart w:id="822" w:name="_Toc304"/>
      <w:bookmarkEnd w:id="821"/>
      <w:r>
        <w:rPr>
          <w:rtl w:val="true"/>
        </w:rPr>
        <w:t>مَسألةٌ خامسةٌ و خَمسونَ حُكمُ تزويجِ الهاشِميّةِ‌</w:t>
      </w:r>
      <w:bookmarkEnd w:id="822"/>
    </w:p>
    <w:p>
      <w:pPr>
        <w:pStyle w:val="BookText"/>
        <w:rPr/>
      </w:pPr>
      <w:r>
        <w:rPr>
          <w:rFonts w:ascii="Amiri" w:hAnsi="Amiri" w:eastAsia="Amiri" w:cs="Amiri"/>
          <w:color w:val="111111"/>
          <w:sz w:val="28"/>
          <w:sz w:val="28"/>
          <w:szCs w:val="28"/>
          <w:rtl w:val="true"/>
          <w:lang w:bidi="ar-SA"/>
        </w:rPr>
        <w:t>ما يَجِبُ علَى المؤمِنِ إذا كانَ عَرَبيَّ النسَب و تَزوَّجَ امرأةً عَلَويّةً أو</w:t>
      </w:r>
      <w:r>
        <w:rPr>
          <w:rStyle w:val="FootnoteAnchor"/>
          <w:rtl w:val="true"/>
        </w:rPr>
        <w:footnoteReference w:id="2348"/>
      </w:r>
      <w:r>
        <w:rPr>
          <w:rFonts w:ascii="Amiri" w:hAnsi="Amiri" w:eastAsia="Amiri" w:cs="Amiri"/>
          <w:color w:val="111111"/>
          <w:sz w:val="28"/>
          <w:sz w:val="28"/>
          <w:szCs w:val="28"/>
          <w:rtl w:val="true"/>
          <w:lang w:bidi="ar-SA"/>
        </w:rPr>
        <w:t>هاشِميّةً؟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العَرَبيُّ مِن قَبيلٍ غيرِ مرذولٍ في</w:t>
      </w:r>
      <w:r>
        <w:rPr>
          <w:rStyle w:val="FootnoteAnchor"/>
          <w:rtl w:val="true"/>
        </w:rPr>
        <w:footnoteReference w:id="2349"/>
      </w:r>
      <w:r>
        <w:rPr>
          <w:rFonts w:ascii="Amiri" w:hAnsi="Amiri" w:eastAsia="Amiri" w:cs="Amiri"/>
          <w:color w:val="111111"/>
          <w:sz w:val="28"/>
          <w:sz w:val="28"/>
          <w:szCs w:val="28"/>
          <w:rtl w:val="true"/>
          <w:lang w:bidi="ar-SA"/>
        </w:rPr>
        <w:t xml:space="preserve">القَبائلِ، و لا مُستَنقَصٍ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بَعضِ القَبائلِ مِن العَرَبِ مَن هذه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بمحظورٍ عليه نِكاحُ الهاشِميّاتِ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يُكرَهُ ذلكَ سِياسةً و عادةً، و إن لَم يَكُن محظوراً في الدينِ</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8040061_1280447820"/>
      <w:bookmarkStart w:id="824" w:name="_Toc305"/>
      <w:bookmarkEnd w:id="823"/>
      <w:r>
        <w:rPr>
          <w:rtl w:val="true"/>
        </w:rPr>
        <w:t>مَسألةٌ سادسةٌ و خَمسونَ حِلّيّةُ الوَطءِ دُبُراً و قُبُلاً</w:t>
      </w:r>
      <w:bookmarkEnd w:id="82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يؤخَذُ بما يُروىٰ عن مالكٍ في النِّساءِ؟</w:t>
      </w:r>
      <w:r>
        <w:rPr>
          <w:rStyle w:val="FootnoteAnchor"/>
          <w:rtl w:val="true"/>
        </w:rPr>
        <w:footnoteReference w:id="2350"/>
      </w:r>
      <w:r>
        <w:rPr>
          <w:rFonts w:ascii="Amiri" w:hAnsi="Amiri" w:eastAsia="Amiri" w:cs="Amiri"/>
          <w:color w:val="111111"/>
          <w:sz w:val="28"/>
          <w:sz w:val="28"/>
          <w:szCs w:val="28"/>
          <w:rtl w:val="true"/>
          <w:lang w:bidi="ar-SA"/>
        </w:rPr>
        <w:t>و مَن يُطابِقُه علىٰ ذلكَ‌</w:t>
      </w:r>
      <w:r>
        <w:rPr>
          <w:rStyle w:val="FootnoteAnchor"/>
          <w:rtl w:val="true"/>
        </w:rPr>
        <w:footnoteReference w:id="2351"/>
      </w:r>
      <w:bookmarkStart w:id="825" w:name="pg16437_172718"/>
    </w:p>
    <w:p>
      <w:pPr>
        <w:pStyle w:val="BookText"/>
        <w:rPr/>
      </w:pPr>
      <w:bookmarkEnd w:id="825"/>
      <w:r>
        <w:rPr>
          <w:rFonts w:ascii="Amiri" w:hAnsi="Amiri" w:eastAsia="Amiri" w:cs="Amiri"/>
          <w:color w:val="111111"/>
          <w:sz w:val="28"/>
          <w:sz w:val="28"/>
          <w:szCs w:val="28"/>
          <w:rtl w:val="true"/>
          <w:lang w:bidi="ar-SA"/>
        </w:rPr>
        <w:t>مِن الشيعةِ؟</w:t>
      </w:r>
      <w:r>
        <w:rPr>
          <w:rStyle w:val="FootnoteAnchor"/>
          <w:rtl w:val="true"/>
        </w:rPr>
        <w:footnoteReference w:id="2352"/>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 للزوجِ أن يَطأَ زَوجتَه في كُلِّ واحدٍ مِن فَرْجَيها</w:t>
      </w:r>
      <w:r>
        <w:rPr>
          <w:rStyle w:val="FootnoteAnchor"/>
          <w:rtl w:val="true"/>
        </w:rPr>
        <w:footnoteReference w:id="2353"/>
      </w:r>
      <w:r>
        <w:rPr>
          <w:rFonts w:ascii="Amiri" w:hAnsi="Amiri" w:eastAsia="Amiri" w:cs="Amiri"/>
          <w:color w:val="111111"/>
          <w:sz w:val="28"/>
          <w:sz w:val="28"/>
          <w:szCs w:val="28"/>
          <w:rtl w:val="true"/>
          <w:lang w:bidi="ar-SA"/>
        </w:rPr>
        <w:t>، و لَيسَ في ذلكَ شَيءٌ مِن الحَظْرِ و الكَراهيةِ‌</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الحُجّةُ في ذلكَ مع</w:t>
      </w:r>
      <w:r>
        <w:rPr>
          <w:rStyle w:val="FootnoteAnchor"/>
          <w:rtl w:val="true"/>
        </w:rPr>
        <w:footnoteReference w:id="2355"/>
      </w:r>
      <w:r>
        <w:rPr>
          <w:rFonts w:ascii="Amiri" w:hAnsi="Amiri" w:eastAsia="Amiri" w:cs="Amiri"/>
          <w:color w:val="111111"/>
          <w:sz w:val="28"/>
          <w:sz w:val="28"/>
          <w:szCs w:val="28"/>
          <w:rtl w:val="true"/>
          <w:lang w:bidi="ar-SA"/>
        </w:rPr>
        <w:t>إجماعِ الإماميّةِ‌</w:t>
      </w:r>
      <w:r>
        <w:rPr>
          <w:rStyle w:val="FootnoteAnchor"/>
          <w:rtl w:val="true"/>
        </w:rPr>
        <w:footnoteReference w:id="2356"/>
      </w:r>
      <w:r>
        <w:rPr>
          <w:rFonts w:ascii="Amiri" w:hAnsi="Amiri" w:eastAsia="Amiri" w:cs="Amiri"/>
          <w:color w:val="111111"/>
          <w:sz w:val="28"/>
          <w:sz w:val="28"/>
          <w:szCs w:val="28"/>
          <w:rtl w:val="true"/>
          <w:lang w:bidi="ar-SA"/>
        </w:rPr>
        <w:t>عليه، قولُه</w:t>
      </w:r>
      <w:r>
        <w:rPr>
          <w:rStyle w:val="FootnoteAnchor"/>
          <w:rtl w:val="true"/>
        </w:rPr>
        <w:footnoteReference w:id="2357"/>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 xml:space="preserve">»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الشرعَ يَقتَضي التمتُّعَ بالزوجةِ مُطلَقاً، مِن غيرِ استثناءٍ لمَوضِعٍ دونَ آخَرَ</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8040063_1280447820"/>
      <w:bookmarkStart w:id="827" w:name="_Toc306"/>
      <w:bookmarkEnd w:id="826"/>
      <w:r>
        <w:rPr>
          <w:rtl w:val="true"/>
        </w:rPr>
        <w:t>مَسألةٌ سابعةٌ و خَمسونَ القُرآنُ مُنزَلٌ غيرُ مخلوقٍ‌</w:t>
      </w:r>
      <w:bookmarkEnd w:id="827"/>
    </w:p>
    <w:p>
      <w:pPr>
        <w:pStyle w:val="BookText"/>
        <w:rPr/>
      </w:pPr>
      <w:r>
        <w:rPr>
          <w:rFonts w:ascii="Amiri" w:hAnsi="Amiri" w:eastAsia="Amiri" w:cs="Amiri"/>
          <w:color w:val="111111"/>
          <w:sz w:val="28"/>
          <w:sz w:val="28"/>
          <w:szCs w:val="28"/>
          <w:rtl w:val="true"/>
          <w:lang w:bidi="ar-SA"/>
        </w:rPr>
        <w:t>القرآنُ؛ مُنزَلٌ، أو مخلوقٌ؟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كلامُ اللّٰهِ تَعالىٰ، أنزَلَه و أحدَثَه، تصديقاً للنبيِّ عليه السلامُ؛ فهو مفعولٌ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هذه اللفظةَ إذا أُطلِقَت علَى الكلامِ أوهَمَت أنّه </w:t>
      </w:r>
      <w:bookmarkStart w:id="828" w:name="pg16437_172719"/>
    </w:p>
    <w:p>
      <w:pPr>
        <w:pStyle w:val="BookText"/>
        <w:rPr/>
      </w:pPr>
      <w:bookmarkEnd w:id="8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مكذوبٌ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كلامٌ 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Style w:val="FootnoteAnchor"/>
          <w:rtl w:val="true"/>
        </w:rPr>
        <w:footnoteReference w:id="2359"/>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اِخْتِلاٰقٌ</w:t>
      </w:r>
      <w:r>
        <w:rPr>
          <w:rFonts w:eastAsia="Amiri" w:cs="Amiri" w:ascii="Amiri" w:hAnsi="Amiri"/>
          <w:color w:val="111111"/>
          <w:sz w:val="28"/>
          <w:szCs w:val="28"/>
          <w:rtl w:val="true"/>
          <w:lang w:bidi="ar-SA"/>
        </w:rPr>
        <w:t xml:space="preserve">» </w:t>
      </w:r>
      <w:r>
        <w:rPr>
          <w:rStyle w:val="FootnoteAnchor"/>
          <w:rtl w:val="true"/>
        </w:rPr>
        <w:footnoteReference w:id="2360"/>
      </w:r>
      <w:r>
        <w:rPr>
          <w:rFonts w:ascii="Amiri" w:hAnsi="Amiri" w:eastAsia="Amiri" w:cs="Amiri"/>
          <w:color w:val="111111"/>
          <w:sz w:val="28"/>
          <w:sz w:val="28"/>
          <w:szCs w:val="28"/>
          <w:rtl w:val="true"/>
          <w:lang w:bidi="ar-SA"/>
        </w:rPr>
        <w:t>يُريدُ الكَذِبَ لا مَحالةَ</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8040065_1280447820"/>
      <w:bookmarkStart w:id="830" w:name="_Toc307"/>
      <w:bookmarkEnd w:id="829"/>
      <w:r>
        <w:rPr>
          <w:rtl w:val="true"/>
        </w:rPr>
        <w:t>مَسألةٌ ثامنةٌ و خَمسونَ‌أفضلُ الأعمالِ‌</w:t>
      </w:r>
      <w:bookmarkEnd w:id="830"/>
    </w:p>
    <w:p>
      <w:pPr>
        <w:pStyle w:val="BookText"/>
        <w:rPr/>
      </w:pPr>
      <w:r>
        <w:rPr>
          <w:rFonts w:ascii="Amiri" w:hAnsi="Amiri" w:eastAsia="Amiri" w:cs="Amiri"/>
          <w:color w:val="111111"/>
          <w:sz w:val="28"/>
          <w:sz w:val="28"/>
          <w:szCs w:val="28"/>
          <w:rtl w:val="true"/>
          <w:lang w:bidi="ar-SA"/>
        </w:rPr>
        <w:t>مَسألةٌ ثامنةٌ و خَمسونَ‌</w:t>
      </w:r>
      <w:r>
        <w:rPr>
          <w:rStyle w:val="FootnoteAnchor"/>
          <w:rtl w:val="true"/>
        </w:rPr>
        <w:footnoteReference w:id="2361"/>
      </w:r>
      <w:r>
        <w:rPr>
          <w:rFonts w:ascii="Amiri" w:hAnsi="Amiri" w:eastAsia="Amiri" w:cs="Amiri"/>
          <w:color w:val="111111"/>
          <w:sz w:val="28"/>
          <w:sz w:val="28"/>
          <w:szCs w:val="28"/>
          <w:rtl w:val="true"/>
          <w:lang w:bidi="ar-SA"/>
        </w:rPr>
        <w:t>أفضلُ الأعمالِ</w:t>
      </w:r>
    </w:p>
    <w:p>
      <w:pPr>
        <w:pStyle w:val="BookText"/>
        <w:rPr/>
      </w:pPr>
      <w:r>
        <w:rPr>
          <w:rFonts w:ascii="Amiri" w:hAnsi="Amiri" w:eastAsia="Amiri" w:cs="Amiri"/>
          <w:color w:val="111111"/>
          <w:sz w:val="28"/>
          <w:sz w:val="28"/>
          <w:szCs w:val="28"/>
          <w:rtl w:val="true"/>
          <w:lang w:bidi="ar-SA"/>
        </w:rPr>
        <w:t>أيُّ الأعمالِ أفضَلُ؟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قولِنا في العملِ أنّه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أكثَرُ ثَواباً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يَعلَمُ أيَّ الأعمالِ أكثَرَ ثَواباً</w:t>
      </w:r>
      <w:r>
        <w:rPr>
          <w:rStyle w:val="FootnoteAnchor"/>
          <w:rtl w:val="true"/>
        </w:rPr>
        <w:footnoteReference w:id="2362"/>
      </w:r>
      <w:r>
        <w:rPr>
          <w:rFonts w:ascii="Amiri" w:hAnsi="Amiri" w:eastAsia="Amiri" w:cs="Amiri"/>
          <w:color w:val="111111"/>
          <w:sz w:val="28"/>
          <w:sz w:val="28"/>
          <w:szCs w:val="28"/>
          <w:rtl w:val="true"/>
          <w:lang w:bidi="ar-SA"/>
        </w:rPr>
        <w:t>علَى التحقيقِ إلّاعَلّامُ الغُيوبِ تَعالىٰ، أو مَن أطلَعَه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يُروىٰ في ذلكَ مِن أخبارِ الآحادِ لا يُعوَّلُ عليه</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8040067_1280447820"/>
      <w:bookmarkStart w:id="832" w:name="_Toc308"/>
      <w:bookmarkEnd w:id="831"/>
      <w:r>
        <w:rPr>
          <w:rtl w:val="true"/>
        </w:rPr>
        <w:t>مَسألةٌ تاسعةٌ و خَمسونَ لُزومُ العملِ مع الِاعتقادِ</w:t>
      </w:r>
      <w:bookmarkEnd w:id="832"/>
    </w:p>
    <w:p>
      <w:pPr>
        <w:pStyle w:val="BookText"/>
        <w:rPr/>
      </w:pPr>
      <w:r>
        <w:rPr>
          <w:rFonts w:ascii="Amiri" w:hAnsi="Amiri" w:eastAsia="Amiri" w:cs="Amiri"/>
          <w:color w:val="111111"/>
          <w:sz w:val="28"/>
          <w:sz w:val="28"/>
          <w:szCs w:val="28"/>
          <w:rtl w:val="true"/>
          <w:lang w:bidi="ar-SA"/>
        </w:rPr>
        <w:t>الِاعتقادُ أفضَلُ بغَيرِ عملٍ، أو العملُ بغَيرِ اعتقادٍ؟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العملُ بغَيرِ اعتقادٍ، فلا ثَوابَ عليه، و لا فائدةَ فيه؛ لأنّ مَن صَلّىٰ و لا يَعتَقِدُ وجوبَ الصلاةِ و القُربىٰ بها إلَى اللّٰهِ، فلا صَلاةَ له، و لا خَيرَ فيما فَعَلَه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الجَمعُ بَينَ الِاعتقادِ و العملِ هو النافعُ المقصودُ</w:t>
      </w:r>
      <w:r>
        <w:rPr>
          <w:rFonts w:eastAsia="Amiri" w:cs="Amiri" w:ascii="Amiri" w:hAnsi="Amiri"/>
          <w:color w:val="111111"/>
          <w:sz w:val="28"/>
          <w:szCs w:val="28"/>
          <w:rtl w:val="true"/>
          <w:lang w:bidi="ar-SA"/>
        </w:rPr>
        <w:t xml:space="preserve">. </w:t>
      </w:r>
      <w:bookmarkStart w:id="833" w:name="pg16437_172720"/>
    </w:p>
    <w:p>
      <w:pPr>
        <w:pStyle w:val="BookText"/>
        <w:rPr/>
      </w:pPr>
      <w:bookmarkEnd w:id="833"/>
      <w:r>
        <w:rPr>
          <w:rFonts w:ascii="Amiri" w:hAnsi="Amiri" w:eastAsia="Amiri" w:cs="Amiri"/>
          <w:color w:val="111111"/>
          <w:sz w:val="28"/>
          <w:sz w:val="28"/>
          <w:szCs w:val="28"/>
          <w:rtl w:val="true"/>
          <w:lang w:bidi="ar-SA"/>
        </w:rPr>
        <w:t>و انفرادُ الِاعتقادِ عن عملٍ، خَيرٌ علىٰ كُلِّ حالٍ، و إن خَلا مِن عملٍ، و لَيسَ كذلكَ العملُ إذا خَلا مِن الِاعتقادِ</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8040069_1280447820"/>
      <w:bookmarkStart w:id="835" w:name="_Toc309"/>
      <w:bookmarkEnd w:id="834"/>
      <w:r>
        <w:rPr>
          <w:rtl w:val="true"/>
        </w:rPr>
        <w:t>مسألةٌ سِتّونَ مَسألةُ الرَّجعةِ‌</w:t>
      </w:r>
      <w:bookmarkEnd w:id="835"/>
    </w:p>
    <w:p>
      <w:pPr>
        <w:pStyle w:val="BookText"/>
        <w:rPr/>
      </w:pPr>
      <w:r>
        <w:rPr>
          <w:rFonts w:ascii="Amiri" w:hAnsi="Amiri" w:eastAsia="Amiri" w:cs="Amiri"/>
          <w:color w:val="111111"/>
          <w:sz w:val="28"/>
          <w:sz w:val="28"/>
          <w:szCs w:val="28"/>
          <w:rtl w:val="true"/>
          <w:lang w:bidi="ar-SA"/>
        </w:rPr>
        <w:t>الِاعتقادُ في الرَّجعةِ عندَ ظُهورِ القائمِ عليه السلامُ؟</w:t>
      </w:r>
    </w:p>
    <w:p>
      <w:pPr>
        <w:pStyle w:val="BookText"/>
        <w:rPr/>
      </w:pPr>
      <w:r>
        <w:rPr>
          <w:rFonts w:ascii="Amiri" w:hAnsi="Amiri" w:eastAsia="Amiri" w:cs="Amiri"/>
          <w:color w:val="111111"/>
          <w:sz w:val="28"/>
          <w:sz w:val="28"/>
          <w:szCs w:val="28"/>
          <w:rtl w:val="true"/>
          <w:lang w:bidi="ar-SA"/>
        </w:rPr>
        <w:t>و ما هي</w:t>
      </w:r>
      <w:r>
        <w:rPr>
          <w:rStyle w:val="FootnoteAnchor"/>
          <w:rtl w:val="true"/>
        </w:rPr>
        <w:footnoteReference w:id="2363"/>
      </w:r>
      <w:r>
        <w:rPr>
          <w:rFonts w:ascii="Amiri" w:hAnsi="Amiri" w:eastAsia="Amiri" w:cs="Amiri"/>
          <w:color w:val="111111"/>
          <w:sz w:val="28"/>
          <w:sz w:val="28"/>
          <w:szCs w:val="28"/>
          <w:rtl w:val="true"/>
          <w:lang w:bidi="ar-SA"/>
        </w:rPr>
        <w:t>الرَّجعةُ؟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الرَّجعةِ أنّ اللّٰهَ تَعالىٰ يُحيي قَوماً ممّن تُوفّيَ قَبلَ ظُهورِ القائمِ عليه السلامُ مِن مَواليه و شيعَتِه؛ ليَفوزُوا</w:t>
      </w:r>
      <w:r>
        <w:rPr>
          <w:rStyle w:val="FootnoteAnchor"/>
          <w:rtl w:val="true"/>
        </w:rPr>
        <w:footnoteReference w:id="2364"/>
      </w:r>
      <w:r>
        <w:rPr>
          <w:rFonts w:ascii="Amiri" w:hAnsi="Amiri" w:eastAsia="Amiri" w:cs="Amiri"/>
          <w:color w:val="111111"/>
          <w:sz w:val="28"/>
          <w:sz w:val="28"/>
          <w:szCs w:val="28"/>
          <w:rtl w:val="true"/>
          <w:lang w:bidi="ar-SA"/>
        </w:rPr>
        <w:t>بمُباشَرةِ نُصرَتِه و طاعتِه و قِتالِ أعدائه، و لا يَفوتَهم ثَوابُ هذه المَنزِلةِ الجَليلةِ التي لَم يُنكِروها؛</w:t>
      </w:r>
      <w:r>
        <w:rPr>
          <w:rStyle w:val="FootnoteAnchor"/>
          <w:rtl w:val="true"/>
        </w:rPr>
        <w:footnoteReference w:id="2365"/>
      </w:r>
      <w:r>
        <w:rPr>
          <w:rFonts w:ascii="Amiri" w:hAnsi="Amiri" w:eastAsia="Amiri" w:cs="Amiri"/>
          <w:color w:val="111111"/>
          <w:sz w:val="28"/>
          <w:sz w:val="28"/>
          <w:szCs w:val="28"/>
          <w:rtl w:val="true"/>
          <w:lang w:bidi="ar-SA"/>
        </w:rPr>
        <w:t>حتّىٰ لا يُستَبدَلَ عليهم بهذه المنزلةِ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تَعالىٰ قادرٌ علىٰ إحياءِ المَوتىٰ؛ فلا معنىٰ لتَعجُّبِ المُخالِفينَ لهذه الحالِ‌</w:t>
      </w:r>
      <w:r>
        <w:rPr>
          <w:rStyle w:val="FootnoteAnchor"/>
          <w:rtl w:val="true"/>
        </w:rPr>
        <w:footnoteReference w:id="2366"/>
      </w:r>
      <w:r>
        <w:rPr>
          <w:rFonts w:ascii="IRNazanin" w:hAnsi="IRNazanin" w:eastAsia="IRNazanin"/>
          <w:color w:val="111111"/>
          <w:sz w:val="28"/>
          <w:sz w:val="28"/>
          <w:szCs w:val="28"/>
          <w:rtl w:val="true"/>
          <w:lang w:bidi="fa-IR"/>
        </w:rPr>
        <w:t>و استبعادِهم</w:t>
      </w:r>
      <w:r>
        <w:rPr>
          <w:rFonts w:eastAsia="IRNazanin" w:cs="IRNazanin"/>
          <w:color w:val="111111"/>
          <w:sz w:val="28"/>
          <w:szCs w:val="28"/>
          <w:rtl w:val="true"/>
          <w:lang w:bidi="fa-IR"/>
        </w:rPr>
        <w:t>.</w:t>
      </w:r>
    </w:p>
    <w:p>
      <w:pPr>
        <w:pStyle w:val="Heading5"/>
        <w:numPr>
          <w:ilvl w:val="4"/>
          <w:numId w:val="1"/>
        </w:numPr>
        <w:rPr/>
      </w:pPr>
      <w:bookmarkStart w:id="836" w:name="__RefHeading___Toc8040071_1280447820"/>
      <w:bookmarkStart w:id="837" w:name="_Toc310"/>
      <w:bookmarkEnd w:id="836"/>
      <w:r>
        <w:rPr>
          <w:rtl w:val="true"/>
        </w:rPr>
        <w:t>مَسألةٌ حاديةٌ و سِتّونَ المُسلِمُ يَرِثُ الكافِرَ</w:t>
      </w:r>
      <w:bookmarkEnd w:id="837"/>
    </w:p>
    <w:p>
      <w:pPr>
        <w:pStyle w:val="BookText"/>
        <w:rPr/>
      </w:pPr>
      <w:r>
        <w:rPr>
          <w:rFonts w:ascii="Amiri" w:hAnsi="Amiri" w:eastAsia="Amiri" w:cs="Amiri"/>
          <w:color w:val="111111"/>
          <w:sz w:val="28"/>
          <w:sz w:val="28"/>
          <w:szCs w:val="28"/>
          <w:rtl w:val="true"/>
          <w:lang w:bidi="ar-SA"/>
        </w:rPr>
        <w:t>المُسلِمُ يَرِثُ النصرانيَّ إذا كانَ مِن أُولي الأرحامِ؟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عندَنا أنّ المُسلِمَ يَرِثُ الكافرَ، و إنّما الكافرُ لا يَرِثُ المُسلِمَ</w:t>
      </w:r>
      <w:r>
        <w:rPr>
          <w:rFonts w:eastAsia="Amiri" w:cs="Amiri" w:ascii="Amiri" w:hAnsi="Amiri"/>
          <w:color w:val="111111"/>
          <w:sz w:val="28"/>
          <w:szCs w:val="28"/>
          <w:rtl w:val="true"/>
          <w:lang w:bidi="ar-SA"/>
        </w:rPr>
        <w:t xml:space="preserve">. </w:t>
      </w:r>
      <w:bookmarkStart w:id="838" w:name="pg16437_172721"/>
    </w:p>
    <w:p>
      <w:pPr>
        <w:pStyle w:val="BookText"/>
        <w:rPr/>
      </w:pPr>
      <w:bookmarkEnd w:id="838"/>
      <w:r>
        <w:rPr>
          <w:rFonts w:ascii="Amiri" w:hAnsi="Amiri" w:eastAsia="Amiri" w:cs="Amiri"/>
          <w:color w:val="111111"/>
          <w:sz w:val="28"/>
          <w:sz w:val="28"/>
          <w:szCs w:val="28"/>
          <w:rtl w:val="true"/>
          <w:lang w:bidi="ar-SA"/>
        </w:rPr>
        <w:t>و لَيسَ في الخبرِ الذي يَروونَه عنه عليه السلامُ‌</w:t>
      </w:r>
      <w:r>
        <w:rPr>
          <w:rStyle w:val="FootnoteAnchor"/>
          <w:rtl w:val="true"/>
        </w:rPr>
        <w:footnoteReference w:id="2367"/>
      </w:r>
      <w:r>
        <w:rPr>
          <w:rFonts w:ascii="Amiri" w:hAnsi="Amiri" w:eastAsia="Amiri" w:cs="Amiri"/>
          <w:color w:val="111111"/>
          <w:sz w:val="28"/>
          <w:sz w:val="28"/>
          <w:szCs w:val="28"/>
          <w:rtl w:val="true"/>
          <w:lang w:bidi="ar-SA"/>
        </w:rPr>
        <w:t>مِن أنّ‌</w:t>
      </w:r>
      <w:r>
        <w:rPr>
          <w:rStyle w:val="FootnoteAnchor"/>
          <w:rtl w:val="true"/>
        </w:rPr>
        <w:footnoteReference w:id="2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مِلّتَينِ‌</w:t>
      </w:r>
      <w:r>
        <w:rPr>
          <w:rStyle w:val="FootnoteAnchor"/>
          <w:rtl w:val="true"/>
        </w:rPr>
        <w:footnoteReference w:id="2369"/>
      </w:r>
      <w:r>
        <w:rPr>
          <w:rFonts w:ascii="IRNazanin" w:hAnsi="IRNazanin" w:eastAsia="IRNazanin"/>
          <w:color w:val="111111"/>
          <w:sz w:val="28"/>
          <w:sz w:val="28"/>
          <w:szCs w:val="28"/>
          <w:rtl w:val="true"/>
          <w:lang w:bidi="fa-IR"/>
        </w:rPr>
        <w:t>لا</w:t>
      </w:r>
      <w:r>
        <w:rPr>
          <w:rStyle w:val="FootnoteAnchor"/>
          <w:rtl w:val="true"/>
        </w:rPr>
        <w:footnoteReference w:id="2370"/>
      </w:r>
      <w:r>
        <w:rPr>
          <w:rFonts w:ascii="Amiri" w:hAnsi="Amiri" w:eastAsia="Amiri" w:cs="Amiri"/>
          <w:color w:val="111111"/>
          <w:sz w:val="28"/>
          <w:sz w:val="28"/>
          <w:szCs w:val="28"/>
          <w:rtl w:val="true"/>
          <w:lang w:bidi="ar-SA"/>
        </w:rPr>
        <w:t>يَتَوارَثونَ</w:t>
      </w:r>
      <w:r>
        <w:rPr>
          <w:rFonts w:eastAsia="Amiri" w:cs="Amiri" w:ascii="Amiri" w:hAnsi="Amiri"/>
          <w:color w:val="111111"/>
          <w:sz w:val="28"/>
          <w:szCs w:val="28"/>
          <w:rtl w:val="true"/>
          <w:lang w:bidi="ar-SA"/>
        </w:rPr>
        <w:t>»</w:t>
      </w:r>
      <w:r>
        <w:rPr>
          <w:rStyle w:val="FootnoteAnchor"/>
          <w:rtl w:val="true"/>
        </w:rPr>
        <w:footnoteReference w:id="2371"/>
      </w:r>
      <w:r>
        <w:rPr>
          <w:rFonts w:ascii="Amiri" w:hAnsi="Amiri" w:eastAsia="Amiri" w:cs="Amiri"/>
          <w:color w:val="111111"/>
          <w:sz w:val="28"/>
          <w:sz w:val="28"/>
          <w:szCs w:val="28"/>
          <w:rtl w:val="true"/>
          <w:lang w:bidi="ar-SA"/>
        </w:rPr>
        <w:t xml:space="preserve">حُجّةٌ؛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و إذا وَرِثناهم و لَم يَرِثونا، فما تَوارَثنا</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8040073_1280447820"/>
      <w:bookmarkStart w:id="840" w:name="_Toc311"/>
      <w:bookmarkEnd w:id="839"/>
      <w:r>
        <w:rPr>
          <w:rtl w:val="true"/>
        </w:rPr>
        <w:t>مَسألةٌ ثانيةٌ و سِتّونَ العَمّةُ تَرِثُ مع العَمِّ‌</w:t>
      </w:r>
      <w:bookmarkEnd w:id="840"/>
    </w:p>
    <w:p>
      <w:pPr>
        <w:pStyle w:val="BookText"/>
        <w:rPr/>
      </w:pPr>
      <w:r>
        <w:rPr>
          <w:rFonts w:ascii="Amiri" w:hAnsi="Amiri" w:eastAsia="Amiri" w:cs="Amiri"/>
          <w:color w:val="111111"/>
          <w:sz w:val="28"/>
          <w:sz w:val="28"/>
          <w:szCs w:val="28"/>
          <w:rtl w:val="true"/>
          <w:lang w:bidi="ar-SA"/>
        </w:rPr>
        <w:t>هل العَمّةُ تَرِثُ مع العَمِّ؟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الشيعةِ الإماميّةِ أنّ العَمّةَ تَرِثُ مع العَمِّ، و لها نِصفُ نَصيبِه</w:t>
      </w:r>
      <w:r>
        <w:rPr>
          <w:rStyle w:val="FootnoteAnchor"/>
          <w:rtl w:val="true"/>
        </w:rPr>
        <w:footnoteReference w:id="2372"/>
      </w:r>
      <w:r>
        <w:rPr>
          <w:rFonts w:ascii="Amiri" w:hAnsi="Amiri" w:eastAsia="Amiri" w:cs="Amiri"/>
          <w:color w:val="111111"/>
          <w:sz w:val="28"/>
          <w:sz w:val="28"/>
          <w:szCs w:val="28"/>
          <w:rtl w:val="true"/>
          <w:lang w:bidi="ar-SA"/>
        </w:rPr>
        <w:t>لا خِلافَ بَينَ الشيعةِ الإماميّةِ في ذلكَ؛ لأنّها تُشارِكُ العَمَّ في قَرابتِه و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يَقولُه</w:t>
      </w:r>
      <w:r>
        <w:rPr>
          <w:rStyle w:val="FootnoteAnchor"/>
          <w:rtl w:val="true"/>
        </w:rPr>
        <w:footnoteReference w:id="2373"/>
      </w:r>
      <w:r>
        <w:rPr>
          <w:rFonts w:ascii="Amiri" w:hAnsi="Amiri" w:eastAsia="Amiri" w:cs="Amiri"/>
          <w:color w:val="111111"/>
          <w:sz w:val="28"/>
          <w:sz w:val="28"/>
          <w:szCs w:val="28"/>
          <w:rtl w:val="true"/>
          <w:lang w:bidi="ar-SA"/>
        </w:rPr>
        <w:t>المُخالِفُ مِن ذِكرِ العَصَبةِ لا محصولَ له</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8040075_1280447820"/>
      <w:bookmarkStart w:id="842" w:name="_Toc312"/>
      <w:bookmarkEnd w:id="841"/>
      <w:r>
        <w:rPr>
          <w:rtl w:val="true"/>
        </w:rPr>
        <w:t>مَسألةٌ ثالثةٌ و سِتّونَ إرثُ الخالِ و الخالةِ مع الأعمامِ‌</w:t>
      </w:r>
      <w:bookmarkEnd w:id="842"/>
    </w:p>
    <w:p>
      <w:pPr>
        <w:pStyle w:val="BookText"/>
        <w:rPr/>
      </w:pPr>
      <w:r>
        <w:rPr>
          <w:rFonts w:ascii="Amiri" w:hAnsi="Amiri" w:eastAsia="Amiri" w:cs="Amiri"/>
          <w:color w:val="111111"/>
          <w:sz w:val="28"/>
          <w:sz w:val="28"/>
          <w:szCs w:val="28"/>
          <w:rtl w:val="true"/>
          <w:lang w:bidi="ar-SA"/>
        </w:rPr>
        <w:t>الخالُ و الخالةُ؛ لهُما نصيبٌ مع الأعمامِ مِن الميراثِ؟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يَرِثُ الخالُ و الخالةُ مع الأعمامِ نَصيبَ الأُمِّ، و هو الثلُثُ؛ لأنّ قَرابتَهما مِن جِهةِ </w:t>
      </w:r>
      <w:bookmarkStart w:id="843" w:name="pg16437_172722"/>
    </w:p>
    <w:p>
      <w:pPr>
        <w:pStyle w:val="BookText"/>
        <w:rPr/>
      </w:pPr>
      <w:bookmarkEnd w:id="843"/>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للخالةِ نِصفُ سَهمِ الخالِ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الأعمامُ يَرِثونَ نَصيبَ الأبِ،</w:t>
      </w:r>
      <w:r>
        <w:rPr>
          <w:rStyle w:val="FootnoteAnchor"/>
          <w:rtl w:val="true"/>
        </w:rPr>
        <w:footnoteReference w:id="2374"/>
      </w:r>
      <w:r>
        <w:rPr>
          <w:rFonts w:ascii="Amiri" w:hAnsi="Amiri" w:eastAsia="Amiri" w:cs="Amiri"/>
          <w:color w:val="111111"/>
          <w:sz w:val="28"/>
          <w:sz w:val="28"/>
          <w:szCs w:val="28"/>
          <w:rtl w:val="true"/>
          <w:lang w:bidi="ar-SA"/>
        </w:rPr>
        <w:t>و هو الثلُثانِ‌</w:t>
      </w:r>
      <w:r>
        <w:rPr>
          <w:rStyle w:val="FootnoteAnchor"/>
          <w:rtl w:val="true"/>
        </w:rPr>
        <w:footnoteReference w:id="2375"/>
      </w:r>
      <w:r>
        <w:rPr>
          <w:rFonts w:ascii="Amiri" w:hAnsi="Amiri" w:eastAsia="Amiri" w:cs="Amiri"/>
          <w:color w:val="111111"/>
          <w:sz w:val="28"/>
          <w:sz w:val="28"/>
          <w:szCs w:val="28"/>
          <w:rtl w:val="true"/>
          <w:lang w:bidi="ar-SA"/>
        </w:rPr>
        <w:t>لأنّ قَرابتَهم مِن جِهةِ الأبِ</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8040077_1280447820"/>
      <w:bookmarkStart w:id="845" w:name="_Toc313"/>
      <w:bookmarkEnd w:id="844"/>
      <w:r>
        <w:rPr>
          <w:rtl w:val="true"/>
        </w:rPr>
        <w:t>مَسألةٌ رابعةٌ و سِتّونَ إرثُ أولادِ الأُختِ‌</w:t>
      </w:r>
      <w:bookmarkEnd w:id="845"/>
    </w:p>
    <w:p>
      <w:pPr>
        <w:pStyle w:val="BookText"/>
        <w:rPr/>
      </w:pPr>
      <w:r>
        <w:rPr>
          <w:rFonts w:ascii="Amiri" w:hAnsi="Amiri" w:eastAsia="Amiri" w:cs="Amiri"/>
          <w:color w:val="111111"/>
          <w:sz w:val="28"/>
          <w:sz w:val="28"/>
          <w:szCs w:val="28"/>
          <w:rtl w:val="true"/>
          <w:lang w:bidi="ar-SA"/>
        </w:rPr>
        <w:t>أولادُ الأُختِ يَرِثونَ إذا كانوا أقرَبَ الأهلِ؟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 الأُختِ يَرِثونَ إذا لَم يَكُن معهم في الميراثِ مَن هو أحَقُّ منهم و مَن هو أعلىٰ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يَجري أولادُ الأُختِ إذا انفَرَدوا بالميراثِ مَجرىٰ أولادِ الأخِ إذا انفَرَدوا به</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8040079_1280447820"/>
      <w:bookmarkStart w:id="847" w:name="_Toc314"/>
      <w:bookmarkEnd w:id="846"/>
      <w:r>
        <w:rPr>
          <w:rtl w:val="true"/>
        </w:rPr>
        <w:t>مَسألةٌ خامسةٌ و سِتّونَ جوازُ الوطءِ قَبلَ غُسلِ الحَيضِ‌</w:t>
      </w:r>
      <w:bookmarkEnd w:id="847"/>
    </w:p>
    <w:p>
      <w:pPr>
        <w:pStyle w:val="BookText"/>
        <w:rPr/>
      </w:pPr>
      <w:r>
        <w:rPr>
          <w:rFonts w:ascii="Amiri" w:hAnsi="Amiri" w:eastAsia="Amiri" w:cs="Amiri"/>
          <w:color w:val="111111"/>
          <w:sz w:val="28"/>
          <w:sz w:val="28"/>
          <w:szCs w:val="28"/>
          <w:rtl w:val="true"/>
          <w:lang w:bidi="ar-SA"/>
        </w:rPr>
        <w:t>الحائضُ إذا مَضَت سَبعةُ أيّامٍ، و طَهُرَ المَوضِعُ مِن أذىً؛ هَل يَجوزُ للرجُلِ وَطؤها قَبلَ غَسلِ رأسِها و بَدَنِها،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انقَطَعَ دمُ الحائضِ، و نَقيَ المَوضِعُ مِن الصُّفرةِ و الكُدرةِ، جازَ لزَوجِها أن يَطأَها، و إن لَم تَغتَسِلْ‌</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 xml:space="preserve">. </w:t>
      </w:r>
      <w:bookmarkStart w:id="848" w:name="pg16437_172723"/>
    </w:p>
    <w:p>
      <w:pPr>
        <w:pStyle w:val="BookText"/>
        <w:rPr/>
      </w:pPr>
      <w:bookmarkEnd w:id="848"/>
      <w:r>
        <w:rPr>
          <w:rFonts w:ascii="Amiri" w:hAnsi="Amiri" w:eastAsia="Amiri" w:cs="Amiri"/>
          <w:color w:val="111111"/>
          <w:sz w:val="28"/>
          <w:sz w:val="28"/>
          <w:szCs w:val="28"/>
          <w:rtl w:val="true"/>
          <w:lang w:bidi="ar-SA"/>
        </w:rPr>
        <w:t>و لا فَرقَ في ذلكَ بَينَ أن يَكونَ انقطاعُه لأكثرِ الحَيضِ أو لأقَلِّه، بخِلافِ ما يَقولُه</w:t>
      </w:r>
      <w:r>
        <w:rPr>
          <w:rStyle w:val="FootnoteAnchor"/>
          <w:rtl w:val="true"/>
        </w:rPr>
        <w:footnoteReference w:id="2377"/>
      </w:r>
      <w:r>
        <w:rPr>
          <w:rFonts w:ascii="Amiri" w:hAnsi="Amiri" w:eastAsia="Amiri" w:cs="Amiri"/>
          <w:color w:val="111111"/>
          <w:sz w:val="28"/>
          <w:sz w:val="28"/>
          <w:szCs w:val="28"/>
          <w:rtl w:val="true"/>
          <w:lang w:bidi="ar-SA"/>
        </w:rPr>
        <w:t>أبو حَنيفةَ؛</w:t>
      </w:r>
      <w:r>
        <w:rPr>
          <w:rStyle w:val="FootnoteAnchor"/>
          <w:rtl w:val="true"/>
        </w:rPr>
        <w:footnoteReference w:id="2378"/>
      </w:r>
      <w:r>
        <w:rPr>
          <w:rFonts w:ascii="Amiri" w:hAnsi="Amiri" w:eastAsia="Amiri" w:cs="Amiri"/>
          <w:color w:val="111111"/>
          <w:sz w:val="28"/>
          <w:sz w:val="28"/>
          <w:szCs w:val="28"/>
          <w:rtl w:val="true"/>
          <w:lang w:bidi="ar-SA"/>
        </w:rPr>
        <w:t>لأنّه يُوافِقُنا في جوازِ الوطءِ عندَ انقطاعِ الدمِ و إن لَم يَقَعِ الغُسلُ، إلّاأنّه يُفرِّقُ بَينَ انقطاعِه لأكثَرِ الحَيضِ و</w:t>
      </w:r>
      <w:r>
        <w:rPr>
          <w:rStyle w:val="FootnoteAnchor"/>
          <w:rtl w:val="true"/>
        </w:rPr>
        <w:footnoteReference w:id="2379"/>
      </w:r>
      <w:r>
        <w:rPr>
          <w:rFonts w:ascii="Amiri" w:hAnsi="Amiri" w:eastAsia="Amiri" w:cs="Amiri"/>
          <w:color w:val="111111"/>
          <w:sz w:val="28"/>
          <w:sz w:val="28"/>
          <w:szCs w:val="28"/>
          <w:rtl w:val="true"/>
          <w:lang w:bidi="ar-SA"/>
        </w:rPr>
        <w:t>لأقَلِّه؛ فيُجَوِّزُ الوطءَ إذا كانَ الِانقطاعُ في أكثَرِ الحَيضِ، و لا يُجوِّزُه</w:t>
      </w:r>
      <w:r>
        <w:rPr>
          <w:rStyle w:val="FootnoteAnchor"/>
          <w:rtl w:val="true"/>
        </w:rPr>
        <w:footnoteReference w:id="2380"/>
      </w:r>
      <w:r>
        <w:rPr>
          <w:rFonts w:ascii="Amiri" w:hAnsi="Amiri" w:eastAsia="Amiri" w:cs="Amiri"/>
          <w:color w:val="111111"/>
          <w:sz w:val="28"/>
          <w:sz w:val="28"/>
          <w:szCs w:val="28"/>
          <w:rtl w:val="true"/>
          <w:lang w:bidi="ar-SA"/>
        </w:rPr>
        <w:t>إذا كانَ لأقَلِّه</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8040081_1280447820"/>
      <w:bookmarkStart w:id="850" w:name="_Toc315"/>
      <w:bookmarkEnd w:id="849"/>
      <w:r>
        <w:rPr>
          <w:rtl w:val="true"/>
        </w:rPr>
        <w:t>مَسألةٌ سادسةٌ و سِتّونَ حُكمُ الخُمُسِ‌</w:t>
      </w:r>
      <w:bookmarkEnd w:id="850"/>
    </w:p>
    <w:p>
      <w:pPr>
        <w:pStyle w:val="BookText"/>
        <w:rPr/>
      </w:pPr>
      <w:r>
        <w:rPr>
          <w:rFonts w:ascii="Amiri" w:hAnsi="Amiri" w:eastAsia="Amiri" w:cs="Amiri"/>
          <w:color w:val="111111"/>
          <w:sz w:val="28"/>
          <w:sz w:val="28"/>
          <w:szCs w:val="28"/>
          <w:rtl w:val="true"/>
          <w:lang w:bidi="ar-SA"/>
        </w:rPr>
        <w:t>الخُمُسُ مفروضٌ لآلِ الرسولِ عليه السلامُ و عليهم في الغَنيمةِ مِن</w:t>
      </w:r>
      <w:r>
        <w:rPr>
          <w:rStyle w:val="FootnoteAnchor"/>
          <w:rtl w:val="true"/>
        </w:rPr>
        <w:footnoteReference w:id="2381"/>
      </w:r>
      <w:r>
        <w:rPr>
          <w:rFonts w:ascii="Amiri" w:hAnsi="Amiri" w:eastAsia="Amiri" w:cs="Amiri"/>
          <w:color w:val="111111"/>
          <w:sz w:val="28"/>
          <w:sz w:val="28"/>
          <w:szCs w:val="28"/>
          <w:rtl w:val="true"/>
          <w:lang w:bidi="ar-SA"/>
        </w:rPr>
        <w:t>بِلادِ الشِّركِ، أم في</w:t>
      </w:r>
      <w:r>
        <w:rPr>
          <w:rStyle w:val="FootnoteAnchor"/>
          <w:rtl w:val="true"/>
        </w:rPr>
        <w:footnoteReference w:id="2382"/>
      </w:r>
      <w:r>
        <w:rPr>
          <w:rFonts w:ascii="Amiri" w:hAnsi="Amiri" w:eastAsia="Amiri" w:cs="Amiri"/>
          <w:color w:val="111111"/>
          <w:sz w:val="28"/>
          <w:sz w:val="28"/>
          <w:szCs w:val="28"/>
          <w:rtl w:val="true"/>
          <w:lang w:bidi="ar-SA"/>
        </w:rPr>
        <w:t>جميعِ المَكاسِبِ و المَتاجِرِ</w:t>
      </w:r>
      <w:r>
        <w:rPr>
          <w:rStyle w:val="FootnoteAnchor"/>
          <w:rtl w:val="true"/>
        </w:rPr>
        <w:footnoteReference w:id="2383"/>
      </w:r>
      <w:r>
        <w:rPr>
          <w:rFonts w:ascii="Amiri" w:hAnsi="Amiri" w:eastAsia="Amiri" w:cs="Amiri"/>
          <w:color w:val="111111"/>
          <w:sz w:val="28"/>
          <w:sz w:val="28"/>
          <w:szCs w:val="28"/>
          <w:rtl w:val="true"/>
          <w:lang w:bidi="ar-SA"/>
        </w:rPr>
        <w:t>و العَقارِ و الزَّرعِ؟</w:t>
      </w:r>
    </w:p>
    <w:p>
      <w:pPr>
        <w:pStyle w:val="BookText"/>
        <w:rPr/>
      </w:pPr>
      <w:r>
        <w:rPr>
          <w:rFonts w:ascii="Amiri" w:hAnsi="Amiri" w:eastAsia="Amiri" w:cs="Amiri"/>
          <w:color w:val="111111"/>
          <w:sz w:val="28"/>
          <w:sz w:val="28"/>
          <w:szCs w:val="28"/>
          <w:rtl w:val="true"/>
          <w:lang w:bidi="ar-SA"/>
        </w:rPr>
        <w:t>و لِمَن</w:t>
      </w:r>
      <w:r>
        <w:rPr>
          <w:rStyle w:val="FootnoteAnchor"/>
          <w:rtl w:val="true"/>
        </w:rPr>
        <w:footnoteReference w:id="2384"/>
      </w:r>
      <w:r>
        <w:rPr>
          <w:rFonts w:ascii="Amiri" w:hAnsi="Amiri" w:eastAsia="Amiri" w:cs="Amiri"/>
          <w:color w:val="111111"/>
          <w:sz w:val="28"/>
          <w:sz w:val="28"/>
          <w:szCs w:val="28"/>
          <w:rtl w:val="true"/>
          <w:lang w:bidi="ar-SA"/>
        </w:rPr>
        <w:t>يَجِبُ ذلكَ منهم في هذا العَصرِ؟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 واجبٌ في كُلِّ الغَنائمِ المُستَفادةِ بالحَربِ‌</w:t>
      </w:r>
      <w:r>
        <w:rPr>
          <w:rStyle w:val="FootnoteAnchor"/>
          <w:rtl w:val="true"/>
        </w:rPr>
        <w:footnoteReference w:id="2385"/>
      </w:r>
      <w:r>
        <w:rPr>
          <w:rFonts w:ascii="Amiri" w:hAnsi="Amiri" w:eastAsia="Amiri" w:cs="Amiri"/>
          <w:color w:val="111111"/>
          <w:sz w:val="28"/>
          <w:sz w:val="28"/>
          <w:szCs w:val="28"/>
          <w:rtl w:val="true"/>
          <w:lang w:bidi="ar-SA"/>
        </w:rPr>
        <w:t>مِن أموالِ أهلِ الشِّركِ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أيضاً واجبٌ فيما يُستَفادُ مِن المَعادِنِ و الكُنوزِ، و يُستَخرَجُ مِن البِحارِ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يَجِبُ أيضاً في كُلِّ ما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أرباحِ التجاراتِ، و الزراعاتِ، و الصِّناعاتِ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المَؤونةِ و الكِفايةِ في</w:t>
      </w:r>
      <w:r>
        <w:rPr>
          <w:rStyle w:val="FootnoteAnchor"/>
          <w:rtl w:val="true"/>
        </w:rPr>
        <w:footnoteReference w:id="2386"/>
      </w:r>
      <w:r>
        <w:rPr>
          <w:rFonts w:ascii="Amiri" w:hAnsi="Amiri" w:eastAsia="Amiri" w:cs="Amiri"/>
          <w:color w:val="111111"/>
          <w:sz w:val="28"/>
          <w:sz w:val="28"/>
          <w:szCs w:val="28"/>
          <w:rtl w:val="true"/>
          <w:lang w:bidi="ar-SA"/>
        </w:rPr>
        <w:t>طولِ سَنَتِه</w:t>
      </w:r>
      <w:r>
        <w:rPr>
          <w:rStyle w:val="FootnoteAnchor"/>
          <w:rtl w:val="true"/>
        </w:rPr>
        <w:footnoteReference w:id="2387"/>
      </w:r>
      <w:r>
        <w:rPr>
          <w:rFonts w:ascii="Amiri" w:hAnsi="Amiri" w:eastAsia="Amiri" w:cs="Amiri"/>
          <w:color w:val="111111"/>
          <w:sz w:val="28"/>
          <w:sz w:val="28"/>
          <w:szCs w:val="28"/>
          <w:rtl w:val="true"/>
          <w:lang w:bidi="ar-SA"/>
        </w:rPr>
        <w:t>علَى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سَهمُ اللّٰهِ تَعالَى الذي أضافَه إلىٰ نفسِه، و سَهمُ الرسولِ عليه السلامُ؛ و هذانِ السَّهمانِ بَعدَ الرسولِ للإمامِ القائمِ مَقامَه، مُضافاً إلىٰ سَهمِ الإمامِ الذي يَستَحِقُّه بالقُربىٰ؛ و باقي السِّهامِ ليَتامىٰ آلِ مُحمّدٍ عليه و</w:t>
      </w:r>
      <w:r>
        <w:rPr>
          <w:rStyle w:val="FootnoteAnchor"/>
          <w:rtl w:val="true"/>
        </w:rPr>
        <w:footnoteReference w:id="2388"/>
      </w:r>
      <w:r>
        <w:rPr>
          <w:rFonts w:ascii="Amiri" w:hAnsi="Amiri" w:eastAsia="Amiri" w:cs="Amiri"/>
          <w:color w:val="111111"/>
          <w:sz w:val="28"/>
          <w:sz w:val="28"/>
          <w:szCs w:val="28"/>
          <w:rtl w:val="true"/>
          <w:lang w:bidi="ar-SA"/>
        </w:rPr>
        <w:t>عليهم السلامُ، و لمَساكينِهم، و أبناءِ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يُقسَّمُ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للإمامِ‌</w:t>
      </w:r>
      <w:r>
        <w:rPr>
          <w:rStyle w:val="FootnoteAnchor"/>
          <w:rtl w:val="true"/>
        </w:rPr>
        <w:footnoteReference w:id="2389"/>
      </w:r>
      <w:r>
        <w:rPr>
          <w:rFonts w:ascii="Amiri" w:hAnsi="Amiri" w:eastAsia="Amiri" w:cs="Amiri"/>
          <w:color w:val="111111"/>
          <w:sz w:val="28"/>
          <w:sz w:val="28"/>
          <w:szCs w:val="28"/>
          <w:rtl w:val="true"/>
          <w:lang w:bidi="ar-SA"/>
        </w:rPr>
        <w:t>عليه السلامُ، و ثَلاثةٌ منها لآلِ الرسولِ عليه و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الخُمُسُ‌</w:t>
      </w:r>
      <w:r>
        <w:rPr>
          <w:rStyle w:val="FootnoteAnchor"/>
          <w:rtl w:val="true"/>
        </w:rPr>
        <w:footnoteReference w:id="2390"/>
      </w:r>
      <w:r>
        <w:rPr>
          <w:rFonts w:ascii="Amiri" w:hAnsi="Amiri" w:eastAsia="Amiri" w:cs="Amiri"/>
          <w:color w:val="111111"/>
          <w:sz w:val="28"/>
          <w:sz w:val="28"/>
          <w:szCs w:val="28"/>
          <w:rtl w:val="true"/>
          <w:lang w:bidi="ar-SA"/>
        </w:rPr>
        <w:t>إنّما جُعِلَ لهم عِوَضاً عن الصدَقةِ؛ فإذا مُنِعوه في بعضِ الأزمانِ، حَلَّت لهُم الصدَقةُ مع المنعِ مِن هذا الخُمُسِ‌</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المُوفِّقُ للصوابِ</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المَسائلُ و أجوبتُها، و اللّٰهُ وَليُّ الحَمدِ و التوفيقِ</w:t>
      </w:r>
      <w:r>
        <w:rPr>
          <w:rFonts w:eastAsia="Amiri" w:cs="Amiri" w:ascii="Amiri" w:hAnsi="Amiri"/>
          <w:color w:val="111111"/>
          <w:sz w:val="28"/>
          <w:szCs w:val="28"/>
          <w:rtl w:val="true"/>
          <w:lang w:bidi="ar-SA"/>
        </w:rPr>
        <w:t>.</w:t>
      </w:r>
      <w:r>
        <w:rPr>
          <w:rStyle w:val="FootnoteAnchor"/>
          <w:rtl w:val="true"/>
        </w:rPr>
        <w:footnoteReference w:id="2392"/>
      </w:r>
      <w:bookmarkStart w:id="851" w:name="pg16437_172725"/>
    </w:p>
    <w:p>
      <w:pPr>
        <w:pStyle w:val="Heading3"/>
        <w:numPr>
          <w:ilvl w:val="2"/>
          <w:numId w:val="1"/>
        </w:numPr>
        <w:rPr/>
      </w:pPr>
      <w:bookmarkStart w:id="852" w:name="__RefHeading___Toc8040083_1280447820"/>
      <w:bookmarkStart w:id="853" w:name="_Toc316"/>
      <w:bookmarkEnd w:id="851"/>
      <w:bookmarkEnd w:id="852"/>
      <w:r>
        <w:rPr>
          <w:rtl w:val="true"/>
        </w:rPr>
        <w:t>(</w:t>
      </w:r>
      <w:r>
        <w:rPr/>
        <w:t>80</w:t>
      </w:r>
      <w:r>
        <w:rPr>
          <w:rtl w:val="true"/>
        </w:rPr>
        <w:t xml:space="preserve">) </w:t>
      </w:r>
      <w:r>
        <w:rPr>
          <w:rtl w:val="true"/>
        </w:rPr>
        <w:t>جَواباتُ المَسائلِ الواسِطيّاتِ‌</w:t>
      </w:r>
      <w:bookmarkEnd w:id="85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4" w:name="__RefHeading___Toc8040085_1280447820"/>
      <w:bookmarkStart w:id="855" w:name="_Toc317"/>
      <w:bookmarkEnd w:id="854"/>
      <w:r>
        <w:rPr>
          <w:rtl w:val="true"/>
        </w:rPr>
        <w:t>اشارة</w:t>
      </w:r>
      <w:bookmarkEnd w:id="85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6" w:name="pg16437_172727"/>
      <w:bookmarkStart w:id="857" w:name="pg16437_172727"/>
      <w:bookmarkEnd w:id="857"/>
    </w:p>
    <w:p>
      <w:pPr>
        <w:pStyle w:val="Heading4"/>
        <w:numPr>
          <w:ilvl w:val="3"/>
          <w:numId w:val="1"/>
        </w:numPr>
        <w:rPr/>
      </w:pPr>
      <w:bookmarkStart w:id="858" w:name="pg16437_172727"/>
      <w:bookmarkStart w:id="859" w:name="__RefHeading___Toc8040087_1280447820"/>
      <w:bookmarkStart w:id="860" w:name="_Toc318"/>
      <w:bookmarkEnd w:id="858"/>
      <w:bookmarkEnd w:id="859"/>
      <w:r>
        <w:rPr>
          <w:rtl w:val="true"/>
        </w:rPr>
        <w:t>مقدّمة التحقيق</w:t>
      </w:r>
      <w:bookmarkEnd w:id="860"/>
    </w:p>
    <w:p>
      <w:pPr>
        <w:pStyle w:val="Heading5"/>
        <w:numPr>
          <w:ilvl w:val="4"/>
          <w:numId w:val="1"/>
        </w:numPr>
        <w:rPr/>
      </w:pPr>
      <w:bookmarkStart w:id="861" w:name="__RefHeading___Toc8040089_1280447820"/>
      <w:bookmarkStart w:id="862" w:name="_Toc319"/>
      <w:bookmarkEnd w:id="861"/>
      <w:r>
        <w:rPr>
          <w:rtl w:val="true"/>
        </w:rPr>
        <w:t>اشارة</w:t>
      </w:r>
      <w:bookmarkEnd w:id="862"/>
    </w:p>
    <w:p>
      <w:pPr>
        <w:pStyle w:val="BookText"/>
        <w:rPr/>
      </w:pPr>
      <w:r>
        <w:rPr>
          <w:rFonts w:ascii="Amiri" w:hAnsi="Amiri" w:eastAsia="Amiri" w:cs="Amiri"/>
          <w:color w:val="111111"/>
          <w:sz w:val="28"/>
          <w:sz w:val="28"/>
          <w:szCs w:val="28"/>
          <w:rtl w:val="true"/>
          <w:lang w:bidi="ar-SA"/>
        </w:rPr>
        <w:t xml:space="preserve">ذكر البُصرويّ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فهرسه هذه المسائل، و وصفها بأنّها مائة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تقع في موضع متوسّط بين البصرة و الكوفة، و لذلك سمّيت بهذا الاسم، و قد بناها الحجّاج، و فرغ من بنائها سنة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مدن أُخرى تسمّى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تُراجع في محلها</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المتبقّي من هذه المسائل ثماني مسائل فقط؛ و هذا يعني أنّ معظم المسائل مفقود، فقد تقدّم أنّ البُصروي ذكر أنّها مائة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المسائل المتبقّية تبدأ من المسألة الخامسة، و تنتهي عند المسألة الثانية عشرة؛ أي أنّه قد سقطت أربع مسائل من أوّلها، و ثماني و ثمانون مسألة من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المتبقّي من المسائل الواسطيّات كلّه مسائل فقهيّة، و مُعظمه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بالعلاقات الزوجيّة من نكاح، و طلاق، و عدّة وفاة؛ و أمّا المسألتان الأُخريان فتتعلّق إحداهما بالإرث، و الأُخرى بالصلاة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الملاحَظ أنّ الكثير من هذه المسائل متعلّق بأهل الذمّة أو المخالفين و النواصب و الغلاة؛ و هذا قد يعني أنّ السائل كان يعيش في أجواء متنوّعة من الناحية الدينيّة و المذهبيّة</w:t>
      </w:r>
      <w:r>
        <w:rPr>
          <w:rFonts w:eastAsia="Amiri" w:cs="Amiri" w:ascii="Amiri" w:hAnsi="Amiri"/>
          <w:color w:val="111111"/>
          <w:sz w:val="28"/>
          <w:szCs w:val="28"/>
          <w:rtl w:val="true"/>
          <w:lang w:bidi="ar-SA"/>
        </w:rPr>
        <w:t xml:space="preserve">. </w:t>
      </w:r>
      <w:bookmarkStart w:id="863" w:name="pg16437_172728"/>
    </w:p>
    <w:p>
      <w:pPr>
        <w:pStyle w:val="BookText"/>
        <w:rPr/>
      </w:pPr>
      <w:bookmarkEnd w:id="863"/>
      <w:r>
        <w:rPr>
          <w:rFonts w:ascii="Amiri" w:hAnsi="Amiri" w:eastAsia="Amiri" w:cs="Amiri"/>
          <w:color w:val="111111"/>
          <w:sz w:val="28"/>
          <w:sz w:val="28"/>
          <w:szCs w:val="28"/>
          <w:rtl w:val="true"/>
          <w:lang w:bidi="ar-SA"/>
        </w:rPr>
        <w:t>و قد نقل بعض الفقهاء من المسائل الواسطيّات في كتبهم</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كانت هذه المسائل قد طبعت في ضمن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 في مسائل المرتضى،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المسائل الواسطيّات</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8040091_1280447820"/>
      <w:bookmarkStart w:id="865" w:name="_Toc320"/>
      <w:bookmarkEnd w:id="864"/>
      <w:r>
        <w:rPr>
          <w:rtl w:val="true"/>
        </w:rPr>
        <w:t>مخطوطات الرسالة</w:t>
      </w:r>
      <w:bookmarkEnd w:id="865"/>
    </w:p>
    <w:p>
      <w:pPr>
        <w:pStyle w:val="Heading6"/>
        <w:numPr>
          <w:ilvl w:val="5"/>
          <w:numId w:val="1"/>
        </w:numPr>
        <w:rPr/>
      </w:pPr>
      <w:bookmarkStart w:id="866" w:name="__RefHeading___Toc8040093_1280447820"/>
      <w:bookmarkStart w:id="867" w:name="_Toc321"/>
      <w:bookmarkEnd w:id="866"/>
      <w:r>
        <w:rPr>
          <w:rtl w:val="true"/>
        </w:rPr>
        <w:t>ألف</w:t>
      </w:r>
      <w:r>
        <w:rPr>
          <w:rtl w:val="true"/>
        </w:rPr>
        <w:t xml:space="preserve">) </w:t>
      </w:r>
      <w:r>
        <w:rPr>
          <w:rtl w:val="true"/>
        </w:rPr>
        <w:t>النسخ المعتمدة</w:t>
      </w:r>
      <w:r>
        <w:rPr>
          <w:rtl w:val="true"/>
        </w:rPr>
        <w:t>:</w:t>
      </w:r>
      <w:bookmarkEnd w:id="8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Heading6"/>
        <w:numPr>
          <w:ilvl w:val="5"/>
          <w:numId w:val="1"/>
        </w:numPr>
        <w:rPr/>
      </w:pPr>
      <w:bookmarkStart w:id="868" w:name="__RefHeading___Toc8040095_1280447820"/>
      <w:bookmarkStart w:id="869" w:name="_Toc322"/>
      <w:bookmarkEnd w:id="868"/>
      <w:r>
        <w:rPr>
          <w:rtl w:val="true"/>
        </w:rPr>
        <w:t>ب</w:t>
      </w:r>
      <w:r>
        <w:rPr>
          <w:rtl w:val="true"/>
        </w:rPr>
        <w:t xml:space="preserve">) </w:t>
      </w:r>
      <w:r>
        <w:rPr>
          <w:rtl w:val="true"/>
        </w:rPr>
        <w:t>سائر النسخ</w:t>
      </w:r>
      <w:r>
        <w:rPr>
          <w:rtl w:val="true"/>
        </w:rPr>
        <w:t>:</w:t>
      </w:r>
      <w:bookmarkEnd w:id="8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541/14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10005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السيّد حسن الصدر رحمه اللّٰه، المرقّمة </w:t>
      </w:r>
      <w:r>
        <w:rPr>
          <w:rFonts w:eastAsia="Amiri" w:cs="Amiri" w:ascii="Amiri" w:hAnsi="Amiri"/>
          <w:color w:val="111111"/>
          <w:sz w:val="28"/>
          <w:szCs w:val="28"/>
          <w:lang w:bidi="ar-SA"/>
        </w:rPr>
        <w:t>587/7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0" w:name="pg16437_172731"/>
      <w:bookmarkStart w:id="871" w:name="pg16437_172731"/>
      <w:bookmarkEnd w:id="871"/>
    </w:p>
    <w:p>
      <w:pPr>
        <w:pStyle w:val="Heading4"/>
        <w:numPr>
          <w:ilvl w:val="3"/>
          <w:numId w:val="1"/>
        </w:numPr>
        <w:rPr/>
      </w:pPr>
      <w:bookmarkStart w:id="872" w:name="pg16437_172731"/>
      <w:bookmarkStart w:id="873" w:name="__RefHeading___Toc8040097_1280447820"/>
      <w:bookmarkStart w:id="874" w:name="_Toc323"/>
      <w:bookmarkEnd w:id="872"/>
      <w:bookmarkEnd w:id="873"/>
      <w:r>
        <w:rPr>
          <w:rtl w:val="true"/>
        </w:rPr>
        <w:t>جَواباتُ المَسائلِ الواسِطيّاتِ‌</w:t>
      </w:r>
      <w:bookmarkEnd w:id="874"/>
    </w:p>
    <w:p>
      <w:pPr>
        <w:pStyle w:val="Heading5"/>
        <w:numPr>
          <w:ilvl w:val="4"/>
          <w:numId w:val="1"/>
        </w:numPr>
        <w:rPr/>
      </w:pPr>
      <w:bookmarkStart w:id="875" w:name="__RefHeading___Toc8040099_1280447820"/>
      <w:bookmarkStart w:id="876" w:name="_Toc324"/>
      <w:bookmarkEnd w:id="875"/>
      <w:r>
        <w:rPr>
          <w:rtl w:val="true"/>
        </w:rPr>
        <w:t>اشارة</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8040101_1280447820"/>
      <w:bookmarkStart w:id="878" w:name="_Toc325"/>
      <w:bookmarkEnd w:id="877"/>
      <w:r>
        <w:rPr>
          <w:rtl w:val="true"/>
        </w:rPr>
        <w:t>المَسألةُ الخامسةُ مِن المَسائلِ الواسِطيّاتِ إنكاحُ النَّواصِبِ و الغُلاةِ‌</w:t>
      </w:r>
      <w:bookmarkEnd w:id="878"/>
    </w:p>
    <w:p>
      <w:pPr>
        <w:pStyle w:val="BookText"/>
        <w:rPr/>
      </w:pPr>
      <w:r>
        <w:rPr>
          <w:rFonts w:ascii="Amiri" w:hAnsi="Amiri" w:eastAsia="Amiri" w:cs="Amiri"/>
          <w:color w:val="111111"/>
          <w:sz w:val="28"/>
          <w:sz w:val="28"/>
          <w:szCs w:val="28"/>
          <w:rtl w:val="true"/>
          <w:lang w:bidi="ar-SA"/>
        </w:rPr>
        <w:t>هَل يَجوزُ للمؤمِنِ أن يُزوِّجَ ابنَتَه الناصِبَ أو الغاليَ، أو فيهما</w:t>
      </w:r>
      <w:r>
        <w:rPr>
          <w:rStyle w:val="FootnoteAnchor"/>
          <w:rtl w:val="true"/>
        </w:rPr>
        <w:footnoteReference w:id="2395"/>
      </w:r>
      <w:r>
        <w:rPr>
          <w:rFonts w:ascii="Amiri" w:hAnsi="Amiri" w:eastAsia="Amiri" w:cs="Amiri"/>
          <w:color w:val="111111"/>
          <w:sz w:val="28"/>
          <w:sz w:val="28"/>
          <w:szCs w:val="28"/>
          <w:rtl w:val="true"/>
          <w:lang w:bidi="ar-SA"/>
        </w:rPr>
        <w:t>ما يُخرِجُ عن</w:t>
      </w:r>
      <w:r>
        <w:rPr>
          <w:rStyle w:val="FootnoteAnchor"/>
          <w:rtl w:val="true"/>
        </w:rPr>
        <w:footnoteReference w:id="2396"/>
      </w:r>
      <w:r>
        <w:rPr>
          <w:rFonts w:ascii="Amiri" w:hAnsi="Amiri" w:eastAsia="Amiri" w:cs="Amiri"/>
          <w:color w:val="111111"/>
          <w:sz w:val="28"/>
          <w:sz w:val="28"/>
          <w:szCs w:val="28"/>
          <w:rtl w:val="true"/>
          <w:lang w:bidi="ar-SA"/>
        </w:rPr>
        <w:t>حَدِّ النكاحِ إلَى السِّفاحِ؟ و ما الفَرقُ بَينَهما في هذه الحالِ‌</w:t>
      </w:r>
      <w:r>
        <w:rPr>
          <w:rStyle w:val="FootnoteAnchor"/>
          <w:rtl w:val="true"/>
        </w:rPr>
        <w:footnoteReference w:id="2397"/>
      </w:r>
      <w:r>
        <w:rPr>
          <w:rFonts w:ascii="Amiri" w:hAnsi="Amiri" w:eastAsia="Amiri" w:cs="Amiri"/>
          <w:color w:val="111111"/>
          <w:sz w:val="28"/>
          <w:sz w:val="28"/>
          <w:szCs w:val="28"/>
          <w:rtl w:val="true"/>
          <w:lang w:bidi="ar-SA"/>
        </w:rPr>
        <w:t>؟ و ما حَقيقةُ بُعدِهما جَميعاً</w:t>
      </w:r>
      <w:r>
        <w:rPr>
          <w:rStyle w:val="FootnoteAnchor"/>
          <w:rtl w:val="true"/>
        </w:rPr>
        <w:footnoteReference w:id="2398"/>
      </w:r>
      <w:r>
        <w:rPr>
          <w:rFonts w:ascii="Amiri" w:hAnsi="Amiri" w:eastAsia="Amiri" w:cs="Amiri"/>
          <w:color w:val="111111"/>
          <w:sz w:val="28"/>
          <w:sz w:val="28"/>
          <w:szCs w:val="28"/>
          <w:rtl w:val="true"/>
          <w:lang w:bidi="ar-SA"/>
        </w:rPr>
        <w:t>مِن حقائقِ الإسلامِ علىٰ مُقتَضَى الِاعتقادِ و أُصولِ الدينِ؟</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الناصبُ كالغالي في الكُفرِ و الخُروجِ عن الإيمانِ، و لا يَجوزُ مُناكَحةُ كُلِّ واحدٍ منهما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بَينَهما في أنّهما كافِرانِ، لا يَتعلَّقُ عليهما أحكامُ أهلِ الإسلامِ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مَقاديرُ عِقابِ كُلِّ واحدٍ منهما و زيادةُ بعضِه علىٰ بعضٍ أو نُقصانُه، فممّا</w:t>
      </w:r>
      <w:r>
        <w:rPr>
          <w:rStyle w:val="FootnoteAnchor"/>
          <w:rtl w:val="true"/>
        </w:rPr>
        <w:footnoteReference w:id="2399"/>
      </w:r>
      <w:bookmarkStart w:id="879" w:name="pg16437_172732"/>
    </w:p>
    <w:p>
      <w:pPr>
        <w:pStyle w:val="BookText"/>
        <w:rPr/>
      </w:pPr>
      <w:bookmarkEnd w:id="879"/>
      <w:r>
        <w:rPr>
          <w:rFonts w:ascii="Amiri" w:hAnsi="Amiri" w:eastAsia="Amiri" w:cs="Amiri"/>
          <w:color w:val="111111"/>
          <w:sz w:val="28"/>
          <w:sz w:val="28"/>
          <w:szCs w:val="28"/>
          <w:rtl w:val="true"/>
          <w:lang w:bidi="ar-SA"/>
        </w:rPr>
        <w:t>يَعلَمُه اللّٰهُ تَعالىٰ‌</w:t>
      </w:r>
      <w:r>
        <w:rPr>
          <w:rStyle w:val="FootnoteAnchor"/>
          <w:rtl w:val="true"/>
        </w:rPr>
        <w:footnoteReference w:id="2400"/>
      </w:r>
      <w:r>
        <w:rPr>
          <w:rFonts w:ascii="Amiri" w:hAnsi="Amiri" w:eastAsia="Amiri" w:cs="Amiri"/>
          <w:color w:val="111111"/>
          <w:sz w:val="28"/>
          <w:sz w:val="28"/>
          <w:szCs w:val="28"/>
          <w:rtl w:val="true"/>
          <w:lang w:bidi="ar-SA"/>
        </w:rPr>
        <w:t>، و لا طَريقَ لنا إلَى تحقيقِه</w:t>
      </w:r>
      <w:r>
        <w:rPr>
          <w:rStyle w:val="FootnoteAnchor"/>
          <w:rtl w:val="true"/>
        </w:rPr>
        <w:footnoteReference w:id="2401"/>
      </w: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8040103_1280447820"/>
      <w:bookmarkStart w:id="881" w:name="_Toc326"/>
      <w:bookmarkEnd w:id="880"/>
      <w:r>
        <w:rPr>
          <w:rtl w:val="true"/>
        </w:rPr>
        <w:t>المَسألةُ السادسةُ مِن الواسِطيّاتِ المسلمُ يَرِثُ الكافرَ</w:t>
      </w:r>
      <w:bookmarkEnd w:id="88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يَرِثُ المُسلِمُ مَن</w:t>
      </w:r>
      <w:r>
        <w:rPr>
          <w:rStyle w:val="FootnoteAnchor"/>
          <w:rtl w:val="true"/>
        </w:rPr>
        <w:footnoteReference w:id="2402"/>
      </w:r>
      <w:r>
        <w:rPr>
          <w:rFonts w:ascii="Amiri" w:hAnsi="Amiri" w:eastAsia="Amiri" w:cs="Amiri"/>
          <w:color w:val="111111"/>
          <w:sz w:val="28"/>
          <w:sz w:val="28"/>
          <w:szCs w:val="28"/>
          <w:rtl w:val="true"/>
          <w:lang w:bidi="ar-SA"/>
        </w:rPr>
        <w:t>ماتَ مِن أهلِ بَيتِه ممّن هو مِن أهلِ الذمّةِ علىٰ مُقتَضَى</w:t>
      </w:r>
      <w:r>
        <w:rPr>
          <w:rStyle w:val="FootnoteAnchor"/>
          <w:rtl w:val="true"/>
        </w:rPr>
        <w:footnoteReference w:id="2403"/>
      </w:r>
      <w:r>
        <w:rPr>
          <w:rFonts w:ascii="Amiri" w:hAnsi="Amiri" w:eastAsia="Amiri" w:cs="Amiri"/>
          <w:color w:val="111111"/>
          <w:sz w:val="28"/>
          <w:sz w:val="28"/>
          <w:szCs w:val="28"/>
          <w:rtl w:val="true"/>
          <w:lang w:bidi="ar-SA"/>
        </w:rPr>
        <w:t>الشريعةِ؟ أو الإسلامُ يَمنَعُه مِن ميراثِ أهلِه</w:t>
      </w:r>
      <w:r>
        <w:rPr>
          <w:rStyle w:val="FootnoteAnchor"/>
          <w:rtl w:val="true"/>
        </w:rPr>
        <w:footnoteReference w:id="2404"/>
      </w:r>
      <w:r>
        <w:rPr>
          <w:rFonts w:ascii="Amiri" w:hAnsi="Amiri" w:eastAsia="Amiri" w:cs="Amiri"/>
          <w:color w:val="111111"/>
          <w:sz w:val="28"/>
          <w:sz w:val="28"/>
          <w:szCs w:val="28"/>
          <w:rtl w:val="true"/>
          <w:lang w:bidi="ar-SA"/>
        </w:rPr>
        <w:t>المُخالِفينَ لمِلّتِه؛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مِلّتَينِ لا يَتَوارَثونَ</w:t>
      </w:r>
      <w:r>
        <w:rPr>
          <w:rFonts w:eastAsia="Amiri" w:cs="Amiri" w:ascii="Amiri" w:hAnsi="Amiri"/>
          <w:color w:val="111111"/>
          <w:sz w:val="28"/>
          <w:szCs w:val="28"/>
          <w:rtl w:val="true"/>
          <w:lang w:bidi="ar-SA"/>
        </w:rPr>
        <w:t>»</w:t>
      </w:r>
      <w:r>
        <w:rPr>
          <w:rStyle w:val="FootnoteAnchor"/>
          <w:rtl w:val="true"/>
        </w:rPr>
        <w:footnoteReference w:id="2405"/>
      </w:r>
      <w:r>
        <w:rPr>
          <w:rFonts w:ascii="Amiri" w:hAnsi="Amiri" w:eastAsia="Amiri" w:cs="Amiri"/>
          <w:color w:val="111111"/>
          <w:sz w:val="28"/>
          <w:sz w:val="28"/>
          <w:szCs w:val="28"/>
          <w:rtl w:val="true"/>
          <w:lang w:bidi="ar-SA"/>
        </w:rPr>
        <w:t>بحَسَبِ ما ذَكَرَه ابنُ محبوبٍ رَحِمَه اللّٰه</w:t>
      </w:r>
      <w:r>
        <w:rPr>
          <w:rStyle w:val="FootnoteAnchor"/>
          <w:rtl w:val="true"/>
        </w:rPr>
        <w:footnoteReference w:id="2406"/>
      </w:r>
      <w:r>
        <w:rPr>
          <w:rFonts w:ascii="Amiri" w:hAnsi="Amiri" w:eastAsia="Amiri" w:cs="Amiri"/>
          <w:color w:val="111111"/>
          <w:sz w:val="28"/>
          <w:sz w:val="28"/>
          <w:szCs w:val="28"/>
          <w:rtl w:val="true"/>
          <w:lang w:bidi="ar-SA"/>
        </w:rPr>
        <w:t>في كتابِ المَشيخَةِ</w:t>
      </w:r>
      <w:r>
        <w:rPr>
          <w:rFonts w:eastAsia="Amiri" w:cs="Amiri" w:ascii="Amiri" w:hAnsi="Amiri"/>
          <w:color w:val="111111"/>
          <w:sz w:val="28"/>
          <w:szCs w:val="28"/>
          <w:rtl w:val="true"/>
          <w:lang w:bidi="ar-SA"/>
        </w:rPr>
        <w:t xml:space="preserve">. </w:t>
      </w:r>
      <w:bookmarkStart w:id="882" w:name="pg16437_172733"/>
    </w:p>
    <w:p>
      <w:pPr>
        <w:pStyle w:val="BookText"/>
        <w:rPr/>
      </w:pPr>
      <w:bookmarkEnd w:id="882"/>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لا يَختَلِفُ أصحابُنا في أنّ المؤمِنَ يَرِثُ الكافرَ، و إن كانَ الكافرُ لا يَرِثُ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يُروىٰ عن النبيِّ صَلَّى اللّٰهُ عليه و آلِه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أهلَ مِلّتَينِ لا يَتَوارَثونَ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صَحيحاً؛ فإنّه خبرُ واحدٍ غيرُ 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منهما لا يَرِثُ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يَمنَعُ مِن أن يَرِثَ‌</w:t>
      </w:r>
      <w:r>
        <w:rPr>
          <w:rStyle w:val="FootnoteAnchor"/>
          <w:rtl w:val="true"/>
        </w:rPr>
        <w:footnoteReference w:id="2408"/>
      </w:r>
      <w:r>
        <w:rPr>
          <w:rFonts w:ascii="Amiri" w:hAnsi="Amiri" w:eastAsia="Amiri" w:cs="Amiri"/>
          <w:color w:val="111111"/>
          <w:sz w:val="28"/>
          <w:sz w:val="28"/>
          <w:szCs w:val="28"/>
          <w:rtl w:val="true"/>
          <w:lang w:bidi="ar-SA"/>
        </w:rPr>
        <w:t>المُسلِمُ الكافرَ؛ لأنّ التوارُثَ تَفاعُلٌ، و لا يَكونُ إلّابَينَ اثنَينِ علىٰ حَدٍّ</w:t>
      </w:r>
      <w:r>
        <w:rPr>
          <w:rStyle w:val="FootnoteAnchor"/>
          <w:rtl w:val="true"/>
        </w:rPr>
        <w:footnoteReference w:id="2409"/>
      </w:r>
      <w:r>
        <w:rPr>
          <w:rFonts w:ascii="Amiri" w:hAnsi="Amiri" w:eastAsia="Amiri" w:cs="Amiri"/>
          <w:color w:val="111111"/>
          <w:sz w:val="28"/>
          <w:sz w:val="28"/>
          <w:szCs w:val="28"/>
          <w:rtl w:val="true"/>
          <w:lang w:bidi="ar-SA"/>
        </w:rPr>
        <w:t>واحدٍ؛ و إذا كانَ مِن جهةٍ واحدةٍ، لَم يَكُن تَفاعُلاً و لا تَوارُثاً</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8040105_1280447820"/>
      <w:bookmarkStart w:id="884" w:name="_Toc327"/>
      <w:bookmarkEnd w:id="883"/>
      <w:r>
        <w:rPr>
          <w:rtl w:val="true"/>
        </w:rPr>
        <w:t>المَسألةُ السابعةُ مِن الواسِطيّاتِ الصلاةُ في ثَوبَينِ أحدُهما إبريسَمٌ و الآخَرُ كِتّانٌ‌</w:t>
      </w:r>
      <w:bookmarkEnd w:id="88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w:t>
      </w:r>
      <w:r>
        <w:rPr>
          <w:rStyle w:val="FootnoteAnchor"/>
          <w:rtl w:val="true"/>
        </w:rPr>
        <w:footnoteReference w:id="2410"/>
      </w:r>
      <w:r>
        <w:rPr>
          <w:rFonts w:ascii="Amiri" w:hAnsi="Amiri" w:eastAsia="Amiri" w:cs="Amiri"/>
          <w:color w:val="111111"/>
          <w:sz w:val="28"/>
          <w:sz w:val="28"/>
          <w:szCs w:val="28"/>
          <w:rtl w:val="true"/>
          <w:lang w:bidi="ar-SA"/>
        </w:rPr>
        <w:t xml:space="preserve">ثُبوتِ الخبرِ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w:t>
      </w:r>
      <w:r>
        <w:rPr>
          <w:rStyle w:val="FootnoteAnchor"/>
          <w:rtl w:val="true"/>
        </w:rPr>
        <w:footnoteReference w:id="2411"/>
      </w:r>
      <w:r>
        <w:rPr>
          <w:rFonts w:ascii="Amiri" w:hAnsi="Amiri" w:eastAsia="Amiri" w:cs="Amiri"/>
          <w:color w:val="111111"/>
          <w:sz w:val="28"/>
          <w:sz w:val="28"/>
          <w:szCs w:val="28"/>
          <w:rtl w:val="true"/>
          <w:lang w:bidi="ar-SA"/>
        </w:rPr>
        <w:t>الصلاةُ في ثَوبِ إبريسَمٍ، إلّاأن يَكونَ ممزوجاً بقُطنٍ أو كِتّانٍ</w:t>
      </w:r>
      <w:r>
        <w:rPr>
          <w:rFonts w:eastAsia="Amiri" w:cs="Amiri" w:ascii="Amiri" w:hAnsi="Amiri"/>
          <w:color w:val="111111"/>
          <w:sz w:val="28"/>
          <w:szCs w:val="28"/>
          <w:rtl w:val="true"/>
          <w:lang w:bidi="ar-SA"/>
        </w:rPr>
        <w:t>»</w:t>
      </w:r>
      <w:r>
        <w:rPr>
          <w:rStyle w:val="FootnoteAnchor"/>
          <w:rtl w:val="true"/>
        </w:rPr>
        <w:footnoteReference w:id="2412"/>
      </w:r>
      <w:r>
        <w:rPr>
          <w:rFonts w:ascii="Amiri" w:hAnsi="Amiri" w:eastAsia="Amiri" w:cs="Amiri"/>
          <w:color w:val="111111"/>
          <w:sz w:val="28"/>
          <w:sz w:val="28"/>
          <w:szCs w:val="28"/>
          <w:rtl w:val="true"/>
          <w:lang w:bidi="ar-SA"/>
        </w:rPr>
        <w:t>، فهَل تَجِبُ‌</w:t>
      </w:r>
      <w:r>
        <w:rPr>
          <w:rStyle w:val="FootnoteAnchor"/>
          <w:rtl w:val="true"/>
        </w:rPr>
        <w:footnoteReference w:id="2413"/>
      </w:r>
      <w:r>
        <w:rPr>
          <w:rFonts w:ascii="Amiri" w:hAnsi="Amiri" w:eastAsia="Amiri" w:cs="Amiri"/>
          <w:color w:val="111111"/>
          <w:sz w:val="28"/>
          <w:sz w:val="28"/>
          <w:szCs w:val="28"/>
          <w:rtl w:val="true"/>
          <w:lang w:bidi="ar-SA"/>
        </w:rPr>
        <w:t>الصلاةُ في ثَوبَينِ أحَدُهما إبريسَمٌ و الآخَرُ كِتّانٌ، و جَريُهما</w:t>
      </w:r>
      <w:r>
        <w:rPr>
          <w:rStyle w:val="FootnoteAnchor"/>
          <w:rtl w:val="true"/>
        </w:rPr>
        <w:footnoteReference w:id="2414"/>
      </w:r>
      <w:r>
        <w:rPr>
          <w:rFonts w:ascii="Amiri" w:hAnsi="Amiri" w:eastAsia="Amiri" w:cs="Amiri"/>
          <w:color w:val="111111"/>
          <w:sz w:val="28"/>
          <w:sz w:val="28"/>
          <w:szCs w:val="28"/>
          <w:rtl w:val="true"/>
          <w:lang w:bidi="ar-SA"/>
        </w:rPr>
        <w:t xml:space="preserve">جميعاً مَجرَى الثوبِ الممزوجِ، إذا كانَ المُعتَمَدُ في ذلكَ نَقضَ الصلاةِ في الحريرِ إذا لَم يَكُن معه غيرُه؟ </w:t>
      </w:r>
      <w:bookmarkStart w:id="885" w:name="pg16437_172734"/>
    </w:p>
    <w:p>
      <w:pPr>
        <w:pStyle w:val="BookText"/>
        <w:rPr/>
      </w:pPr>
      <w:bookmarkEnd w:id="885"/>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الثوبَ إذا كانَ حَريراً مَحضاً لا يُخالِطُه قُطنٌ أو كِتّانٌ، فلُبسُه حَرامٌ، و الصلاةُ فيه أيضاً غيرُ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يَجري</w:t>
      </w:r>
      <w:r>
        <w:rPr>
          <w:rStyle w:val="FootnoteAnchor"/>
          <w:rtl w:val="true"/>
        </w:rPr>
        <w:footnoteReference w:id="2416"/>
      </w:r>
      <w:r>
        <w:rPr>
          <w:rFonts w:ascii="Amiri" w:hAnsi="Amiri" w:eastAsia="Amiri" w:cs="Amiri"/>
          <w:color w:val="111111"/>
          <w:sz w:val="28"/>
          <w:sz w:val="28"/>
          <w:szCs w:val="28"/>
          <w:rtl w:val="true"/>
          <w:lang w:bidi="ar-SA"/>
        </w:rPr>
        <w:t xml:space="preserve">الثوبانِ اللَّذانِ أحَدُهما حَريرٌ مَحضٌ و الآخَرُ قُطنٌ مَجرىٰ ثَوبٍ واحدٍ ممزوجٍ؛ لأنّ لابِسَ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أحَدُهما حَريرٌ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لابِسٌ لِما حَرُمَ مِن الحَريرِ المَحضِ‌</w:t>
      </w:r>
      <w:r>
        <w:rPr>
          <w:rStyle w:val="FootnoteAnchor"/>
          <w:rtl w:val="true"/>
        </w:rPr>
        <w:footnoteReference w:id="2417"/>
      </w:r>
      <w:r>
        <w:rPr>
          <w:rFonts w:ascii="Amiri" w:hAnsi="Amiri" w:eastAsia="Amiri" w:cs="Amiri"/>
          <w:color w:val="111111"/>
          <w:sz w:val="28"/>
          <w:sz w:val="28"/>
          <w:szCs w:val="28"/>
          <w:rtl w:val="true"/>
          <w:lang w:bidi="ar-SA"/>
        </w:rPr>
        <w:t>، و لَيسَ كذلكَ الثوبُ الممزوجُ</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8040107_1280447820"/>
      <w:bookmarkStart w:id="887" w:name="_Toc328"/>
      <w:bookmarkEnd w:id="886"/>
      <w:r>
        <w:rPr>
          <w:rtl w:val="true"/>
        </w:rPr>
        <w:t>المَسألةُ الثامنةُ مِن الواسِطيّاتِ‌عِدّةُ وفاةِ الذِّمّيِّ‌</w:t>
      </w:r>
      <w:bookmarkEnd w:id="887"/>
    </w:p>
    <w:p>
      <w:pPr>
        <w:pStyle w:val="BookText"/>
        <w:rPr/>
      </w:pPr>
      <w:r>
        <w:rPr>
          <w:rFonts w:ascii="Amiri" w:hAnsi="Amiri" w:eastAsia="Amiri" w:cs="Amiri"/>
          <w:color w:val="111111"/>
          <w:sz w:val="28"/>
          <w:sz w:val="28"/>
          <w:szCs w:val="28"/>
          <w:rtl w:val="true"/>
          <w:lang w:bidi="ar-SA"/>
        </w:rPr>
        <w:t>المَسألةُ الثامنةُ مِن الواسِطيّاتِ‌</w:t>
      </w:r>
      <w:r>
        <w:rPr>
          <w:rStyle w:val="FootnoteAnchor"/>
          <w:rtl w:val="true"/>
        </w:rPr>
        <w:footnoteReference w:id="2418"/>
      </w:r>
      <w:r>
        <w:rPr>
          <w:rFonts w:ascii="Amiri" w:hAnsi="Amiri" w:eastAsia="Amiri" w:cs="Amiri"/>
          <w:color w:val="111111"/>
          <w:sz w:val="28"/>
          <w:sz w:val="28"/>
          <w:szCs w:val="28"/>
          <w:rtl w:val="true"/>
          <w:lang w:bidi="ar-SA"/>
        </w:rPr>
        <w:t>عِدّةُ وفاةِ الذِّمّيِّ</w:t>
      </w:r>
    </w:p>
    <w:p>
      <w:pPr>
        <w:pStyle w:val="BookText"/>
        <w:rPr/>
      </w:pPr>
      <w:r>
        <w:rPr>
          <w:rFonts w:ascii="Amiri" w:hAnsi="Amiri" w:eastAsia="Amiri" w:cs="Amiri"/>
          <w:color w:val="111111"/>
          <w:sz w:val="28"/>
          <w:sz w:val="28"/>
          <w:szCs w:val="28"/>
          <w:rtl w:val="true"/>
          <w:lang w:bidi="ar-SA"/>
        </w:rPr>
        <w:t>إذا ماتَ الذمّيُّ عن زَوجتِه، فكَم أقَلُّ ما يَجِبُ أن تَعتَدَّ بَعدَه، فتَحِلَّ للمُستَمتِعِ بها مِن المُسلِمينَ؟</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التمتُّعُ و لا أن</w:t>
      </w:r>
      <w:r>
        <w:rPr>
          <w:rStyle w:val="FootnoteAnchor"/>
          <w:rtl w:val="true"/>
        </w:rPr>
        <w:footnoteReference w:id="2420"/>
      </w:r>
      <w:r>
        <w:rPr>
          <w:rFonts w:ascii="Amiri" w:hAnsi="Amiri" w:eastAsia="Amiri" w:cs="Amiri"/>
          <w:color w:val="111111"/>
          <w:sz w:val="28"/>
          <w:sz w:val="28"/>
          <w:szCs w:val="28"/>
          <w:rtl w:val="true"/>
          <w:lang w:bidi="ar-SA"/>
        </w:rPr>
        <w:t>يَنكِحَ نِكاحَ‌</w:t>
      </w:r>
      <w:r>
        <w:rPr>
          <w:rStyle w:val="FootnoteAnchor"/>
          <w:rtl w:val="true"/>
        </w:rPr>
        <w:footnoteReference w:id="2421"/>
      </w:r>
      <w:r>
        <w:rPr>
          <w:rFonts w:ascii="Amiri" w:hAnsi="Amiri" w:eastAsia="Amiri" w:cs="Amiri"/>
          <w:color w:val="111111"/>
          <w:sz w:val="28"/>
          <w:sz w:val="28"/>
          <w:szCs w:val="28"/>
          <w:rtl w:val="true"/>
          <w:lang w:bidi="ar-SA"/>
        </w:rPr>
        <w:t>الدوامِ و التأبيدِ امرأةَ الذمّيِّ إذا ماتَ عنها زَوجُها الذمّيُّ، إلّابَعدَ أن تَعتَدَّ العِدّةَ المفروضةَ في ذلكَ علَى الزوجةِ الحُرّةِ المُسلِمةِ</w:t>
      </w:r>
      <w:r>
        <w:rPr>
          <w:rFonts w:eastAsia="Amiri" w:cs="Amiri" w:ascii="Amiri" w:hAnsi="Amiri"/>
          <w:color w:val="111111"/>
          <w:sz w:val="28"/>
          <w:szCs w:val="28"/>
          <w:rtl w:val="true"/>
          <w:lang w:bidi="ar-SA"/>
        </w:rPr>
        <w:t xml:space="preserve">. </w:t>
      </w:r>
      <w:bookmarkStart w:id="888" w:name="pg16437_172735"/>
    </w:p>
    <w:p>
      <w:pPr>
        <w:pStyle w:val="Heading5"/>
        <w:numPr>
          <w:ilvl w:val="4"/>
          <w:numId w:val="1"/>
        </w:numPr>
        <w:rPr/>
      </w:pPr>
      <w:bookmarkStart w:id="889" w:name="__RefHeading___Toc8040109_1280447820"/>
      <w:bookmarkStart w:id="890" w:name="_Toc329"/>
      <w:bookmarkEnd w:id="888"/>
      <w:bookmarkEnd w:id="889"/>
      <w:r>
        <w:rPr>
          <w:rtl w:val="true"/>
        </w:rPr>
        <w:t>المَسألةُ التاسعةُ مِن الواسِطيّاتِ‌المَرأةُ المُتَسامِحةُ في نَفسِها عن مُراعاةِ عدّةِ الطلاقِ‌</w:t>
      </w:r>
      <w:bookmarkEnd w:id="890"/>
    </w:p>
    <w:p>
      <w:pPr>
        <w:pStyle w:val="BookText"/>
        <w:rPr/>
      </w:pPr>
      <w:r>
        <w:rPr>
          <w:rFonts w:ascii="Amiri" w:hAnsi="Amiri" w:eastAsia="Amiri" w:cs="Amiri"/>
          <w:color w:val="111111"/>
          <w:sz w:val="28"/>
          <w:sz w:val="28"/>
          <w:szCs w:val="28"/>
          <w:rtl w:val="true"/>
          <w:lang w:bidi="ar-SA"/>
        </w:rPr>
        <w:t>المَسألةُ التاسعةُ مِن الواسِطيّاتِ‌</w:t>
      </w:r>
      <w:r>
        <w:rPr>
          <w:rStyle w:val="FootnoteAnchor"/>
          <w:rtl w:val="true"/>
        </w:rPr>
        <w:footnoteReference w:id="2422"/>
      </w:r>
      <w:r>
        <w:rPr>
          <w:rFonts w:ascii="Amiri" w:hAnsi="Amiri" w:eastAsia="Amiri" w:cs="Amiri"/>
          <w:color w:val="111111"/>
          <w:sz w:val="28"/>
          <w:sz w:val="28"/>
          <w:szCs w:val="28"/>
          <w:rtl w:val="true"/>
          <w:lang w:bidi="ar-SA"/>
        </w:rPr>
        <w:t>المَرأةُ المُتَسامِحةُ في نَفسِها عن مُراعاةِ عدّةِ الطلاقِ</w:t>
      </w:r>
    </w:p>
    <w:p>
      <w:pPr>
        <w:pStyle w:val="BookText"/>
        <w:rPr/>
      </w:pPr>
      <w:r>
        <w:rPr>
          <w:rFonts w:ascii="Amiri" w:hAnsi="Amiri" w:eastAsia="Amiri" w:cs="Amiri"/>
          <w:color w:val="111111"/>
          <w:sz w:val="28"/>
          <w:sz w:val="28"/>
          <w:szCs w:val="28"/>
          <w:rtl w:val="true"/>
          <w:lang w:bidi="ar-SA"/>
        </w:rPr>
        <w:t>إذا ثَبَتَ علَى المَرأةِ المُتَسمِّحةِ في صيانةِ نَفسِها أنّها تَتزوَّجُ كثيراً، و لا تُراعي</w:t>
      </w:r>
      <w:r>
        <w:rPr>
          <w:rStyle w:val="FootnoteAnchor"/>
          <w:rtl w:val="true"/>
        </w:rPr>
        <w:footnoteReference w:id="2423"/>
      </w:r>
      <w:r>
        <w:rPr>
          <w:rFonts w:ascii="Amiri" w:hAnsi="Amiri" w:eastAsia="Amiri" w:cs="Amiri"/>
          <w:color w:val="111111"/>
          <w:sz w:val="28"/>
          <w:sz w:val="28"/>
          <w:szCs w:val="28"/>
          <w:rtl w:val="true"/>
          <w:lang w:bidi="ar-SA"/>
        </w:rPr>
        <w:t>طلاقَها إلّابالخُروجِ مِن بيتِ زَوجِها</w:t>
      </w:r>
      <w:r>
        <w:rPr>
          <w:rStyle w:val="FootnoteAnchor"/>
          <w:rtl w:val="true"/>
        </w:rPr>
        <w:footnoteReference w:id="2424"/>
      </w:r>
      <w:r>
        <w:rPr>
          <w:rFonts w:ascii="IRNazanin" w:hAnsi="IRNazanin" w:eastAsia="IRNazanin"/>
          <w:color w:val="111111"/>
          <w:sz w:val="28"/>
          <w:sz w:val="28"/>
          <w:szCs w:val="28"/>
          <w:rtl w:val="true"/>
          <w:lang w:bidi="fa-IR"/>
        </w:rPr>
        <w:t>، و ما</w:t>
      </w:r>
      <w:r>
        <w:rPr>
          <w:rStyle w:val="FootnoteAnchor"/>
          <w:rtl w:val="true"/>
        </w:rPr>
        <w:footnoteReference w:id="2425"/>
      </w:r>
      <w:r>
        <w:rPr>
          <w:rFonts w:ascii="Amiri" w:hAnsi="Amiri" w:eastAsia="Amiri" w:cs="Amiri"/>
          <w:color w:val="111111"/>
          <w:sz w:val="28"/>
          <w:sz w:val="28"/>
          <w:szCs w:val="28"/>
          <w:rtl w:val="true"/>
          <w:lang w:bidi="ar-SA"/>
        </w:rPr>
        <w:t>يَنضَبِطُ لها استقراؤُهم</w:t>
      </w:r>
      <w:r>
        <w:rPr>
          <w:rStyle w:val="FootnoteAnchor"/>
          <w:rtl w:val="true"/>
        </w:rPr>
        <w:footnoteReference w:id="2426"/>
      </w:r>
      <w:r>
        <w:rPr>
          <w:rFonts w:ascii="Amiri" w:hAnsi="Amiri" w:eastAsia="Amiri" w:cs="Amiri"/>
          <w:color w:val="111111"/>
          <w:sz w:val="28"/>
          <w:sz w:val="28"/>
          <w:szCs w:val="28"/>
          <w:rtl w:val="true"/>
          <w:lang w:bidi="ar-SA"/>
        </w:rPr>
        <w:t>و طَلَبُ الخَلاصِ مِن حِبالِهم</w:t>
      </w:r>
      <w:r>
        <w:rPr>
          <w:rStyle w:val="FootnoteAnchor"/>
          <w:rtl w:val="true"/>
        </w:rPr>
        <w:footnoteReference w:id="2427"/>
      </w:r>
      <w:r>
        <w:rPr>
          <w:rFonts w:ascii="Amiri" w:hAnsi="Amiri" w:eastAsia="Amiri" w:cs="Amiri"/>
          <w:color w:val="111111"/>
          <w:sz w:val="28"/>
          <w:sz w:val="28"/>
          <w:szCs w:val="28"/>
          <w:rtl w:val="true"/>
          <w:lang w:bidi="ar-SA"/>
        </w:rPr>
        <w:t>و تَزوُّجِهم</w:t>
      </w:r>
      <w:r>
        <w:rPr>
          <w:rStyle w:val="FootnoteAnchor"/>
          <w:rtl w:val="true"/>
        </w:rPr>
        <w:footnoteReference w:id="2428"/>
      </w:r>
      <w:r>
        <w:rPr>
          <w:rFonts w:ascii="Amiri" w:hAnsi="Amiri" w:eastAsia="Amiri" w:cs="Amiri"/>
          <w:color w:val="111111"/>
          <w:sz w:val="28"/>
          <w:sz w:val="28"/>
          <w:szCs w:val="28"/>
          <w:rtl w:val="true"/>
          <w:lang w:bidi="ar-SA"/>
        </w:rPr>
        <w:t>فكَيفَ يَكونُ السبيلُ للراغبِ فيها إلَى التزَوُّجِ بها؟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نِكاحَ المَرأةِ المُتَجوِّزةِ‌</w:t>
      </w:r>
      <w:r>
        <w:rPr>
          <w:rStyle w:val="FootnoteAnchor"/>
          <w:rtl w:val="true"/>
        </w:rPr>
        <w:footnoteReference w:id="2430"/>
      </w:r>
      <w:r>
        <w:rPr>
          <w:rFonts w:ascii="Amiri" w:hAnsi="Amiri" w:eastAsia="Amiri" w:cs="Amiri"/>
          <w:color w:val="111111"/>
          <w:sz w:val="28"/>
          <w:sz w:val="28"/>
          <w:szCs w:val="28"/>
          <w:rtl w:val="true"/>
          <w:lang w:bidi="ar-SA"/>
        </w:rPr>
        <w:t>في دينِها المُتسمِّحةِ فيما يَلزَمُها مِن عِدّةٍ أو غيرِها مكروهٌ، و إن لَم يَكُن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امرأةٍ لَم يُعلَمْ أنّها في حِبالِ زَوجٍ أو عِدّةٍ منه، جازَ نِكاحُها، علىٰ ظاهرِ الأمرِ فيه</w:t>
      </w:r>
      <w:r>
        <w:rPr>
          <w:rStyle w:val="FootnoteAnchor"/>
          <w:rtl w:val="true"/>
        </w:rPr>
        <w:footnoteReference w:id="2431"/>
      </w:r>
      <w:r>
        <w:rPr>
          <w:rFonts w:ascii="Amiri" w:hAnsi="Amiri" w:eastAsia="Amiri" w:cs="Amiri"/>
          <w:color w:val="111111"/>
          <w:sz w:val="28"/>
          <w:sz w:val="28"/>
          <w:szCs w:val="28"/>
          <w:rtl w:val="true"/>
          <w:lang w:bidi="ar-SA"/>
        </w:rPr>
        <w:t>و لَيسَ يَلزَمُه ما في الباطنِ</w:t>
      </w:r>
      <w:r>
        <w:rPr>
          <w:rFonts w:eastAsia="Amiri" w:cs="Amiri" w:ascii="Amiri" w:hAnsi="Amiri"/>
          <w:color w:val="111111"/>
          <w:sz w:val="28"/>
          <w:szCs w:val="28"/>
          <w:rtl w:val="true"/>
          <w:lang w:bidi="ar-SA"/>
        </w:rPr>
        <w:t xml:space="preserve">. </w:t>
      </w:r>
      <w:bookmarkStart w:id="891" w:name="pg16437_172736"/>
    </w:p>
    <w:p>
      <w:pPr>
        <w:pStyle w:val="BookText"/>
        <w:rPr/>
      </w:pPr>
      <w:bookmarkEnd w:id="891"/>
      <w:r>
        <w:rPr>
          <w:rFonts w:ascii="Amiri" w:hAnsi="Amiri" w:eastAsia="Amiri" w:cs="Amiri"/>
          <w:color w:val="111111"/>
          <w:sz w:val="28"/>
          <w:sz w:val="28"/>
          <w:szCs w:val="28"/>
          <w:rtl w:val="true"/>
          <w:lang w:bidi="ar-SA"/>
        </w:rPr>
        <w:t>فمَن</w:t>
      </w:r>
      <w:r>
        <w:rPr>
          <w:rStyle w:val="FootnoteAnchor"/>
          <w:rtl w:val="true"/>
        </w:rPr>
        <w:footnoteReference w:id="2432"/>
      </w:r>
      <w:r>
        <w:rPr>
          <w:rFonts w:ascii="Amiri" w:hAnsi="Amiri" w:eastAsia="Amiri" w:cs="Amiri"/>
          <w:color w:val="111111"/>
          <w:sz w:val="28"/>
          <w:sz w:val="28"/>
          <w:szCs w:val="28"/>
          <w:rtl w:val="true"/>
          <w:lang w:bidi="ar-SA"/>
        </w:rPr>
        <w:t>أرادَ الِاحتياطَ مع مَن خافَ أن تَكونَ‌</w:t>
      </w:r>
      <w:r>
        <w:rPr>
          <w:rStyle w:val="FootnoteAnchor"/>
          <w:rtl w:val="true"/>
        </w:rPr>
        <w:footnoteReference w:id="2433"/>
      </w:r>
      <w:r>
        <w:rPr>
          <w:rFonts w:ascii="Amiri" w:hAnsi="Amiri" w:eastAsia="Amiri" w:cs="Amiri"/>
          <w:color w:val="111111"/>
          <w:sz w:val="28"/>
          <w:sz w:val="28"/>
          <w:szCs w:val="28"/>
          <w:rtl w:val="true"/>
          <w:lang w:bidi="ar-SA"/>
        </w:rPr>
        <w:t>فَرَّطَت في عِدّتِها، جازَ له أن يُلزِمَها أن تَعتَدَّ عِدّةً كاملةً قَبلَ العَقدِ عليها، و إن لَم يَكُن ذلكَ واجباً</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8040111_1280447820"/>
      <w:bookmarkStart w:id="893" w:name="_Toc330"/>
      <w:bookmarkEnd w:id="892"/>
      <w:r>
        <w:rPr>
          <w:rtl w:val="true"/>
        </w:rPr>
        <w:t>المَسألةُ العاشِرةُ مِن الواسطيّاتِ‌لا حَدَّ للمُستَمتَعاتِ بِهِنَّ في العَدَدِ</w:t>
      </w:r>
      <w:bookmarkEnd w:id="893"/>
    </w:p>
    <w:p>
      <w:pPr>
        <w:pStyle w:val="BookText"/>
        <w:rPr/>
      </w:pPr>
      <w:r>
        <w:rPr>
          <w:rFonts w:ascii="Amiri" w:hAnsi="Amiri" w:eastAsia="Amiri" w:cs="Amiri"/>
          <w:color w:val="111111"/>
          <w:sz w:val="28"/>
          <w:sz w:val="28"/>
          <w:szCs w:val="28"/>
          <w:rtl w:val="true"/>
          <w:lang w:bidi="ar-SA"/>
        </w:rPr>
        <w:t>المَسألةُ العاشِرةُ مِن الواسطيّاتِ‌</w:t>
      </w:r>
      <w:r>
        <w:rPr>
          <w:rStyle w:val="FootnoteAnchor"/>
          <w:rtl w:val="true"/>
        </w:rPr>
        <w:footnoteReference w:id="2434"/>
      </w:r>
      <w:r>
        <w:rPr>
          <w:rFonts w:ascii="Amiri" w:hAnsi="Amiri" w:eastAsia="Amiri" w:cs="Amiri"/>
          <w:color w:val="111111"/>
          <w:sz w:val="28"/>
          <w:sz w:val="28"/>
          <w:szCs w:val="28"/>
          <w:rtl w:val="true"/>
          <w:lang w:bidi="ar-SA"/>
        </w:rPr>
        <w:t>لا حَدَّ للمُستَمتَعاتِ بِهِنَّ في العَدَدِ</w:t>
      </w:r>
    </w:p>
    <w:p>
      <w:pPr>
        <w:pStyle w:val="BookText"/>
        <w:rPr/>
      </w:pPr>
      <w:r>
        <w:rPr>
          <w:rFonts w:ascii="Amiri" w:hAnsi="Amiri" w:eastAsia="Amiri" w:cs="Amiri"/>
          <w:color w:val="111111"/>
          <w:sz w:val="28"/>
          <w:sz w:val="28"/>
          <w:szCs w:val="28"/>
          <w:rtl w:val="true"/>
          <w:lang w:bidi="ar-SA"/>
        </w:rPr>
        <w:t>هَل تَجري</w:t>
      </w:r>
      <w:r>
        <w:rPr>
          <w:rStyle w:val="FootnoteAnchor"/>
          <w:rtl w:val="true"/>
        </w:rPr>
        <w:footnoteReference w:id="2435"/>
      </w:r>
      <w:r>
        <w:rPr>
          <w:rFonts w:ascii="Amiri" w:hAnsi="Amiri" w:eastAsia="Amiri" w:cs="Amiri"/>
          <w:color w:val="111111"/>
          <w:sz w:val="28"/>
          <w:sz w:val="28"/>
          <w:szCs w:val="28"/>
          <w:rtl w:val="true"/>
          <w:lang w:bidi="ar-SA"/>
        </w:rPr>
        <w:t>المُستَمتَعاتُ بِهنَّ مَجرَى الزوجاتِ في التحصينِ، فيَحرُمُ علَى المُستَمتِعِ الزيادةُ علَى الأربَعِ، أو تَجري</w:t>
      </w:r>
      <w:r>
        <w:rPr>
          <w:rStyle w:val="FootnoteAnchor"/>
          <w:rtl w:val="true"/>
        </w:rPr>
        <w:footnoteReference w:id="2436"/>
      </w:r>
      <w:r>
        <w:rPr>
          <w:rFonts w:ascii="Amiri" w:hAnsi="Amiri" w:eastAsia="Amiri" w:cs="Amiri"/>
          <w:color w:val="111111"/>
          <w:sz w:val="28"/>
          <w:sz w:val="28"/>
          <w:szCs w:val="28"/>
          <w:rtl w:val="true"/>
          <w:lang w:bidi="ar-SA"/>
        </w:rPr>
        <w:t>مَجرَى الإماءِ في كَثرةِ العَدَدِ و تَركِ الِالتفاتِ إلىٰ هذا البابِ؟</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بَينَ أصحابِنا في أنّ للمُتَمتِّعِ‌</w:t>
      </w:r>
      <w:r>
        <w:rPr>
          <w:rStyle w:val="FootnoteAnchor"/>
          <w:rtl w:val="true"/>
        </w:rPr>
        <w:footnoteReference w:id="2438"/>
      </w:r>
      <w:r>
        <w:rPr>
          <w:rFonts w:ascii="IRNazanin" w:hAnsi="IRNazanin" w:eastAsia="IRNazanin"/>
          <w:color w:val="111111"/>
          <w:sz w:val="28"/>
          <w:sz w:val="28"/>
          <w:szCs w:val="28"/>
          <w:rtl w:val="true"/>
          <w:lang w:bidi="fa-IR"/>
        </w:rPr>
        <w:t>أن</w:t>
      </w:r>
      <w:r>
        <w:rPr>
          <w:rStyle w:val="FootnoteAnchor"/>
          <w:rtl w:val="true"/>
        </w:rPr>
        <w:footnoteReference w:id="2439"/>
      </w:r>
      <w:r>
        <w:rPr>
          <w:rFonts w:ascii="Amiri" w:hAnsi="Amiri" w:eastAsia="Amiri" w:cs="Amiri"/>
          <w:color w:val="111111"/>
          <w:sz w:val="28"/>
          <w:sz w:val="28"/>
          <w:szCs w:val="28"/>
          <w:rtl w:val="true"/>
          <w:lang w:bidi="ar-SA"/>
        </w:rPr>
        <w:t>يَجمَعَ بَينَ النساءِ أكثَرَ مِن أربَعِ حَرائرَ، و أنّهُنَّ يَجرينَ في ذلكَ‌</w:t>
      </w:r>
      <w:r>
        <w:rPr>
          <w:rStyle w:val="FootnoteAnchor"/>
          <w:rtl w:val="true"/>
        </w:rPr>
        <w:footnoteReference w:id="2440"/>
      </w:r>
      <w:r>
        <w:rPr>
          <w:rFonts w:ascii="Amiri" w:hAnsi="Amiri" w:eastAsia="Amiri" w:cs="Amiri"/>
          <w:color w:val="111111"/>
          <w:sz w:val="28"/>
          <w:sz w:val="28"/>
          <w:szCs w:val="28"/>
          <w:rtl w:val="true"/>
          <w:lang w:bidi="ar-SA"/>
        </w:rPr>
        <w:t>مَجرَى الإماءِ اللَّواتي يُستَباحُ بمِلكِ اليَمينِ وطؤهُنَّ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وَ ثُلاٰثَ وَ رُبٰاعَ</w:t>
      </w:r>
      <w:r>
        <w:rPr>
          <w:rFonts w:eastAsia="Amiri" w:cs="Amiri" w:ascii="Amiri" w:hAnsi="Amiri"/>
          <w:color w:val="111111"/>
          <w:sz w:val="28"/>
          <w:szCs w:val="28"/>
          <w:rtl w:val="true"/>
          <w:lang w:bidi="ar-SA"/>
        </w:rPr>
        <w:t xml:space="preserve">» </w:t>
      </w:r>
      <w:r>
        <w:rPr>
          <w:rStyle w:val="FootnoteAnchor"/>
          <w:rtl w:val="true"/>
        </w:rPr>
        <w:footnoteReference w:id="2441"/>
      </w:r>
      <w:r>
        <w:rPr>
          <w:rFonts w:ascii="Amiri" w:hAnsi="Amiri" w:eastAsia="Amiri" w:cs="Amiri"/>
          <w:color w:val="111111"/>
          <w:sz w:val="28"/>
          <w:sz w:val="28"/>
          <w:szCs w:val="28"/>
          <w:rtl w:val="true"/>
          <w:lang w:bidi="ar-SA"/>
        </w:rPr>
        <w:t>و كُلُّ ظاهرٍ مِن قُرآنٍ أو سُنّةٍ يَقتَضي تَركَ‌</w:t>
      </w:r>
      <w:r>
        <w:rPr>
          <w:rStyle w:val="FootnoteAnchor"/>
          <w:rtl w:val="true"/>
        </w:rPr>
        <w:footnoteReference w:id="2442"/>
      </w:r>
      <w:bookmarkStart w:id="894" w:name="pg16437_172737"/>
    </w:p>
    <w:p>
      <w:pPr>
        <w:pStyle w:val="BookText"/>
        <w:rPr/>
      </w:pPr>
      <w:bookmarkEnd w:id="894"/>
      <w:r>
        <w:rPr>
          <w:rFonts w:ascii="Amiri" w:hAnsi="Amiri" w:eastAsia="Amiri" w:cs="Amiri"/>
          <w:color w:val="111111"/>
          <w:sz w:val="28"/>
          <w:sz w:val="28"/>
          <w:szCs w:val="28"/>
          <w:rtl w:val="true"/>
          <w:lang w:bidi="ar-SA"/>
        </w:rPr>
        <w:t>الزائدِ علىٰ أربَعٍ نَحمِلُه</w:t>
      </w:r>
      <w:r>
        <w:rPr>
          <w:rStyle w:val="FootnoteAnchor"/>
          <w:rtl w:val="true"/>
        </w:rPr>
        <w:footnoteReference w:id="2443"/>
      </w:r>
      <w:r>
        <w:rPr>
          <w:rFonts w:ascii="Amiri" w:hAnsi="Amiri" w:eastAsia="Amiri" w:cs="Amiri"/>
          <w:color w:val="111111"/>
          <w:sz w:val="28"/>
          <w:sz w:val="28"/>
          <w:szCs w:val="28"/>
          <w:rtl w:val="true"/>
          <w:lang w:bidi="ar-SA"/>
        </w:rPr>
        <w:t>علىٰ أنّ المُرادَ به</w:t>
      </w:r>
      <w:r>
        <w:rPr>
          <w:rStyle w:val="FootnoteAnchor"/>
          <w:rtl w:val="true"/>
        </w:rPr>
        <w:footnoteReference w:id="2444"/>
      </w:r>
      <w:r>
        <w:rPr>
          <w:rFonts w:ascii="Amiri" w:hAnsi="Amiri" w:eastAsia="Amiri" w:cs="Amiri"/>
          <w:color w:val="111111"/>
          <w:sz w:val="28"/>
          <w:sz w:val="28"/>
          <w:szCs w:val="28"/>
          <w:rtl w:val="true"/>
          <w:lang w:bidi="ar-SA"/>
        </w:rPr>
        <w:t>نِكاحُ الدوامِ دونَ المُتعةِ</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8040113_1280447820"/>
      <w:bookmarkStart w:id="896" w:name="_Toc331"/>
      <w:bookmarkEnd w:id="895"/>
      <w:r>
        <w:rPr>
          <w:rtl w:val="true"/>
        </w:rPr>
        <w:t>المَسألةُ الحاديةَ عَشَرَ مِن الواسطيّاتِ‌طَلاقُ المُضطَرِّ ثَلاثاً، كَم يُعَدُّ؟</w:t>
      </w:r>
      <w:bookmarkEnd w:id="896"/>
    </w:p>
    <w:p>
      <w:pPr>
        <w:pStyle w:val="BookText"/>
        <w:rPr/>
      </w:pPr>
      <w:r>
        <w:rPr>
          <w:rFonts w:ascii="Amiri" w:hAnsi="Amiri" w:eastAsia="Amiri" w:cs="Amiri"/>
          <w:color w:val="111111"/>
          <w:sz w:val="28"/>
          <w:sz w:val="28"/>
          <w:szCs w:val="28"/>
          <w:rtl w:val="true"/>
          <w:lang w:bidi="ar-SA"/>
        </w:rPr>
        <w:t>المَسألةُ الحاديةَ عَشَرَ مِن الواسطيّاتِ‌</w:t>
      </w:r>
      <w:r>
        <w:rPr>
          <w:rStyle w:val="FootnoteAnchor"/>
          <w:rtl w:val="true"/>
        </w:rPr>
        <w:footnoteReference w:id="2445"/>
      </w:r>
      <w:r>
        <w:rPr>
          <w:rFonts w:ascii="Amiri" w:hAnsi="Amiri" w:eastAsia="Amiri" w:cs="Amiri"/>
          <w:color w:val="111111"/>
          <w:sz w:val="28"/>
          <w:sz w:val="28"/>
          <w:szCs w:val="28"/>
          <w:rtl w:val="true"/>
          <w:lang w:bidi="ar-SA"/>
        </w:rPr>
        <w:t>طَلاقُ المُضطَرِّ ثَلاثاً، كَم يُعَدُّ؟</w:t>
      </w:r>
    </w:p>
    <w:p>
      <w:pPr>
        <w:pStyle w:val="BookText"/>
        <w:rPr/>
      </w:pPr>
      <w:r>
        <w:rPr>
          <w:rFonts w:ascii="Amiri" w:hAnsi="Amiri" w:eastAsia="Amiri" w:cs="Amiri"/>
          <w:color w:val="111111"/>
          <w:sz w:val="28"/>
          <w:sz w:val="28"/>
          <w:szCs w:val="28"/>
          <w:rtl w:val="true"/>
          <w:lang w:bidi="ar-SA"/>
        </w:rPr>
        <w:t>إذا اضطُرَّ</w:t>
      </w:r>
      <w:r>
        <w:rPr>
          <w:rStyle w:val="FootnoteAnchor"/>
          <w:rtl w:val="true"/>
        </w:rPr>
        <w:footnoteReference w:id="2446"/>
      </w:r>
      <w:r>
        <w:rPr>
          <w:rFonts w:ascii="Amiri" w:hAnsi="Amiri" w:eastAsia="Amiri" w:cs="Amiri"/>
          <w:color w:val="111111"/>
          <w:sz w:val="28"/>
          <w:sz w:val="28"/>
          <w:szCs w:val="28"/>
          <w:rtl w:val="true"/>
          <w:lang w:bidi="ar-SA"/>
        </w:rPr>
        <w:t>الرجُلُ المؤمِنُ إلَى التزوُّجِ في أسفارِه، أو بَحَسَبِ‌</w:t>
      </w:r>
      <w:r>
        <w:rPr>
          <w:rStyle w:val="FootnoteAnchor"/>
          <w:rtl w:val="true"/>
        </w:rPr>
        <w:footnoteReference w:id="2447"/>
      </w:r>
      <w:r>
        <w:rPr>
          <w:rFonts w:ascii="Amiri" w:hAnsi="Amiri" w:eastAsia="Amiri" w:cs="Amiri"/>
          <w:color w:val="111111"/>
          <w:sz w:val="28"/>
          <w:sz w:val="28"/>
          <w:szCs w:val="28"/>
          <w:rtl w:val="true"/>
          <w:lang w:bidi="ar-SA"/>
        </w:rPr>
        <w:t>اختيارِه، و هو مُقارِبٌ لِمَن يَتَّقيه، و لا يَتمكَّنُ أن يَجعَلَ طلاقَه لهُنَّ بحَسَبِ اعتقادِه، فيُطلِّقُهنَّ إذا اضطُرَّ إلىٰ ذاكَ‌</w:t>
      </w:r>
      <w:r>
        <w:rPr>
          <w:rStyle w:val="FootnoteAnchor"/>
          <w:rtl w:val="true"/>
        </w:rPr>
        <w:footnoteReference w:id="2448"/>
      </w:r>
      <w:r>
        <w:rPr>
          <w:rFonts w:ascii="Amiri" w:hAnsi="Amiri" w:eastAsia="Amiri" w:cs="Amiri"/>
          <w:color w:val="111111"/>
          <w:sz w:val="28"/>
          <w:sz w:val="28"/>
          <w:szCs w:val="28"/>
          <w:rtl w:val="true"/>
          <w:lang w:bidi="ar-SA"/>
        </w:rPr>
        <w:t>تطليقَ الثلاثِ في</w:t>
      </w:r>
      <w:r>
        <w:rPr>
          <w:rStyle w:val="FootnoteAnchor"/>
          <w:rtl w:val="true"/>
        </w:rPr>
        <w:footnoteReference w:id="2449"/>
      </w:r>
      <w:r>
        <w:rPr>
          <w:rFonts w:ascii="Amiri" w:hAnsi="Amiri" w:eastAsia="Amiri" w:cs="Amiri"/>
          <w:color w:val="111111"/>
          <w:sz w:val="28"/>
          <w:sz w:val="28"/>
          <w:szCs w:val="28"/>
          <w:rtl w:val="true"/>
          <w:lang w:bidi="ar-SA"/>
        </w:rPr>
        <w:t xml:space="preserve">مكانٍ واحدٍ؛ فهَل يُجزئُه ذلكَ مع التقيّةِ، أو هُنَّ في حِبالِه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يُطلِّقْهُنَّ علىٰ مُقتَضَى المَذهبِ الذي يَعتَقِدُه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عليه حينَئذٍ التزوُّجُ‌</w:t>
      </w:r>
      <w:r>
        <w:rPr>
          <w:rStyle w:val="FootnoteAnchor"/>
          <w:rtl w:val="true"/>
        </w:rPr>
        <w:footnoteReference w:id="2450"/>
      </w:r>
      <w:r>
        <w:rPr>
          <w:rFonts w:ascii="Amiri" w:hAnsi="Amiri" w:eastAsia="Amiri" w:cs="Amiri"/>
          <w:color w:val="111111"/>
          <w:sz w:val="28"/>
          <w:sz w:val="28"/>
          <w:szCs w:val="28"/>
          <w:rtl w:val="true"/>
          <w:lang w:bidi="ar-SA"/>
        </w:rPr>
        <w:t>بَعدَ الأرَبعِ اللَّواتي طَلَّقَهُنّ علىٰ ما شُرِحَ أوّلاً؟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تَقيّةَ علىٰ أحَدٍ في أن يُطلِّقَ امرأتَه الطلاقَ الذي يَذهَبُ‌</w:t>
      </w:r>
      <w:r>
        <w:rPr>
          <w:rStyle w:val="FootnoteAnchor"/>
          <w:rtl w:val="true"/>
        </w:rPr>
        <w:footnoteReference w:id="2452"/>
      </w:r>
      <w:r>
        <w:rPr>
          <w:rFonts w:ascii="Amiri" w:hAnsi="Amiri" w:eastAsia="Amiri" w:cs="Amiri"/>
          <w:color w:val="111111"/>
          <w:sz w:val="28"/>
          <w:sz w:val="28"/>
          <w:szCs w:val="28"/>
          <w:rtl w:val="true"/>
          <w:lang w:bidi="ar-SA"/>
        </w:rPr>
        <w:t>إليه الإماميّةُ؛ فإنّه إذا طَلَّقَها تطليقةً واحدةً في طُهرٍ لا جِماعَ فيه بمَشهَدٍ</w:t>
      </w:r>
      <w:r>
        <w:rPr>
          <w:rStyle w:val="FootnoteAnchor"/>
          <w:rtl w:val="true"/>
        </w:rPr>
        <w:footnoteReference w:id="2453"/>
      </w:r>
      <w:r>
        <w:rPr>
          <w:rFonts w:ascii="Amiri" w:hAnsi="Amiri" w:eastAsia="Amiri" w:cs="Amiri"/>
          <w:color w:val="111111"/>
          <w:sz w:val="28"/>
          <w:sz w:val="28"/>
          <w:szCs w:val="28"/>
          <w:rtl w:val="true"/>
          <w:lang w:bidi="ar-SA"/>
        </w:rPr>
        <w:t xml:space="preserve">مِن عَدلَينِ، فقَد فَعَلَ السُّنّةَ، و </w:t>
      </w:r>
      <w:bookmarkStart w:id="897" w:name="pg16437_172738"/>
    </w:p>
    <w:p>
      <w:pPr>
        <w:pStyle w:val="BookText"/>
        <w:rPr/>
      </w:pPr>
      <w:bookmarkEnd w:id="897"/>
      <w:r>
        <w:rPr>
          <w:rFonts w:ascii="Amiri" w:hAnsi="Amiri" w:eastAsia="Amiri" w:cs="Amiri"/>
          <w:color w:val="111111"/>
          <w:sz w:val="28"/>
          <w:sz w:val="28"/>
          <w:szCs w:val="28"/>
          <w:rtl w:val="true"/>
          <w:lang w:bidi="ar-SA"/>
        </w:rPr>
        <w:t>خِلافُ ذلكَ هو البِدعةُ، و إن وَقَعَ الطلاقُ معه عندَ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أن يُسألَ عمّن طَلَّقَ نِساءاً له أربَعاً بلفظٍ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طَلَّقَ جميعَهنَّ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في طُهرٍ لا جِماعَ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واحدٍ بمَشهَدٍ مِن عَدلَينِ، فقَد وَقَعَت بِهنّ تطليقةٌ واحدةٌ؛ و لا يَحِلُّ له أن يَتزوَّجَ بأُخرىٰ، إلّا بَعدَ أن يَخرُجنَ مِن العِدّةِ، و يَبِنَّ منه بالخروجِ منها</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8040115_1280447820"/>
      <w:bookmarkStart w:id="899" w:name="_Toc332"/>
      <w:bookmarkEnd w:id="898"/>
      <w:r>
        <w:rPr>
          <w:rtl w:val="true"/>
        </w:rPr>
        <w:t>المَسألةُ الثانيةَ عَشَرَ مِن الواسطيّاتِ‌جوازُ التمتُّعِ بالمُستَمتَعِ بها قَبلَ انقضاءِ العِدّةِ‌</w:t>
      </w:r>
      <w:bookmarkEnd w:id="899"/>
    </w:p>
    <w:p>
      <w:pPr>
        <w:pStyle w:val="BookText"/>
        <w:rPr/>
      </w:pPr>
      <w:r>
        <w:rPr>
          <w:rFonts w:ascii="Amiri" w:hAnsi="Amiri" w:eastAsia="Amiri" w:cs="Amiri"/>
          <w:color w:val="111111"/>
          <w:sz w:val="28"/>
          <w:sz w:val="28"/>
          <w:szCs w:val="28"/>
          <w:rtl w:val="true"/>
          <w:lang w:bidi="ar-SA"/>
        </w:rPr>
        <w:t>المَسألةُ الثانيةَ عَشَرَ مِن الواسطيّاتِ‌</w:t>
      </w:r>
      <w:r>
        <w:rPr>
          <w:rStyle w:val="FootnoteAnchor"/>
          <w:rtl w:val="true"/>
        </w:rPr>
        <w:footnoteReference w:id="2454"/>
      </w:r>
      <w:r>
        <w:rPr>
          <w:rFonts w:ascii="Amiri" w:hAnsi="Amiri" w:eastAsia="Amiri" w:cs="Amiri"/>
          <w:color w:val="111111"/>
          <w:sz w:val="28"/>
          <w:sz w:val="28"/>
          <w:szCs w:val="28"/>
          <w:rtl w:val="true"/>
          <w:lang w:bidi="ar-SA"/>
        </w:rPr>
        <w:t>جوازُ التمتُّعِ بالمُستَمتَعِ بها قَبلَ انقضاءِ العِدّةِ</w:t>
      </w:r>
    </w:p>
    <w:p>
      <w:pPr>
        <w:pStyle w:val="BookText"/>
        <w:rPr/>
      </w:pPr>
      <w:r>
        <w:rPr>
          <w:rFonts w:ascii="Amiri" w:hAnsi="Amiri" w:eastAsia="Amiri" w:cs="Amiri"/>
          <w:color w:val="111111"/>
          <w:sz w:val="28"/>
          <w:sz w:val="28"/>
          <w:szCs w:val="28"/>
          <w:rtl w:val="true"/>
          <w:lang w:bidi="ar-SA"/>
        </w:rPr>
        <w:t>هل يَجوزُ للمُستَمتِعِ‌</w:t>
      </w:r>
      <w:r>
        <w:rPr>
          <w:rStyle w:val="FootnoteAnchor"/>
          <w:rtl w:val="true"/>
        </w:rPr>
        <w:footnoteReference w:id="2455"/>
      </w:r>
      <w:r>
        <w:rPr>
          <w:rFonts w:ascii="Amiri" w:hAnsi="Amiri" w:eastAsia="Amiri" w:cs="Amiri"/>
          <w:color w:val="111111"/>
          <w:sz w:val="28"/>
          <w:sz w:val="28"/>
          <w:szCs w:val="28"/>
          <w:rtl w:val="true"/>
          <w:lang w:bidi="ar-SA"/>
        </w:rPr>
        <w:t>بالِامرأةِ إذا بانَت عنه بخُروجِ الأجَلِ المُسمّىٰ بَينَها و بَينَه أن يَستَمتِعَ بها قَبلَ انقضاءِ عِدّتِها أو بَعدَ ذلكَ، أو تَحرُمُ عليه بالمُتعةِ الأُولىٰ، مِن إعادتِها و مُراجَعةِ الاستمتاعِ بها؟ و ما الحُكمُ و الرُّخصةُ في 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للمُستَمتِعِ بالمَرأةِ بَعدَ انقضاءِ عِدّتِها منه أن يُعاوِدَ الاستمتاعَ بها، و يَجوزُ له بَعدَ انقضاءِ الأجَلِ المضروبِ و قَبلَ أن تَعتَدَّ منه أن يُعاوِدَ التمتُّعَ بها</w:t>
      </w:r>
      <w:r>
        <w:rPr>
          <w:rStyle w:val="FootnoteAnchor"/>
          <w:rtl w:val="true"/>
        </w:rPr>
        <w:footnoteReference w:id="2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العِدّةُ شَرطٌ في إباحةِ نِكاحِ غيرِه لها، و لَيسَت شَرطاً في نِكاحِه هو إيّاها</w:t>
      </w:r>
      <w:r>
        <w:rPr>
          <w:rFonts w:eastAsia="Amiri" w:cs="Amiri" w:ascii="Amiri" w:hAnsi="Amiri"/>
          <w:color w:val="111111"/>
          <w:sz w:val="28"/>
          <w:szCs w:val="28"/>
          <w:rtl w:val="true"/>
          <w:lang w:bidi="ar-SA"/>
        </w:rPr>
        <w:t xml:space="preserve">. </w:t>
      </w:r>
      <w:bookmarkStart w:id="900" w:name="pg16437_172739"/>
    </w:p>
    <w:p>
      <w:pPr>
        <w:pStyle w:val="Heading3"/>
        <w:numPr>
          <w:ilvl w:val="2"/>
          <w:numId w:val="1"/>
        </w:numPr>
        <w:rPr/>
      </w:pPr>
      <w:bookmarkStart w:id="901" w:name="__RefHeading___Toc8040117_1280447820"/>
      <w:bookmarkStart w:id="902" w:name="_Toc333"/>
      <w:bookmarkEnd w:id="900"/>
      <w:bookmarkEnd w:id="901"/>
      <w:r>
        <w:rPr>
          <w:rtl w:val="true"/>
        </w:rPr>
        <w:t>(</w:t>
      </w:r>
      <w:r>
        <w:rPr/>
        <w:t>81</w:t>
      </w:r>
      <w:r>
        <w:rPr>
          <w:rtl w:val="true"/>
        </w:rPr>
        <w:t xml:space="preserve">) </w:t>
      </w:r>
      <w:r>
        <w:rPr>
          <w:rtl w:val="true"/>
        </w:rPr>
        <w:t>جَواباتُ المَسائلِ الرَّمليَّةِ‌</w:t>
      </w:r>
      <w:bookmarkEnd w:id="90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3" w:name="__RefHeading___Toc8040119_1280447820"/>
      <w:bookmarkStart w:id="904" w:name="_Toc334"/>
      <w:bookmarkEnd w:id="903"/>
      <w:r>
        <w:rPr>
          <w:rtl w:val="true"/>
        </w:rPr>
        <w:t>اشارة</w:t>
      </w:r>
      <w:bookmarkEnd w:id="90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5" w:name="pg16437_172741"/>
      <w:bookmarkStart w:id="906" w:name="pg16437_172741"/>
      <w:bookmarkEnd w:id="906"/>
    </w:p>
    <w:p>
      <w:pPr>
        <w:pStyle w:val="Heading4"/>
        <w:numPr>
          <w:ilvl w:val="3"/>
          <w:numId w:val="1"/>
        </w:numPr>
        <w:rPr/>
      </w:pPr>
      <w:bookmarkStart w:id="907" w:name="pg16437_172741"/>
      <w:bookmarkStart w:id="908" w:name="__RefHeading___Toc8040121_1280447820"/>
      <w:bookmarkStart w:id="909" w:name="_Toc335"/>
      <w:bookmarkEnd w:id="907"/>
      <w:bookmarkEnd w:id="908"/>
      <w:r>
        <w:rPr>
          <w:rtl w:val="true"/>
        </w:rPr>
        <w:t>مقدّمة التحقيق</w:t>
      </w:r>
      <w:bookmarkEnd w:id="909"/>
    </w:p>
    <w:p>
      <w:pPr>
        <w:pStyle w:val="Heading5"/>
        <w:numPr>
          <w:ilvl w:val="4"/>
          <w:numId w:val="1"/>
        </w:numPr>
        <w:rPr/>
      </w:pPr>
      <w:bookmarkStart w:id="910" w:name="__RefHeading___Toc8040123_1280447820"/>
      <w:bookmarkStart w:id="911" w:name="_Toc336"/>
      <w:bookmarkEnd w:id="910"/>
      <w:r>
        <w:rPr>
          <w:rtl w:val="true"/>
        </w:rPr>
        <w:t>اشارة</w:t>
      </w:r>
      <w:bookmarkEnd w:id="911"/>
    </w:p>
    <w:p>
      <w:pPr>
        <w:pStyle w:val="BookText"/>
        <w:rPr/>
      </w:pPr>
      <w:r>
        <w:rPr>
          <w:rFonts w:ascii="Amiri" w:hAnsi="Amiri" w:eastAsia="Amiri" w:cs="Amiri"/>
          <w:color w:val="111111"/>
          <w:sz w:val="28"/>
          <w:sz w:val="28"/>
          <w:szCs w:val="28"/>
          <w:rtl w:val="true"/>
          <w:lang w:bidi="ar-SA"/>
        </w:rPr>
        <w:t>أجاب الشريف المرتضى على هذه المجموعة من المسائل، و التي قد يبدو للوهلة الأُولى أنّها مسائل فقهيّة بحتة، بسبب أنّ المتبقّي منها مسألتان فقهيّتان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يدور موضوعها حول رؤية الهلال، و الأُخرى حول الطلاق و الإيلاء؛ و لكن إذا راجعنا فهرس البُصروي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لوجدنا أنّه قد حفظ لنا قائمة عناوين المسائل الرمليّات، و عند ملاحظة هذه القائمة نجد أنّها مكوّنة في الحقيقة من سبع مسائل؛ أربع منها على الأقلّ هي مسائل كلاميّة، و اثنتان منها فقهيّة</w:t>
      </w:r>
      <w:r>
        <w:rPr>
          <w:rStyle w:val="FootnoteAnchor"/>
          <w:rtl w:val="true"/>
        </w:rPr>
        <w:footnoteReference w:id="2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يتّضح أنّ المسائل الرمليّات ليست كلّها مسائل فقهيّة، بل المسائل الكلاميّة فيها أكثر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قائمة أسماء المسائل الرمليّات التي ذكرها البُصروي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الصنع و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الجوهر، و تسميته جوهراً في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عصمة الرسول صلّى اللّٰهُ عليه و آلِه من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المتواترين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رؤية الهلال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الطلاق و الإيلاء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طبعت المسألتان الأخيرتان منها مع تقديم مسألة الطلاق و الإيلاء على مسألة رؤية الهلال، أي على خلاف الترتيب الذي ذكره البُصروي، و قد قمنا في هذا التحقيق الجديد بترتيبها وفقاً لما قاله البُصروي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التدقيق في هذه القائمة نجد أنّ من المحتمل قويّاً أن تكون إحدى مسائلها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المسألتين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موجودة، و هي المسألة الثانية منها؛ فإنّ هذه المسألة موجودة في ضمن رسائل الشريف المرتضى و تحمل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في حقيقة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وقعت في الطبعة السابقة في ضمن مجموعة مسائل مبعثرة و غير مترابطة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9"/>
      </w:r>
      <w:r>
        <w:rPr>
          <w:rFonts w:ascii="Amiri" w:hAnsi="Amiri" w:eastAsia="Amiri" w:cs="Amiri"/>
          <w:color w:val="111111"/>
          <w:sz w:val="28"/>
          <w:sz w:val="28"/>
          <w:szCs w:val="28"/>
          <w:rtl w:val="true"/>
          <w:lang w:bidi="ar-SA"/>
        </w:rPr>
        <w:t>لكنّها لم تعتبر جزءاً من الرمليّات، إلّاأنّه يمكن اعتبارها مسألة من الرمليّات؛ و 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الذي ذكره البُصروي للمسألة الثانية يشير إلى أنّها تتحدّث عن الجوهر و تسميته جوهراً في حال عدمه؛ و إذا راجعنا المسألة المذكورة، لوجدنا الشريف المرتضى يتحدّث فيها عن هذا الموضوع بالضبط، حيث قال في ضمن جوابه على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الجوهر لابدّ أن يكون في حال عدمه جوهراً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يتطابق تماماً مع العنوان الذي ذكره البُصروي للمسألة الثانية من الرمليّات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بداية المسألة المذكورة تصريحٌ بأنّها تشكل مسألة ثانية من مجموع مسائل معيّنة، حيث إنّها تبدأ بهذه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 من المسائل التي وردت على الأجلّ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يتطابق تماماً أيضاً مع الترتيب الذي ذكره البُصرويّ للمسائل الرمليّات، حيث جعل المسألة التي تتحدّث عن الجوهر مسألة ثانية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المتبقّي من المسائل الرمليّات هي ثلاث مسائل على الأقلّ، لا اثنتان</w:t>
      </w:r>
      <w:r>
        <w:rPr>
          <w:rFonts w:eastAsia="Amiri" w:cs="Amiri" w:ascii="Amiri" w:hAnsi="Amiri"/>
          <w:color w:val="111111"/>
          <w:sz w:val="28"/>
          <w:szCs w:val="28"/>
          <w:rtl w:val="true"/>
          <w:lang w:bidi="ar-SA"/>
        </w:rPr>
        <w:t>.</w:t>
      </w:r>
      <w:r>
        <w:rPr>
          <w:rStyle w:val="FootnoteAnchor"/>
          <w:rtl w:val="true"/>
        </w:rPr>
        <w:footnoteReference w:id="2460"/>
      </w:r>
      <w:bookmarkStart w:id="912" w:name="pg16437_172743"/>
    </w:p>
    <w:p>
      <w:pPr>
        <w:pStyle w:val="BookText"/>
        <w:rPr/>
      </w:pPr>
      <w:bookmarkEnd w:id="912"/>
      <w:r>
        <w:rPr>
          <w:rFonts w:ascii="IRNazanin" w:hAnsi="IRNazanin" w:eastAsia="IRNazanin"/>
          <w:color w:val="111111"/>
          <w:sz w:val="28"/>
          <w:sz w:val="28"/>
          <w:szCs w:val="28"/>
          <w:rtl w:val="true"/>
          <w:lang w:bidi="fa-IR"/>
        </w:rPr>
        <w:t>السائل</w:t>
      </w:r>
    </w:p>
    <w:p>
      <w:pPr>
        <w:pStyle w:val="BookText"/>
        <w:rPr/>
      </w:pPr>
      <w:r>
        <w:rPr>
          <w:rFonts w:ascii="Amiri" w:hAnsi="Amiri" w:eastAsia="Amiri" w:cs="Amiri"/>
          <w:color w:val="111111"/>
          <w:sz w:val="28"/>
          <w:sz w:val="28"/>
          <w:szCs w:val="28"/>
          <w:rtl w:val="true"/>
          <w:lang w:bidi="ar-SA"/>
        </w:rPr>
        <w:t xml:space="preserve">أمّا السائل فلا نعرفه بالدقّة؛ و لكن من المحتمل أن يكون هو أبو الفرج محمّد بن محمّد بن الرملي الحائري الذي أرسل مسائل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أشار إلى ذلك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كلام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في جواب المسائل التي سأله عنها محمّد بن محمّد بن الرملي الحائري</w:t>
      </w:r>
      <w:r>
        <w:rPr>
          <w:rFonts w:eastAsia="Amiri" w:cs="Amiri" w:ascii="Amiri" w:hAnsi="Amiri"/>
          <w:color w:val="111111"/>
          <w:sz w:val="28"/>
          <w:szCs w:val="28"/>
          <w:rtl w:val="true"/>
          <w:lang w:bidi="ar-SA"/>
        </w:rPr>
        <w:t>...</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الشيخ أبو جعفر الطوسي عن هذه المسألة في جملة المسائل الحائريّات المنسوبة إلى أبي الفرج بن الرمليّ‌</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المحتمل أن يكون صاحب المسائل الرمليّات التي وجّهها إلى الشريف المرتضى هو نفس هذا الرجل الرملي الحائري؛ فإنّه من البعيد أن يقوم هذا السائل المثابر و المُجِدُّ بالسؤال من الشيخ المفيد و الطوسي، و يغفل عن إرسال مسائل إلى علم الهدى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 هذا الاحتمال فسوف تكون المسائل الرمليّات في الحقيقة منسوبة إلى سائلها الرمليّ الحائري، لا إلى منطقة الرملة التي في فلسطين كما ذكر بعض المحقّقين</w:t>
      </w:r>
      <w:r>
        <w:rPr>
          <w:rStyle w:val="FootnoteAnchor"/>
          <w:rtl w:val="true"/>
        </w:rPr>
        <w:footnoteReference w:id="2463"/>
      </w:r>
      <w:r>
        <w:rPr>
          <w:rFonts w:ascii="Amiri" w:hAnsi="Amiri" w:eastAsia="Amiri" w:cs="Amiri"/>
          <w:color w:val="111111"/>
          <w:sz w:val="28"/>
          <w:sz w:val="28"/>
          <w:szCs w:val="28"/>
          <w:rtl w:val="true"/>
          <w:lang w:bidi="ar-SA"/>
        </w:rPr>
        <w:t>، و تكون في الحقيقة مسائل حائريّة؛ و اللّٰه أعلم</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8040125_1280447820"/>
      <w:bookmarkStart w:id="914" w:name="_Toc337"/>
      <w:bookmarkEnd w:id="913"/>
      <w:r>
        <w:rPr>
          <w:rtl w:val="true"/>
        </w:rPr>
        <w:t>نسبة الرسالة</w:t>
      </w:r>
      <w:bookmarkEnd w:id="91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اتّضح ممّا تقدّم صحّة نسبة هذه المسائل إلى الشريف المرتضى؛ فقد تقدّم أنّ </w:t>
      </w:r>
      <w:bookmarkStart w:id="915" w:name="pg16437_172744"/>
    </w:p>
    <w:p>
      <w:pPr>
        <w:pStyle w:val="BookText"/>
        <w:rPr/>
      </w:pPr>
      <w:bookmarkEnd w:id="915"/>
      <w:r>
        <w:rPr>
          <w:rFonts w:ascii="Amiri" w:hAnsi="Amiri" w:eastAsia="Amiri" w:cs="Amiri"/>
          <w:color w:val="111111"/>
          <w:sz w:val="28"/>
          <w:sz w:val="28"/>
          <w:szCs w:val="28"/>
          <w:rtl w:val="true"/>
          <w:lang w:bidi="ar-SA"/>
        </w:rPr>
        <w:t xml:space="preserve">البُصروي قد ذكرها و عدّد أسماء مسائلها التي وصل إلينا بعض منها، كما أنّ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ذكرها في ضمن مؤلّفات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لغة البحث و الأُسلوب المتّبع فيما تبقّى منها يتناسب مع لغة و أُسلوب الشريف المرتضى، و كلّ هذا يدعو إلى الاطمئنان بصحّة النسبة</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8040127_1280447820"/>
      <w:bookmarkStart w:id="917" w:name="_Toc338"/>
      <w:bookmarkEnd w:id="916"/>
      <w:r>
        <w:rPr>
          <w:rtl w:val="true"/>
        </w:rPr>
        <w:t>محتوى الرسالة</w:t>
      </w:r>
      <w:bookmarkEnd w:id="917"/>
    </w:p>
    <w:p>
      <w:pPr>
        <w:pStyle w:val="BookText"/>
        <w:rPr/>
      </w:pPr>
      <w:r>
        <w:rPr>
          <w:rFonts w:ascii="Amiri" w:hAnsi="Amiri" w:eastAsia="Amiri" w:cs="Amiri"/>
          <w:color w:val="111111"/>
          <w:sz w:val="28"/>
          <w:sz w:val="28"/>
          <w:szCs w:val="28"/>
          <w:rtl w:val="true"/>
          <w:lang w:bidi="ar-SA"/>
        </w:rPr>
        <w:t>و فيما يلي استعراض سريع لمحتوى المسائل الرمليّات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الصنع و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مفقودة، و يظهر من عنوانها أنّها تبحث عن حدوث العالم و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بحث الشريف المرتضى عن هذه المسألة في عدّة مواطن، ككتاب الملخّص</w:t>
      </w:r>
      <w:r>
        <w:rPr>
          <w:rStyle w:val="FootnoteAnchor"/>
          <w:rtl w:val="true"/>
        </w:rPr>
        <w:footnoteReference w:id="2464"/>
      </w:r>
      <w:r>
        <w:rPr>
          <w:rFonts w:ascii="Amiri" w:hAnsi="Amiri" w:eastAsia="Amiri" w:cs="Amiri"/>
          <w:color w:val="111111"/>
          <w:sz w:val="28"/>
          <w:sz w:val="28"/>
          <w:szCs w:val="28"/>
          <w:rtl w:val="true"/>
          <w:lang w:bidi="ar-SA"/>
        </w:rPr>
        <w:t>، و جواب سؤال أرسله الكراجكي إليه حول قِدَم العالم</w:t>
      </w:r>
      <w:r>
        <w:rPr>
          <w:rStyle w:val="FootnoteAnchor"/>
          <w:rtl w:val="true"/>
        </w:rPr>
        <w:footnoteReference w:id="2465"/>
      </w:r>
      <w:r>
        <w:rPr>
          <w:rFonts w:ascii="Amiri" w:hAnsi="Amiri" w:eastAsia="Amiri" w:cs="Amiri"/>
          <w:color w:val="111111"/>
          <w:sz w:val="28"/>
          <w:sz w:val="28"/>
          <w:szCs w:val="28"/>
          <w:rtl w:val="true"/>
          <w:lang w:bidi="ar-SA"/>
        </w:rPr>
        <w:t>، و ذهب الشريف المرتضى كسائر المتكلّمين إلى القول بحدوث العالم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الجوهر، و تسميته جوهراً في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احتمال أن تكون هذه المسألة نفس المسألة الموجودة في ضمن رسائل الشريف المرتضى، و تحمل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في حقيقة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تتحدّث عن مسألة مهمّة و معقّدة من مسائل دقيق الكلام، و هي مسألة شيئيّة الجوهر في العدم، فقد دار كلام بين المتكلّمين حول أنّ الجوهر في حال عدمه هل يمكن تسميته جوهراً أيضاً، أو لا، و أنّه لا يسمّى جوهراً إلّابعد وجوده؟ ذهب معتزلة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رأسهم الجبّائيّان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بعدهما أبو عبد اللّٰه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الجوهر جوهر حتّى في حال عدمه، و ذهب معتزلة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رأسهم أبو </w:t>
      </w:r>
    </w:p>
    <w:p>
      <w:pPr>
        <w:pStyle w:val="BookText"/>
        <w:rPr/>
      </w:pPr>
      <w:r>
        <w:rPr>
          <w:rFonts w:ascii="Amiri" w:hAnsi="Amiri" w:eastAsia="Amiri" w:cs="Amiri"/>
          <w:color w:val="111111"/>
          <w:sz w:val="28"/>
          <w:sz w:val="28"/>
          <w:szCs w:val="28"/>
          <w:rtl w:val="true"/>
          <w:lang w:bidi="ar-SA"/>
        </w:rPr>
        <w:t xml:space="preserve">القاسم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الجوهر ليس جوهراً في حال عدمه، لكنّه يوصف بأنّه شيء</w:t>
      </w:r>
      <w:r>
        <w:rPr>
          <w:rStyle w:val="FootnoteAnchor"/>
          <w:rtl w:val="true"/>
        </w:rPr>
        <w:footnoteReference w:id="2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هذه المسألة في تاريخ علم الكلام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المعدوم</w:t>
      </w:r>
      <w:r>
        <w:rPr>
          <w:rFonts w:eastAsia="Amiri" w:cs="Amiri" w:ascii="Amiri" w:hAnsi="Amiri"/>
          <w:color w:val="111111"/>
          <w:sz w:val="28"/>
          <w:szCs w:val="28"/>
          <w:rtl w:val="true"/>
          <w:lang w:bidi="ar-SA"/>
        </w:rPr>
        <w:t>»</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اختار الشريف المرتضى ما ذهب إليه البصريّون، حيث ذهب إلى اعتبار الجوهر جوهراً في حال العدم، و تعرّض إلى هذه المسألة بتفصيل كثير في المسألة الأُولى من المسائل السلّاريّة، كما أشار إليها في نهاية المسألة الرابعة من الطرابلسيات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عصمة الرسول صلّى اللّٰهُ عليه و آلِه من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من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عن نفي سهو النبي صلّى اللّٰهُ عليه و آلِه، و عصمته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صارت هذه المسألة مثاراً للبحث و الجدل بين الإماميّة، و ربما يكون هذا الجدل قد اشتدت حدّته منذ أن أعلن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تبنّيه لنظريّة سهو النبي صلّى اللّٰهُ عليه و آلِه</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هناك رسالة حول عدم سهو النبي صلّى اللّٰهُ عليه و آلِه تنسب إلى الشيخ المفيد تارة، و إلى الشريف المرتضى تارة أُخرى</w:t>
      </w:r>
      <w:r>
        <w:rPr>
          <w:rStyle w:val="FootnoteAnchor"/>
          <w:rtl w:val="true"/>
        </w:rPr>
        <w:footnoteReference w:id="2469"/>
      </w:r>
      <w:r>
        <w:rPr>
          <w:rFonts w:ascii="Amiri" w:hAnsi="Amiri" w:eastAsia="Amiri" w:cs="Amiri"/>
          <w:color w:val="111111"/>
          <w:sz w:val="28"/>
          <w:sz w:val="28"/>
          <w:szCs w:val="28"/>
          <w:rtl w:val="true"/>
          <w:lang w:bidi="ar-SA"/>
        </w:rPr>
        <w:t>، حيث قام مؤلّف هذه الرسالة بالردّعلى كلام الشيخ الصدوق و نظريّته، و من المحتمل أنّ الشريف المرتضى قد أشار في المسألة الثالثة من المسائل الرمليّات إلى نظريّة الصدوق، و ناقشه فيها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مسألة كلاميّة مهمّة، و تتعلّق بالبحث عن حقيقة الإنسان المكلّف، و المعبرّ عنه في كتب الكلام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 الفعّال</w:t>
      </w:r>
      <w:r>
        <w:rPr>
          <w:rFonts w:eastAsia="Amiri" w:cs="Amiri" w:ascii="Amiri" w:hAnsi="Amiri"/>
          <w:color w:val="111111"/>
          <w:sz w:val="28"/>
          <w:szCs w:val="28"/>
          <w:rtl w:val="true"/>
          <w:lang w:bidi="ar-SA"/>
        </w:rPr>
        <w:t>»</w:t>
      </w:r>
      <w:r>
        <w:rPr>
          <w:rStyle w:val="FootnoteAnchor"/>
          <w:rtl w:val="true"/>
        </w:rPr>
        <w:footnoteReference w:id="2470"/>
      </w:r>
      <w:r>
        <w:rPr>
          <w:rFonts w:ascii="IRNazanin" w:hAnsi="IRNazanin" w:eastAsia="IRNazanin"/>
          <w:color w:val="111111"/>
          <w:sz w:val="28"/>
          <w:sz w:val="28"/>
          <w:szCs w:val="28"/>
          <w:rtl w:val="true"/>
          <w:lang w:bidi="fa-IR"/>
        </w:rPr>
        <w:t xml:space="preserve">، فقد اختلفت </w:t>
      </w:r>
    </w:p>
    <w:p>
      <w:pPr>
        <w:pStyle w:val="BookText"/>
        <w:rPr/>
      </w:pPr>
      <w:r>
        <w:rPr>
          <w:rFonts w:ascii="Amiri" w:hAnsi="Amiri" w:eastAsia="Amiri" w:cs="Amiri"/>
          <w:color w:val="111111"/>
          <w:sz w:val="28"/>
          <w:sz w:val="28"/>
          <w:szCs w:val="28"/>
          <w:rtl w:val="true"/>
          <w:lang w:bidi="ar-SA"/>
        </w:rPr>
        <w:t>كلمات المتكلّمين كثيراً حول هذا الموضوع، حيث طرحت نظريّات متعدّدة في هذا المجال، و أهمّها نظريّتان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ما ذهب إليه بعض المتكلّمين من القول بأنّ حقيقة الإنسان هي الروح المجرّدة</w:t>
      </w:r>
      <w:r>
        <w:rPr>
          <w:rStyle w:val="FootnoteAnchor"/>
          <w:rtl w:val="true"/>
        </w:rPr>
        <w:footnoteReference w:id="2471"/>
      </w:r>
      <w:r>
        <w:rPr>
          <w:rFonts w:ascii="Amiri" w:hAnsi="Amiri" w:eastAsia="Amiri" w:cs="Amiri"/>
          <w:color w:val="111111"/>
          <w:sz w:val="28"/>
          <w:sz w:val="28"/>
          <w:szCs w:val="28"/>
          <w:rtl w:val="true"/>
          <w:lang w:bidi="ar-SA"/>
        </w:rPr>
        <w:t>، و الأُخرى ما ذهب إليه آخرون من أنّها هذا الجسم المُشاهَد</w:t>
      </w:r>
      <w:r>
        <w:rPr>
          <w:rStyle w:val="FootnoteAnchor"/>
          <w:rtl w:val="true"/>
        </w:rPr>
        <w:footnoteReference w:id="2472"/>
      </w:r>
      <w:r>
        <w:rPr>
          <w:rFonts w:ascii="Amiri" w:hAnsi="Amiri" w:eastAsia="Amiri" w:cs="Amiri"/>
          <w:color w:val="111111"/>
          <w:sz w:val="28"/>
          <w:sz w:val="28"/>
          <w:szCs w:val="28"/>
          <w:rtl w:val="true"/>
          <w:lang w:bidi="ar-SA"/>
        </w:rPr>
        <w:t>، و قد تبنّى الشريف المرتضى النظريّة الأخيرة و استدلّ عليها في بعض كتبه و رسائله مثل الذخيرة</w:t>
      </w:r>
      <w:r>
        <w:rPr>
          <w:rStyle w:val="FootnoteAnchor"/>
          <w:rtl w:val="true"/>
        </w:rPr>
        <w:footnoteReference w:id="2473"/>
      </w:r>
      <w:r>
        <w:rPr>
          <w:rFonts w:ascii="Amiri" w:hAnsi="Amiri" w:eastAsia="Amiri" w:cs="Amiri"/>
          <w:color w:val="111111"/>
          <w:sz w:val="28"/>
          <w:sz w:val="28"/>
          <w:szCs w:val="28"/>
          <w:rtl w:val="true"/>
          <w:lang w:bidi="ar-SA"/>
        </w:rPr>
        <w:t>، و المسألة الثانية عشر من الطرابلسيات الأُولى، كما نسبت إليه رسالتان مستقلّتان حول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المتواترين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موضوع هذه المسألة بالتحديد، سوى أنّه يمكن أن تقرأ بصيغة الجمع، و حينئذٍ سوف يحتمل أن تعني الأشخاصَ الذين يُخبِرون خبراً متواتراً عن قضيّة معيّنة</w:t>
      </w:r>
      <w:r>
        <w:rPr>
          <w:rStyle w:val="FootnoteAnchor"/>
          <w:rtl w:val="true"/>
        </w:rPr>
        <w:footnoteReference w:id="2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فالمسألة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تحتوي على 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من حاول رؤية هلال شهر رمضان فلم يره، أو رآه و لكن جوّز في نفس الوقت رؤية غيره له في بلد آخر، و كانت رؤيته لا تعطيه معرفة، فما هو حكمه، و كيف يعمل؟</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جماعة هلال شهر شوال و لم يره آخرون، بحيث وجب الصيام على مَن استتر عنهم، و وجب الإفطار على من رآه، فسوف يؤدّي هذا إلى عدّة لوازم باطلة تتركز أكثرها على حصول الاختلاف في عدة أُمور،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يؤدّي هذا الاختلاف إلى نقصان شهر رمضان بالنسبة لبعض المكلّفين،</w:t>
      </w:r>
    </w:p>
    <w:p>
      <w:pPr>
        <w:pStyle w:val="BookText"/>
        <w:rPr/>
      </w:pPr>
      <w:r>
        <w:rPr>
          <w:rFonts w:ascii="Amiri" w:hAnsi="Amiri" w:eastAsia="Amiri" w:cs="Amiri"/>
          <w:color w:val="111111"/>
          <w:sz w:val="28"/>
          <w:sz w:val="28"/>
          <w:szCs w:val="28"/>
          <w:rtl w:val="true"/>
          <w:lang w:bidi="ar-SA"/>
        </w:rPr>
        <w:t>و تمامه بالنسبة للبعض الآخر، أو يؤدّي إلى أن يكون لرمضان حقيقة ثابتة عند اللّٰه تعالى، لكن لم يَنصب لهم دليلاً على تلك الحقيقة بحيث يتّفق عليها جميع المكلّفين، بل تَرَكَهم مختلفين فيما بينهم؟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سوف يؤدّي هذا الاختلاف إلى الاختلاف في الأعياد، فيكون لكلّ قوم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الإشكال كثيراً ما نسمعه في أيّامنا هذه، حيث يتساءَل الكثيرون عن سبب الاختلاف في تحديد يوم عيد الفطر، و يبدو أنّ هذا الإشكال كان مطروحاً أيضاً قبل ألف سنة أو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سوف يؤدّي ذلك إلى الاختلاف في تحديد التواريخ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سوف يؤدّي إلى تشابه حالنا مع حال أهل الاجتهاد و الرأي و القياس، الذين أدّى اعتمادهم على الاجتهاد و القياس إلى اختلافهم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تركّز جواب الشريف المرتضى على السؤال الثاني حيث أجاب بأنّ تكليف كلّ شخص مختصٌ به و لا يتعلّق بغيره، فلا إشكال في اختلاف أحكام المكلّفين من واحد إلى آخر، بل لا إشكال في اختلاف تكليف المكلّف الواحد من حالة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إشكال في أن يكون تكليف بعض المكلّفين الصيام، و تكليف بعضهم الآخر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لحصول الاختلاف في التكليف عدّة نماذج، مثل تكليف واجد الماء الطهارة به، و تكليف فاقده التيمّم، أو تكليف المريض الصلاة من جلوس، و تكليف الصحيح الصلاة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يُجب الشريف المرتضى على إشكال الاختلاف في تعيين العيد، أو الاختلاف في تحديد التواريخ، حيث يظهر منه القبول بذلك، و أنّه ممّا لا مفرّ منه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أجاب على الإشكال الأخير المتعلّق بالتشابه بيننا و بين أهل الاجتهاد و </w:t>
      </w:r>
    </w:p>
    <w:p>
      <w:pPr>
        <w:pStyle w:val="BookText"/>
        <w:rPr/>
      </w:pPr>
      <w:r>
        <w:rPr>
          <w:rFonts w:ascii="Amiri" w:hAnsi="Amiri" w:eastAsia="Amiri" w:cs="Amiri"/>
          <w:color w:val="111111"/>
          <w:sz w:val="28"/>
          <w:sz w:val="28"/>
          <w:szCs w:val="28"/>
          <w:rtl w:val="true"/>
          <w:lang w:bidi="ar-SA"/>
        </w:rPr>
        <w:t>القياس، و الجواب هو أنّ مشكلتنا مع أهل الاجتهاد ليست في وجود الاختلاف بينهم في الأحكام، فإنّه لو كان هذا الاختلاف ناشئاً من الدليل، فلا إشكال فيه، و إنّما مشكلتنا معهم هي أنّهم اعتمدوا على الاجتهاد و القياس في الشريعة، مع أنّه لا يوجد دليل يدلّ على ذلك و يجوّزه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لقد كان الشريف المرتضى دقيقاً في الإجابة، و يبدو أنّ الذي كان مرتكزاً في ذهن السائل هو أنّ الاعتماد على الاجتهاد و القياس سوف يؤدّي إلى الاختلاف، و أنّ هذا أمر مرفوض و منكر، لكن الشريف المرتضى لم يَعتبر ذلك إشكالاً، فما دام الاختلاف ناشئاً من الاختلاف في الدليل فلا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خطوة مهمّة نحو إعطاء نظرة إيجابيّة إلى مفهوم الاجتهاد بين علماء الإماميّة و الذي كان يساوي معنى القياس، لكنّه بمرور الزمن تغيّر معناه، و صار عبارة عن استنباط الأحكام الشرعيّة من أدلّتها</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الطلاق و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الحقيقة إشكال على القاعدة القائلة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لا يقع إلّافي طهر لم تحصل فيه مواقعة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الإشكال هو أنّه لو فرضنا رجلاً واقع امرأته في طهر، ثمّ آلى منها عقيب ذلك، ثمّ صارت المرأة يائساً، فتربّصت أربعة أشهر، ثمّ رفعت أمرها إلى الحاكم، فحينئذٍ سوف يُلزِم الحاكمُ الزوجَ بالكفّارة، و لو امتنع فهل يُلزِمه بالطلاق، مع أنّ زوجته ما زالت في الطهر الذي واقعها فيه قبل أربعة أشهر، لأنّه حسب الفرض أنّها لم ترَ الدم بعد تلك المواقعة، بل يئست و بقيت طاهراً، فإذا ألزم الزوج بالطلاق، فهذا يعني أنّه ألزم بالطلاق في طهر المواقعة، و هو خلاف القاعدة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الشريف المرتضى بأنّ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وقوع الطلاق إلّافي طهر لم يواقعها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حالة ما لو كانت المرأة غير يائس، بل تحيض و تطهر، فإذا يئست لم </w:t>
      </w:r>
      <w:bookmarkStart w:id="918" w:name="pg16437_172749"/>
    </w:p>
    <w:p>
      <w:pPr>
        <w:pStyle w:val="BookText"/>
        <w:rPr/>
      </w:pPr>
      <w:bookmarkEnd w:id="918"/>
      <w:r>
        <w:rPr>
          <w:rFonts w:ascii="Amiri" w:hAnsi="Amiri" w:eastAsia="Amiri" w:cs="Amiri"/>
          <w:color w:val="111111"/>
          <w:sz w:val="28"/>
          <w:sz w:val="28"/>
          <w:szCs w:val="28"/>
          <w:rtl w:val="true"/>
          <w:lang w:bidi="ar-SA"/>
        </w:rPr>
        <w:t>تشملها القاعدة، و يصحّ طلاقها على كلّ حال، و حينئذٍ إذا ألزم الحاكمُ الزوجَ بالطلاق فسوف يصحّ منه؛ لأنّه طلاق يائس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الشريف المرتضى إشكالاً آخر، و هو أنّه إذا صادف أن تكون الزوجة حائضاً عند المرافعة إلى الحاكم، و امتنع الزوج من الكفّارة، فحينئذٍ هل يُلزِمه القاضي بالطلاق، و زوجته حائض؟</w:t>
      </w:r>
    </w:p>
    <w:p>
      <w:pPr>
        <w:pStyle w:val="BookText"/>
        <w:rPr/>
      </w:pPr>
      <w:r>
        <w:rPr>
          <w:rFonts w:ascii="Amiri" w:hAnsi="Amiri" w:eastAsia="Amiri" w:cs="Amiri"/>
          <w:color w:val="111111"/>
          <w:sz w:val="28"/>
          <w:sz w:val="28"/>
          <w:szCs w:val="28"/>
          <w:rtl w:val="true"/>
          <w:lang w:bidi="ar-SA"/>
        </w:rPr>
        <w:t>و أجاب بأنّه يُلزِمه بالطلاق لكن لا حالاً، و إنّما بشرط طهارة زوجته، فكأنّه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ألزمتك بالطلاق بشرط طهارة زوجتك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كانت هذه الرسالة قد طبعت في ضمن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 في مسائل المرتضى،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8040129_1280447820"/>
      <w:bookmarkStart w:id="920" w:name="_Toc339"/>
      <w:bookmarkEnd w:id="919"/>
      <w:r>
        <w:rPr>
          <w:rtl w:val="true"/>
        </w:rPr>
        <w:t>مخطوطات الرسالة</w:t>
      </w:r>
      <w:bookmarkEnd w:id="920"/>
    </w:p>
    <w:p>
      <w:pPr>
        <w:pStyle w:val="Heading6"/>
        <w:numPr>
          <w:ilvl w:val="5"/>
          <w:numId w:val="1"/>
        </w:numPr>
        <w:rPr/>
      </w:pPr>
      <w:bookmarkStart w:id="921" w:name="__RefHeading___Toc8040131_1280447820"/>
      <w:bookmarkStart w:id="922" w:name="_Toc340"/>
      <w:bookmarkEnd w:id="921"/>
      <w:r>
        <w:rPr>
          <w:rtl w:val="true"/>
        </w:rPr>
        <w:t>ألف</w:t>
      </w:r>
      <w:r>
        <w:rPr>
          <w:rtl w:val="true"/>
        </w:rPr>
        <w:t xml:space="preserve">) </w:t>
      </w:r>
      <w:r>
        <w:rPr>
          <w:rtl w:val="true"/>
        </w:rPr>
        <w:t>النسخ المعتمدة</w:t>
      </w:r>
      <w:r>
        <w:rPr>
          <w:rtl w:val="true"/>
        </w:rPr>
        <w:t>:</w:t>
      </w:r>
      <w:bookmarkEnd w:id="9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541/14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923" w:name="pg16437_172750"/>
    </w:p>
    <w:p>
      <w:pPr>
        <w:pStyle w:val="BookText"/>
        <w:rPr/>
      </w:pPr>
      <w:bookmarkEnd w:id="92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8040133_1280447820"/>
      <w:bookmarkStart w:id="925" w:name="_Toc341"/>
      <w:bookmarkEnd w:id="924"/>
      <w:r>
        <w:rPr>
          <w:rtl w:val="true"/>
        </w:rPr>
        <w:t>ب</w:t>
      </w:r>
      <w:r>
        <w:rPr>
          <w:rtl w:val="true"/>
        </w:rPr>
        <w:t xml:space="preserve">) </w:t>
      </w:r>
      <w:r>
        <w:rPr>
          <w:rtl w:val="true"/>
        </w:rPr>
        <w:t>سائر النسخ</w:t>
      </w:r>
      <w:r>
        <w:rPr>
          <w:rtl w:val="true"/>
        </w:rPr>
        <w:t>:</w:t>
      </w:r>
      <w:bookmarkEnd w:id="9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10005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السيّد حسن الصدر رحمه اللّٰه، المرقّمة </w:t>
      </w:r>
      <w:r>
        <w:rPr>
          <w:rFonts w:eastAsia="Amiri" w:cs="Amiri" w:ascii="Amiri" w:hAnsi="Amiri"/>
          <w:color w:val="111111"/>
          <w:sz w:val="28"/>
          <w:szCs w:val="28"/>
          <w:lang w:bidi="ar-SA"/>
        </w:rPr>
        <w:t>587/7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bookmarkStart w:id="926" w:name="pg16437_172751"/>
    </w:p>
    <w:p>
      <w:pPr>
        <w:pStyle w:val="Heading4"/>
        <w:numPr>
          <w:ilvl w:val="3"/>
          <w:numId w:val="1"/>
        </w:numPr>
        <w:rPr/>
      </w:pPr>
      <w:bookmarkStart w:id="927" w:name="__RefHeading___Toc8040135_1280447820"/>
      <w:bookmarkStart w:id="928" w:name="_Toc342"/>
      <w:bookmarkEnd w:id="926"/>
      <w:bookmarkEnd w:id="927"/>
      <w:r>
        <w:rPr>
          <w:rtl w:val="true"/>
        </w:rPr>
        <w:t>جَواباتُ المَسائلِ الرَّمليَّةِ‌</w:t>
      </w:r>
      <w:bookmarkEnd w:id="928"/>
    </w:p>
    <w:p>
      <w:pPr>
        <w:pStyle w:val="Heading5"/>
        <w:numPr>
          <w:ilvl w:val="4"/>
          <w:numId w:val="1"/>
        </w:numPr>
        <w:rPr/>
      </w:pPr>
      <w:bookmarkStart w:id="929" w:name="__RefHeading___Toc8040137_1280447820"/>
      <w:bookmarkStart w:id="930" w:name="_Toc343"/>
      <w:bookmarkEnd w:id="929"/>
      <w:r>
        <w:rPr>
          <w:rtl w:val="true"/>
        </w:rPr>
        <w:t>اشارة</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8040139_1280447820"/>
      <w:bookmarkStart w:id="932" w:name="_Toc344"/>
      <w:bookmarkEnd w:id="931"/>
      <w:r>
        <w:rPr>
          <w:rtl w:val="true"/>
        </w:rPr>
        <w:t>المسألةُ السادسةُ حُكمُ الخِلافِ في رؤيةِ الهِلالِ‌</w:t>
      </w:r>
      <w:bookmarkEnd w:id="932"/>
    </w:p>
    <w:p>
      <w:pPr>
        <w:pStyle w:val="Heading6"/>
        <w:numPr>
          <w:ilvl w:val="5"/>
          <w:numId w:val="1"/>
        </w:numPr>
        <w:rPr/>
      </w:pPr>
      <w:bookmarkStart w:id="933" w:name="__RefHeading___Toc8040141_1280447820"/>
      <w:bookmarkStart w:id="934" w:name="_Toc345"/>
      <w:bookmarkEnd w:id="933"/>
      <w:r>
        <w:rPr>
          <w:rtl w:val="true"/>
        </w:rPr>
        <w:t>مَسألةٌ مِن المَسائلِ الرَّمليَّةِ</w:t>
      </w:r>
      <w:r>
        <w:rPr>
          <w:rtl w:val="true"/>
        </w:rPr>
        <w:t>:</w:t>
      </w:r>
      <w:bookmarkEnd w:id="934"/>
    </w:p>
    <w:p>
      <w:pPr>
        <w:pStyle w:val="BookText"/>
        <w:rPr/>
      </w:pPr>
      <w:r>
        <w:rPr>
          <w:rFonts w:ascii="Amiri" w:hAnsi="Amiri" w:eastAsia="Amiri" w:cs="Amiri"/>
          <w:color w:val="111111"/>
          <w:sz w:val="28"/>
          <w:sz w:val="28"/>
          <w:szCs w:val="28"/>
          <w:rtl w:val="true"/>
          <w:lang w:bidi="ar-SA"/>
        </w:rPr>
        <w:t>المسألةُ السادسةُ‌</w:t>
      </w:r>
      <w:r>
        <w:rPr>
          <w:rStyle w:val="FootnoteAnchor"/>
          <w:rtl w:val="true"/>
        </w:rPr>
        <w:footnoteReference w:id="2476"/>
      </w:r>
    </w:p>
    <w:p>
      <w:pPr>
        <w:pStyle w:val="BookText"/>
        <w:rPr/>
      </w:pPr>
      <w:r>
        <w:rPr>
          <w:rFonts w:ascii="Amiri" w:hAnsi="Amiri" w:eastAsia="Amiri" w:cs="Amiri"/>
          <w:color w:val="111111"/>
          <w:sz w:val="28"/>
          <w:sz w:val="28"/>
          <w:szCs w:val="28"/>
          <w:rtl w:val="true"/>
          <w:lang w:bidi="ar-SA"/>
        </w:rPr>
        <w:t>و هذه المسألة متأخّرة عن المسألة السابعة في جميع النسخ و المطبوع، لكنّنا قمنا بإعادة ترتيب المسألتين وَفْقَ ما ذكره البُصروي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مقدّمة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الخِلافِ في رؤيةِ الهِلالِ</w:t>
      </w:r>
    </w:p>
    <w:p>
      <w:pPr>
        <w:pStyle w:val="BookText"/>
        <w:rPr/>
      </w:pPr>
      <w:r>
        <w:rPr>
          <w:rFonts w:ascii="Amiri" w:hAnsi="Amiri" w:eastAsia="Amiri" w:cs="Amiri"/>
          <w:color w:val="111111"/>
          <w:sz w:val="28"/>
          <w:sz w:val="28"/>
          <w:szCs w:val="28"/>
          <w:rtl w:val="true"/>
          <w:lang w:bidi="ar-SA"/>
        </w:rPr>
        <w:t>ما القَولُ فيمن طَلَبَ هِلالَ شَهرِ رَمَضانَ فلَم يَرَه، أو رَآه و جَوَّزَ رؤيةَ غيرِه له</w:t>
      </w:r>
      <w:r>
        <w:rPr>
          <w:rStyle w:val="FootnoteAnchor"/>
          <w:rtl w:val="true"/>
        </w:rPr>
        <w:footnoteReference w:id="2477"/>
      </w:r>
      <w:r>
        <w:rPr>
          <w:rFonts w:ascii="Amiri" w:hAnsi="Amiri" w:eastAsia="Amiri" w:cs="Amiri"/>
          <w:color w:val="111111"/>
          <w:sz w:val="28"/>
          <w:sz w:val="28"/>
          <w:szCs w:val="28"/>
          <w:rtl w:val="true"/>
          <w:lang w:bidi="ar-SA"/>
        </w:rPr>
        <w:t>مِن قَبلُ في بَلَدٍ</w:t>
      </w:r>
      <w:r>
        <w:rPr>
          <w:rStyle w:val="FootnoteAnchor"/>
          <w:rtl w:val="true"/>
        </w:rPr>
        <w:footnoteReference w:id="2478"/>
      </w:r>
      <w:r>
        <w:rPr>
          <w:rFonts w:ascii="Amiri" w:hAnsi="Amiri" w:eastAsia="Amiri" w:cs="Amiri"/>
          <w:color w:val="111111"/>
          <w:sz w:val="28"/>
          <w:sz w:val="28"/>
          <w:szCs w:val="28"/>
          <w:rtl w:val="true"/>
          <w:lang w:bidi="ar-SA"/>
        </w:rPr>
        <w:t>آخَرَ</w:t>
      </w:r>
      <w:r>
        <w:rPr>
          <w:rStyle w:val="FootnoteAnchor"/>
          <w:rtl w:val="true"/>
        </w:rPr>
        <w:footnoteReference w:id="2479"/>
      </w:r>
      <w:r>
        <w:rPr>
          <w:rFonts w:ascii="Amiri" w:hAnsi="Amiri" w:eastAsia="Amiri" w:cs="Amiri"/>
          <w:color w:val="111111"/>
          <w:sz w:val="28"/>
          <w:sz w:val="28"/>
          <w:szCs w:val="28"/>
          <w:rtl w:val="true"/>
          <w:lang w:bidi="ar-SA"/>
        </w:rPr>
        <w:t>، و كانَت رؤيةً‌</w:t>
      </w:r>
      <w:r>
        <w:rPr>
          <w:rStyle w:val="FootnoteAnchor"/>
          <w:rtl w:val="true"/>
        </w:rPr>
        <w:footnoteReference w:id="2480"/>
      </w:r>
      <w:r>
        <w:rPr>
          <w:rFonts w:ascii="Amiri" w:hAnsi="Amiri" w:eastAsia="Amiri" w:cs="Amiri"/>
          <w:color w:val="111111"/>
          <w:sz w:val="28"/>
          <w:sz w:val="28"/>
          <w:szCs w:val="28"/>
          <w:rtl w:val="true"/>
          <w:lang w:bidi="ar-SA"/>
        </w:rPr>
        <w:t>لا تُعطي مَعرِفةً له؛ أيَّ شَيءٍ يَعتَقِدُ؟ و علىٰ أيِّ شَيءٍ يُعوِّلُ‌</w:t>
      </w:r>
      <w:r>
        <w:rPr>
          <w:rStyle w:val="FootnoteAnchor"/>
          <w:rtl w:val="true"/>
        </w:rPr>
        <w:footnoteReference w:id="2481"/>
      </w:r>
      <w:r>
        <w:rPr>
          <w:rFonts w:ascii="IRNazanin" w:hAnsi="IRNazanin" w:eastAsia="IRNazanin"/>
          <w:color w:val="111111"/>
          <w:sz w:val="28"/>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إذا ظَهَرَ آخِرُ الشهرِ لقَومٍ و استَتَرَ عن قَومٍ، حتّىٰ وَجَبَ الصيامُ علىٰ مَن استَتَرَ عنهم و الإفطارُ علىٰ مَن ظَهَرَ لهم؛ ألَيسَ‌</w:t>
      </w:r>
      <w:r>
        <w:rPr>
          <w:rStyle w:val="FootnoteAnchor"/>
          <w:rtl w:val="true"/>
        </w:rPr>
        <w:footnoteReference w:id="2482"/>
      </w:r>
      <w:r>
        <w:rPr>
          <w:rFonts w:ascii="Amiri" w:hAnsi="Amiri" w:eastAsia="Amiri" w:cs="Amiri"/>
          <w:color w:val="111111"/>
          <w:sz w:val="28"/>
          <w:sz w:val="28"/>
          <w:szCs w:val="28"/>
          <w:rtl w:val="true"/>
          <w:lang w:bidi="ar-SA"/>
        </w:rPr>
        <w:t xml:space="preserve">يؤَدّي هذا إلىٰ نُقصانِه عندَ بعضِ </w:t>
      </w:r>
    </w:p>
    <w:p>
      <w:pPr>
        <w:pStyle w:val="BookText"/>
        <w:rPr/>
      </w:pPr>
      <w:r>
        <w:rPr>
          <w:rFonts w:ascii="Amiri" w:hAnsi="Amiri" w:eastAsia="Amiri" w:cs="Amiri"/>
          <w:color w:val="111111"/>
          <w:sz w:val="28"/>
          <w:sz w:val="28"/>
          <w:szCs w:val="28"/>
          <w:rtl w:val="true"/>
          <w:lang w:bidi="ar-SA"/>
        </w:rPr>
        <w:t>المُكلَّفينَ و تَمامِه عندَ آخَرينَ، فتَبطُلُ‌</w:t>
      </w:r>
      <w:r>
        <w:rPr>
          <w:rStyle w:val="FootnoteAnchor"/>
          <w:rtl w:val="true"/>
        </w:rPr>
        <w:footnoteReference w:id="2483"/>
      </w:r>
      <w:r>
        <w:rPr>
          <w:rFonts w:ascii="Amiri" w:hAnsi="Amiri" w:eastAsia="Amiri" w:cs="Amiri"/>
          <w:color w:val="111111"/>
          <w:sz w:val="28"/>
          <w:sz w:val="28"/>
          <w:szCs w:val="28"/>
          <w:rtl w:val="true"/>
          <w:lang w:bidi="ar-SA"/>
        </w:rPr>
        <w:t>حقيقةُ شَهرِ رَمَضانَ في نفسِه، أو يَكونَ له حقيقةٌ عندَ اللّٰهِ تَعالىٰ لَم يَنصِبْ لخَلقِه دليلاً يَتَّفِقونَ به عليها و يَعتَقِدونَها</w:t>
      </w:r>
      <w:r>
        <w:rPr>
          <w:rStyle w:val="FootnoteAnchor"/>
          <w:rtl w:val="true"/>
        </w:rPr>
        <w:footnoteReference w:id="2484"/>
      </w:r>
      <w:r>
        <w:rPr>
          <w:rFonts w:ascii="Amiri" w:hAnsi="Amiri" w:eastAsia="Amiri" w:cs="Amiri"/>
          <w:color w:val="111111"/>
          <w:sz w:val="28"/>
          <w:sz w:val="28"/>
          <w:szCs w:val="28"/>
          <w:rtl w:val="true"/>
          <w:lang w:bidi="ar-SA"/>
        </w:rPr>
        <w:t>علىٰ وجهِها، و يؤَدّي أيضاً إلَى اختلافِ الأعيادِ و فَسادِ التواريخِ و مُماثَلةِ أهلِ الِاجتهادِ في الخِلافِ؟</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تكليفَ كُلِّ مُكلَّفٍ يَختَصُّ به، و لا يَتعلَّقُ بغَيرِه؛ فلَيسَ بمُنكَرٍ أن يَختَلِفَ تكليفُ الشخصَينِ في الوقتِ الواحدِ، كما لا يَمتَنِعُ اختلافُ تكليفِ الشخصِ الواحدِ في الوقتَينِ و الوجهَينِ، و في الوقتِ الواحدِ و الوجهِ الواحدِ إذا كانَ التكليفُ علىٰ سَبيلِ‌</w:t>
      </w:r>
      <w:r>
        <w:rPr>
          <w:rStyle w:val="FootnoteAnchor"/>
          <w:rtl w:val="true"/>
        </w:rPr>
        <w:footnoteReference w:id="2485"/>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صَحَّت هذه الجُملةُ، فما المانِعُ مِن أن يَكونَ تكليفُ مَن رأىٰ هِلالَ شَهرِ رَمَضانَ الصَّومَ، و تكليفُ مَن لَم يَرَه و لا قامَت عليه</w:t>
      </w:r>
      <w:r>
        <w:rPr>
          <w:rStyle w:val="FootnoteAnchor"/>
          <w:rtl w:val="true"/>
        </w:rPr>
        <w:footnoteReference w:id="2486"/>
      </w:r>
      <w:r>
        <w:rPr>
          <w:rFonts w:ascii="Amiri" w:hAnsi="Amiri" w:eastAsia="Amiri" w:cs="Amiri"/>
          <w:color w:val="111111"/>
          <w:sz w:val="28"/>
          <w:sz w:val="28"/>
          <w:szCs w:val="28"/>
          <w:rtl w:val="true"/>
          <w:lang w:bidi="ar-SA"/>
        </w:rPr>
        <w:t>حُجّةٌ برؤيتِه الفِطرَ؟ و كذلكَ حُكمُهما</w:t>
      </w:r>
      <w:r>
        <w:rPr>
          <w:rStyle w:val="FootnoteAnchor"/>
          <w:rtl w:val="true"/>
        </w:rPr>
        <w:footnoteReference w:id="2487"/>
      </w:r>
      <w:r>
        <w:rPr>
          <w:rFonts w:ascii="Amiri" w:hAnsi="Amiri" w:eastAsia="Amiri" w:cs="Amiri"/>
          <w:color w:val="111111"/>
          <w:sz w:val="28"/>
          <w:sz w:val="28"/>
          <w:szCs w:val="28"/>
          <w:rtl w:val="true"/>
          <w:lang w:bidi="ar-SA"/>
        </w:rPr>
        <w:t>في رؤيةِ هِلالِ‌</w:t>
      </w:r>
      <w:r>
        <w:rPr>
          <w:rStyle w:val="FootnoteAnchor"/>
          <w:rtl w:val="true"/>
        </w:rPr>
        <w:footnoteReference w:id="2488"/>
      </w: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فَسادٍ في اختلافِ التكليفِ إذا اختَلَفَت</w:t>
      </w:r>
      <w:r>
        <w:rPr>
          <w:rStyle w:val="FootnoteAnchor"/>
          <w:rtl w:val="true"/>
        </w:rPr>
        <w:footnoteReference w:id="2489"/>
      </w:r>
      <w:r>
        <w:rPr>
          <w:rFonts w:ascii="Amiri" w:hAnsi="Amiri" w:eastAsia="Amiri" w:cs="Amiri"/>
          <w:color w:val="111111"/>
          <w:sz w:val="28"/>
          <w:sz w:val="28"/>
          <w:szCs w:val="28"/>
          <w:rtl w:val="true"/>
          <w:lang w:bidi="ar-SA"/>
        </w:rPr>
        <w:t>وجوهُه و طُرُقُه</w:t>
      </w:r>
      <w:r>
        <w:rPr>
          <w:rStyle w:val="FootnoteAnchor"/>
          <w:rtl w:val="true"/>
        </w:rPr>
        <w:footnoteReference w:id="2490"/>
      </w:r>
      <w:r>
        <w:rPr>
          <w:rFonts w:ascii="Amiri" w:hAnsi="Amiri" w:eastAsia="Amiri" w:cs="Amiri"/>
          <w:color w:val="111111"/>
          <w:sz w:val="28"/>
          <w:sz w:val="28"/>
          <w:szCs w:val="28"/>
          <w:rtl w:val="true"/>
          <w:lang w:bidi="ar-SA"/>
        </w:rPr>
        <w:t xml:space="preserve">؟ أوَ لَيسَ اللّٰهُ </w:t>
      </w:r>
    </w:p>
    <w:p>
      <w:pPr>
        <w:pStyle w:val="BookText"/>
        <w:rPr/>
      </w:pPr>
      <w:r>
        <w:rPr>
          <w:rFonts w:ascii="Amiri" w:hAnsi="Amiri" w:eastAsia="Amiri" w:cs="Amiri"/>
          <w:color w:val="111111"/>
          <w:sz w:val="28"/>
          <w:sz w:val="28"/>
          <w:szCs w:val="28"/>
          <w:rtl w:val="true"/>
          <w:lang w:bidi="ar-SA"/>
        </w:rPr>
        <w:t>تَعالىٰ قد كَلَّفَ واجدَ الماءِ الطهارةَ به دونَ غيرِه، و أسقَطَ عن</w:t>
      </w:r>
      <w:r>
        <w:rPr>
          <w:rStyle w:val="FootnoteAnchor"/>
          <w:rtl w:val="true"/>
        </w:rPr>
        <w:footnoteReference w:id="2491"/>
      </w:r>
      <w:r>
        <w:rPr>
          <w:rFonts w:ascii="Amiri" w:hAnsi="Amiri" w:eastAsia="Amiri" w:cs="Amiri"/>
          <w:color w:val="111111"/>
          <w:sz w:val="28"/>
          <w:sz w:val="28"/>
          <w:szCs w:val="28"/>
          <w:rtl w:val="true"/>
          <w:lang w:bidi="ar-SA"/>
        </w:rPr>
        <w:t>فاقدِ الماءِ تكليفَ الطهارةِ به، و كَلَّفَه التيمُّمَ بالتُّرابِ، و جَعَلَ تكليفَهما في صلاةٍ واحدةٍ مُختَلِفاً كما تَرىٰ، و لَم يَقتَضِ ذلكَ فَساداً؟</w:t>
      </w:r>
    </w:p>
    <w:p>
      <w:pPr>
        <w:pStyle w:val="BookText"/>
        <w:rPr/>
      </w:pPr>
      <w:r>
        <w:rPr>
          <w:rFonts w:ascii="Amiri" w:hAnsi="Amiri" w:eastAsia="Amiri" w:cs="Amiri"/>
          <w:color w:val="111111"/>
          <w:sz w:val="28"/>
          <w:sz w:val="28"/>
          <w:szCs w:val="28"/>
          <w:rtl w:val="true"/>
          <w:lang w:bidi="ar-SA"/>
        </w:rPr>
        <w:t>و كذلكَ تكليفُ المريضِ الصلاةَ مِن قُعودٍ، و الصحيحِ الصلاةَ مِن قيامٍ؛ فاختَلَفَ التكليفُ فيهما لاختلافِ أسبابِهما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طَلَبَ جهةَ القِبلةِ، و غَلَبَ في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بأمارةٍ لاحَت</w:t>
      </w:r>
      <w:r>
        <w:rPr>
          <w:rStyle w:val="FootnoteAnchor"/>
          <w:rtl w:val="true"/>
        </w:rPr>
        <w:footnoteReference w:id="2492"/>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بعضِ الجِهاتِ، وَجَبَ عليه أن يُصلّيَ إليها بعَينِها؛ و مَن طَلَبَها في تلكَ الحالِ، و غَلَبَ في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جِهةٍ سِواها، وَجَبَ عليه أن يُصلّيَ إلىٰ خِلافِ الجِهةِ الأُولىٰ؛ و كُلُّ واحدٍ منهما</w:t>
      </w:r>
      <w:r>
        <w:rPr>
          <w:rStyle w:val="FootnoteAnchor"/>
          <w:rtl w:val="true"/>
        </w:rPr>
        <w:footnoteReference w:id="2493"/>
      </w:r>
      <w:r>
        <w:rPr>
          <w:rFonts w:ascii="Amiri" w:hAnsi="Amiri" w:eastAsia="Amiri" w:cs="Amiri"/>
          <w:color w:val="111111"/>
          <w:sz w:val="28"/>
          <w:sz w:val="28"/>
          <w:szCs w:val="28"/>
          <w:rtl w:val="true"/>
          <w:lang w:bidi="ar-SA"/>
        </w:rPr>
        <w:t>مؤَدٍّ فَرضَه، و إنِ اختَلَفَ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ذَهَبنا إلىٰ ذِكرِ ما</w:t>
      </w:r>
      <w:r>
        <w:rPr>
          <w:rStyle w:val="FootnoteAnchor"/>
          <w:rtl w:val="true"/>
        </w:rPr>
        <w:footnoteReference w:id="2494"/>
      </w:r>
      <w:r>
        <w:rPr>
          <w:rFonts w:ascii="Amiri" w:hAnsi="Amiri" w:eastAsia="Amiri" w:cs="Amiri"/>
          <w:color w:val="111111"/>
          <w:sz w:val="28"/>
          <w:sz w:val="28"/>
          <w:szCs w:val="28"/>
          <w:rtl w:val="true"/>
          <w:lang w:bidi="ar-SA"/>
        </w:rPr>
        <w:t>يَختَلِفُ فيه التكليفُ مِن ضُروبِ الشرائعِ، لَطالَ القولُ و اتَّسَعَ</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لَسنا نَعيبُ أصحابَ الِاجتهادِ بالاختلافِ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Style w:val="FootnoteAnchor"/>
          <w:rtl w:val="true"/>
        </w:rPr>
        <w:footnoteReference w:id="2495"/>
      </w:r>
      <w:r>
        <w:rPr>
          <w:rFonts w:ascii="Amiri" w:hAnsi="Amiri" w:eastAsia="Amiri" w:cs="Amiri"/>
          <w:color w:val="111111"/>
          <w:sz w:val="28"/>
          <w:sz w:val="28"/>
          <w:szCs w:val="28"/>
          <w:rtl w:val="true"/>
          <w:lang w:bidi="ar-SA"/>
        </w:rPr>
        <w:t>ظَنِّ السائلِ‌</w:t>
      </w:r>
      <w:r>
        <w:rPr>
          <w:rStyle w:val="FootnoteAnchor"/>
          <w:rtl w:val="true"/>
        </w:rPr>
        <w:footnoteReference w:id="2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الِاختلافَ إذا كانَ عن دليلٍ موجِبٍ للعِلمِ و حُجّةٍ صَحيحةٍ، لَم يَكُن مَعيباً، و إنّما عِبناهُم بالِاجتهادِ و القياسِ في الشريعةِ؛ لأنّه لا دليلَ عليهما، و لا طريقَ إليهما</w:t>
      </w:r>
      <w:r>
        <w:rPr>
          <w:rFonts w:eastAsia="Amiri" w:cs="Amiri" w:ascii="Amiri" w:hAnsi="Amiri"/>
          <w:color w:val="111111"/>
          <w:sz w:val="28"/>
          <w:szCs w:val="28"/>
          <w:rtl w:val="true"/>
          <w:lang w:bidi="ar-SA"/>
        </w:rPr>
        <w:t xml:space="preserve">. </w:t>
      </w:r>
      <w:bookmarkStart w:id="935" w:name="pg16437_172754"/>
    </w:p>
    <w:p>
      <w:pPr>
        <w:pStyle w:val="Heading5"/>
        <w:numPr>
          <w:ilvl w:val="4"/>
          <w:numId w:val="1"/>
        </w:numPr>
        <w:rPr/>
      </w:pPr>
      <w:bookmarkStart w:id="936" w:name="__RefHeading___Toc8040143_1280447820"/>
      <w:bookmarkStart w:id="937" w:name="_Toc346"/>
      <w:bookmarkEnd w:id="935"/>
      <w:bookmarkEnd w:id="936"/>
      <w:r>
        <w:rPr>
          <w:rtl w:val="true"/>
        </w:rPr>
        <w:t>المسألةُ السابعةُ حُكمُ الطلاقِ بَعدَ ارتفاعِ الدمِ و إيلاءِ المَرأةِ‌</w:t>
      </w:r>
      <w:bookmarkEnd w:id="937"/>
    </w:p>
    <w:p>
      <w:pPr>
        <w:pStyle w:val="BookText"/>
        <w:rPr/>
      </w:pPr>
      <w:r>
        <w:rPr>
          <w:rFonts w:ascii="Amiri" w:hAnsi="Amiri" w:eastAsia="Amiri" w:cs="Amiri"/>
          <w:color w:val="111111"/>
          <w:sz w:val="28"/>
          <w:sz w:val="28"/>
          <w:szCs w:val="28"/>
          <w:rtl w:val="true"/>
          <w:lang w:bidi="ar-SA"/>
        </w:rPr>
        <w:t>المسألةُ السابعةُ حُكمُ الطلاقِ بَعدَ ارتفاعِ الدمِ و إيلاءِ‌</w:t>
      </w:r>
      <w:r>
        <w:rPr>
          <w:rStyle w:val="FootnoteAnchor"/>
          <w:rtl w:val="true"/>
        </w:rPr>
        <w:footnoteReference w:id="2497"/>
      </w:r>
      <w:r>
        <w:rPr>
          <w:rFonts w:ascii="Amiri" w:hAnsi="Amiri" w:eastAsia="Amiri" w:cs="Amiri"/>
          <w:color w:val="111111"/>
          <w:sz w:val="28"/>
          <w:sz w:val="28"/>
          <w:szCs w:val="28"/>
          <w:rtl w:val="true"/>
          <w:lang w:bidi="ar-SA"/>
        </w:rPr>
        <w:t>المَرأةِ</w:t>
      </w:r>
    </w:p>
    <w:p>
      <w:pPr>
        <w:pStyle w:val="BookText"/>
        <w:rPr/>
      </w:pPr>
      <w:r>
        <w:rPr>
          <w:rFonts w:ascii="Amiri" w:hAnsi="Amiri" w:eastAsia="Amiri" w:cs="Amiri"/>
          <w:color w:val="111111"/>
          <w:sz w:val="28"/>
          <w:sz w:val="28"/>
          <w:szCs w:val="28"/>
          <w:rtl w:val="true"/>
          <w:lang w:bidi="ar-SA"/>
        </w:rPr>
        <w:t>مَسألةٌ مِن المَسائلِ الرَّمليَّةِ‌</w:t>
      </w:r>
      <w:r>
        <w:rPr>
          <w:rStyle w:val="FootnoteAnchor"/>
          <w:rtl w:val="true"/>
        </w:rPr>
        <w:footnoteReference w:id="24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الطلاقُ لا يَقَعُ بالمَرأةِ إلّاو هي طاهرٌ في طُهرٍ لا مُلامَسةَ فيه؛ فما الحُكمُ في رَجُلٍ قَصَدَ إلَى امرَأةٍ و هي طاهرٌ، فلامَسَها</w:t>
      </w:r>
      <w:r>
        <w:rPr>
          <w:rStyle w:val="FootnoteAnchor"/>
          <w:rtl w:val="true"/>
        </w:rPr>
        <w:footnoteReference w:id="2499"/>
      </w:r>
      <w:r>
        <w:rPr>
          <w:rFonts w:ascii="Amiri" w:hAnsi="Amiri" w:eastAsia="Amiri" w:cs="Amiri"/>
          <w:color w:val="111111"/>
          <w:sz w:val="28"/>
          <w:sz w:val="28"/>
          <w:szCs w:val="28"/>
          <w:rtl w:val="true"/>
          <w:lang w:bidi="ar-SA"/>
        </w:rPr>
        <w:t>، ثُمَّ آلىٰ منها عَقيبَ مُلامَسَتِها، و ارتَفَعَ الدمُ عنها، فتَربَّصَت</w:t>
      </w:r>
      <w:r>
        <w:rPr>
          <w:rStyle w:val="FootnoteAnchor"/>
          <w:rtl w:val="true"/>
        </w:rPr>
        <w:footnoteReference w:id="2500"/>
      </w:r>
      <w:r>
        <w:rPr>
          <w:rFonts w:ascii="Amiri" w:hAnsi="Amiri" w:eastAsia="Amiri" w:cs="Amiri"/>
          <w:color w:val="111111"/>
          <w:sz w:val="28"/>
          <w:sz w:val="28"/>
          <w:szCs w:val="28"/>
          <w:rtl w:val="true"/>
          <w:lang w:bidi="ar-SA"/>
        </w:rPr>
        <w:t>به أربعَةَ أشهُرٍ لَم يَقرُبْها، وَجَبَ عليه فيها مُرافَعتُه</w:t>
      </w:r>
      <w:r>
        <w:rPr>
          <w:rStyle w:val="FootnoteAnchor"/>
          <w:rtl w:val="true"/>
        </w:rPr>
        <w:footnoteReference w:id="2501"/>
      </w:r>
      <w:r>
        <w:rPr>
          <w:rFonts w:ascii="Amiri" w:hAnsi="Amiri" w:eastAsia="Amiri" w:cs="Amiri"/>
          <w:color w:val="111111"/>
          <w:sz w:val="28"/>
          <w:sz w:val="28"/>
          <w:szCs w:val="28"/>
          <w:rtl w:val="true"/>
          <w:lang w:bidi="ar-SA"/>
        </w:rPr>
        <w:t>إلَى الحاكِمِ بَعدَ الأجَلِ، فأمَرَه</w:t>
      </w:r>
      <w:r>
        <w:rPr>
          <w:rStyle w:val="FootnoteAnchor"/>
          <w:rtl w:val="true"/>
        </w:rPr>
        <w:footnoteReference w:id="2502"/>
      </w:r>
      <w:r>
        <w:rPr>
          <w:rFonts w:ascii="Amiri" w:hAnsi="Amiri" w:eastAsia="Amiri" w:cs="Amiri"/>
          <w:color w:val="111111"/>
          <w:sz w:val="28"/>
          <w:sz w:val="28"/>
          <w:szCs w:val="28"/>
          <w:rtl w:val="true"/>
          <w:lang w:bidi="ar-SA"/>
        </w:rPr>
        <w:t>بالكَفّارةِ، فامتَنَعَ منها؛ أيُلزِمُه الطلاقَ و هي في طُهرٍ قد وَقَعَت فيه المُلامَسةُ، فيَكونُ قد أفتىٰ بضِدِّ ما يَقتَضيهِ المَذهَبُ، أم يَترُكُه علىٰ حالِه، لا يُكفِّرُ و لا يُطلِّقُ، فيُخالِفُ الإجماعَ في 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الطلاقَ إنّما لا</w:t>
      </w:r>
      <w:r>
        <w:rPr>
          <w:rStyle w:val="FootnoteAnchor"/>
          <w:rtl w:val="true"/>
        </w:rPr>
        <w:footnoteReference w:id="2503"/>
      </w:r>
      <w:r>
        <w:rPr>
          <w:rFonts w:ascii="Amiri" w:hAnsi="Amiri" w:eastAsia="Amiri" w:cs="Amiri"/>
          <w:color w:val="111111"/>
          <w:sz w:val="28"/>
          <w:sz w:val="28"/>
          <w:szCs w:val="28"/>
          <w:rtl w:val="true"/>
          <w:lang w:bidi="ar-SA"/>
        </w:rPr>
        <w:t xml:space="preserve">يَقَعُ في طُهرٍ تَخلَّلَته المُلامَسةُ إذا كانَت المَرأةُ ممّن تَحيضُ </w:t>
      </w:r>
    </w:p>
    <w:p>
      <w:pPr>
        <w:pStyle w:val="BookText"/>
        <w:rPr/>
      </w:pPr>
      <w:r>
        <w:rPr>
          <w:rFonts w:ascii="Amiri" w:hAnsi="Amiri" w:eastAsia="Amiri" w:cs="Amiri"/>
          <w:color w:val="111111"/>
          <w:sz w:val="28"/>
          <w:sz w:val="28"/>
          <w:szCs w:val="28"/>
          <w:rtl w:val="true"/>
          <w:lang w:bidi="ar-SA"/>
        </w:rPr>
        <w:t>و تَطهُرُ؛ فأمّا إذا ارتَفَعَ الدمُ عنها، و يَئِسَت مِن الحَيضِ، و تَبيَّنَ‌</w:t>
      </w:r>
      <w:r>
        <w:rPr>
          <w:rStyle w:val="FootnoteAnchor"/>
          <w:rtl w:val="true"/>
        </w:rPr>
        <w:footnoteReference w:id="2504"/>
      </w:r>
      <w:r>
        <w:rPr>
          <w:rFonts w:ascii="Amiri" w:hAnsi="Amiri" w:eastAsia="Amiri" w:cs="Amiri"/>
          <w:color w:val="111111"/>
          <w:sz w:val="28"/>
          <w:sz w:val="28"/>
          <w:szCs w:val="28"/>
          <w:rtl w:val="true"/>
          <w:lang w:bidi="ar-SA"/>
        </w:rPr>
        <w:t>ارتفاعُ الدمِ، فإنّ الطلاقَ يَقَعُ بها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علىٰ ما أَوضَحناه</w:t>
      </w:r>
      <w:r>
        <w:rPr>
          <w:rStyle w:val="FootnoteAnchor"/>
          <w:rtl w:val="true"/>
        </w:rPr>
        <w:footnoteReference w:id="2505"/>
      </w:r>
      <w:r>
        <w:rPr>
          <w:rFonts w:ascii="Amiri" w:hAnsi="Amiri" w:eastAsia="Amiri" w:cs="Amiri"/>
          <w:color w:val="111111"/>
          <w:sz w:val="28"/>
          <w:sz w:val="28"/>
          <w:szCs w:val="28"/>
          <w:rtl w:val="true"/>
          <w:lang w:bidi="ar-SA"/>
        </w:rPr>
        <w:t xml:space="preserve">، و صادَفَ انقضاءُ الأربَعةِ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مُرافَعةُ المَرأةِ لِزَوجِها إلَى الحاكمِ اليأسَ‌</w:t>
      </w:r>
      <w:r>
        <w:rPr>
          <w:rStyle w:val="FootnoteAnchor"/>
          <w:rtl w:val="true"/>
        </w:rPr>
        <w:footnoteReference w:id="2506"/>
      </w:r>
      <w:r>
        <w:rPr>
          <w:rFonts w:ascii="Amiri" w:hAnsi="Amiri" w:eastAsia="Amiri" w:cs="Amiri"/>
          <w:color w:val="111111"/>
          <w:sz w:val="28"/>
          <w:sz w:val="28"/>
          <w:szCs w:val="28"/>
          <w:rtl w:val="true"/>
          <w:lang w:bidi="ar-SA"/>
        </w:rPr>
        <w:t>مِن الحَيضِ، فالحاكمُ يأمُرُه بالكَفّارةِ، فإذا امتَنَعَ عليه</w:t>
      </w:r>
      <w:r>
        <w:rPr>
          <w:rStyle w:val="FootnoteAnchor"/>
          <w:rtl w:val="true"/>
        </w:rPr>
        <w:footnoteReference w:id="2507"/>
      </w:r>
      <w:r>
        <w:rPr>
          <w:rFonts w:ascii="Amiri" w:hAnsi="Amiri" w:eastAsia="Amiri" w:cs="Amiri"/>
          <w:color w:val="111111"/>
          <w:sz w:val="28"/>
          <w:sz w:val="28"/>
          <w:szCs w:val="28"/>
          <w:rtl w:val="true"/>
          <w:lang w:bidi="ar-SA"/>
        </w:rPr>
        <w:t>أَلزَمَه الطلاقَ، فإن طَلَّقَ وَقَعَ طلاقُه؛ لأنّ طلاقَه طلاقُ‌</w:t>
      </w:r>
      <w:r>
        <w:rPr>
          <w:rStyle w:val="FootnoteAnchor"/>
          <w:rtl w:val="true"/>
        </w:rPr>
        <w:footnoteReference w:id="2508"/>
      </w:r>
      <w:r>
        <w:rPr>
          <w:rFonts w:ascii="Amiri" w:hAnsi="Amiri" w:eastAsia="Amiri" w:cs="Amiri"/>
          <w:color w:val="111111"/>
          <w:sz w:val="28"/>
          <w:sz w:val="28"/>
          <w:szCs w:val="28"/>
          <w:rtl w:val="true"/>
          <w:lang w:bidi="ar-SA"/>
        </w:rPr>
        <w:t>آيسةٍ مِن الحَيضِ‌</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إلّاأن يُسألَ عمّن صادَفَ مُرافَعَتُه</w:t>
      </w:r>
      <w:r>
        <w:rPr>
          <w:rStyle w:val="FootnoteAnchor"/>
          <w:rtl w:val="true"/>
        </w:rPr>
        <w:footnoteReference w:id="2510"/>
      </w:r>
      <w:r>
        <w:rPr>
          <w:rFonts w:ascii="Amiri" w:hAnsi="Amiri" w:eastAsia="Amiri" w:cs="Amiri"/>
          <w:color w:val="111111"/>
          <w:sz w:val="28"/>
          <w:sz w:val="28"/>
          <w:szCs w:val="28"/>
          <w:rtl w:val="true"/>
          <w:lang w:bidi="ar-SA"/>
        </w:rPr>
        <w:t>مِن زَوجتِه إلَى الحاكمِ بَعدَ انقضاءِ الأجَلِ حَيضاً، و امتَنَعَ الزوجُ مِن الكَفّارةِ، و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هاهُنا؛ أيُلزِمُه الطلاقَ و هو لا يَقَعُ منه، أم</w:t>
      </w:r>
      <w:r>
        <w:rPr>
          <w:rStyle w:val="FootnoteAnchor"/>
          <w:rtl w:val="true"/>
        </w:rPr>
        <w:footnoteReference w:id="2511"/>
      </w:r>
      <w:r>
        <w:rPr>
          <w:rFonts w:ascii="Amiri" w:hAnsi="Amiri" w:eastAsia="Amiri" w:cs="Amiri"/>
          <w:color w:val="111111"/>
          <w:sz w:val="28"/>
          <w:sz w:val="28"/>
          <w:szCs w:val="28"/>
          <w:rtl w:val="true"/>
          <w:lang w:bidi="ar-SA"/>
        </w:rPr>
        <w:t>يُمسِكُ‌</w:t>
      </w:r>
      <w:r>
        <w:rPr>
          <w:rStyle w:val="FootnoteAnchor"/>
          <w:rtl w:val="true"/>
        </w:rPr>
        <w:footnoteReference w:id="2512"/>
      </w:r>
      <w:r>
        <w:rPr>
          <w:rFonts w:ascii="Amiri" w:hAnsi="Amiri" w:eastAsia="Amiri" w:cs="Amiri"/>
          <w:color w:val="111111"/>
          <w:sz w:val="28"/>
          <w:sz w:val="28"/>
          <w:szCs w:val="28"/>
          <w:rtl w:val="true"/>
          <w:lang w:bidi="ar-SA"/>
        </w:rPr>
        <w:t>عن إلزامِه فيَكونُ غيرَ مُكفِّرٍ و لا مُطلِّقٍ؟</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Style w:val="FootnoteAnchor"/>
          <w:rtl w:val="true"/>
        </w:rPr>
        <w:footnoteReference w:id="2513"/>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يُلزِمُه</w:t>
      </w:r>
      <w:r>
        <w:rPr>
          <w:rStyle w:val="FootnoteAnchor"/>
          <w:rtl w:val="true"/>
        </w:rPr>
        <w:footnoteReference w:id="2514"/>
      </w:r>
      <w:r>
        <w:rPr>
          <w:rFonts w:ascii="Amiri" w:hAnsi="Amiri" w:eastAsia="Amiri" w:cs="Amiri"/>
          <w:color w:val="111111"/>
          <w:sz w:val="28"/>
          <w:sz w:val="28"/>
          <w:szCs w:val="28"/>
          <w:rtl w:val="true"/>
          <w:lang w:bidi="ar-SA"/>
        </w:rPr>
        <w:t>الطلاقَ بشَرطِ طهارةِ زَوجتِه؛ فكأنّه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ألزَمتُكَ و حَكَمتُ عليكَ بأن تُطلِّقَ زَوجتَكَ إذا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صارَ </w:t>
      </w:r>
    </w:p>
    <w:p>
      <w:pPr>
        <w:pStyle w:val="BookText"/>
        <w:rPr/>
      </w:pPr>
      <w:r>
        <w:rPr>
          <w:rFonts w:ascii="Amiri" w:hAnsi="Amiri" w:eastAsia="Amiri" w:cs="Amiri"/>
          <w:color w:val="111111"/>
          <w:sz w:val="28"/>
          <w:sz w:val="28"/>
          <w:szCs w:val="28"/>
          <w:rtl w:val="true"/>
          <w:lang w:bidi="ar-SA"/>
        </w:rPr>
        <w:t>الطلاقُ لازماً لمّا امتَنَعَ مِن الكَفّارةِ؛ لكِن علَى الوجهِ الصحيحِ‌</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بَيِّنٌ، بحَمدِ اللّٰهِ و مَنِّه</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 xml:space="preserve">. </w:t>
      </w:r>
      <w:bookmarkStart w:id="938" w:name="pg16437_172757"/>
    </w:p>
    <w:p>
      <w:pPr>
        <w:pStyle w:val="Heading3"/>
        <w:numPr>
          <w:ilvl w:val="2"/>
          <w:numId w:val="1"/>
        </w:numPr>
        <w:rPr/>
      </w:pPr>
      <w:bookmarkStart w:id="939" w:name="__RefHeading___Toc8040145_1280447820"/>
      <w:bookmarkStart w:id="940" w:name="_Toc347"/>
      <w:bookmarkEnd w:id="938"/>
      <w:bookmarkEnd w:id="939"/>
      <w:r>
        <w:rPr>
          <w:rtl w:val="true"/>
        </w:rPr>
        <w:t>(</w:t>
      </w:r>
      <w:r>
        <w:rPr/>
        <w:t>82</w:t>
      </w:r>
      <w:r>
        <w:rPr>
          <w:rtl w:val="true"/>
        </w:rPr>
        <w:t xml:space="preserve">) </w:t>
      </w:r>
      <w:r>
        <w:rPr>
          <w:rtl w:val="true"/>
        </w:rPr>
        <w:t>مسألةٌ في الفَرقِ بَينَ نَجِسِ العَينِ و نَجِسِ الحُكمِ‌</w:t>
      </w:r>
      <w:bookmarkEnd w:id="94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1" w:name="__RefHeading___Toc8040147_1280447820"/>
      <w:bookmarkStart w:id="942" w:name="_Toc348"/>
      <w:bookmarkEnd w:id="941"/>
      <w:r>
        <w:rPr>
          <w:rtl w:val="true"/>
        </w:rPr>
        <w:t>اشارة</w:t>
      </w:r>
      <w:bookmarkEnd w:id="94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3" w:name="pg16437_172759"/>
      <w:bookmarkStart w:id="944" w:name="pg16437_172759"/>
      <w:bookmarkEnd w:id="944"/>
    </w:p>
    <w:p>
      <w:pPr>
        <w:pStyle w:val="Heading4"/>
        <w:numPr>
          <w:ilvl w:val="3"/>
          <w:numId w:val="1"/>
        </w:numPr>
        <w:rPr/>
      </w:pPr>
      <w:bookmarkStart w:id="945" w:name="pg16437_172759"/>
      <w:bookmarkStart w:id="946" w:name="__RefHeading___Toc8040149_1280447820"/>
      <w:bookmarkStart w:id="947" w:name="_Toc349"/>
      <w:bookmarkEnd w:id="945"/>
      <w:bookmarkEnd w:id="946"/>
      <w:r>
        <w:rPr>
          <w:rtl w:val="true"/>
        </w:rPr>
        <w:t>مقدّمة التحقيق</w:t>
      </w:r>
      <w:bookmarkEnd w:id="947"/>
    </w:p>
    <w:p>
      <w:pPr>
        <w:pStyle w:val="Heading5"/>
        <w:numPr>
          <w:ilvl w:val="4"/>
          <w:numId w:val="1"/>
        </w:numPr>
        <w:rPr/>
      </w:pPr>
      <w:bookmarkStart w:id="948" w:name="__RefHeading___Toc8040151_1280447820"/>
      <w:bookmarkStart w:id="949" w:name="_Toc350"/>
      <w:bookmarkEnd w:id="948"/>
      <w:r>
        <w:rPr>
          <w:rtl w:val="true"/>
        </w:rPr>
        <w:t>اشارة</w:t>
      </w:r>
      <w:bookmarkEnd w:id="949"/>
    </w:p>
    <w:p>
      <w:pPr>
        <w:pStyle w:val="BookText"/>
        <w:rPr/>
      </w:pPr>
      <w:r>
        <w:rPr>
          <w:rFonts w:ascii="Amiri" w:hAnsi="Amiri" w:eastAsia="Amiri" w:cs="Amiri"/>
          <w:color w:val="111111"/>
          <w:sz w:val="28"/>
          <w:sz w:val="28"/>
          <w:szCs w:val="28"/>
          <w:rtl w:val="true"/>
          <w:lang w:bidi="ar-SA"/>
        </w:rPr>
        <w:t>تعرّض الشريف المرتضى في هذه المسألة للإجابة عن معنى مصطلحين دائرين على لسان الفقهاء، و هما مصطلحا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نجس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بالجواب بتقديم مقدّمة مأخوذة من مباني كلاميّة، و هي أنّ الأعيان لا تكون نجسة حقيقة؛ لأنّها أجسام، و هي جواهر متماثلة، فلو صار بعضها نجس العين من حيث هو جسم لصارت جميع الأجسام نجسة؛ لتماثلها في الجسميّة، و كان لا فرق بين الخنزير و غيره في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نجاسة العين ليست حقيقيّة، و إنّما هي حكم شرعيّ تعبّديّ، فتحمل على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بيان هذه المقدّمة تطرّق لبيان معنى مصطلحَي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نجس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أنّ هذين مجرّدُ اصطلاحين تعارف عليهما الفقهاء؛ و معناهما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 ما ثبت وصفُ النجاسة فيه و لم يتغيّر في حال الحياة أو الموت، مثل الخنزير و الكلب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ما تغيّر وصفه، فتارة يوصف بالطهارة، و أُخرى بالنجاسة، مثل الشاة؛ فإنّه يُحكم بطهارتها في الحياة، و بنجاستها إذا ماتت بلا ذكاة؛ أو الكافر يحكم بنجاسته في حال كفره، و بطهارته في حال ما إذا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فنجاسة الشاة و الكافر نجاسة حُكميّة</w:t>
      </w:r>
      <w:r>
        <w:rPr>
          <w:rFonts w:eastAsia="Amiri" w:cs="Amiri" w:ascii="Amiri" w:hAnsi="Amiri"/>
          <w:color w:val="111111"/>
          <w:sz w:val="28"/>
          <w:szCs w:val="28"/>
          <w:rtl w:val="true"/>
          <w:lang w:bidi="ar-SA"/>
        </w:rPr>
        <w:t xml:space="preserve">. </w:t>
      </w:r>
      <w:bookmarkStart w:id="950" w:name="pg16437_172760"/>
    </w:p>
    <w:p>
      <w:pPr>
        <w:pStyle w:val="Heading5"/>
        <w:numPr>
          <w:ilvl w:val="4"/>
          <w:numId w:val="1"/>
        </w:numPr>
        <w:rPr/>
      </w:pPr>
      <w:bookmarkStart w:id="951" w:name="__RefHeading___Toc8040153_1280447820"/>
      <w:bookmarkStart w:id="952" w:name="_Toc351"/>
      <w:bookmarkEnd w:id="950"/>
      <w:bookmarkEnd w:id="951"/>
      <w:r>
        <w:rPr>
          <w:rtl w:val="true"/>
        </w:rPr>
        <w:t>ملاحظة</w:t>
      </w:r>
      <w:bookmarkEnd w:id="952"/>
    </w:p>
    <w:p>
      <w:pPr>
        <w:pStyle w:val="BookText"/>
        <w:rPr/>
      </w:pPr>
      <w:r>
        <w:rPr>
          <w:rFonts w:ascii="Amiri" w:hAnsi="Amiri" w:eastAsia="Amiri" w:cs="Amiri"/>
          <w:color w:val="111111"/>
          <w:sz w:val="28"/>
          <w:sz w:val="28"/>
          <w:szCs w:val="28"/>
          <w:rtl w:val="true"/>
          <w:lang w:bidi="ar-SA"/>
        </w:rPr>
        <w:t xml:space="preserve">و ينبغي التنويه هنا إلى أنّ المعنى الذي ذكره الشريف المرتضى هو أحد معاني النجاسة العينيّة و الحُكميّة؛ فإنّ هذين الاصطلاحين يُطلقان بالاشتراك اللفظي على أكثر من معنى، فالنجاسة العينيّة تطلق على ثلاثة معاني على الأقلّ، و تقابلها النجاسة الحُكميّة، و هي كما ذكرها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بالنجاسة العينيّة ما تتعدّى نجاسته مع الرطوبة، و هو مطلق الخبث، و هو الأكثر دوراناً في كلام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تقابلها الحُكميّة بمعنى ما لا تتعدّى، بأن يكون المحلّ الذي قامت به معها طاهراً لا ينجس الملاقي له و لو مع الرطوبة، و يحتاج زوال حُكمها إلى مقارنة النيّة، كنجاسة بدن الجنب و الحائض و نحوها المتوقّف على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عين النجاسة محسوسة مع قبول الطهارة، كالدم و الغائط و البول قبل جفافه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تقابلها الحُكميّة بهذا الاعتبار، و هو ما لا يكون له جرم و لا عين يشار إليها، كالبول اليابس على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عيناً غير قابل للتطهير كالكلب 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المعنى الذي ذكره الشريف المرتضى في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تقابلها الحُكميّة بهذا الاعتبار، و هو ما يقبل التطهير، كالميّت بعد برده و قبل تطهيره بالغسل</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معنى النجاسة العينيّة و الحُكميّة غير منحصر في كلام الفقهاء بما ذكره </w:t>
      </w:r>
      <w:bookmarkStart w:id="953" w:name="pg16437_172761"/>
    </w:p>
    <w:p>
      <w:pPr>
        <w:pStyle w:val="BookText"/>
        <w:rPr/>
      </w:pPr>
      <w:bookmarkEnd w:id="953"/>
      <w:r>
        <w:rPr>
          <w:rFonts w:ascii="Amiri" w:hAnsi="Amiri" w:eastAsia="Amiri" w:cs="Amiri"/>
          <w:color w:val="111111"/>
          <w:sz w:val="28"/>
          <w:sz w:val="28"/>
          <w:szCs w:val="28"/>
          <w:rtl w:val="true"/>
          <w:lang w:bidi="ar-SA"/>
        </w:rPr>
        <w:t>الشريف المرتضى؛ بل هناك معاني أُخرى لها مستخدمة في كلامهم، و الظاهر أنّ هذه المعاني حدثت بعد عصره،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هذه الرسالة قد طبعت في ضمن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و في مسائل المرتضى،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8040155_1280447820"/>
      <w:bookmarkStart w:id="955" w:name="_Toc352"/>
      <w:bookmarkEnd w:id="954"/>
      <w:r>
        <w:rPr>
          <w:rtl w:val="true"/>
        </w:rPr>
        <w:t>مخطوطات الرسالة</w:t>
      </w:r>
      <w:bookmarkEnd w:id="9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541/14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10005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السيّد حسن الصدر رحمه اللّٰه، المرقّمة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bookmarkStart w:id="956" w:name="pg16437_172763"/>
    </w:p>
    <w:p>
      <w:pPr>
        <w:pStyle w:val="Heading4"/>
        <w:numPr>
          <w:ilvl w:val="3"/>
          <w:numId w:val="1"/>
        </w:numPr>
        <w:rPr/>
      </w:pPr>
      <w:bookmarkStart w:id="957" w:name="__RefHeading___Toc8040157_1280447820"/>
      <w:bookmarkStart w:id="958" w:name="_Toc353"/>
      <w:bookmarkEnd w:id="956"/>
      <w:bookmarkEnd w:id="957"/>
      <w:r>
        <w:rPr>
          <w:rtl w:val="true"/>
        </w:rPr>
        <w:t>مسألةٌ في الفَرقِ بَينَ نَجِسِ العَينِ و نَجِسِ الحُكمِ‌</w:t>
      </w:r>
      <w:bookmarkEnd w:id="958"/>
    </w:p>
    <w:p>
      <w:pPr>
        <w:pStyle w:val="Heading5"/>
        <w:numPr>
          <w:ilvl w:val="4"/>
          <w:numId w:val="1"/>
        </w:numPr>
        <w:rPr/>
      </w:pPr>
      <w:bookmarkStart w:id="959" w:name="__RefHeading___Toc8040159_1280447820"/>
      <w:bookmarkStart w:id="960" w:name="_Toc354"/>
      <w:bookmarkEnd w:id="959"/>
      <w:r>
        <w:rPr>
          <w:rtl w:val="true"/>
        </w:rPr>
        <w:t>اشارة</w:t>
      </w:r>
      <w:bookmarkEnd w:id="9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8040161_1280447820"/>
      <w:bookmarkStart w:id="962" w:name="_Toc355"/>
      <w:bookmarkEnd w:id="961"/>
      <w:r>
        <w:rPr>
          <w:rtl w:val="true"/>
        </w:rPr>
        <w:t>مسألةٌ</w:t>
      </w:r>
      <w:r>
        <w:rPr>
          <w:rtl w:val="true"/>
        </w:rPr>
        <w:t>:</w:t>
      </w:r>
      <w:bookmarkEnd w:id="962"/>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نَجِسُ العَينِ، و هذا نَجِسُ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w:t>
      </w:r>
      <w:r>
        <w:rPr>
          <w:rStyle w:val="FootnoteAnchor"/>
          <w:rtl w:val="true"/>
        </w:rPr>
        <w:footnoteReference w:id="2518"/>
      </w:r>
      <w:r>
        <w:rPr>
          <w:rFonts w:ascii="Amiri" w:hAnsi="Amiri" w:eastAsia="Amiri" w:cs="Amiri"/>
          <w:color w:val="111111"/>
          <w:sz w:val="28"/>
          <w:sz w:val="28"/>
          <w:szCs w:val="28"/>
          <w:rtl w:val="true"/>
          <w:lang w:bidi="ar-SA"/>
        </w:rPr>
        <w:t>هو نَجِسُ العَينِ؟ و ما هو نَجِسُ الحُكمِ؟</w:t>
      </w:r>
      <w:r>
        <w:rPr>
          <w:rStyle w:val="FootnoteAnchor"/>
          <w:rtl w:val="true"/>
        </w:rPr>
        <w:footnoteReference w:id="2519"/>
      </w:r>
      <w:r>
        <w:rPr>
          <w:rFonts w:ascii="Amiri" w:hAnsi="Amiri" w:eastAsia="Amiri" w:cs="Amiri"/>
          <w:color w:val="111111"/>
          <w:sz w:val="28"/>
          <w:sz w:val="28"/>
          <w:szCs w:val="28"/>
          <w:rtl w:val="true"/>
          <w:lang w:bidi="ar-SA"/>
        </w:rPr>
        <w:t>يُبيَّن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إذا</w:t>
      </w:r>
      <w:r>
        <w:rPr>
          <w:rStyle w:val="FootnoteAnchor"/>
          <w:rtl w:val="true"/>
        </w:rPr>
        <w:footnoteReference w:id="2520"/>
      </w:r>
      <w:r>
        <w:rPr>
          <w:rFonts w:ascii="Amiri" w:hAnsi="Amiri" w:eastAsia="Amiri" w:cs="Amiri"/>
          <w:color w:val="111111"/>
          <w:sz w:val="28"/>
          <w:sz w:val="28"/>
          <w:szCs w:val="28"/>
          <w:rtl w:val="true"/>
          <w:lang w:bidi="ar-SA"/>
        </w:rPr>
        <w:t>وَقَعَ نَجِسُ الحُكمِ في الماءِ يُنجِّسُ‌</w:t>
      </w:r>
      <w:r>
        <w:rPr>
          <w:rStyle w:val="FootnoteAnchor"/>
          <w:rtl w:val="true"/>
        </w:rPr>
        <w:footnoteReference w:id="2521"/>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فأجابَ‌</w:t>
      </w:r>
      <w:r>
        <w:rPr>
          <w:rStyle w:val="FootnoteAnchor"/>
          <w:rtl w:val="true"/>
        </w:rPr>
        <w:footnoteReference w:id="2522"/>
      </w:r>
      <w:r>
        <w:rPr>
          <w:rFonts w:ascii="Amiri" w:hAnsi="Amiri" w:eastAsia="Amiri" w:cs="Amiri"/>
          <w:color w:val="111111"/>
          <w:sz w:val="28"/>
          <w:sz w:val="28"/>
          <w:szCs w:val="28"/>
          <w:rtl w:val="true"/>
          <w:lang w:bidi="ar-SA"/>
        </w:rPr>
        <w:t>بأن قالَ‌</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الأعيانُ لا تَكونُ نَجِسةً؛ لأنّها عبارةٌ عن الأجسامِ، و هي جَواهرُ مُتركِّبةٌ‌</w:t>
      </w:r>
      <w:r>
        <w:rPr>
          <w:rStyle w:val="FootnoteAnchor"/>
          <w:rtl w:val="true"/>
        </w:rPr>
        <w:footnoteReference w:id="252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هي مُتَماثِلةٌ‌</w:t>
      </w:r>
      <w:r>
        <w:rPr>
          <w:rStyle w:val="FootnoteAnchor"/>
          <w:rtl w:val="true"/>
        </w:rPr>
        <w:footnoteReference w:id="2525"/>
      </w:r>
      <w:r>
        <w:rPr>
          <w:rFonts w:ascii="Amiri" w:hAnsi="Amiri" w:eastAsia="Amiri" w:cs="Amiri"/>
          <w:color w:val="111111"/>
          <w:sz w:val="28"/>
          <w:sz w:val="28"/>
          <w:szCs w:val="28"/>
          <w:rtl w:val="true"/>
          <w:lang w:bidi="ar-SA"/>
        </w:rPr>
        <w:t>فلَو</w:t>
      </w:r>
      <w:r>
        <w:rPr>
          <w:rStyle w:val="FootnoteAnchor"/>
          <w:rtl w:val="true"/>
        </w:rPr>
        <w:footnoteReference w:id="2526"/>
      </w:r>
      <w:r>
        <w:rPr>
          <w:rFonts w:ascii="Amiri" w:hAnsi="Amiri" w:eastAsia="Amiri" w:cs="Amiri"/>
          <w:color w:val="111111"/>
          <w:sz w:val="28"/>
          <w:sz w:val="28"/>
          <w:szCs w:val="28"/>
          <w:rtl w:val="true"/>
          <w:lang w:bidi="ar-SA"/>
        </w:rPr>
        <w:t>نَجُسَ بعضُها لَنَجُسَ‌</w:t>
      </w:r>
      <w:r>
        <w:rPr>
          <w:rStyle w:val="FootnoteAnchor"/>
          <w:rtl w:val="true"/>
        </w:rPr>
        <w:footnoteReference w:id="2527"/>
      </w:r>
      <w:r>
        <w:rPr>
          <w:rFonts w:ascii="Amiri" w:hAnsi="Amiri" w:eastAsia="Amiri" w:cs="Amiri"/>
          <w:color w:val="111111"/>
          <w:sz w:val="28"/>
          <w:sz w:val="28"/>
          <w:szCs w:val="28"/>
          <w:rtl w:val="true"/>
          <w:lang w:bidi="ar-SA"/>
        </w:rPr>
        <w:t>سائرُها، و كانَ لا فَرقَ بَينَ الخِنزيرِ و بَينَ غيرِه مِن الحَيَوانِ في النجاسةِ؛ و قد عُلِمَ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التنجيسُ حُكمٌ شَرعيٌّ، و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إلّاعلىٰ وجهِ المَجازِ دونَ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يَدورُ بَينَ الفقهاءِ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ضَربٍ مِن تَعارُفِهم؛ و هو أنّ كُلَّ ما حُكِمَ بنَجاستِه في حالِ الحياةِ و حالِ المَوتِ و لَم يَتغيَّرْ</w:t>
      </w:r>
      <w:r>
        <w:rPr>
          <w:rStyle w:val="FootnoteAnchor"/>
          <w:rtl w:val="true"/>
        </w:rPr>
        <w:footnoteReference w:id="2528"/>
      </w:r>
      <w:r>
        <w:rPr>
          <w:rFonts w:ascii="Amiri" w:hAnsi="Amiri" w:eastAsia="Amiri" w:cs="Amiri"/>
          <w:color w:val="111111"/>
          <w:sz w:val="28"/>
          <w:sz w:val="28"/>
          <w:szCs w:val="28"/>
          <w:rtl w:val="true"/>
          <w:lang w:bidi="ar-SA"/>
        </w:rPr>
        <w:t>إجراءُ‌</w:t>
      </w:r>
      <w:r>
        <w:rPr>
          <w:rStyle w:val="FootnoteAnchor"/>
          <w:rtl w:val="true"/>
        </w:rPr>
        <w:footnoteReference w:id="2529"/>
      </w:r>
      <w:r>
        <w:rPr>
          <w:rFonts w:ascii="Amiri" w:hAnsi="Amiri" w:eastAsia="Amiri" w:cs="Amiri"/>
          <w:color w:val="111111"/>
          <w:sz w:val="28"/>
          <w:sz w:val="28"/>
          <w:szCs w:val="28"/>
          <w:rtl w:val="true"/>
          <w:lang w:bidi="ar-SA"/>
        </w:rPr>
        <w:t>هذا الوصفِ عليه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نَجِسُ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اختَلَفَ حالُه فحُكِمَ عليه في بعضِ الأحوالِ بالطهارةِ و في بعضِها</w:t>
      </w:r>
      <w:r>
        <w:rPr>
          <w:rStyle w:val="FootnoteAnchor"/>
          <w:rtl w:val="true"/>
        </w:rPr>
        <w:footnoteReference w:id="2530"/>
      </w:r>
      <w:r>
        <w:rPr>
          <w:rFonts w:ascii="Amiri" w:hAnsi="Amiri" w:eastAsia="Amiri" w:cs="Amiri"/>
          <w:color w:val="111111"/>
          <w:sz w:val="28"/>
          <w:sz w:val="28"/>
          <w:szCs w:val="28"/>
          <w:rtl w:val="true"/>
          <w:lang w:bidi="ar-SA"/>
        </w:rPr>
        <w:t>بالنجاسةِ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ما تَقَعُ عليه الذَّكاةُ كالشاةِ و غيرِها يُحكَمُ بطَهارتِه حَيّاً و بنَجاستِه إذا ماتَ، و الكافرُ يُحكَمُ بنَجاستِه في حالِ كُفرِه و بطَهارتِه عندَ إسلامِه؟</w:t>
      </w:r>
    </w:p>
    <w:p>
      <w:pPr>
        <w:pStyle w:val="BookText"/>
        <w:rPr/>
      </w:pPr>
      <w:r>
        <w:rPr>
          <w:rFonts w:ascii="Amiri" w:hAnsi="Amiri" w:eastAsia="Amiri" w:cs="Amiri"/>
          <w:color w:val="111111"/>
          <w:sz w:val="28"/>
          <w:sz w:val="28"/>
          <w:szCs w:val="28"/>
          <w:rtl w:val="true"/>
          <w:lang w:bidi="ar-SA"/>
        </w:rPr>
        <w:t>فأَجرَوا</w:t>
      </w:r>
      <w:r>
        <w:rPr>
          <w:rStyle w:val="FootnoteAnchor"/>
          <w:rtl w:val="true"/>
        </w:rPr>
        <w:footnoteReference w:id="2531"/>
      </w:r>
      <w:r>
        <w:rPr>
          <w:rFonts w:ascii="Amiri" w:hAnsi="Amiri" w:eastAsia="Amiri" w:cs="Amiri"/>
          <w:color w:val="111111"/>
          <w:sz w:val="28"/>
          <w:sz w:val="28"/>
          <w:szCs w:val="28"/>
          <w:rtl w:val="true"/>
          <w:lang w:bidi="ar-SA"/>
        </w:rPr>
        <w:t>علىٰ ما اختَلَفَ حالُه بأنّه نَجِسُ الحُكمِ، و علىٰ ما لَزِمَته صفةُ النجاسةِ في جميعِ الأحوالِ بأنّه نَجِسُ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 الجُنُبَ يَجري عليه الوصفُ بأنّه غيرُ طاهرٍ، و معلومٌ أنّ نَجاستَه</w:t>
      </w:r>
      <w:r>
        <w:rPr>
          <w:rStyle w:val="FootnoteAnchor"/>
          <w:rtl w:val="true"/>
        </w:rPr>
        <w:footnoteReference w:id="2532"/>
      </w:r>
      <w:r>
        <w:rPr>
          <w:rFonts w:ascii="Amiri" w:hAnsi="Amiri" w:eastAsia="Amiri" w:cs="Amiri"/>
          <w:color w:val="111111"/>
          <w:sz w:val="28"/>
          <w:sz w:val="28"/>
          <w:szCs w:val="28"/>
          <w:rtl w:val="true"/>
          <w:lang w:bidi="ar-SA"/>
        </w:rPr>
        <w:t>حُكميّةٌ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أمثالُ هذا يَتَّسِعُ، و المذكورُ منه فيه</w:t>
      </w:r>
      <w:r>
        <w:rPr>
          <w:rStyle w:val="FootnoteAnchor"/>
          <w:rtl w:val="true"/>
        </w:rPr>
        <w:footnoteReference w:id="2533"/>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bookmarkStart w:id="963" w:name="pg16437_172765"/>
    </w:p>
    <w:p>
      <w:pPr>
        <w:pStyle w:val="Heading3"/>
        <w:numPr>
          <w:ilvl w:val="2"/>
          <w:numId w:val="1"/>
        </w:numPr>
        <w:rPr/>
      </w:pPr>
      <w:bookmarkStart w:id="964" w:name="__RefHeading___Toc8040163_1280447820"/>
      <w:bookmarkStart w:id="965" w:name="_Toc356"/>
      <w:bookmarkEnd w:id="963"/>
      <w:bookmarkEnd w:id="964"/>
      <w:r>
        <w:rPr>
          <w:rtl w:val="true"/>
        </w:rPr>
        <w:t>(</w:t>
      </w:r>
      <w:r>
        <w:rPr/>
        <w:t>83</w:t>
      </w:r>
      <w:r>
        <w:rPr>
          <w:rtl w:val="true"/>
        </w:rPr>
        <w:t xml:space="preserve">) </w:t>
      </w:r>
      <w:r>
        <w:rPr>
          <w:rtl w:val="true"/>
        </w:rPr>
        <w:t>مسألةٌ في حُكمِ ماءِ البئرِ النابعِ بَعدَ غَورِ مَائها النَّجِسِ‌</w:t>
      </w:r>
      <w:bookmarkEnd w:id="96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6" w:name="__RefHeading___Toc8040165_1280447820"/>
      <w:bookmarkStart w:id="967" w:name="_Toc357"/>
      <w:bookmarkEnd w:id="966"/>
      <w:r>
        <w:rPr>
          <w:rtl w:val="true"/>
        </w:rPr>
        <w:t>اشارة</w:t>
      </w:r>
      <w:bookmarkEnd w:id="96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8" w:name="pg16437_172767"/>
      <w:bookmarkStart w:id="969" w:name="pg16437_172767"/>
      <w:bookmarkEnd w:id="969"/>
    </w:p>
    <w:p>
      <w:pPr>
        <w:pStyle w:val="Heading4"/>
        <w:numPr>
          <w:ilvl w:val="3"/>
          <w:numId w:val="1"/>
        </w:numPr>
        <w:rPr/>
      </w:pPr>
      <w:bookmarkStart w:id="970" w:name="pg16437_172767"/>
      <w:bookmarkStart w:id="971" w:name="__RefHeading___Toc8040167_1280447820"/>
      <w:bookmarkStart w:id="972" w:name="_Toc358"/>
      <w:bookmarkEnd w:id="970"/>
      <w:bookmarkEnd w:id="971"/>
      <w:r>
        <w:rPr>
          <w:rtl w:val="true"/>
        </w:rPr>
        <w:t>مقدّمة التحقيق</w:t>
      </w:r>
      <w:bookmarkEnd w:id="972"/>
    </w:p>
    <w:p>
      <w:pPr>
        <w:pStyle w:val="Heading5"/>
        <w:numPr>
          <w:ilvl w:val="4"/>
          <w:numId w:val="1"/>
        </w:numPr>
        <w:rPr/>
      </w:pPr>
      <w:bookmarkStart w:id="973" w:name="__RefHeading___Toc8040169_1280447820"/>
      <w:bookmarkStart w:id="974" w:name="_Toc359"/>
      <w:bookmarkEnd w:id="973"/>
      <w:r>
        <w:rPr>
          <w:rtl w:val="true"/>
        </w:rPr>
        <w:t>اشارة</w:t>
      </w:r>
      <w:bookmarkEnd w:id="974"/>
    </w:p>
    <w:p>
      <w:pPr>
        <w:pStyle w:val="BookText"/>
        <w:rPr/>
      </w:pPr>
      <w:r>
        <w:rPr>
          <w:rFonts w:ascii="Amiri" w:hAnsi="Amiri" w:eastAsia="Amiri" w:cs="Amiri"/>
          <w:color w:val="111111"/>
          <w:sz w:val="28"/>
          <w:sz w:val="28"/>
          <w:szCs w:val="28"/>
          <w:rtl w:val="true"/>
          <w:lang w:bidi="ar-SA"/>
        </w:rPr>
        <w:t>سُئل الشريف المرتضى في هذه المسألة عن مسألة فقهيّة متعلّقة بماء البئر، و هي أنّه لو سقطت نجاسة في بئر، ثمّ غار ماؤها قبل نزحه، و جفّت البئر، ثمّ ظهر فيها الماء من جديد، فما هو حكم هذا الماء من حيث الطهارة و النجاسة؟</w:t>
      </w:r>
    </w:p>
    <w:p>
      <w:pPr>
        <w:pStyle w:val="BookText"/>
        <w:rPr/>
      </w:pPr>
      <w:r>
        <w:rPr>
          <w:rFonts w:ascii="Amiri" w:hAnsi="Amiri" w:eastAsia="Amiri" w:cs="Amiri"/>
          <w:color w:val="111111"/>
          <w:sz w:val="28"/>
          <w:sz w:val="28"/>
          <w:szCs w:val="28"/>
          <w:rtl w:val="true"/>
          <w:lang w:bidi="ar-SA"/>
        </w:rPr>
        <w:t>فأجاب بأنّ هذه المسألة لا نصّ فيها، و لذلك تحتّم الرجوع في هذه الصورة إلى الأُصول، و هي تقتضي البقاء على أصل الطهارة؛ لأنّ هذا الماء النابع لا نعلم هل هو نفس الماء السابق النجس، أو هو ماء جديد؛ فإذا لم نقطع بنجاسته، فهو على 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قد ذهب إليه أكثر الفقهاء من الإماميّة</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ذلك استعرض الشريف المرتضى ثلاثة إشكالات يمكن أن تورَد على ما تقدّم،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الماء بعد الجفاف أمارة على أنّ الماء العائد هو نفس الماء الأوّل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بعدم وجود أيّ أماريّة في ذلك، بل هناك احتمالان في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نفس الماء الأوّل، و الآخر أنّه ماء جديد جاء نتيجة اتّصال البئر بمياه طاهرة، و مع الشكّ يجري أصل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البئر قد تعلّق بها حكم وجوب النزح، فيجب نزحها على أيّ حال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بأنّ النزح لم يتعلّق بعنوان البئر بما هو بئر، فإنّه لا يمكن نزح البئر نفسها، </w:t>
      </w:r>
      <w:bookmarkStart w:id="975" w:name="pg16437_172768"/>
    </w:p>
    <w:p>
      <w:pPr>
        <w:pStyle w:val="BookText"/>
        <w:rPr/>
      </w:pPr>
      <w:bookmarkEnd w:id="975"/>
      <w:r>
        <w:rPr>
          <w:rFonts w:ascii="Amiri" w:hAnsi="Amiri" w:eastAsia="Amiri" w:cs="Amiri"/>
          <w:color w:val="111111"/>
          <w:sz w:val="28"/>
          <w:sz w:val="28"/>
          <w:szCs w:val="28"/>
          <w:rtl w:val="true"/>
          <w:lang w:bidi="ar-SA"/>
        </w:rPr>
        <w:t>و إنّما تعلّق بماء البئر النجس، و هذا الماء قد غار، فقد زال حكمُ وجوب نزح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أرض البئر و جوانبها قد تنجّست بالماء الأوّل، فإذا لاقاها ماء جديد 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بأنّ مقتضى هذا الكلام وجوب غسل البئر بعد نزحها، و هو باطل</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8040171_1280447820"/>
      <w:bookmarkStart w:id="977" w:name="_Toc360"/>
      <w:bookmarkEnd w:id="976"/>
      <w:r>
        <w:rPr>
          <w:rtl w:val="true"/>
        </w:rPr>
        <w:t>عنوان الرسالة و طبعاتها</w:t>
      </w:r>
      <w:bookmarkEnd w:id="977"/>
    </w:p>
    <w:p>
      <w:pPr>
        <w:pStyle w:val="BookText"/>
        <w:rPr/>
      </w:pPr>
      <w:r>
        <w:rPr>
          <w:rFonts w:ascii="Amiri" w:hAnsi="Amiri" w:eastAsia="Amiri" w:cs="Amiri"/>
          <w:color w:val="111111"/>
          <w:sz w:val="28"/>
          <w:sz w:val="28"/>
          <w:szCs w:val="28"/>
          <w:rtl w:val="true"/>
          <w:lang w:bidi="ar-SA"/>
        </w:rPr>
        <w:t xml:space="preserve">و قد طبعت هذه الرسالة في ضمن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تنجّس البئر ثمّ غور 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عنوان غير معبّر عن محتوى المسألة؛ فإنّ السؤال يدور حول حكم الماء الجديد النابع، و هو غير مُشار إليه في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طبعت في ضمن مسائل المرتضى،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ماء البئر بعد الجفاف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أيضاً غير معبّر بدقّة؛ فإنّه لم يتعرّض إلى صفة الماء الأوّل قبل الجفاف، فإنّ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أثارت السؤال في ذهن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فالأفضل تسميتها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ماء البئر النابع بعد غور مائها النجس</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8040173_1280447820"/>
      <w:bookmarkStart w:id="979" w:name="_Toc361"/>
      <w:bookmarkEnd w:id="978"/>
      <w:r>
        <w:rPr>
          <w:rtl w:val="true"/>
        </w:rPr>
        <w:t>مخطوطات الرسالة</w:t>
      </w:r>
      <w:bookmarkEnd w:id="9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541/14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10005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السيّد حسن الصدر رحمه اللّٰه، المرقّمة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0" w:name="pg16437_172771"/>
      <w:bookmarkStart w:id="981" w:name="pg16437_172771"/>
      <w:bookmarkEnd w:id="981"/>
    </w:p>
    <w:p>
      <w:pPr>
        <w:pStyle w:val="Heading4"/>
        <w:numPr>
          <w:ilvl w:val="3"/>
          <w:numId w:val="1"/>
        </w:numPr>
        <w:rPr/>
      </w:pPr>
      <w:bookmarkStart w:id="982" w:name="pg16437_172771"/>
      <w:bookmarkStart w:id="983" w:name="__RefHeading___Toc8040175_1280447820"/>
      <w:bookmarkStart w:id="984" w:name="_Toc362"/>
      <w:bookmarkEnd w:id="982"/>
      <w:bookmarkEnd w:id="983"/>
      <w:r>
        <w:rPr>
          <w:rtl w:val="true"/>
        </w:rPr>
        <w:t>مسألةٌ في حُكمِ ماءِ البئرِ النابعِ بَعدَ غَورِ مَائها النَّجِسِ‌</w:t>
      </w:r>
      <w:bookmarkEnd w:id="984"/>
    </w:p>
    <w:p>
      <w:pPr>
        <w:pStyle w:val="Heading5"/>
        <w:numPr>
          <w:ilvl w:val="4"/>
          <w:numId w:val="1"/>
        </w:numPr>
        <w:rPr/>
      </w:pPr>
      <w:bookmarkStart w:id="985" w:name="__RefHeading___Toc8040177_1280447820"/>
      <w:bookmarkStart w:id="986" w:name="_Toc363"/>
      <w:bookmarkEnd w:id="985"/>
      <w:r>
        <w:rPr>
          <w:rtl w:val="true"/>
        </w:rPr>
        <w:t>اشارة</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8040179_1280447820"/>
      <w:bookmarkStart w:id="988" w:name="_Toc364"/>
      <w:bookmarkEnd w:id="987"/>
      <w:r>
        <w:rPr>
          <w:rtl w:val="true"/>
        </w:rPr>
        <w:t>مسألةٌ</w:t>
      </w:r>
      <w:r>
        <w:rPr>
          <w:rtl w:val="true"/>
        </w:rPr>
        <w:t>:</w:t>
      </w:r>
      <w:bookmarkEnd w:id="988"/>
    </w:p>
    <w:p>
      <w:pPr>
        <w:pStyle w:val="BookText"/>
        <w:rPr/>
      </w:pPr>
      <w:r>
        <w:rPr>
          <w:rFonts w:ascii="Amiri" w:hAnsi="Amiri" w:eastAsia="Amiri" w:cs="Amiri"/>
          <w:color w:val="111111"/>
          <w:sz w:val="28"/>
          <w:sz w:val="28"/>
          <w:szCs w:val="28"/>
          <w:rtl w:val="true"/>
          <w:lang w:bidi="ar-SA"/>
        </w:rPr>
        <w:t>بئرٌ سَقَطَت فيها نَجاسةٌ و غارَ ماؤها حتّىٰ لَم يَبقَ منه فيها شَيءٌ قَبلَ التعرُّضِ لنَزحِها، ثُمّ ظَهَرَ فيها الماءُ بَعدَ الجَفافِ، ما حُكمُ ذلكَ الماءِ الذي ظَهَرَ فيها، مِن نَجاسةٍ أو طَهارةٍ؟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إنّني لَستُ أَعرِفُ في هذه المسألةِ نَصّاً، و الذي توجِبُه الأُصولُ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الذي ظَهَرَ في البئرِ بَعدَ الجَفافِ علىٰ أصلِ الطهارةِ، و غيرُ محكومٍ بنَجاستِه</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الذي حَكَمنا بنَجاستِه مِن أجلِ مُخالَطتِه النجاسةَ‌</w:t>
      </w:r>
      <w:r>
        <w:rPr>
          <w:rStyle w:val="FootnoteAnchor"/>
          <w:rtl w:val="true"/>
        </w:rPr>
        <w:footnoteReference w:id="2537"/>
      </w:r>
      <w:r>
        <w:rPr>
          <w:rFonts w:ascii="Amiri" w:hAnsi="Amiri" w:eastAsia="Amiri" w:cs="Amiri"/>
          <w:color w:val="111111"/>
          <w:sz w:val="28"/>
          <w:sz w:val="28"/>
          <w:szCs w:val="28"/>
          <w:rtl w:val="true"/>
          <w:lang w:bidi="ar-SA"/>
        </w:rPr>
        <w:t>لَسنا نَعلَمُ أهو</w:t>
      </w:r>
      <w:r>
        <w:rPr>
          <w:rStyle w:val="FootnoteAnchor"/>
          <w:rtl w:val="true"/>
        </w:rPr>
        <w:footnoteReference w:id="2538"/>
      </w:r>
      <w:r>
        <w:rPr>
          <w:rFonts w:ascii="Amiri" w:hAnsi="Amiri" w:eastAsia="Amiri" w:cs="Amiri"/>
          <w:color w:val="111111"/>
          <w:sz w:val="28"/>
          <w:sz w:val="28"/>
          <w:szCs w:val="28"/>
          <w:rtl w:val="true"/>
          <w:lang w:bidi="ar-SA"/>
        </w:rPr>
        <w:t>الماءُ الذي ظَهَرَ</w:t>
      </w:r>
      <w:r>
        <w:rPr>
          <w:rStyle w:val="FootnoteAnchor"/>
          <w:rtl w:val="true"/>
        </w:rPr>
        <w:footnoteReference w:id="2539"/>
      </w:r>
      <w:r>
        <w:rPr>
          <w:rFonts w:ascii="Amiri" w:hAnsi="Amiri" w:eastAsia="Amiri" w:cs="Amiri"/>
          <w:color w:val="111111"/>
          <w:sz w:val="28"/>
          <w:sz w:val="28"/>
          <w:szCs w:val="28"/>
          <w:rtl w:val="true"/>
          <w:lang w:bidi="ar-SA"/>
        </w:rPr>
        <w:t xml:space="preserve">الآنَ في البئرِ بَعدَ جَفافِها، </w:t>
      </w:r>
    </w:p>
    <w:p>
      <w:pPr>
        <w:pStyle w:val="BookText"/>
        <w:rPr/>
      </w:pPr>
      <w:r>
        <w:rPr>
          <w:rFonts w:ascii="Amiri" w:hAnsi="Amiri" w:eastAsia="Amiri" w:cs="Amiri"/>
          <w:color w:val="111111"/>
          <w:sz w:val="28"/>
          <w:sz w:val="28"/>
          <w:szCs w:val="28"/>
          <w:rtl w:val="true"/>
          <w:lang w:bidi="ar-SA"/>
        </w:rPr>
        <w:t>و لا أنّه</w:t>
      </w:r>
      <w:r>
        <w:rPr>
          <w:rStyle w:val="FootnoteAnchor"/>
          <w:rtl w:val="true"/>
        </w:rPr>
        <w:footnoteReference w:id="2540"/>
      </w:r>
      <w:r>
        <w:rPr>
          <w:rFonts w:ascii="Amiri" w:hAnsi="Amiri" w:eastAsia="Amiri" w:cs="Amiri"/>
          <w:color w:val="111111"/>
          <w:sz w:val="28"/>
          <w:sz w:val="28"/>
          <w:szCs w:val="28"/>
          <w:rtl w:val="true"/>
          <w:lang w:bidi="ar-SA"/>
        </w:rPr>
        <w:t>العائدُ إليها</w:t>
      </w:r>
      <w:r>
        <w:rPr>
          <w:rStyle w:val="FootnoteAnchor"/>
          <w:rtl w:val="true"/>
        </w:rPr>
        <w:footnoteReference w:id="2541"/>
      </w:r>
      <w:r>
        <w:rPr>
          <w:rFonts w:ascii="Amiri" w:hAnsi="Amiri" w:eastAsia="Amiri" w:cs="Amiri"/>
          <w:color w:val="111111"/>
          <w:sz w:val="28"/>
          <w:sz w:val="28"/>
          <w:szCs w:val="28"/>
          <w:rtl w:val="true"/>
          <w:lang w:bidi="ar-SA"/>
        </w:rPr>
        <w:t>؟ لأنّه</w:t>
      </w:r>
      <w:r>
        <w:rPr>
          <w:rStyle w:val="FootnoteAnchor"/>
          <w:rtl w:val="true"/>
        </w:rPr>
        <w:footnoteReference w:id="2542"/>
      </w:r>
      <w:r>
        <w:rPr>
          <w:rFonts w:ascii="Amiri" w:hAnsi="Amiri" w:eastAsia="Amiri" w:cs="Amiri"/>
          <w:color w:val="111111"/>
          <w:sz w:val="28"/>
          <w:sz w:val="28"/>
          <w:szCs w:val="28"/>
          <w:rtl w:val="true"/>
          <w:lang w:bidi="ar-SA"/>
        </w:rPr>
        <w:t>جائزٌ أن يَكونَ ذلكَ الماءُ الظاهرُ في البئرِ إنّما هو مِن مَوادٍّ لها</w:t>
      </w:r>
      <w:r>
        <w:rPr>
          <w:rStyle w:val="FootnoteAnchor"/>
          <w:rtl w:val="true"/>
        </w:rPr>
        <w:footnoteReference w:id="2543"/>
      </w:r>
      <w:r>
        <w:rPr>
          <w:rFonts w:ascii="Amiri" w:hAnsi="Amiri" w:eastAsia="Amiri" w:cs="Amiri"/>
          <w:color w:val="111111"/>
          <w:sz w:val="28"/>
          <w:sz w:val="28"/>
          <w:szCs w:val="28"/>
          <w:rtl w:val="true"/>
          <w:lang w:bidi="ar-SA"/>
        </w:rPr>
        <w:t>و جِهاتٍ انصَبَّت</w:t>
      </w:r>
      <w:r>
        <w:rPr>
          <w:rStyle w:val="FootnoteAnchor"/>
          <w:rtl w:val="true"/>
        </w:rPr>
        <w:footnoteReference w:id="2544"/>
      </w:r>
      <w:r>
        <w:rPr>
          <w:rFonts w:ascii="Amiri" w:hAnsi="Amiri" w:eastAsia="Amiri" w:cs="Amiri"/>
          <w:color w:val="111111"/>
          <w:sz w:val="28"/>
          <w:sz w:val="28"/>
          <w:szCs w:val="28"/>
          <w:rtl w:val="true"/>
          <w:lang w:bidi="ar-SA"/>
        </w:rPr>
        <w:t>إليها، و إذا لَم يُقطَعْ‌</w:t>
      </w:r>
      <w:r>
        <w:rPr>
          <w:rStyle w:val="FootnoteAnchor"/>
          <w:rtl w:val="true"/>
        </w:rPr>
        <w:footnoteReference w:id="2545"/>
      </w:r>
      <w:r>
        <w:rPr>
          <w:rFonts w:ascii="Amiri" w:hAnsi="Amiri" w:eastAsia="Amiri" w:cs="Amiri"/>
          <w:color w:val="111111"/>
          <w:sz w:val="28"/>
          <w:sz w:val="28"/>
          <w:szCs w:val="28"/>
          <w:rtl w:val="true"/>
          <w:lang w:bidi="ar-SA"/>
        </w:rPr>
        <w:t>علىٰ نَجاسةِ هذا الماءِ فهو علىٰ أصلِ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الماءِ عَقيبَ الجَفافِ أمارةٌ علىٰ أنّ العائدَ هو الماءُ الأوّلُ المحكومُ بنَجاستِه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w:t>
      </w:r>
      <w:r>
        <w:rPr>
          <w:rStyle w:val="FootnoteAnchor"/>
          <w:rtl w:val="true"/>
        </w:rPr>
        <w:footnoteReference w:id="2546"/>
      </w:r>
      <w:r>
        <w:rPr>
          <w:rFonts w:ascii="Amiri" w:hAnsi="Amiri" w:eastAsia="Amiri" w:cs="Amiri"/>
          <w:color w:val="111111"/>
          <w:sz w:val="28"/>
          <w:sz w:val="28"/>
          <w:szCs w:val="28"/>
          <w:rtl w:val="true"/>
          <w:lang w:bidi="ar-SA"/>
        </w:rPr>
        <w:t>لَيسَ بأمارةٍ علىٰ عَودِ الماءِ النجِسِ؛ لأنّ جوازَ ظهورِ الماءِ بَعدَ جَفافِ البئرِ مِن مَوادٍّ انصَبَّت</w:t>
      </w:r>
      <w:r>
        <w:rPr>
          <w:rStyle w:val="FootnoteAnchor"/>
          <w:rtl w:val="true"/>
        </w:rPr>
        <w:footnoteReference w:id="2547"/>
      </w:r>
      <w:r>
        <w:rPr>
          <w:rFonts w:ascii="Amiri" w:hAnsi="Amiri" w:eastAsia="Amiri" w:cs="Amiri"/>
          <w:color w:val="111111"/>
          <w:sz w:val="28"/>
          <w:sz w:val="28"/>
          <w:szCs w:val="28"/>
          <w:rtl w:val="true"/>
          <w:lang w:bidi="ar-SA"/>
        </w:rPr>
        <w:t>إليها و اتّصَلَت بها كتجويزِ</w:t>
      </w:r>
      <w:r>
        <w:rPr>
          <w:rStyle w:val="FootnoteAnchor"/>
          <w:rtl w:val="true"/>
        </w:rPr>
        <w:footnoteReference w:id="2548"/>
      </w:r>
      <w:r>
        <w:rPr>
          <w:rFonts w:ascii="Amiri" w:hAnsi="Amiri" w:eastAsia="Amiri" w:cs="Amiri"/>
          <w:color w:val="111111"/>
          <w:sz w:val="28"/>
          <w:sz w:val="28"/>
          <w:szCs w:val="28"/>
          <w:rtl w:val="true"/>
          <w:lang w:bidi="ar-SA"/>
        </w:rPr>
        <w:t>ظهورِ الماءِ بعَودِ</w:t>
      </w:r>
      <w:r>
        <w:rPr>
          <w:rStyle w:val="FootnoteAnchor"/>
          <w:rtl w:val="true"/>
        </w:rPr>
        <w:footnoteReference w:id="2549"/>
      </w:r>
      <w:r>
        <w:rPr>
          <w:rFonts w:ascii="Amiri" w:hAnsi="Amiri" w:eastAsia="Amiri" w:cs="Amiri"/>
          <w:color w:val="111111"/>
          <w:sz w:val="28"/>
          <w:sz w:val="28"/>
          <w:szCs w:val="28"/>
          <w:rtl w:val="true"/>
          <w:lang w:bidi="ar-SA"/>
        </w:rPr>
        <w:t>الماءِ الأوّلِ إليها، و لا تَرجيحَ لإحدَى الجِهتَينِ‌</w:t>
      </w:r>
      <w:r>
        <w:rPr>
          <w:rStyle w:val="FootnoteAnchor"/>
          <w:rtl w:val="true"/>
        </w:rPr>
        <w:footnoteReference w:id="2550"/>
      </w:r>
      <w:r>
        <w:rPr>
          <w:rFonts w:ascii="Amiri" w:hAnsi="Amiri" w:eastAsia="Amiri" w:cs="Amiri"/>
          <w:color w:val="111111"/>
          <w:sz w:val="28"/>
          <w:sz w:val="28"/>
          <w:szCs w:val="28"/>
          <w:rtl w:val="true"/>
          <w:lang w:bidi="ar-SA"/>
        </w:rPr>
        <w:t>علَى الأُخرىٰ‌</w:t>
      </w:r>
      <w:r>
        <w:rPr>
          <w:rStyle w:val="FootnoteAnchor"/>
          <w:rtl w:val="true"/>
        </w:rPr>
        <w:footnoteReference w:id="2551"/>
      </w:r>
      <w:r>
        <w:rPr>
          <w:rFonts w:ascii="Amiri" w:hAnsi="Amiri" w:eastAsia="Amiri" w:cs="Amiri"/>
          <w:color w:val="111111"/>
          <w:sz w:val="28"/>
          <w:sz w:val="28"/>
          <w:szCs w:val="28"/>
          <w:rtl w:val="true"/>
          <w:lang w:bidi="ar-SA"/>
        </w:rPr>
        <w:t>فلا أمارةَ في</w:t>
      </w:r>
      <w:r>
        <w:rPr>
          <w:rStyle w:val="FootnoteAnchor"/>
          <w:rtl w:val="true"/>
        </w:rPr>
        <w:footnoteReference w:id="2552"/>
      </w:r>
      <w:r>
        <w:rPr>
          <w:rFonts w:ascii="Amiri" w:hAnsi="Amiri" w:eastAsia="Amiri" w:cs="Amiri"/>
          <w:color w:val="111111"/>
          <w:sz w:val="28"/>
          <w:sz w:val="28"/>
          <w:szCs w:val="28"/>
          <w:rtl w:val="true"/>
          <w:lang w:bidi="ar-SA"/>
        </w:rPr>
        <w:t>ظهورِه علىٰ أنّه هو</w:t>
      </w:r>
      <w:r>
        <w:rPr>
          <w:rStyle w:val="FootnoteAnchor"/>
          <w:rtl w:val="true"/>
        </w:rPr>
        <w:footnoteReference w:id="2553"/>
      </w:r>
      <w:r>
        <w:rPr>
          <w:rFonts w:ascii="Amiri" w:hAnsi="Amiri" w:eastAsia="Amiri" w:cs="Amiri"/>
          <w:color w:val="111111"/>
          <w:sz w:val="28"/>
          <w:sz w:val="28"/>
          <w:szCs w:val="28"/>
          <w:rtl w:val="true"/>
          <w:lang w:bidi="ar-SA"/>
        </w:rPr>
        <w:t>الماءُ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يَبقَ في أيدينا إلّاالتجويزُ</w:t>
      </w:r>
      <w:r>
        <w:rPr>
          <w:rStyle w:val="FootnoteAnchor"/>
          <w:rtl w:val="true"/>
        </w:rPr>
        <w:footnoteReference w:id="2554"/>
      </w:r>
      <w:r>
        <w:rPr>
          <w:rFonts w:ascii="Amiri" w:hAnsi="Amiri" w:eastAsia="Amiri" w:cs="Amiri"/>
          <w:color w:val="111111"/>
          <w:sz w:val="28"/>
          <w:sz w:val="28"/>
          <w:szCs w:val="28"/>
          <w:rtl w:val="true"/>
          <w:lang w:bidi="ar-SA"/>
        </w:rPr>
        <w:t>لِكَونِه الماءَ الأوّلَ، و هذا التجويزُ بإزائه التجويزُ لِأن يَكونَ ماءاً جديداً؛ فقد تَقابَلَ الجوازانِ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بالتجويزِ لا يُحكَمُ بنَجاسةِ الماءِ؛ لأنّ ذلكَ لَو كانَ صحيحاً لَوَجَبَ أن يُحكَمَ‌</w:t>
      </w:r>
      <w:r>
        <w:rPr>
          <w:rStyle w:val="FootnoteAnchor"/>
          <w:rtl w:val="true"/>
        </w:rPr>
        <w:footnoteReference w:id="2555"/>
      </w:r>
      <w:r>
        <w:rPr>
          <w:rFonts w:ascii="Amiri" w:hAnsi="Amiri" w:eastAsia="Amiri" w:cs="Amiri"/>
          <w:color w:val="111111"/>
          <w:sz w:val="28"/>
          <w:sz w:val="28"/>
          <w:szCs w:val="28"/>
          <w:rtl w:val="true"/>
          <w:lang w:bidi="ar-SA"/>
        </w:rPr>
        <w:t>بنَجاسةِ كُلِّ ما يَجوزُ أن يَكونَ خالَطَته نَجاسةٌ‌</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بئرٌ تَعلَّقَ عليها الحُكمُ بوجوبِ النَّزحِ، فيَجِبُ أن تُنزَحَ‌</w:t>
      </w:r>
      <w:r>
        <w:rPr>
          <w:rStyle w:val="FootnoteAnchor"/>
          <w:rtl w:val="true"/>
        </w:rPr>
        <w:footnoteReference w:id="2557"/>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Style w:val="FootnoteAnchor"/>
          <w:rtl w:val="true"/>
        </w:rPr>
        <w:footnoteReference w:id="2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نَزحُ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ماءَها وَجَبَ نَزحُه</w:t>
      </w:r>
      <w:r>
        <w:rPr>
          <w:rStyle w:val="FootnoteAnchor"/>
          <w:rtl w:val="true"/>
        </w:rPr>
        <w:footnoteReference w:id="2559"/>
      </w:r>
      <w:r>
        <w:rPr>
          <w:rFonts w:ascii="Amiri" w:hAnsi="Amiri" w:eastAsia="Amiri" w:cs="Amiri"/>
          <w:color w:val="111111"/>
          <w:sz w:val="28"/>
          <w:sz w:val="28"/>
          <w:szCs w:val="28"/>
          <w:rtl w:val="true"/>
          <w:lang w:bidi="ar-SA"/>
        </w:rPr>
        <w:t>لا نَزحُ‌</w:t>
      </w:r>
      <w:r>
        <w:rPr>
          <w:rStyle w:val="FootnoteAnchor"/>
          <w:rtl w:val="true"/>
        </w:rPr>
        <w:footnoteReference w:id="2560"/>
      </w:r>
      <w:r>
        <w:rPr>
          <w:rFonts w:ascii="Amiri" w:hAnsi="Amiri" w:eastAsia="Amiri" w:cs="Amiri"/>
          <w:color w:val="111111"/>
          <w:sz w:val="28"/>
          <w:sz w:val="28"/>
          <w:szCs w:val="28"/>
          <w:rtl w:val="true"/>
          <w:lang w:bidi="ar-SA"/>
        </w:rPr>
        <w:t>البئرِ نفسِها؛ لأنّ نَزحَها نفسِها لا يُمكِنُ، و إنّما يَتعلَّقُ النزحُ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وجَبَ نَزحُ ماءِ بئرٍ لأجلِ نَجاسةٍ،</w:t>
      </w:r>
      <w:r>
        <w:rPr>
          <w:rStyle w:val="FootnoteAnchor"/>
          <w:rtl w:val="true"/>
        </w:rPr>
        <w:footnoteReference w:id="2561"/>
      </w:r>
      <w:r>
        <w:rPr>
          <w:rFonts w:ascii="Amiri" w:hAnsi="Amiri" w:eastAsia="Amiri" w:cs="Amiri"/>
          <w:color w:val="111111"/>
          <w:sz w:val="28"/>
          <w:sz w:val="28"/>
          <w:szCs w:val="28"/>
          <w:rtl w:val="true"/>
          <w:lang w:bidi="ar-SA"/>
        </w:rPr>
        <w:t>ثُمّ فُقِدَ ذلكَ الماءُ، فقَد زالَ الحُكمُ بوجوبِ النزحِ‌</w:t>
      </w:r>
      <w:r>
        <w:rPr>
          <w:rStyle w:val="FootnoteAnchor"/>
          <w:rtl w:val="true"/>
        </w:rPr>
        <w:footnoteReference w:id="2562"/>
      </w:r>
      <w:r>
        <w:rPr>
          <w:rFonts w:ascii="IRNazanin" w:hAnsi="IRNazanin" w:eastAsia="IRNazanin"/>
          <w:color w:val="111111"/>
          <w:sz w:val="28"/>
          <w:sz w:val="28"/>
          <w:szCs w:val="28"/>
          <w:rtl w:val="true"/>
          <w:lang w:bidi="fa-IR"/>
        </w:rPr>
        <w:t>عن هذه البئرِ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2563"/>
      </w:r>
      <w:r>
        <w:rPr>
          <w:rFonts w:ascii="Amiri" w:hAnsi="Amiri" w:eastAsia="Amiri" w:cs="Amiri"/>
          <w:color w:val="111111"/>
          <w:sz w:val="28"/>
          <w:sz w:val="28"/>
          <w:szCs w:val="28"/>
          <w:rtl w:val="true"/>
          <w:lang w:bidi="ar-SA"/>
        </w:rPr>
        <w:t xml:space="preserve">أرضَ البئرِ و جَوانبَها التي أصابَها الماءُ النجِسُ </w:t>
      </w:r>
    </w:p>
    <w:p>
      <w:pPr>
        <w:pStyle w:val="BookText"/>
        <w:rPr/>
      </w:pPr>
      <w:r>
        <w:rPr>
          <w:rFonts w:ascii="Amiri" w:hAnsi="Amiri" w:eastAsia="Amiri" w:cs="Amiri"/>
          <w:color w:val="111111"/>
          <w:sz w:val="28"/>
          <w:sz w:val="28"/>
          <w:szCs w:val="28"/>
          <w:rtl w:val="true"/>
          <w:lang w:bidi="ar-SA"/>
        </w:rPr>
        <w:t>تَنجُسُ‌</w:t>
      </w:r>
      <w:r>
        <w:rPr>
          <w:rStyle w:val="FootnoteAnchor"/>
          <w:rtl w:val="true"/>
        </w:rPr>
        <w:footnoteReference w:id="2564"/>
      </w:r>
      <w:r>
        <w:rPr>
          <w:rFonts w:ascii="Amiri" w:hAnsi="Amiri" w:eastAsia="Amiri" w:cs="Amiri"/>
          <w:color w:val="111111"/>
          <w:sz w:val="28"/>
          <w:sz w:val="28"/>
          <w:szCs w:val="28"/>
          <w:rtl w:val="true"/>
          <w:lang w:bidi="ar-SA"/>
        </w:rPr>
        <w:t>، فإذا عادَ إليها</w:t>
      </w:r>
      <w:r>
        <w:rPr>
          <w:rStyle w:val="FootnoteAnchor"/>
          <w:rtl w:val="true"/>
        </w:rPr>
        <w:footnoteReference w:id="2565"/>
      </w:r>
      <w:r>
        <w:rPr>
          <w:rFonts w:ascii="Amiri" w:hAnsi="Amiri" w:eastAsia="Amiri" w:cs="Amiri"/>
          <w:color w:val="111111"/>
          <w:sz w:val="28"/>
          <w:sz w:val="28"/>
          <w:szCs w:val="28"/>
          <w:rtl w:val="true"/>
          <w:lang w:bidi="ar-SA"/>
        </w:rPr>
        <w:t>ماءٌ جَديدٌ يُحكَمُ بنَجاستِه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هذا يَقتَضي غَسلَ البئرِ بَعدَ نَزحِ مائها، و هذا لا يَقولُه مُحصِّلٌ</w:t>
      </w:r>
      <w:r>
        <w:rPr>
          <w:rFonts w:eastAsia="Amiri" w:cs="Amiri" w:ascii="Amiri" w:hAnsi="Amiri"/>
          <w:color w:val="111111"/>
          <w:sz w:val="28"/>
          <w:szCs w:val="28"/>
          <w:rtl w:val="true"/>
          <w:lang w:bidi="ar-SA"/>
        </w:rPr>
        <w:t xml:space="preserve">. </w:t>
      </w:r>
      <w:bookmarkStart w:id="989" w:name="pg16437_172775"/>
    </w:p>
    <w:p>
      <w:pPr>
        <w:pStyle w:val="Heading3"/>
        <w:numPr>
          <w:ilvl w:val="2"/>
          <w:numId w:val="1"/>
        </w:numPr>
        <w:rPr/>
      </w:pPr>
      <w:bookmarkStart w:id="990" w:name="__RefHeading___Toc8040181_1280447820"/>
      <w:bookmarkStart w:id="991" w:name="_Toc365"/>
      <w:bookmarkEnd w:id="989"/>
      <w:bookmarkEnd w:id="990"/>
      <w:r>
        <w:rPr>
          <w:rtl w:val="true"/>
        </w:rPr>
        <w:t>(</w:t>
      </w:r>
      <w:r>
        <w:rPr/>
        <w:t>84</w:t>
      </w:r>
      <w:r>
        <w:rPr>
          <w:rtl w:val="true"/>
        </w:rPr>
        <w:t xml:space="preserve">) </w:t>
      </w:r>
      <w:r>
        <w:rPr>
          <w:rtl w:val="true"/>
        </w:rPr>
        <w:t>مسألةٌ في عدمِ وجوبِ غَسلِ الرِّجلَينِ في الطهارةِ‌</w:t>
      </w:r>
      <w:bookmarkEnd w:id="99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2" w:name="__RefHeading___Toc8040183_1280447820"/>
      <w:bookmarkStart w:id="993" w:name="_Toc366"/>
      <w:bookmarkEnd w:id="992"/>
      <w:r>
        <w:rPr>
          <w:rtl w:val="true"/>
        </w:rPr>
        <w:t>اشارة</w:t>
      </w:r>
      <w:bookmarkEnd w:id="99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4" w:name="pg16437_172777"/>
      <w:bookmarkStart w:id="995" w:name="pg16437_172777"/>
      <w:bookmarkEnd w:id="995"/>
    </w:p>
    <w:p>
      <w:pPr>
        <w:pStyle w:val="Heading4"/>
        <w:numPr>
          <w:ilvl w:val="3"/>
          <w:numId w:val="1"/>
        </w:numPr>
        <w:rPr/>
      </w:pPr>
      <w:bookmarkStart w:id="996" w:name="pg16437_172777"/>
      <w:bookmarkStart w:id="997" w:name="__RefHeading___Toc8040185_1280447820"/>
      <w:bookmarkStart w:id="998" w:name="_Toc367"/>
      <w:bookmarkEnd w:id="996"/>
      <w:bookmarkEnd w:id="997"/>
      <w:r>
        <w:rPr>
          <w:rtl w:val="true"/>
        </w:rPr>
        <w:t>مقدّمة التحقيق</w:t>
      </w:r>
      <w:bookmarkEnd w:id="998"/>
    </w:p>
    <w:p>
      <w:pPr>
        <w:pStyle w:val="Heading5"/>
        <w:numPr>
          <w:ilvl w:val="4"/>
          <w:numId w:val="1"/>
        </w:numPr>
        <w:rPr/>
      </w:pPr>
      <w:bookmarkStart w:id="999" w:name="__RefHeading___Toc8040187_1280447820"/>
      <w:bookmarkStart w:id="1000" w:name="_Toc368"/>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من المسائل التي وقع الخلاف فيها بين فقهاء الإماميّة من جهة، و غيرهم من فقهاء المذاهب من جهة أُخرى هي كيفيّة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اختلفوا في عدّة مسائل من مسائل الوضوء، و منها حكم الرجلين، و أنّه هل يجب فيهما المسح أو الغسل؟ فذهب الإماميّة إلى الأوّل، فيما ذهب الآخرون عادة إلى الثاني</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اهتمّ الإماميّة بتأليف رسائل عديدة حول هذه المسألة،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المسح على الرجلين، لعليّ بن بلال المهلّبيّ الأزدي</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في المسح على الرجلين، لأبي محمّد العلوي</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المسح على القدمين، لابن عيّاش السلميّ السمرقنديّ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فرض المسح على الرجلين، للشيخ أبي عليّ بن الجنيد الإسكافي</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المسح على الرجلين،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571"/>
      </w:r>
      <w:r>
        <w:rPr>
          <w:rFonts w:ascii="Amiri" w:hAnsi="Amiri" w:eastAsia="Amiri" w:cs="Amiri"/>
          <w:color w:val="111111"/>
          <w:sz w:val="28"/>
          <w:sz w:val="28"/>
          <w:szCs w:val="28"/>
          <w:rtl w:val="true"/>
          <w:lang w:bidi="ar-SA"/>
        </w:rPr>
        <w:t>، و هي 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المبين عن وجوب المسح على الرجلين، للمحقّق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إحدى الرسائل المطبوعة في ضمن كتاب كنز الفوائد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المسح على الرجلين، لأبي يعلى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خليفة الشيخ المفيد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رسالة الشريف المرتضى التي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المحقّق الطهراني رسائل أُخرى حول هذا الموضوع، فراجع</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أسباب الاختلاف الحاصل حول مسح الرجلين أو غسلهما هو كيفيّة قراءة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2573"/>
      </w:r>
      <w:r>
        <w:rPr>
          <w:rFonts w:ascii="Amiri" w:hAnsi="Amiri" w:eastAsia="Amiri" w:cs="Amiri"/>
          <w:color w:val="111111"/>
          <w:sz w:val="28"/>
          <w:sz w:val="28"/>
          <w:szCs w:val="28"/>
          <w:rtl w:val="true"/>
          <w:lang w:bidi="ar-SA"/>
        </w:rPr>
        <w:t>، و طريقة إعرابها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أدّى هذا الأمر إلى دخول علماء اللغة و النحو في هذا البحث لنصرة هذا الرأي أو ذاك، و لذلك دخل العالم النحويّ الكبير أبو الحسن عليّ بن عيسى الرّبعي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النزاع</w:t>
      </w:r>
      <w:r>
        <w:rPr>
          <w:rStyle w:val="FootnoteAnchor"/>
          <w:rtl w:val="true"/>
        </w:rPr>
        <w:footnoteReference w:id="2574"/>
      </w:r>
      <w:r>
        <w:rPr>
          <w:rFonts w:ascii="Amiri" w:hAnsi="Amiri" w:eastAsia="Amiri" w:cs="Amiri"/>
          <w:color w:val="111111"/>
          <w:sz w:val="28"/>
          <w:sz w:val="28"/>
          <w:szCs w:val="28"/>
          <w:rtl w:val="true"/>
          <w:lang w:bidi="ar-SA"/>
        </w:rPr>
        <w:t xml:space="preserve">، و كتب أوراقاً أو رسالة لنصرة القول بالغسل، فلمّا اطّلع </w:t>
      </w:r>
      <w:bookmarkStart w:id="1001" w:name="pg16437_172779"/>
    </w:p>
    <w:p>
      <w:pPr>
        <w:pStyle w:val="BookText"/>
        <w:rPr/>
      </w:pPr>
      <w:bookmarkEnd w:id="1001"/>
      <w:r>
        <w:rPr>
          <w:rFonts w:ascii="Amiri" w:hAnsi="Amiri" w:eastAsia="Amiri" w:cs="Amiri"/>
          <w:color w:val="111111"/>
          <w:sz w:val="28"/>
          <w:sz w:val="28"/>
          <w:szCs w:val="28"/>
          <w:rtl w:val="true"/>
          <w:lang w:bidi="ar-SA"/>
        </w:rPr>
        <w:t>الشريف المرتضى عليها قرّر كتابة رسالة للجواب عليها و نقدها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أبدى المرتضى كالعادة قدرته على النقض و الإبرام، و الخوض في المسائل التخصّصيّة و الأدبيّة؛ فمجرّد التجرّؤ على مناقشة شخص كالرّبعي الذي درس اللغة على يد أبي عليّ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سنة، و كان أستاذاً للشريف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الإلمام الكبير بأسرار اللغة و غوامضها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للشريف المرتضى بحث مفصّل حول موضوع مسح الرجلين ذكره في كتابه مسائل الخلاف، و على الرغم من أنّ الكتاب الأخير مفقود، إلّاأنّ الشريف المرتضى قام بذكر الكثير من الأبحاث المطروحة فيه في كتابه الآخر الانتصار</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2" w:name="__RefHeading___Toc8040189_1280447820"/>
      <w:bookmarkStart w:id="1003" w:name="_Toc369"/>
      <w:bookmarkEnd w:id="1002"/>
      <w:r>
        <w:rPr>
          <w:rtl w:val="true"/>
        </w:rPr>
        <w:t>نسبة الرسالة إلى المؤلّف، و عرضٌ لمحتواها</w:t>
      </w:r>
      <w:bookmarkEnd w:id="1003"/>
    </w:p>
    <w:p>
      <w:pPr>
        <w:pStyle w:val="BookText"/>
        <w:rPr/>
      </w:pPr>
      <w:r>
        <w:rPr>
          <w:rFonts w:ascii="Amiri" w:hAnsi="Amiri" w:eastAsia="Amiri" w:cs="Amiri"/>
          <w:color w:val="111111"/>
          <w:sz w:val="28"/>
          <w:sz w:val="28"/>
          <w:szCs w:val="28"/>
          <w:rtl w:val="true"/>
          <w:lang w:bidi="ar-SA"/>
        </w:rPr>
        <w:t>لقد أشار الشريف المرتضى في الرسالة محلّ البحث إلى كتابه مسائل الخلاف، و هو يعتبر قرينة داخليّة مهمّة على تصحيح نسبة الرسالة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تطرّق في رسالته هذه إلى بعض الأبحاث المهمّة، و التي يمكن تلخيص بعضها فيما يلي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الشريف المرتضى في هذه الرسالة على أنّ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أولى من النصب؛ و ذلك لأنّ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ناشئاً من عطفها على الأيدي، أو يقدّر لها عامل محذوف عَمل فيها النصب، أو تكون معطوفة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محلّ المفعولية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الاحتمال الأوّل فغير جائز؛ لبُعد عامل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إعمال العامل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من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فغير جائز أيضاً؛ لأنّه يجوز حينئذٍ تقدير الغَسل و المسح، و لا مرجّح لأحدهما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الحذف لا يُلجأ إليه إلّامع الضرورة، و مع استقلال الكلام بنفسه من دون حاجة إلى تقدير محذوف، لم يجز تقدير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فهو جائز، لكن العطف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العطف على محلّها، فتكون إذن قراءة الجرّ أولى من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على أنّ حمل حكم الأرجل على حكم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حمله على الغَسل، بأنّه بناء على القراءة بالجرّ فسوف لن يمكن حمل حكم الأرجل إلّاعلى المسح، و أمّا بناءً على القراءة بالنصب، فهناك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حمل حكمها على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حمله على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حمل قراءة النصب على المسح بما يتوافق مع قراءة الجرّ؛ لأنّ القراءتين المختلفتين تجريان مجرى آيتين في وجوب المطابقة بينهما، فكما لا يجوز وجود اختلاف بين آيتين، فكذلك لا يجوز وجود اختلاف بين قراءتين، و بذلك يتعيّن المسح وفقاً للقراءتين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قد أشار إليه الربعي في كلامه، إلّاأنّه لم يردّ عليه، و قد أشار الشريف المرتضى إلى أنّ الربعي قد نصر بهذا الكلام القولَ بالمسح</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الربعي في ضمن كلامه أنّ الحمل على أقرب العاملَين إنّما يصحّ إذا لم يؤدّ ذلك إلى فساد، أمّا إذا أدّى إليه فلا يجوز الحمل عليه، بل يُحمل على الأبعد، و في الآية يكون حمل الأرجل على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يؤدّي إلى الفساد؛ لأنّه يستلزم مسحها مع أنّ الواجب غسلها، فلابدّ من حملها على العامل الأبعد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أجابه الشريف المرتضى بأنّه من أين لك أنّ الحمل على المسح فسادٌ، أوَلم يمكن أن يصرّح اللّٰه تعالى بمسح الأرجل في كتابه، و هل كان هذا التصريح سيؤدّي إلى فساد؟ إلّاأن يقول إنّه كان يَعلم بفساد المسح قبل النظر في الآية، فكان يجب عليه أن يبيّن ذلك، و أنّه من أين حصل له العلم بذلك؟</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الربعي لم ينجح في الاستدلال بالآية على غَسل الأرجل، بل وجد أنّ الآية تدلّ على مسحها، و أنّ القراءة بالجرّ أولى من النصب، فاستعان بكلام لأبي زيد الأنصاري الذي تحدّث عن أنّ المسح يطلق على الغَسل، و لذلك يُعبَّر عن الوضوء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تمسّحتُ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قال إنّ المراد بمسح الأرجل في الآية هو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ناقش الشريف المرتضى ذلك بأربع 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الغَسل في اللغة تختلف عن المسح، فالغَسل هو إجراء الماء على العضو المغسول، بينما المسح هو مسّ العضو بالماء من دون إجراء له، فالمعنيان متضادّان، و لا يمكن أن يراد بأحدهما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الشرع و العُرف فرّقوا بين المسح و الغَسل، فجعلوا بعض أعضاء الوضوء ممسوحاً، و الآخر مغسولاً، و هذا يعني أنّ المسح و الغَسل لا يدلّ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الأرجل معطوفة على الرؤوس، و لا خلاف في وجوب مسح الرؤوس، فيجب أن يكون حكم الأرجل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المسح غَسلاً، و الغَسل مسحاً، لما أمكنهم الاستدلال بما ورد عن النبي صلّى اللّٰهُ عليه و آلِه من أنّه توضّأ و غَسل رجليه، على وجوب غَسل الرجلين؛ لاحتمال أن يراد بذلك المسح لا الغَسل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استمرّ في مناقشة بعض الاستشهادات التي ذكرها الربعي في كلامه، و التي يطول بذكرها الكلام</w:t>
      </w:r>
      <w:r>
        <w:rPr>
          <w:rFonts w:eastAsia="Amiri" w:cs="Amiri" w:ascii="Amiri" w:hAnsi="Amiri"/>
          <w:color w:val="111111"/>
          <w:sz w:val="28"/>
          <w:szCs w:val="28"/>
          <w:rtl w:val="true"/>
          <w:lang w:bidi="ar-SA"/>
        </w:rPr>
        <w:t xml:space="preserve">. </w:t>
      </w:r>
      <w:bookmarkStart w:id="1004" w:name="pg16437_172782"/>
    </w:p>
    <w:p>
      <w:pPr>
        <w:pStyle w:val="Heading5"/>
        <w:numPr>
          <w:ilvl w:val="4"/>
          <w:numId w:val="1"/>
        </w:numPr>
        <w:rPr/>
      </w:pPr>
      <w:bookmarkStart w:id="1005" w:name="__RefHeading___Toc8040191_1280447820"/>
      <w:bookmarkStart w:id="1006" w:name="_Toc370"/>
      <w:bookmarkEnd w:id="1004"/>
      <w:bookmarkEnd w:id="1005"/>
      <w:r>
        <w:rPr>
          <w:rtl w:val="true"/>
        </w:rPr>
        <w:t>فوائد</w:t>
      </w:r>
      <w:bookmarkEnd w:id="10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 القاضي أبو المحاسن المعرِّي المعتزلي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بكتابة ردّ على الشريف المرتضى، دافع فيه عن فكرة غَسل الرجلين، و من المحتمل أنّه قام بنقض الرسالة محلّ البحث، و دافع عن أبي الحسن 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قام المحقّق الكراجكي بالردّ على أبي المحاسن، و ألّف كتاباً في طرابلس،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الجاهل و تنبيه الغافل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دافع فيه عن الشريف المرتضى، و مع الأسف لم يصل إلينا هذا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الحقيقة ليست هذه المرّة الأُولى التي يدافع فيها تلامذة الشريف المرتضى عن أُستاذهم؛ فقد دافع 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أُستاذه أيضاً و كتب ردّاً على أبي الحسين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عن كتاب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 الشريف المرتضى في هذه الرسالة بنقل نصوص من كلام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يكون قد حفظ لنا ضمناً جزءاً من تراث أبي الحسن الرَّبَعي النحوي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قام الشريف المرتضى من خلال ردوده التي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كتاب الشافي، أو رسالة الردّ على أصحاب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بالحفاظ على تراث الآخرين، و هو أمر جدير بالاهتمام؛ فإنّه يمكن اعتبار الردود و النقوض التي تمّ تأليفها للردّ على الآخرين، يمكن اعتبارها مصدراً مهمّا لإعادة تكوين التراث المفقود، فيمكن استلال النصوص </w:t>
      </w:r>
      <w:bookmarkStart w:id="1007" w:name="pg16437_172783"/>
    </w:p>
    <w:p>
      <w:pPr>
        <w:pStyle w:val="BookText"/>
        <w:rPr/>
      </w:pPr>
      <w:bookmarkEnd w:id="1007"/>
      <w:r>
        <w:rPr>
          <w:rFonts w:ascii="Amiri" w:hAnsi="Amiri" w:eastAsia="Amiri" w:cs="Amiri"/>
          <w:color w:val="111111"/>
          <w:sz w:val="28"/>
          <w:sz w:val="28"/>
          <w:szCs w:val="28"/>
          <w:rtl w:val="true"/>
          <w:lang w:bidi="ar-SA"/>
        </w:rPr>
        <w:t>المنقوض عليها من خلال كلام الشخص الناقض و إعادة تكوينها، و ذلك فيما إذا كانت مفقودة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الشريف المرتضى في خلال الرسالة إلىٰ معنىٰ خطر له حول 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غزل العنكبوت المرمل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إنّ هذا المعنىٰ ما رآه لأحد، و لا وَقَعَ له متقدّماً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إبداع آخر من إبداعاته</w:t>
      </w:r>
      <w:r>
        <w:rPr>
          <w:rFonts w:eastAsia="Amiri" w:cs="Amiri" w:ascii="Amiri" w:hAnsi="Amiri"/>
          <w:color w:val="111111"/>
          <w:sz w:val="28"/>
          <w:szCs w:val="28"/>
          <w:rtl w:val="true"/>
          <w:lang w:bidi="ar-SA"/>
        </w:rPr>
        <w:t>.</w:t>
      </w:r>
      <w:r>
        <w:rPr>
          <w:rStyle w:val="FootnoteAnchor"/>
          <w:rtl w:val="true"/>
        </w:rPr>
        <w:footnoteReference w:id="2576"/>
      </w:r>
    </w:p>
    <w:p>
      <w:pPr>
        <w:pStyle w:val="BookText"/>
        <w:rPr/>
      </w:pPr>
      <w:r>
        <w:rPr>
          <w:rFonts w:ascii="Amiri" w:hAnsi="Amiri" w:eastAsia="Amiri" w:cs="Amiri"/>
          <w:color w:val="111111"/>
          <w:sz w:val="28"/>
          <w:sz w:val="28"/>
          <w:szCs w:val="28"/>
          <w:rtl w:val="true"/>
          <w:lang w:bidi="ar-SA"/>
        </w:rPr>
        <w:t xml:space="preserve">هذا، و قد كانت هذه الرسالة قد طبعت في ضمن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نجعل لهذه الرسالة عنواناً آخر،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كلام أبي الحسن الرَّبَعي حول غَسل الرجلين</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8040193_1280447820"/>
      <w:bookmarkStart w:id="1009" w:name="_Toc371"/>
      <w:bookmarkEnd w:id="1008"/>
      <w:r>
        <w:rPr>
          <w:rtl w:val="true"/>
        </w:rPr>
        <w:t>مخطوطات الرسالة</w:t>
      </w:r>
      <w:bookmarkEnd w:id="10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المحقّق البروجردي رحمه اللّٰه،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0" w:name="pg16437_172785"/>
      <w:bookmarkStart w:id="1011" w:name="pg16437_172785"/>
      <w:bookmarkEnd w:id="1011"/>
    </w:p>
    <w:p>
      <w:pPr>
        <w:pStyle w:val="Heading4"/>
        <w:numPr>
          <w:ilvl w:val="3"/>
          <w:numId w:val="1"/>
        </w:numPr>
        <w:rPr/>
      </w:pPr>
      <w:bookmarkStart w:id="1012" w:name="pg16437_172785"/>
      <w:bookmarkStart w:id="1013" w:name="__RefHeading___Toc8040195_1280447820"/>
      <w:bookmarkStart w:id="1014" w:name="_Toc372"/>
      <w:bookmarkEnd w:id="1012"/>
      <w:bookmarkEnd w:id="1013"/>
      <w:r>
        <w:rPr>
          <w:rtl w:val="true"/>
        </w:rPr>
        <w:t>مسألةٌ‌في عدمِ وجوبِ غَسلِ الرِّجلَينِ في الطهارةِ‌</w:t>
      </w:r>
      <w:bookmarkEnd w:id="1014"/>
    </w:p>
    <w:p>
      <w:pPr>
        <w:pStyle w:val="Heading5"/>
        <w:numPr>
          <w:ilvl w:val="4"/>
          <w:numId w:val="1"/>
        </w:numPr>
        <w:rPr/>
      </w:pPr>
      <w:bookmarkStart w:id="1015" w:name="__RefHeading___Toc8040197_1280447820"/>
      <w:bookmarkStart w:id="1016" w:name="_Toc373"/>
      <w:bookmarkEnd w:id="1015"/>
      <w:r>
        <w:rPr>
          <w:rtl w:val="true"/>
        </w:rPr>
        <w:t>اشارة</w:t>
      </w:r>
      <w:bookmarkEnd w:id="1016"/>
    </w:p>
    <w:p>
      <w:pPr>
        <w:pStyle w:val="BookText"/>
        <w:rPr/>
      </w:pPr>
      <w:r>
        <w:rPr>
          <w:rFonts w:ascii="Amiri" w:hAnsi="Amiri" w:eastAsia="Amiri" w:cs="Amiri"/>
          <w:color w:val="111111"/>
          <w:sz w:val="28"/>
          <w:sz w:val="28"/>
          <w:szCs w:val="28"/>
          <w:rtl w:val="true"/>
          <w:lang w:bidi="ar-SA"/>
        </w:rPr>
        <w:t>مسألةٌ‌</w:t>
      </w:r>
      <w:r>
        <w:rPr>
          <w:rStyle w:val="FootnoteAnchor"/>
          <w:rtl w:val="true"/>
        </w:rPr>
        <w:footnoteReference w:id="2577"/>
      </w:r>
      <w:r>
        <w:rPr>
          <w:rFonts w:ascii="Amiri" w:hAnsi="Amiri" w:eastAsia="Amiri" w:cs="Amiri"/>
          <w:color w:val="111111"/>
          <w:sz w:val="28"/>
          <w:sz w:val="28"/>
          <w:szCs w:val="28"/>
          <w:rtl w:val="true"/>
          <w:lang w:bidi="ar-SA"/>
        </w:rPr>
        <w:t>في عدمِ وجوبِ غَسلِ الرِّجلَينِ في الطهارةِ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8040199_1280447820"/>
      <w:bookmarkStart w:id="1018" w:name="_Toc374"/>
      <w:bookmarkEnd w:id="1017"/>
      <w:r>
        <w:rPr>
          <w:rtl w:val="true"/>
        </w:rPr>
        <w:t>مقدّمة</w:t>
      </w:r>
      <w:bookmarkEnd w:id="1018"/>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علىٰ كلامٍ لأبي الحَسَنِ عليِّ بنِ عيسَى الرَّبَعيِّ‌</w:t>
      </w:r>
      <w:r>
        <w:rPr>
          <w:rStyle w:val="FootnoteAnchor"/>
          <w:rtl w:val="true"/>
        </w:rPr>
        <w:footnoteReference w:id="2578"/>
      </w:r>
      <w:r>
        <w:rPr>
          <w:rFonts w:ascii="Amiri" w:hAnsi="Amiri" w:eastAsia="Amiri" w:cs="Amiri"/>
          <w:color w:val="111111"/>
          <w:sz w:val="28"/>
          <w:sz w:val="28"/>
          <w:szCs w:val="28"/>
          <w:rtl w:val="true"/>
          <w:lang w:bidi="ar-SA"/>
        </w:rPr>
        <w:t>يَنصُرُ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دالٌّ علىٰ وجوبِ غَسلِ الرِّجلَينِ في الطهارةِ، فلمّا تأمَّلتُه وَجَدتُه كلامَ مُخمَّرٍ</w:t>
      </w:r>
      <w:r>
        <w:rPr>
          <w:rStyle w:val="FootnoteAnchor"/>
          <w:rtl w:val="true"/>
        </w:rPr>
        <w:footnoteReference w:id="2579"/>
      </w:r>
      <w:r>
        <w:rPr>
          <w:rFonts w:ascii="Amiri" w:hAnsi="Amiri" w:eastAsia="Amiri" w:cs="Amiri"/>
          <w:color w:val="111111"/>
          <w:sz w:val="28"/>
          <w:sz w:val="28"/>
          <w:szCs w:val="28"/>
          <w:rtl w:val="true"/>
          <w:lang w:bidi="ar-SA"/>
        </w:rPr>
        <w:t>غيرِ مُحقِّقٍ لِما يَقولُه؛ و كأنّه غَريبٌ مِن هذا الشأنِ، بَعيدٌ منه،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يُطيقُ علىٰ أمرٍ فالأستَرُ</w:t>
      </w:r>
      <w:r>
        <w:rPr>
          <w:rStyle w:val="FootnoteAnchor"/>
          <w:rtl w:val="true"/>
        </w:rPr>
        <w:footnoteReference w:id="2580"/>
      </w:r>
      <w:r>
        <w:rPr>
          <w:rFonts w:ascii="Amiri" w:hAnsi="Amiri" w:eastAsia="Amiri" w:cs="Amiri"/>
          <w:color w:val="111111"/>
          <w:sz w:val="28"/>
          <w:sz w:val="28"/>
          <w:szCs w:val="28"/>
          <w:rtl w:val="true"/>
          <w:lang w:bidi="ar-SA"/>
        </w:rPr>
        <w:t>عليه تَركُ الخَوضِ فيه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لَم يَتمكَّنْ مِن حَملِه القِراءةَ‌</w:t>
      </w:r>
      <w:r>
        <w:rPr>
          <w:rStyle w:val="FootnoteAnchor"/>
          <w:rtl w:val="true"/>
        </w:rPr>
        <w:footnoteReference w:id="2581"/>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عَطفِها</w:t>
      </w:r>
      <w:r>
        <w:rPr>
          <w:rStyle w:val="FootnoteAnchor"/>
          <w:rtl w:val="true"/>
        </w:rPr>
        <w:footnoteReference w:id="2582"/>
      </w:r>
      <w:r>
        <w:rPr>
          <w:rFonts w:ascii="Amiri" w:hAnsi="Amiri" w:eastAsia="Amiri" w:cs="Amiri"/>
          <w:color w:val="111111"/>
          <w:sz w:val="28"/>
          <w:sz w:val="28"/>
          <w:szCs w:val="28"/>
          <w:rtl w:val="true"/>
          <w:lang w:bidi="ar-SA"/>
        </w:rPr>
        <w:t xml:space="preserve">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المغسولةِ، عَدَلَ إلىٰ شَيءٍ وَجَدتُ شَيخَه أبا</w:t>
      </w:r>
      <w:r>
        <w:rPr>
          <w:rStyle w:val="FootnoteAnchor"/>
          <w:rtl w:val="true"/>
        </w:rPr>
        <w:footnoteReference w:id="2583"/>
      </w:r>
      <w:r>
        <w:rPr>
          <w:rFonts w:ascii="Amiri" w:hAnsi="Amiri" w:eastAsia="Amiri" w:cs="Amiri"/>
          <w:color w:val="111111"/>
          <w:sz w:val="28"/>
          <w:sz w:val="28"/>
          <w:szCs w:val="28"/>
          <w:rtl w:val="true"/>
          <w:lang w:bidi="ar-SA"/>
        </w:rPr>
        <w:t>عَليٍّ الفارِسيَّ‌</w:t>
      </w:r>
      <w:r>
        <w:rPr>
          <w:rStyle w:val="FootnoteAnchor"/>
          <w:rtl w:val="true"/>
        </w:rPr>
        <w:footnoteReference w:id="2584"/>
      </w:r>
      <w:r>
        <w:rPr>
          <w:rFonts w:ascii="Amiri" w:hAnsi="Amiri" w:eastAsia="Amiri" w:cs="Amiri"/>
          <w:color w:val="111111"/>
          <w:sz w:val="28"/>
          <w:sz w:val="28"/>
          <w:szCs w:val="28"/>
          <w:rtl w:val="true"/>
          <w:lang w:bidi="ar-SA"/>
        </w:rPr>
        <w:t>عَوَّلَ عليه، لمّا أعياه نُصرةُ إيجابِ الغَسلِ مِن الآيةِ علىٰ صِناعةِ الإعرابِ؛ و هو وجهٌ رُويَ عن أبي زَيدٍ</w:t>
      </w:r>
      <w:r>
        <w:rPr>
          <w:rStyle w:val="FootnoteAnchor"/>
          <w:rtl w:val="true"/>
        </w:rPr>
        <w:footnoteReference w:id="2585"/>
      </w:r>
      <w:r>
        <w:rPr>
          <w:rFonts w:ascii="Amiri" w:hAnsi="Amiri" w:eastAsia="Amiri" w:cs="Amiri"/>
          <w:color w:val="111111"/>
          <w:sz w:val="28"/>
          <w:sz w:val="28"/>
          <w:szCs w:val="28"/>
          <w:rtl w:val="true"/>
          <w:lang w:bidi="ar-SA"/>
        </w:rPr>
        <w:t>الأنصاريِّ أشَدُّ تَهافُتاً و تَضارُباً</w:t>
      </w:r>
      <w:r>
        <w:rPr>
          <w:rStyle w:val="FootnoteAnchor"/>
          <w:rtl w:val="true"/>
        </w:rPr>
        <w:footnoteReference w:id="2586"/>
      </w:r>
      <w:r>
        <w:rPr>
          <w:rFonts w:ascii="Amiri" w:hAnsi="Amiri" w:eastAsia="Amiri" w:cs="Amiri"/>
          <w:color w:val="111111"/>
          <w:sz w:val="28"/>
          <w:sz w:val="28"/>
          <w:szCs w:val="28"/>
          <w:rtl w:val="true"/>
          <w:lang w:bidi="ar-SA"/>
        </w:rPr>
        <w:t>مِن كُلِّ شيءٍ اعتُمِدَ عليه في هذه الآيةِ</w:t>
      </w:r>
      <w:r>
        <w:rPr>
          <w:rFonts w:eastAsia="Amiri" w:cs="Amiri" w:ascii="Amiri" w:hAnsi="Amiri"/>
          <w:color w:val="111111"/>
          <w:sz w:val="28"/>
          <w:szCs w:val="28"/>
          <w:rtl w:val="true"/>
          <w:lang w:bidi="ar-SA"/>
        </w:rPr>
        <w:t>.</w:t>
      </w:r>
      <w:r>
        <w:rPr>
          <w:rStyle w:val="FootnoteAnchor"/>
          <w:rtl w:val="true"/>
        </w:rPr>
        <w:footnoteReference w:id="258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نُبيِّنُ ما في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وَقَفنا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الخَلَلِ و الزَّلَلِ بأَوجَزِ كلامٍ، و إن كانَ مَن اطَّلَعَ علىٰ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كُنّا أملَيناه مِن</w:t>
      </w:r>
      <w:r>
        <w:rPr>
          <w:rStyle w:val="FootnoteAnchor"/>
          <w:rtl w:val="true"/>
        </w:rPr>
        <w:footnoteReference w:id="2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w:t>
      </w:r>
      <w:r>
        <w:rPr>
          <w:rFonts w:eastAsia="Amiri" w:cs="Amiri" w:ascii="Amiri" w:hAnsi="Amiri"/>
          <w:color w:val="111111"/>
          <w:sz w:val="28"/>
          <w:szCs w:val="28"/>
          <w:rtl w:val="true"/>
          <w:lang w:bidi="ar-SA"/>
        </w:rPr>
        <w:t>»</w:t>
      </w:r>
      <w:r>
        <w:rPr>
          <w:rStyle w:val="FootnoteAnchor"/>
          <w:rtl w:val="true"/>
        </w:rPr>
        <w:footnoteReference w:id="2589"/>
      </w:r>
    </w:p>
    <w:p>
      <w:pPr>
        <w:pStyle w:val="BookText"/>
        <w:rPr/>
      </w:pPr>
      <w:r>
        <w:rPr>
          <w:rFonts w:ascii="Amiri" w:hAnsi="Amiri" w:eastAsia="Amiri" w:cs="Amiri"/>
          <w:color w:val="111111"/>
          <w:sz w:val="28"/>
          <w:sz w:val="28"/>
          <w:szCs w:val="28"/>
          <w:rtl w:val="true"/>
          <w:lang w:bidi="ar-SA"/>
        </w:rPr>
        <w:t>قَديماً</w:t>
      </w:r>
      <w:r>
        <w:rPr>
          <w:rStyle w:val="FootnoteAnchor"/>
          <w:rtl w:val="true"/>
        </w:rPr>
        <w:footnoteReference w:id="2590"/>
      </w:r>
      <w:r>
        <w:rPr>
          <w:rFonts w:ascii="Amiri" w:hAnsi="Amiri" w:eastAsia="Amiri" w:cs="Amiri"/>
          <w:color w:val="111111"/>
          <w:sz w:val="28"/>
          <w:sz w:val="28"/>
          <w:szCs w:val="28"/>
          <w:rtl w:val="true"/>
          <w:lang w:bidi="ar-SA"/>
        </w:rPr>
        <w:t>في هذه المَسألةِ، و ما أَورَدناه أيضاً قَريباً مِن الكلامِ في ذلكَ‌</w:t>
      </w:r>
      <w:r>
        <w:rPr>
          <w:rStyle w:val="FootnoteAnchor"/>
          <w:rtl w:val="true"/>
        </w:rPr>
        <w:footnoteReference w:id="2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w:t>
      </w:r>
      <w:r>
        <w:rPr>
          <w:rStyle w:val="FootnoteAnchor"/>
          <w:rtl w:val="true"/>
        </w:rPr>
        <w:footnoteReference w:id="2592"/>
      </w:r>
      <w:r>
        <w:rPr>
          <w:rFonts w:ascii="Amiri" w:hAnsi="Amiri" w:eastAsia="Amiri" w:cs="Amiri"/>
          <w:color w:val="111111"/>
          <w:sz w:val="28"/>
          <w:sz w:val="28"/>
          <w:szCs w:val="28"/>
          <w:rtl w:val="true"/>
          <w:lang w:bidi="ar-SA"/>
        </w:rPr>
        <w:t>بَحراً</w:t>
      </w:r>
      <w:r>
        <w:rPr>
          <w:rStyle w:val="FootnoteAnchor"/>
          <w:rtl w:val="true"/>
        </w:rPr>
        <w:footnoteReference w:id="2593"/>
      </w:r>
      <w:r>
        <w:rPr>
          <w:rFonts w:ascii="Amiri" w:hAnsi="Amiri" w:eastAsia="Amiri" w:cs="Amiri"/>
          <w:color w:val="111111"/>
          <w:sz w:val="28"/>
          <w:sz w:val="28"/>
          <w:szCs w:val="28"/>
          <w:rtl w:val="true"/>
          <w:lang w:bidi="ar-SA"/>
        </w:rPr>
        <w:t>، هذا الكلامُ الذي أَوجَزناهُ‌</w:t>
      </w:r>
      <w:r>
        <w:rPr>
          <w:rStyle w:val="FootnoteAnchor"/>
          <w:rtl w:val="true"/>
        </w:rPr>
        <w:footnoteReference w:id="2594"/>
      </w:r>
      <w:r>
        <w:rPr>
          <w:rFonts w:ascii="Amiri" w:hAnsi="Amiri" w:eastAsia="Amiri" w:cs="Amiri"/>
          <w:color w:val="111111"/>
          <w:sz w:val="28"/>
          <w:sz w:val="28"/>
          <w:szCs w:val="28"/>
          <w:rtl w:val="true"/>
          <w:lang w:bidi="ar-SA"/>
        </w:rPr>
        <w:t>لهذا الرجُلِ و لغَيرِه في هذه المَسألةِ كالقَطرةِ بالإضافةِ إليه، و أمكَنَ مَن ضَبَطَ ذلكَ أن يَنقُضَ منه كُلَّ كلامٍ سُطِرَ في هذه الآيةِ أو يُسطَرُ</w:t>
      </w:r>
      <w:r>
        <w:rPr>
          <w:rStyle w:val="FootnoteAnchor"/>
          <w:rtl w:val="true"/>
        </w:rPr>
        <w:footnoteReference w:id="2595"/>
      </w:r>
      <w:r>
        <w:rPr>
          <w:rFonts w:ascii="Amiri" w:hAnsi="Amiri" w:eastAsia="Amiri" w:cs="Amiri"/>
          <w:color w:val="111111"/>
          <w:sz w:val="28"/>
          <w:sz w:val="28"/>
          <w:szCs w:val="28"/>
          <w:rtl w:val="true"/>
          <w:lang w:bidi="ar-SA"/>
        </w:rPr>
        <w:t>و ما تَوفيقي إلّاباللّٰهِ، عليه تَوكَّلتُ و 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الكلامِ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2596"/>
      </w:r>
      <w:r>
        <w:rPr>
          <w:rFonts w:ascii="Amiri" w:hAnsi="Amiri" w:eastAsia="Amiri" w:cs="Amiri"/>
          <w:color w:val="111111"/>
          <w:sz w:val="28"/>
          <w:sz w:val="28"/>
          <w:szCs w:val="28"/>
          <w:rtl w:val="true"/>
          <w:lang w:bidi="ar-SA"/>
        </w:rPr>
        <w:t>، القولُ‌</w:t>
      </w:r>
      <w:r>
        <w:rPr>
          <w:rStyle w:val="FootnoteAnchor"/>
          <w:rtl w:val="true"/>
        </w:rPr>
        <w:footnoteReference w:id="2597"/>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نَصَبَ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الغَسلِ، و عَطَفَه علَى الأيدي؛ لمّا كانَ المعنىٰ عندَه علَى الغَسلِ دونَ المَسحِ، فحَمَلَه</w:t>
      </w:r>
      <w:r>
        <w:rPr>
          <w:rStyle w:val="FootnoteAnchor"/>
          <w:rtl w:val="true"/>
        </w:rPr>
        <w:footnoteReference w:id="2598"/>
      </w:r>
      <w:r>
        <w:rPr>
          <w:rFonts w:ascii="Amiri" w:hAnsi="Amiri" w:eastAsia="Amiri" w:cs="Amiri"/>
          <w:color w:val="111111"/>
          <w:sz w:val="28"/>
          <w:sz w:val="28"/>
          <w:szCs w:val="28"/>
          <w:rtl w:val="true"/>
          <w:lang w:bidi="ar-SA"/>
        </w:rPr>
        <w:t>علَى النصبِ الذي يَقتَضيهِ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ليَكونَ علىٰ لفظِ ما في حُكمِه في الوجوبِ مِن الأيدي التي حُمِلَت علَى الغَسلِ، و لَم يَجُرَّ كما جَرَّ 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لمُخالَفتِه لَه</w:t>
      </w:r>
      <w:r>
        <w:rPr>
          <w:rStyle w:val="FootnoteAnchor"/>
          <w:rtl w:val="true"/>
        </w:rPr>
        <w:footnoteReference w:id="2599"/>
      </w:r>
      <w:r>
        <w:rPr>
          <w:rFonts w:ascii="Amiri" w:hAnsi="Amiri" w:eastAsia="Amiri" w:cs="Amiri"/>
          <w:color w:val="111111"/>
          <w:sz w:val="28"/>
          <w:sz w:val="28"/>
          <w:szCs w:val="28"/>
          <w:rtl w:val="true"/>
          <w:lang w:bidi="ar-SA"/>
        </w:rPr>
        <w:t>في المعنىٰ، فلذلكَ خالَفَ بَينَهما في 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تُبنَى</w:t>
      </w:r>
      <w:r>
        <w:rPr>
          <w:rStyle w:val="FootnoteAnchor"/>
          <w:rtl w:val="true"/>
        </w:rPr>
        <w:footnoteReference w:id="2601"/>
      </w:r>
      <w:r>
        <w:rPr>
          <w:rFonts w:ascii="Amiri" w:hAnsi="Amiri" w:eastAsia="Amiri" w:cs="Amiri"/>
          <w:color w:val="111111"/>
          <w:sz w:val="28"/>
          <w:sz w:val="28"/>
          <w:szCs w:val="28"/>
          <w:rtl w:val="true"/>
          <w:lang w:bidi="ar-SA"/>
        </w:rPr>
        <w:t>المَذاهبُ علَى الأدلّةِ، و لا تُبنَى</w:t>
      </w:r>
      <w:r>
        <w:rPr>
          <w:rStyle w:val="FootnoteAnchor"/>
          <w:rtl w:val="true"/>
        </w:rPr>
        <w:footnoteReference w:id="2602"/>
      </w:r>
      <w:r>
        <w:rPr>
          <w:rFonts w:ascii="Amiri" w:hAnsi="Amiri" w:eastAsia="Amiri" w:cs="Amiri"/>
          <w:color w:val="111111"/>
          <w:sz w:val="28"/>
          <w:sz w:val="28"/>
          <w:szCs w:val="28"/>
          <w:rtl w:val="true"/>
          <w:lang w:bidi="ar-SA"/>
        </w:rPr>
        <w:t>الأدلّةُ علَى المَذاهبِ؛ فقَولُ اللّٰهِ تَعالىٰ هو الدالُّ‌</w:t>
      </w:r>
      <w:r>
        <w:rPr>
          <w:rStyle w:val="FootnoteAnchor"/>
          <w:rtl w:val="true"/>
        </w:rPr>
        <w:footnoteReference w:id="2603"/>
      </w:r>
      <w:r>
        <w:rPr>
          <w:rFonts w:ascii="Amiri" w:hAnsi="Amiri" w:eastAsia="Amiri" w:cs="Amiri"/>
          <w:color w:val="111111"/>
          <w:sz w:val="28"/>
          <w:sz w:val="28"/>
          <w:szCs w:val="28"/>
          <w:rtl w:val="true"/>
          <w:lang w:bidi="ar-SA"/>
        </w:rPr>
        <w:t>علَى الأحكامِ، فيَجِبُ أن يُعتَبَرَ</w:t>
      </w:r>
      <w:r>
        <w:rPr>
          <w:rStyle w:val="FootnoteAnchor"/>
          <w:rtl w:val="true"/>
        </w:rPr>
        <w:footnoteReference w:id="2604"/>
      </w:r>
      <w:r>
        <w:rPr>
          <w:rFonts w:ascii="Amiri" w:hAnsi="Amiri" w:eastAsia="Amiri" w:cs="Amiri"/>
          <w:color w:val="111111"/>
          <w:sz w:val="28"/>
          <w:sz w:val="28"/>
          <w:szCs w:val="28"/>
          <w:rtl w:val="true"/>
          <w:lang w:bidi="ar-SA"/>
        </w:rPr>
        <w:t>وجهُ دَلالتِه، فتُبنىٰ‌</w:t>
      </w:r>
      <w:r>
        <w:rPr>
          <w:rStyle w:val="FootnoteAnchor"/>
          <w:rtl w:val="true"/>
        </w:rPr>
        <w:footnoteReference w:id="2605"/>
      </w:r>
      <w:r>
        <w:rPr>
          <w:rFonts w:ascii="Amiri" w:hAnsi="Amiri" w:eastAsia="Amiri" w:cs="Amiri"/>
          <w:color w:val="111111"/>
          <w:sz w:val="28"/>
          <w:sz w:val="28"/>
          <w:szCs w:val="28"/>
          <w:rtl w:val="true"/>
          <w:lang w:bidi="ar-SA"/>
        </w:rPr>
        <w:t>مَذاهبُنا عليها، و يَكونَ اعتقادُنا موافِقاً لَها</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نَصَبَ الأرجُلَ حَمَلَه علَى الغَسلِ و عَطَفَه علَى الأيدي؛ لمّا كانَ المعنىٰ عندَه علَى الغَسلِ دونَ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w:t>
      </w:r>
      <w:r>
        <w:rPr>
          <w:rStyle w:val="FootnoteAnchor"/>
          <w:rtl w:val="true"/>
        </w:rPr>
        <w:footnoteReference w:id="2607"/>
      </w:r>
      <w:r>
        <w:rPr>
          <w:rFonts w:ascii="IRNazanin" w:hAnsi="IRNazanin" w:eastAsia="IRNazanin"/>
          <w:color w:val="111111"/>
          <w:sz w:val="28"/>
          <w:sz w:val="28"/>
          <w:szCs w:val="28"/>
          <w:rtl w:val="true"/>
          <w:lang w:bidi="fa-IR"/>
        </w:rPr>
        <w:t>، و</w:t>
      </w:r>
      <w:r>
        <w:rPr>
          <w:rStyle w:val="FootnoteAnchor"/>
          <w:rtl w:val="true"/>
        </w:rPr>
        <w:footnoteReference w:id="2608"/>
      </w:r>
      <w:r>
        <w:rPr>
          <w:rFonts w:ascii="Amiri" w:hAnsi="Amiri" w:eastAsia="Amiri" w:cs="Amiri"/>
          <w:color w:val="111111"/>
          <w:sz w:val="28"/>
          <w:sz w:val="28"/>
          <w:szCs w:val="28"/>
          <w:rtl w:val="true"/>
          <w:lang w:bidi="ar-SA"/>
        </w:rPr>
        <w:t xml:space="preserve">لَم يَكُن عندَ مَن ذَكرتَ الغَسلُ دونَ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Style w:val="FootnoteAnchor"/>
          <w:rtl w:val="true"/>
        </w:rPr>
        <w:footnoteReference w:id="2609"/>
      </w:r>
      <w:r>
        <w:rPr>
          <w:rFonts w:ascii="Amiri" w:hAnsi="Amiri" w:eastAsia="Amiri" w:cs="Amiri"/>
          <w:color w:val="111111"/>
          <w:sz w:val="28"/>
          <w:sz w:val="28"/>
          <w:szCs w:val="28"/>
          <w:rtl w:val="true"/>
          <w:lang w:bidi="ar-SA"/>
        </w:rPr>
        <w:t>بغَيرِ دَلالةٍ‌</w:t>
      </w:r>
      <w:r>
        <w:rPr>
          <w:rStyle w:val="FootnoteAnchor"/>
          <w:rtl w:val="true"/>
        </w:rPr>
        <w:footnoteReference w:id="2610"/>
      </w:r>
      <w:r>
        <w:rPr>
          <w:rFonts w:ascii="Amiri" w:hAnsi="Amiri" w:eastAsia="Amiri" w:cs="Amiri"/>
          <w:color w:val="111111"/>
          <w:sz w:val="28"/>
          <w:sz w:val="28"/>
          <w:szCs w:val="28"/>
          <w:rtl w:val="true"/>
          <w:lang w:bidi="ar-SA"/>
        </w:rPr>
        <w:t>، و القُرآنُ يوجِبُ المَسحَ دونَ الغَسلِ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 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ناظِراً مُتأمِّلاً</w:t>
      </w:r>
      <w:r>
        <w:rPr>
          <w:rStyle w:val="FootnoteAnchor"/>
          <w:rtl w:val="true"/>
        </w:rPr>
        <w:footnoteReference w:id="2611"/>
      </w:r>
      <w:r>
        <w:rPr>
          <w:rFonts w:ascii="Amiri" w:hAnsi="Amiri" w:eastAsia="Amiri" w:cs="Amiri"/>
          <w:color w:val="111111"/>
          <w:sz w:val="28"/>
          <w:sz w:val="28"/>
          <w:szCs w:val="28"/>
          <w:rtl w:val="true"/>
          <w:lang w:bidi="ar-SA"/>
        </w:rPr>
        <w:t>بحُكمِ‌</w:t>
      </w:r>
      <w:r>
        <w:rPr>
          <w:rStyle w:val="FootnoteAnchor"/>
          <w:rtl w:val="true"/>
        </w:rPr>
        <w:footnoteReference w:id="2612"/>
      </w:r>
      <w:r>
        <w:rPr>
          <w:rFonts w:ascii="IRNazanin" w:hAnsi="IRNazanin" w:eastAsia="IRNazanin"/>
          <w:color w:val="111111"/>
          <w:sz w:val="28"/>
          <w:sz w:val="28"/>
          <w:szCs w:val="28"/>
          <w:rtl w:val="true"/>
          <w:lang w:bidi="fa-IR"/>
        </w:rPr>
        <w:t>هذه</w:t>
      </w:r>
      <w:r>
        <w:rPr>
          <w:rStyle w:val="FootnoteAnchor"/>
          <w:rtl w:val="true"/>
        </w:rPr>
        <w:footnoteReference w:id="2613"/>
      </w:r>
      <w:r>
        <w:rPr>
          <w:rFonts w:ascii="Amiri" w:hAnsi="Amiri" w:eastAsia="Amiri" w:cs="Amiri"/>
          <w:color w:val="111111"/>
          <w:sz w:val="28"/>
          <w:sz w:val="28"/>
          <w:szCs w:val="28"/>
          <w:rtl w:val="true"/>
          <w:lang w:bidi="ar-SA"/>
        </w:rPr>
        <w:t>الآيةِ و ما تَقتَضيهِ‌</w:t>
      </w:r>
      <w:r>
        <w:rPr>
          <w:rStyle w:val="FootnoteAnchor"/>
          <w:rtl w:val="true"/>
        </w:rPr>
        <w:footnoteReference w:id="2614"/>
      </w:r>
      <w:r>
        <w:rPr>
          <w:rFonts w:ascii="Amiri" w:hAnsi="Amiri" w:eastAsia="Amiri" w:cs="Amiri"/>
          <w:color w:val="111111"/>
          <w:sz w:val="28"/>
          <w:sz w:val="28"/>
          <w:szCs w:val="28"/>
          <w:rtl w:val="true"/>
          <w:lang w:bidi="ar-SA"/>
        </w:rPr>
        <w:t xml:space="preserve">مِن مَسحٍ أو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يَكونَ عندَه غَسلٌ و لا مَسحٌ، و لا يَسبِقَ‌</w:t>
      </w:r>
      <w:r>
        <w:rPr>
          <w:rStyle w:val="FootnoteAnchor"/>
          <w:rtl w:val="true"/>
        </w:rPr>
        <w:footnoteReference w:id="2615"/>
      </w:r>
      <w:r>
        <w:rPr>
          <w:rFonts w:ascii="Amiri" w:hAnsi="Amiri" w:eastAsia="Amiri" w:cs="Amiri"/>
          <w:color w:val="111111"/>
          <w:sz w:val="28"/>
          <w:sz w:val="28"/>
          <w:szCs w:val="28"/>
          <w:rtl w:val="true"/>
          <w:lang w:bidi="ar-SA"/>
        </w:rPr>
        <w:t>إليه أحَدُهما؛ بَل يَنظُرَ فيما يَقتَضيهِ ظاهرُ الآيةِ و إعرابُها، فيَبنيَ علىٰ مُقتَضاها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bookmarkStart w:id="1019" w:name="pg16437_172789"/>
    </w:p>
    <w:p>
      <w:pPr>
        <w:pStyle w:val="BookText"/>
        <w:rPr/>
      </w:pPr>
      <w:bookmarkEnd w:id="1019"/>
      <w:r>
        <w:rPr>
          <w:rFonts w:ascii="Amiri" w:hAnsi="Amiri" w:eastAsia="Amiri" w:cs="Amiri"/>
          <w:color w:val="111111"/>
          <w:sz w:val="28"/>
          <w:sz w:val="28"/>
          <w:szCs w:val="28"/>
          <w:rtl w:val="true"/>
          <w:lang w:bidi="ar-SA"/>
        </w:rPr>
        <w:t xml:space="preserve">إن وافَقَه،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كلامُكَ هذا يَقتَضي استسلافَ‌</w:t>
      </w:r>
      <w:r>
        <w:rPr>
          <w:rStyle w:val="FootnoteAnchor"/>
          <w:rtl w:val="true"/>
        </w:rPr>
        <w:footnoteReference w:id="2616"/>
      </w:r>
      <w:r>
        <w:rPr>
          <w:rFonts w:ascii="Amiri" w:hAnsi="Amiri" w:eastAsia="Amiri" w:cs="Amiri"/>
          <w:color w:val="111111"/>
          <w:sz w:val="28"/>
          <w:sz w:val="28"/>
          <w:szCs w:val="28"/>
          <w:rtl w:val="true"/>
          <w:lang w:bidi="ar-SA"/>
        </w:rPr>
        <w:t>الغَسلِ، و أنّه حُكمُ الآيةِ، حتّىٰ يَثبُتَ عليه إعرابُ الأرجُلِ بالنَّصبِ، و هذا هو ضِدُّ الواجبِ</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8040201_1280447820"/>
      <w:bookmarkStart w:id="1021" w:name="_Toc375"/>
      <w:bookmarkEnd w:id="1020"/>
      <w:r>
        <w:rPr>
          <w:rtl w:val="true"/>
        </w:rPr>
        <w:t xml:space="preserve">أرجحيّة قراءة </w:t>
      </w:r>
      <w:r>
        <w:rPr>
          <w:rtl w:val="true"/>
        </w:rPr>
        <w:t>«</w:t>
      </w:r>
      <w:r>
        <w:rPr>
          <w:rtl w:val="true"/>
        </w:rPr>
        <w:t>و أرجلكم</w:t>
      </w:r>
      <w:r>
        <w:rPr>
          <w:rtl w:val="true"/>
        </w:rPr>
        <w:t xml:space="preserve">» </w:t>
      </w:r>
      <w:r>
        <w:rPr>
          <w:rtl w:val="true"/>
        </w:rPr>
        <w:t>بالجرِّ</w:t>
      </w:r>
      <w:bookmarkEnd w:id="1021"/>
    </w:p>
    <w:p>
      <w:pPr>
        <w:pStyle w:val="BookText"/>
        <w:rPr/>
      </w:pPr>
      <w:r>
        <w:rPr>
          <w:rFonts w:ascii="Amiri" w:hAnsi="Amiri" w:eastAsia="Amiri" w:cs="Amiri"/>
          <w:color w:val="111111"/>
          <w:sz w:val="28"/>
          <w:sz w:val="28"/>
          <w:szCs w:val="28"/>
          <w:rtl w:val="true"/>
          <w:lang w:bidi="ar-SA"/>
        </w:rPr>
        <w:t xml:space="preserve">و قد بيّنّا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القِراءةَ بالجَرِّ أَولىٰ مِن القِراءةِ بالنَّصبِ؛ لأنّا إذا نَصَبنا الأرجُلَ فلا بُدَّ مِن عاملٍ في هذا النَّصبِ؛ فإمّا أن تَكونَ‌</w:t>
      </w:r>
      <w:r>
        <w:rPr>
          <w:rStyle w:val="FootnoteAnchor"/>
          <w:rtl w:val="true"/>
        </w:rPr>
        <w:footnoteReference w:id="2617"/>
      </w:r>
      <w:r>
        <w:rPr>
          <w:rFonts w:ascii="Amiri" w:hAnsi="Amiri" w:eastAsia="Amiri" w:cs="Amiri"/>
          <w:color w:val="111111"/>
          <w:sz w:val="28"/>
          <w:sz w:val="28"/>
          <w:szCs w:val="28"/>
          <w:rtl w:val="true"/>
          <w:lang w:bidi="ar-SA"/>
        </w:rPr>
        <w:t>معطوفةً علَى الأيدي، أو نُقدِّرَ</w:t>
      </w:r>
      <w:r>
        <w:rPr>
          <w:rStyle w:val="FootnoteAnchor"/>
          <w:rtl w:val="true"/>
        </w:rPr>
        <w:footnoteReference w:id="2618"/>
      </w:r>
      <w:r>
        <w:rPr>
          <w:rFonts w:ascii="Amiri" w:hAnsi="Amiri" w:eastAsia="Amiri" w:cs="Amiri"/>
          <w:color w:val="111111"/>
          <w:sz w:val="28"/>
          <w:sz w:val="28"/>
          <w:szCs w:val="28"/>
          <w:rtl w:val="true"/>
          <w:lang w:bidi="ar-SA"/>
        </w:rPr>
        <w:t>لها عاملاً</w:t>
      </w:r>
      <w:r>
        <w:rPr>
          <w:rStyle w:val="FootnoteAnchor"/>
          <w:rtl w:val="true"/>
        </w:rPr>
        <w:footnoteReference w:id="2619"/>
      </w:r>
      <w:r>
        <w:rPr>
          <w:rFonts w:ascii="Amiri" w:hAnsi="Amiri" w:eastAsia="Amiri" w:cs="Amiri"/>
          <w:color w:val="111111"/>
          <w:sz w:val="28"/>
          <w:sz w:val="28"/>
          <w:szCs w:val="28"/>
          <w:rtl w:val="true"/>
          <w:lang w:bidi="ar-SA"/>
        </w:rPr>
        <w:t>محذوفاً، أو تَكونَ‌</w:t>
      </w:r>
      <w:r>
        <w:rPr>
          <w:rStyle w:val="FootnoteAnchor"/>
          <w:rtl w:val="true"/>
        </w:rPr>
        <w:footnoteReference w:id="2620"/>
      </w:r>
      <w:r>
        <w:rPr>
          <w:rFonts w:ascii="Amiri" w:hAnsi="Amiri" w:eastAsia="Amiri" w:cs="Amiri"/>
          <w:color w:val="111111"/>
          <w:sz w:val="28"/>
          <w:sz w:val="28"/>
          <w:szCs w:val="28"/>
          <w:rtl w:val="true"/>
          <w:lang w:bidi="ar-SA"/>
        </w:rPr>
        <w:t>معطوفةً علىٰ مَوضِعِ الجارِّ و المجرورِ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تَكونَ‌</w:t>
      </w:r>
      <w:r>
        <w:rPr>
          <w:rStyle w:val="FootnoteAnchor"/>
          <w:rtl w:val="true"/>
        </w:rPr>
        <w:footnoteReference w:id="2621"/>
      </w:r>
      <w:r>
        <w:rPr>
          <w:rFonts w:ascii="Amiri" w:hAnsi="Amiri" w:eastAsia="Amiri" w:cs="Amiri"/>
          <w:color w:val="111111"/>
          <w:sz w:val="28"/>
          <w:sz w:val="28"/>
          <w:szCs w:val="28"/>
          <w:rtl w:val="true"/>
          <w:lang w:bidi="ar-SA"/>
        </w:rPr>
        <w:t>معطوفةً علَى الأيدي؛ لبُعدِها مِن عاملِ النَّصبِ في الأيدي، و لأنّ إعمالَ العاملِ الأقرَبِ أَولىٰ من إعمالِ الأبعَدِ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آتُونِي أُفْرِغْ عَلَيْهِ قِطْراً</w:t>
      </w:r>
      <w:r>
        <w:rPr>
          <w:rFonts w:eastAsia="Amiri" w:cs="Amiri" w:ascii="Amiri" w:hAnsi="Amiri"/>
          <w:color w:val="111111"/>
          <w:sz w:val="28"/>
          <w:szCs w:val="28"/>
          <w:rtl w:val="true"/>
          <w:lang w:bidi="ar-SA"/>
        </w:rPr>
        <w:t xml:space="preserve">» </w:t>
      </w:r>
      <w:r>
        <w:rPr>
          <w:rStyle w:val="FootnoteAnchor"/>
          <w:rtl w:val="true"/>
        </w:rPr>
        <w:footnoteReference w:id="262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 xml:space="preserve">» </w:t>
      </w:r>
      <w:r>
        <w:rPr>
          <w:rStyle w:val="FootnoteAnchor"/>
          <w:rtl w:val="true"/>
        </w:rPr>
        <w:footnoteReference w:id="2623"/>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أَنَّهُمْ ظَنُّوا كَمٰا ظَنَنْتُمْ أَنْ لَنْ يَبْعَثَ اَللّٰهُ أَحَداً</w:t>
      </w:r>
      <w:r>
        <w:rPr>
          <w:rFonts w:eastAsia="Amiri" w:cs="Amiri" w:ascii="Amiri" w:hAnsi="Amiri"/>
          <w:color w:val="111111"/>
          <w:sz w:val="28"/>
          <w:szCs w:val="28"/>
          <w:rtl w:val="true"/>
          <w:lang w:bidi="ar-SA"/>
        </w:rPr>
        <w:t xml:space="preserve">»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ذَكَرنا ما هو أوضَحُ مِن هذا كُلِّه، و هو أنّ القائلَ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عبدَ اللّٰهِ، و أكرَمتُ خالداً و 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رَدَّ</w:t>
      </w:r>
      <w:r>
        <w:rPr>
          <w:rStyle w:val="FootnoteAnchor"/>
          <w:rtl w:val="true"/>
        </w:rPr>
        <w:footnoteReference w:id="2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حُكمِ الجُملةِ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انقَطَعَ حُكمُها و وَقَعَ الخروجُ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و خُروجٌ‌</w:t>
      </w:r>
      <w:r>
        <w:rPr>
          <w:rStyle w:val="FootnoteAnchor"/>
          <w:rtl w:val="true"/>
        </w:rPr>
        <w:footnoteReference w:id="2626"/>
      </w:r>
      <w:r>
        <w:rPr>
          <w:rFonts w:ascii="Amiri" w:hAnsi="Amiri" w:eastAsia="Amiri" w:cs="Amiri"/>
          <w:color w:val="111111"/>
          <w:sz w:val="28"/>
          <w:sz w:val="28"/>
          <w:szCs w:val="28"/>
          <w:rtl w:val="true"/>
          <w:lang w:bidi="ar-SA"/>
        </w:rPr>
        <w:t>عن مُقتَضَى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مُستَقِلّةٌ بنَفسِها، و قد انقَطَعَ حُكمُها بالتجاوزِ لها إلىٰ جُملةٍ أُخرىٰ،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تُنصَبَ الأرجُلُ بمحذوفٍ مُقدَّرٍ؛ لأنّه لا فَرقَ بَينَ أن نُقدِّرَ</w:t>
      </w:r>
      <w:r>
        <w:rPr>
          <w:rStyle w:val="FootnoteAnchor"/>
          <w:rtl w:val="true"/>
        </w:rPr>
        <w:footnoteReference w:id="2627"/>
      </w:r>
      <w:r>
        <w:rPr>
          <w:rFonts w:ascii="Amiri" w:hAnsi="Amiri" w:eastAsia="Amiri" w:cs="Amiri"/>
          <w:color w:val="111111"/>
          <w:sz w:val="28"/>
          <w:sz w:val="28"/>
          <w:szCs w:val="28"/>
          <w:rtl w:val="true"/>
          <w:lang w:bidi="ar-SA"/>
        </w:rPr>
        <w:t>محذوفاً هو الغَسلُ، و بَينَ أن نُقدِّرَ</w:t>
      </w:r>
      <w:r>
        <w:rPr>
          <w:rStyle w:val="FootnoteAnchor"/>
          <w:rtl w:val="true"/>
        </w:rPr>
        <w:footnoteReference w:id="2628"/>
      </w:r>
      <w:r>
        <w:rPr>
          <w:rFonts w:ascii="Amiri" w:hAnsi="Amiri" w:eastAsia="Amiri" w:cs="Amiri"/>
          <w:color w:val="111111"/>
          <w:sz w:val="28"/>
          <w:sz w:val="28"/>
          <w:szCs w:val="28"/>
          <w:rtl w:val="true"/>
          <w:lang w:bidi="ar-SA"/>
        </w:rPr>
        <w:t>محذوفاً هو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الحَذفَ لا يُصارُ إليه إلّا عندَ الضرورةِ، و إذا استَقَلَّ الكلامُ بنَفسِه مِن غيرِ تقديرِ محذوفٍ لَم يَجُز حَملُه علىٰ محذوفٍ</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حَملُ النَّصبِ علىٰ مَوضِعِ الجارِّ و المجرورِ، فهو جائزٌ شائعٌ‌</w:t>
      </w:r>
      <w:r>
        <w:rPr>
          <w:rStyle w:val="FootnoteAnchor"/>
          <w:rtl w:val="true"/>
        </w:rPr>
        <w:footnoteReference w:id="2629"/>
      </w:r>
      <w:r>
        <w:rPr>
          <w:rFonts w:ascii="Amiri" w:hAnsi="Amiri" w:eastAsia="Amiri" w:cs="Amiri"/>
          <w:color w:val="111111"/>
          <w:sz w:val="28"/>
          <w:sz w:val="28"/>
          <w:szCs w:val="28"/>
          <w:rtl w:val="true"/>
          <w:lang w:bidi="ar-SA"/>
        </w:rPr>
        <w:t xml:space="preserve">، إلّاأنّه موجِبٌ للمَسحِ دونَ الغَسلِ؛ لأنّ الرؤوسَ ممسوحةٌ، فما عُطِفَ علىٰ مَوضِعِها يَجِبُ أن يَكونَ ممسوحاً مِثلَها، إلّاأنّه لمّا كانَ إعمالُ أقرَبِ العامِلَينِ أَولىٰ و أكثَرَ في القُرآنِ و لُغةِ العَرَبِ وَجَبَ أن يَكونَ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w:t>
      </w:r>
      <w:r>
        <w:rPr>
          <w:rStyle w:val="FootnoteAnchor"/>
          <w:rtl w:val="true"/>
        </w:rPr>
        <w:footnoteReference w:id="2630"/>
      </w:r>
      <w:r>
        <w:rPr>
          <w:rFonts w:ascii="Amiri" w:hAnsi="Amiri" w:eastAsia="Amiri" w:cs="Amiri"/>
          <w:color w:val="111111"/>
          <w:sz w:val="28"/>
          <w:sz w:val="28"/>
          <w:szCs w:val="28"/>
          <w:rtl w:val="true"/>
          <w:lang w:bidi="ar-SA"/>
        </w:rPr>
        <w:t>حتّىٰ تَكونَ معطوفةً علىٰ لَفظِ</w:t>
      </w:r>
      <w:r>
        <w:rPr>
          <w:rStyle w:val="FootnoteAnchor"/>
          <w:rtl w:val="true"/>
        </w:rPr>
        <w:footnoteReference w:id="2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نَصبِها و عَطفِها علىٰ مَوضِعِ الجارِّ و المجرورِ؛ لأنّه أبعَدُ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تَرجَّحَت القِراءةُ بجَرِّ الأرجُلِ علَى القِراءةِ بنَصبِها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يُبيِّنُ أنّ حَملَ حُكمِ الأرجُلِ علىٰ حُكمِ الرُّؤوسِ في المَسحِ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القِراءةَ بالجَرِّ تَقتَضي</w:t>
      </w:r>
      <w:r>
        <w:rPr>
          <w:rStyle w:val="FootnoteAnchor"/>
          <w:rtl w:val="true"/>
        </w:rPr>
        <w:footnoteReference w:id="2632"/>
      </w:r>
      <w:r>
        <w:rPr>
          <w:rFonts w:ascii="Amiri" w:hAnsi="Amiri" w:eastAsia="Amiri" w:cs="Amiri"/>
          <w:color w:val="111111"/>
          <w:sz w:val="28"/>
          <w:sz w:val="28"/>
          <w:szCs w:val="28"/>
          <w:rtl w:val="true"/>
          <w:lang w:bidi="ar-SA"/>
        </w:rPr>
        <w:t>المَسحَ، و لا تَحتَمِلُ‌</w:t>
      </w:r>
      <w:r>
        <w:rPr>
          <w:rStyle w:val="FootnoteAnchor"/>
          <w:rtl w:val="true"/>
        </w:rPr>
        <w:footnoteReference w:id="2633"/>
      </w:r>
      <w:r>
        <w:rPr>
          <w:rFonts w:ascii="Amiri" w:hAnsi="Amiri" w:eastAsia="Amiri" w:cs="Amiri"/>
          <w:color w:val="111111"/>
          <w:sz w:val="28"/>
          <w:sz w:val="28"/>
          <w:szCs w:val="28"/>
          <w:rtl w:val="true"/>
          <w:lang w:bidi="ar-SA"/>
        </w:rPr>
        <w:t>سِواه، فالواجبُ حَملُ القِراءةِ بالنَّصبِ علىٰ ما يُطابِقُ معنَى القِراءةِ بالجَرِّ؛ لأنّ القِراءتَينِ المُختَلِفتَينِ تَجريانِ‌</w:t>
      </w:r>
      <w:r>
        <w:rPr>
          <w:rStyle w:val="FootnoteAnchor"/>
          <w:rtl w:val="true"/>
        </w:rPr>
        <w:footnoteReference w:id="2634"/>
      </w:r>
      <w:r>
        <w:rPr>
          <w:rFonts w:ascii="Amiri" w:hAnsi="Amiri" w:eastAsia="Amiri" w:cs="Amiri"/>
          <w:color w:val="111111"/>
          <w:sz w:val="28"/>
          <w:sz w:val="28"/>
          <w:szCs w:val="28"/>
          <w:rtl w:val="true"/>
          <w:lang w:bidi="ar-SA"/>
        </w:rPr>
        <w:t>مَجرَى الآيتَينِ‌</w:t>
      </w:r>
      <w:r>
        <w:rPr>
          <w:rStyle w:val="FootnoteAnchor"/>
          <w:rtl w:val="true"/>
        </w:rPr>
        <w:footnoteReference w:id="2635"/>
      </w:r>
      <w:r>
        <w:rPr>
          <w:rFonts w:ascii="Amiri" w:hAnsi="Amiri" w:eastAsia="Amiri" w:cs="Amiri"/>
          <w:color w:val="111111"/>
          <w:sz w:val="28"/>
          <w:sz w:val="28"/>
          <w:szCs w:val="28"/>
          <w:rtl w:val="true"/>
          <w:lang w:bidi="ar-SA"/>
        </w:rPr>
        <w:t>في وجوبِ المُطابَقةِ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يُرجِّحُ أيضاً</w:t>
      </w:r>
      <w:r>
        <w:rPr>
          <w:rStyle w:val="FootnoteAnchor"/>
          <w:rtl w:val="true"/>
        </w:rPr>
        <w:footnoteReference w:id="2636"/>
      </w:r>
      <w:r>
        <w:rPr>
          <w:rFonts w:ascii="Amiri" w:hAnsi="Amiri" w:eastAsia="Amiri" w:cs="Amiri"/>
          <w:color w:val="111111"/>
          <w:sz w:val="28"/>
          <w:sz w:val="28"/>
          <w:szCs w:val="28"/>
          <w:rtl w:val="true"/>
          <w:lang w:bidi="ar-SA"/>
        </w:rPr>
        <w:t>القِراءةَ بالجَرِّ للأرجُلِ علَى القِراءةِ بالنَّصبِ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نَصَبَ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أيضاً أن يَكونَ محمولاً علَى المَسحِ، كما قالوا</w:t>
      </w:r>
      <w:r>
        <w:rPr>
          <w:rStyle w:val="FootnoteAnchor"/>
          <w:rtl w:val="true"/>
        </w:rPr>
        <w:footnoteReference w:id="26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 و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فحَمَلوا عَمراً علىٰ مَوضِعِ الجارِّ و المجرورِ، حَيثُ كانا في مَوضِعِ نَصبٍ؛ فلِمَ لا يَقولونَ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الجَرَّ أحسَنُ، و إنّ المَسحَ أَولىٰ مِن الغَسلِ؛ لتجويزِ القراءتَينِ جميعاً المَسحَ‌</w:t>
      </w:r>
      <w:r>
        <w:rPr>
          <w:rStyle w:val="FootnoteAnchor"/>
          <w:rtl w:val="true"/>
        </w:rPr>
        <w:footnoteReference w:id="2638"/>
      </w:r>
      <w:r>
        <w:rPr>
          <w:rFonts w:ascii="IRNazanin" w:hAnsi="IRNazanin" w:eastAsia="IRNazanin"/>
          <w:color w:val="111111"/>
          <w:sz w:val="28"/>
          <w:sz w:val="28"/>
          <w:szCs w:val="28"/>
          <w:rtl w:val="true"/>
          <w:lang w:bidi="fa-IR"/>
        </w:rPr>
        <w:t>، و</w:t>
      </w:r>
      <w:r>
        <w:rPr>
          <w:rStyle w:val="FootnoteAnchor"/>
          <w:rtl w:val="true"/>
        </w:rPr>
        <w:footnoteReference w:id="2639"/>
      </w:r>
      <w:r>
        <w:rPr>
          <w:rFonts w:ascii="Amiri" w:hAnsi="Amiri" w:eastAsia="Amiri" w:cs="Amiri"/>
          <w:color w:val="111111"/>
          <w:sz w:val="28"/>
          <w:sz w:val="28"/>
          <w:szCs w:val="28"/>
          <w:rtl w:val="true"/>
          <w:lang w:bidi="ar-SA"/>
        </w:rPr>
        <w:t>لأنّ مَن نَصَبَ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قولِه أن يُريدَ المَسحَ و إنّما</w:t>
      </w:r>
      <w:r>
        <w:rPr>
          <w:rStyle w:val="FootnoteAnchor"/>
          <w:rtl w:val="true"/>
        </w:rPr>
        <w:footnoteReference w:id="2640"/>
      </w:r>
      <w:r>
        <w:rPr>
          <w:rFonts w:ascii="Amiri" w:hAnsi="Amiri" w:eastAsia="Amiri" w:cs="Amiri"/>
          <w:color w:val="111111"/>
          <w:sz w:val="28"/>
          <w:sz w:val="28"/>
          <w:szCs w:val="28"/>
          <w:rtl w:val="true"/>
          <w:lang w:bidi="ar-SA"/>
        </w:rPr>
        <w:t xml:space="preserve">نَصَبَ للحَملِ علَى المَوضِعِ، و الذي 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إلّاعلَى المَسحِ دونَ الغَسلِ؟ </w:t>
      </w:r>
    </w:p>
    <w:p>
      <w:pPr>
        <w:pStyle w:val="BookText"/>
        <w:rPr/>
      </w:pPr>
      <w:r>
        <w:rPr>
          <w:rFonts w:ascii="Amiri" w:hAnsi="Amiri" w:eastAsia="Amiri" w:cs="Amiri"/>
          <w:color w:val="111111"/>
          <w:sz w:val="28"/>
          <w:sz w:val="28"/>
          <w:szCs w:val="28"/>
          <w:rtl w:val="true"/>
          <w:lang w:bidi="ar-SA"/>
        </w:rPr>
        <w:t>و كَيفَ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أَولىٰ مِن</w:t>
      </w:r>
      <w:r>
        <w:rPr>
          <w:rStyle w:val="FootnoteAnchor"/>
          <w:rtl w:val="true"/>
        </w:rPr>
        <w:footnoteReference w:id="2641"/>
      </w:r>
      <w:r>
        <w:rPr>
          <w:rFonts w:ascii="Amiri" w:hAnsi="Amiri" w:eastAsia="Amiri" w:cs="Amiri"/>
          <w:color w:val="111111"/>
          <w:sz w:val="28"/>
          <w:sz w:val="28"/>
          <w:szCs w:val="28"/>
          <w:rtl w:val="true"/>
          <w:lang w:bidi="ar-SA"/>
        </w:rPr>
        <w:t>الغَسلِ؛ لجَوازِه في القِراءتَينِ جميعاً، و انفرادِ الجَرِّ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بالمَسحِ مِن غيرِ أن يَحتَمِلَ غيرَه؟</w:t>
      </w:r>
    </w:p>
    <w:p>
      <w:pPr>
        <w:pStyle w:val="BookText"/>
        <w:rPr/>
      </w:pPr>
      <w:r>
        <w:rPr>
          <w:rFonts w:ascii="Amiri" w:hAnsi="Amiri" w:eastAsia="Amiri" w:cs="Amiri"/>
          <w:color w:val="111111"/>
          <w:sz w:val="28"/>
          <w:sz w:val="28"/>
          <w:szCs w:val="28"/>
          <w:rtl w:val="true"/>
          <w:lang w:bidi="ar-SA"/>
        </w:rPr>
        <w:t>و القولُ في ذلكَ‌</w:t>
      </w:r>
      <w:r>
        <w:rPr>
          <w:rStyle w:val="FootnoteAnchor"/>
          <w:rtl w:val="true"/>
        </w:rPr>
        <w:footnoteReference w:id="2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مَوضِعِ الجارِّ و المجرورِ في الآيةِ لا يَستَقيمُ؛ لمُخالَفتِه ما عليه يُفَسَّرُ</w:t>
      </w:r>
      <w:r>
        <w:rPr>
          <w:rStyle w:val="FootnoteAnchor"/>
          <w:rtl w:val="true"/>
        </w:rPr>
        <w:footnoteReference w:id="2643"/>
      </w:r>
      <w:r>
        <w:rPr>
          <w:rFonts w:ascii="Amiri" w:hAnsi="Amiri" w:eastAsia="Amiri" w:cs="Amiri"/>
          <w:color w:val="111111"/>
          <w:sz w:val="28"/>
          <w:sz w:val="28"/>
          <w:szCs w:val="28"/>
          <w:rtl w:val="true"/>
          <w:lang w:bidi="ar-SA"/>
        </w:rPr>
        <w:t>التنزيلُ‌</w:t>
      </w:r>
      <w:r>
        <w:rPr>
          <w:rStyle w:val="FootnoteAnchor"/>
          <w:rtl w:val="true"/>
        </w:rPr>
        <w:footnoteReference w:id="2644"/>
      </w:r>
      <w:r>
        <w:rPr>
          <w:rFonts w:ascii="Amiri" w:hAnsi="Amiri" w:eastAsia="Amiri" w:cs="Amiri"/>
          <w:color w:val="111111"/>
          <w:sz w:val="28"/>
          <w:sz w:val="28"/>
          <w:szCs w:val="28"/>
          <w:rtl w:val="true"/>
          <w:lang w:bidi="ar-SA"/>
        </w:rPr>
        <w:t>في هذا النحوِ؛ و ذلكَ أنّا وَجَدنا في التنزيلِ العامِلَينِ إذا اجتَمَعا حُمِلَ الكلامُ علَى العاملِ الثاني</w:t>
      </w:r>
      <w:r>
        <w:rPr>
          <w:rStyle w:val="FootnoteAnchor"/>
          <w:rtl w:val="true"/>
        </w:rPr>
        <w:footnoteReference w:id="2645"/>
      </w:r>
      <w:r>
        <w:rPr>
          <w:rFonts w:ascii="Amiri" w:hAnsi="Amiri" w:eastAsia="Amiri" w:cs="Amiri"/>
          <w:color w:val="111111"/>
          <w:sz w:val="28"/>
          <w:sz w:val="28"/>
          <w:szCs w:val="28"/>
          <w:rtl w:val="true"/>
          <w:lang w:bidi="ar-SA"/>
        </w:rPr>
        <w:t>الأقرَبِ إلَى المعمولِ فيه دونَ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نَحوِ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آتُونِي أُفْرِغْ عَلَيْهِ قِطْراً</w:t>
      </w:r>
      <w:r>
        <w:rPr>
          <w:rFonts w:eastAsia="Amiri" w:cs="Amiri" w:ascii="Amiri" w:hAnsi="Amiri"/>
          <w:color w:val="111111"/>
          <w:sz w:val="28"/>
          <w:szCs w:val="28"/>
          <w:rtl w:val="true"/>
          <w:lang w:bidi="ar-SA"/>
        </w:rPr>
        <w:t xml:space="preserve">» </w:t>
      </w:r>
      <w:r>
        <w:rPr>
          <w:rStyle w:val="FootnoteAnchor"/>
          <w:rtl w:val="true"/>
        </w:rPr>
        <w:footnoteReference w:id="2646"/>
      </w:r>
      <w:r>
        <w:rPr>
          <w:rFonts w:ascii="Amiri" w:hAnsi="Amiri" w:eastAsia="Amiri" w:cs="Amiri"/>
          <w:color w:val="111111"/>
          <w:sz w:val="28"/>
          <w:sz w:val="28"/>
          <w:szCs w:val="28"/>
          <w:rtl w:val="true"/>
          <w:lang w:bidi="ar-SA"/>
        </w:rPr>
        <w:t xml:space="preserve">حُمِلَ علَى العاملِ الثاني الأقرَبِ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الأوّلِ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حُمِلَ علَى الأوّلِ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آتُونِي أُفْرِغْ عَلَيْهِ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قِطْراً أُفرِغْه</w:t>
      </w:r>
      <w:r>
        <w:rPr>
          <w:rStyle w:val="FootnoteAnchor"/>
          <w:rtl w:val="true"/>
        </w:rPr>
        <w:footnoteReference w:id="2647"/>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xml:space="preserve">» </w:t>
      </w:r>
      <w:r>
        <w:rPr>
          <w:rStyle w:val="FootnoteAnchor"/>
          <w:rtl w:val="true"/>
        </w:rPr>
        <w:footnoteReference w:id="2648"/>
      </w:r>
      <w:r>
        <w:rPr>
          <w:rFonts w:ascii="Amiri" w:hAnsi="Amiri" w:eastAsia="Amiri" w:cs="Amiri"/>
          <w:color w:val="111111"/>
          <w:sz w:val="28"/>
          <w:sz w:val="28"/>
          <w:szCs w:val="28"/>
          <w:rtl w:val="true"/>
          <w:lang w:bidi="ar-SA"/>
        </w:rPr>
        <w:t xml:space="preserve">أُعمِلَ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أُعمِلَ الأوّلُ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2649"/>
      </w:r>
      <w:r>
        <w:rPr>
          <w:rFonts w:ascii="Amiri" w:hAnsi="Amiri" w:eastAsia="Amiri" w:cs="Amiri"/>
          <w:color w:val="111111"/>
          <w:sz w:val="28"/>
          <w:sz w:val="28"/>
          <w:szCs w:val="28"/>
          <w:rtl w:val="true"/>
          <w:lang w:bidi="ar-SA"/>
        </w:rPr>
        <w:t>يَستَفتونَكَ في الكَلالةِ‌</w:t>
      </w:r>
      <w:r>
        <w:rPr>
          <w:rStyle w:val="FootnoteAnchor"/>
          <w:rtl w:val="true"/>
        </w:rPr>
        <w:footnoteReference w:id="2650"/>
      </w:r>
      <w:r>
        <w:rPr>
          <w:rFonts w:ascii="Amiri" w:hAnsi="Amiri" w:eastAsia="Amiri" w:cs="Amiri"/>
          <w:color w:val="111111"/>
          <w:sz w:val="28"/>
          <w:sz w:val="28"/>
          <w:szCs w:val="28"/>
          <w:rtl w:val="true"/>
          <w:lang w:bidi="ar-SA"/>
        </w:rPr>
        <w:t>، قُلِ اللّٰهُ يُفتيكُم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 xml:space="preserve">» </w:t>
      </w:r>
      <w:r>
        <w:rPr>
          <w:rStyle w:val="FootnoteAnchor"/>
          <w:rtl w:val="true"/>
        </w:rPr>
        <w:footnoteReference w:id="2651"/>
      </w:r>
      <w:r>
        <w:rPr>
          <w:rFonts w:ascii="Amiri" w:hAnsi="Amiri" w:eastAsia="Amiri" w:cs="Amiri"/>
          <w:color w:val="111111"/>
          <w:sz w:val="28"/>
          <w:sz w:val="28"/>
          <w:szCs w:val="28"/>
          <w:rtl w:val="true"/>
          <w:lang w:bidi="ar-SA"/>
        </w:rPr>
        <w:t>أُعمِلَ الأقرَبُ مِن العاملَينِ،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أُعمِلَ‌</w:t>
      </w:r>
      <w:r>
        <w:rPr>
          <w:rStyle w:val="FootnoteAnchor"/>
          <w:rtl w:val="true"/>
        </w:rPr>
        <w:footnoteReference w:id="2652"/>
      </w:r>
      <w:r>
        <w:rPr>
          <w:rFonts w:ascii="Amiri" w:hAnsi="Amiri" w:eastAsia="Amiri" w:cs="Amiri"/>
          <w:color w:val="111111"/>
          <w:sz w:val="28"/>
          <w:sz w:val="28"/>
          <w:szCs w:val="28"/>
          <w:rtl w:val="true"/>
          <w:lang w:bidi="ar-SA"/>
        </w:rPr>
        <w:t xml:space="preserve">الأوّلُ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هاؤم كتابيَ اقْرَءُوه</w:t>
      </w:r>
      <w:r>
        <w:rPr>
          <w:rFonts w:eastAsia="Amiri" w:cs="Amiri" w:ascii="Amiri" w:hAnsi="Amiri"/>
          <w:color w:val="111111"/>
          <w:sz w:val="28"/>
          <w:szCs w:val="28"/>
          <w:rtl w:val="true"/>
          <w:lang w:bidi="ar-SA"/>
        </w:rPr>
        <w:t>]</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w:t>
      </w:r>
      <w:r>
        <w:rPr>
          <w:rStyle w:val="FootnoteAnchor"/>
          <w:rtl w:val="true"/>
        </w:rPr>
        <w:footnoteReference w:id="2654"/>
      </w:r>
      <w:r>
        <w:rPr>
          <w:rFonts w:ascii="Amiri" w:hAnsi="Amiri" w:eastAsia="Amiri" w:cs="Amiri"/>
          <w:color w:val="111111"/>
          <w:sz w:val="28"/>
          <w:sz w:val="28"/>
          <w:szCs w:val="28"/>
          <w:rtl w:val="true"/>
          <w:lang w:bidi="ar-SA"/>
        </w:rPr>
        <w:t xml:space="preserve">كانَ حُكمُ العاملَينِ إذا اجتَمَعا علىٰ هذا الذي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إعمالِ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منهما إلَى المعمولِ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يَستَقِمْ أن يُترَكَ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الباءِ‌</w:t>
      </w:r>
      <w:r>
        <w:rPr>
          <w:rStyle w:val="FootnoteAnchor"/>
          <w:rtl w:val="true"/>
        </w:rPr>
        <w:footnoteReference w:id="2655"/>
      </w:r>
      <w:r>
        <w:rPr>
          <w:rFonts w:ascii="Amiri" w:hAnsi="Amiri" w:eastAsia="Amiri" w:cs="Amiri"/>
          <w:color w:val="111111"/>
          <w:sz w:val="28"/>
          <w:sz w:val="28"/>
          <w:szCs w:val="28"/>
          <w:rtl w:val="true"/>
          <w:lang w:bidi="ar-SA"/>
        </w:rPr>
        <w:t>التي هي أقرَبُ إليه، و يُحمَلَ علَى الفعلِ؛ لِمُخالَفةِ‌</w:t>
      </w:r>
      <w:r>
        <w:rPr>
          <w:rStyle w:val="FootnoteAnchor"/>
          <w:rtl w:val="true"/>
        </w:rPr>
        <w:footnoteReference w:id="2656"/>
      </w:r>
      <w:r>
        <w:rPr>
          <w:rFonts w:ascii="Amiri" w:hAnsi="Amiri" w:eastAsia="Amiri" w:cs="Amiri"/>
          <w:color w:val="111111"/>
          <w:sz w:val="28"/>
          <w:sz w:val="28"/>
          <w:szCs w:val="28"/>
          <w:rtl w:val="true"/>
          <w:lang w:bidi="ar-SA"/>
        </w:rPr>
        <w:t>ذلكَ ما ذَكَرتُ مِن الآيِ، و أنّ الأكثَرَ في كلامِهم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خَشَّنتُ بصَدرِه</w:t>
      </w:r>
      <w:r>
        <w:rPr>
          <w:rStyle w:val="FootnoteAnchor"/>
          <w:rtl w:val="true"/>
        </w:rPr>
        <w:footnoteReference w:id="2657"/>
      </w:r>
      <w:r>
        <w:rPr>
          <w:rFonts w:ascii="Amiri" w:hAnsi="Amiri" w:eastAsia="Amiri" w:cs="Amiri"/>
          <w:color w:val="111111"/>
          <w:sz w:val="28"/>
          <w:sz w:val="28"/>
          <w:szCs w:val="28"/>
          <w:rtl w:val="true"/>
          <w:lang w:bidi="ar-SA"/>
        </w:rPr>
        <w:t>و صدرِ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المعطوفِ علَى الباءِ، مِن حَيثُ كانَ أقرَبَ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سيبَوَيهِ‌</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Style w:val="FootnoteAnchor"/>
          <w:rtl w:val="true"/>
        </w:rPr>
        <w:footnoteReference w:id="2659"/>
      </w:r>
      <w:r>
        <w:rPr>
          <w:rFonts w:ascii="Amiri" w:hAnsi="Amiri" w:eastAsia="Amiri" w:cs="Amiri"/>
          <w:color w:val="111111"/>
          <w:sz w:val="28"/>
          <w:sz w:val="28"/>
          <w:szCs w:val="28"/>
          <w:rtl w:val="true"/>
          <w:lang w:bidi="ar-SA"/>
        </w:rPr>
        <w:t xml:space="preserve">إذا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حَمَلَ ذلكَ علىٰ أبعَدِ العاملَينِ؛ ألا تَرىٰ أنّه 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الباءِ، و إن كانَ </w:t>
      </w:r>
    </w:p>
    <w:p>
      <w:pPr>
        <w:pStyle w:val="BookText"/>
        <w:rPr/>
      </w:pPr>
      <w:r>
        <w:rPr>
          <w:rFonts w:ascii="Amiri" w:hAnsi="Amiri" w:eastAsia="Amiri" w:cs="Amiri"/>
          <w:color w:val="111111"/>
          <w:sz w:val="28"/>
          <w:sz w:val="28"/>
          <w:szCs w:val="28"/>
          <w:rtl w:val="true"/>
          <w:lang w:bidi="ar-SA"/>
        </w:rPr>
        <w:t>الباءُ أقرَبَ إليه؟ و إذا كانَ الذي نَصَبَ قد حَمَلَ علىٰ أبعَدِ العاملَينِ‌</w:t>
      </w:r>
      <w:r>
        <w:rPr>
          <w:rStyle w:val="FootnoteAnchor"/>
          <w:rtl w:val="true"/>
        </w:rPr>
        <w:footnoteReference w:id="2660"/>
      </w:r>
      <w:r>
        <w:rPr>
          <w:rFonts w:ascii="Amiri" w:hAnsi="Amiri" w:eastAsia="Amiri" w:cs="Amiri"/>
          <w:color w:val="111111"/>
          <w:sz w:val="28"/>
          <w:sz w:val="28"/>
          <w:szCs w:val="28"/>
          <w:rtl w:val="true"/>
          <w:lang w:bidi="ar-SA"/>
        </w:rPr>
        <w:t>، فكَيفَ لا يَجوزُ لِمَن نَصَبَ أن يَتأوَّلَ ما ذَكَرناه مِن حَملِه علىٰ مَوضِعِ الجارِّ و المجرورِ، و يَكونَ تأويلُه جائزاً، و إن لَم يَحمِلْ علَى الباءِ التي هي أقرَبُ إلَى المعمولِ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إن يَحمِلْه علَى الجَرِّ لا يَستَقيمُ في المعنىٰ؛ و إنّما يُحمَلُ علىٰ أقرَبِ العاملَينِ إذا كانَ الحَملُ عليه لا يُفسِدُ معنىً، فإذا أدّىٰ ذلكَ إلىٰ‌</w:t>
      </w:r>
      <w:r>
        <w:rPr>
          <w:rStyle w:val="FootnoteAnchor"/>
          <w:rtl w:val="true"/>
        </w:rPr>
        <w:footnoteReference w:id="2661"/>
      </w:r>
      <w:r>
        <w:rPr>
          <w:rFonts w:ascii="Amiri" w:hAnsi="Amiri" w:eastAsia="Amiri" w:cs="Amiri"/>
          <w:color w:val="111111"/>
          <w:sz w:val="28"/>
          <w:sz w:val="28"/>
          <w:szCs w:val="28"/>
          <w:rtl w:val="true"/>
          <w:lang w:bidi="ar-SA"/>
        </w:rPr>
        <w:t>فَسادِ المعنىٰ عندَه لَم يَحمِلْه علَى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ما تأوَّلناهُ‌</w:t>
      </w:r>
      <w:r>
        <w:rPr>
          <w:rStyle w:val="FootnoteAnchor"/>
          <w:rtl w:val="true"/>
        </w:rPr>
        <w:footnoteReference w:id="2662"/>
      </w:r>
      <w:r>
        <w:rPr>
          <w:rFonts w:ascii="Amiri" w:hAnsi="Amiri" w:eastAsia="Amiri" w:cs="Amiri"/>
          <w:color w:val="111111"/>
          <w:sz w:val="28"/>
          <w:sz w:val="28"/>
          <w:szCs w:val="28"/>
          <w:rtl w:val="true"/>
          <w:lang w:bidi="ar-SA"/>
        </w:rPr>
        <w:t>مِن الآيِ إنّما حُمِلَ فيه على الثاني دونَ الأوّلِ؛ لأنّ الحَملَ علىٰ كُلِّ واحدٍ منهما في المعنىٰ مِثلُ الحَملِ علَى الآخَرِ، فلمّا كانَ كذلكَ أُعمِلَ الأقرَبُ لقُربِه؟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قد احتَمَلوا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لإيثارِهم الحَملَ علَى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يَصِحُّ في المعنىٰ؛ كقولِه</w:t>
      </w:r>
      <w:r>
        <w:rPr>
          <w:rStyle w:val="FootnoteAnchor"/>
          <w:rtl w:val="true"/>
        </w:rPr>
        <w:footnoteReference w:id="26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w:t>
      </w:r>
      <w:r>
        <w:rPr>
          <w:rStyle w:val="FootnoteAnchor"/>
          <w:rtl w:val="true"/>
        </w:rPr>
        <w:footnoteReference w:id="2664"/>
      </w:r>
      <w:r>
        <w:rPr>
          <w:rFonts w:ascii="Amiri" w:hAnsi="Amiri" w:eastAsia="Amiri" w:cs="Amiri"/>
          <w:color w:val="111111"/>
          <w:sz w:val="28"/>
          <w:sz w:val="28"/>
          <w:szCs w:val="28"/>
          <w:rtl w:val="true"/>
          <w:lang w:bidi="ar-SA"/>
        </w:rPr>
        <w:t>غَزلَ العنكبوتِ المُرْمَلِ‌</w:t>
      </w:r>
      <w:r>
        <w:rPr>
          <w:rStyle w:val="FootnoteAnchor"/>
          <w:rtl w:val="true"/>
        </w:rPr>
        <w:footnoteReference w:id="26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صفةِ الغَزلِ، و حَملُه علَى العنكبوتِ مِن حَيثُ كانَ أقرَبَ </w:t>
      </w:r>
    </w:p>
    <w:p>
      <w:pPr>
        <w:pStyle w:val="BookText"/>
        <w:rPr/>
      </w:pPr>
      <w:r>
        <w:rPr>
          <w:rFonts w:ascii="Amiri" w:hAnsi="Amiri" w:eastAsia="Amiri" w:cs="Amiri"/>
          <w:color w:val="111111"/>
          <w:sz w:val="28"/>
          <w:sz w:val="28"/>
          <w:szCs w:val="28"/>
          <w:rtl w:val="true"/>
          <w:lang w:bidi="ar-SA"/>
        </w:rPr>
        <w:t>إليه مِن الغَزلِ؛ فإذا صَحَّ المعنىٰ مع الأقرَبِ فلا مَذهَبَ عن</w:t>
      </w:r>
      <w:r>
        <w:rPr>
          <w:rStyle w:val="FootnoteAnchor"/>
          <w:rtl w:val="true"/>
        </w:rPr>
        <w:footnoteReference w:id="2666"/>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صَدرُ هذا الفَصلِ مِن كلامِكَ، فهو كُلُّه عليكَ، لا لكَ‌</w:t>
      </w:r>
      <w:r>
        <w:rPr>
          <w:rStyle w:val="FootnoteAnchor"/>
          <w:rtl w:val="true"/>
        </w:rPr>
        <w:footnoteReference w:id="2668"/>
      </w:r>
      <w:r>
        <w:rPr>
          <w:rFonts w:ascii="Amiri" w:hAnsi="Amiri" w:eastAsia="Amiri" w:cs="Amiri"/>
          <w:color w:val="111111"/>
          <w:sz w:val="28"/>
          <w:sz w:val="28"/>
          <w:szCs w:val="28"/>
          <w:rtl w:val="true"/>
          <w:lang w:bidi="ar-SA"/>
        </w:rPr>
        <w:t>، و قد نَطَقتَ‌</w:t>
      </w:r>
      <w:r>
        <w:rPr>
          <w:rStyle w:val="FootnoteAnchor"/>
          <w:rtl w:val="true"/>
        </w:rPr>
        <w:footnoteReference w:id="2669"/>
      </w:r>
      <w:r>
        <w:rPr>
          <w:rFonts w:ascii="Amiri" w:hAnsi="Amiri" w:eastAsia="Amiri" w:cs="Amiri"/>
          <w:color w:val="111111"/>
          <w:sz w:val="28"/>
          <w:sz w:val="28"/>
          <w:szCs w:val="28"/>
          <w:rtl w:val="true"/>
          <w:lang w:bidi="ar-SA"/>
        </w:rPr>
        <w:t>فيه بلِسانِ مَن نَصَرَ</w:t>
      </w:r>
      <w:r>
        <w:rPr>
          <w:rStyle w:val="FootnoteAnchor"/>
          <w:rtl w:val="true"/>
        </w:rPr>
        <w:footnoteReference w:id="2670"/>
      </w:r>
      <w:r>
        <w:rPr>
          <w:rFonts w:ascii="Amiri" w:hAnsi="Amiri" w:eastAsia="Amiri" w:cs="Amiri"/>
          <w:color w:val="111111"/>
          <w:sz w:val="28"/>
          <w:sz w:val="28"/>
          <w:szCs w:val="28"/>
          <w:rtl w:val="true"/>
          <w:lang w:bidi="ar-SA"/>
        </w:rPr>
        <w:t>المَسحَ في الآيةِ، و استَشهَدتَ مِن</w:t>
      </w:r>
      <w:r>
        <w:rPr>
          <w:rStyle w:val="FootnoteAnchor"/>
          <w:rtl w:val="true"/>
        </w:rPr>
        <w:footnoteReference w:id="2671"/>
      </w:r>
      <w:r>
        <w:rPr>
          <w:rFonts w:ascii="Amiri" w:hAnsi="Amiri" w:eastAsia="Amiri" w:cs="Amiri"/>
          <w:color w:val="111111"/>
          <w:sz w:val="28"/>
          <w:sz w:val="28"/>
          <w:szCs w:val="28"/>
          <w:rtl w:val="true"/>
          <w:lang w:bidi="ar-SA"/>
        </w:rPr>
        <w:t>إعمالِ الثاني مِن العاملَينِ دونَ الأوّلِ بما استَشهَدنا نَحنُ به في نُصرةِ هذه المَسألةِ، و الردِّ علىٰ مَن أوجَبَ الغَسلَ بها دونَ المَسحِ؛ فكأنّكَ علَى الحَقيقةِ إنّما حَقَّقتَ مِن وجوبِ إعمالِ العاملِ الثاني دونَ الأوّلِ لِما</w:t>
      </w:r>
      <w:r>
        <w:rPr>
          <w:rStyle w:val="FootnoteAnchor"/>
          <w:rtl w:val="true"/>
        </w:rPr>
        <w:footnoteReference w:id="2672"/>
      </w:r>
      <w:r>
        <w:rPr>
          <w:rFonts w:ascii="Amiri" w:hAnsi="Amiri" w:eastAsia="Amiri" w:cs="Amiri"/>
          <w:color w:val="111111"/>
          <w:sz w:val="28"/>
          <w:sz w:val="28"/>
          <w:szCs w:val="28"/>
          <w:rtl w:val="true"/>
          <w:lang w:bidi="ar-SA"/>
        </w:rPr>
        <w:t>هو شاهدٌ عليكَ، لا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سَألتَ نفسَكَ عن السؤالِ الذي فَطِنتَ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w:t>
      </w:r>
      <w:r>
        <w:rPr>
          <w:rStyle w:val="FootnoteAnchor"/>
          <w:rtl w:val="true"/>
        </w:rPr>
        <w:footnoteReference w:id="2673"/>
      </w:r>
      <w:r>
        <w:rPr>
          <w:rFonts w:ascii="Amiri" w:hAnsi="Amiri" w:eastAsia="Amiri" w:cs="Amiri"/>
          <w:color w:val="111111"/>
          <w:sz w:val="28"/>
          <w:sz w:val="28"/>
          <w:szCs w:val="28"/>
          <w:rtl w:val="true"/>
          <w:lang w:bidi="ar-SA"/>
        </w:rPr>
        <w:t xml:space="preserve">ما حَقَّقتُه و بَسَطتُه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إلىٰ دعوىً طريفةٍ‌</w:t>
      </w:r>
      <w:r>
        <w:rPr>
          <w:rStyle w:val="FootnoteAnchor"/>
          <w:rtl w:val="true"/>
        </w:rPr>
        <w:footnoteReference w:id="2674"/>
      </w:r>
      <w:r>
        <w:rPr>
          <w:rFonts w:ascii="Amiri" w:hAnsi="Amiri" w:eastAsia="Amiri" w:cs="Amiri"/>
          <w:color w:val="111111"/>
          <w:sz w:val="28"/>
          <w:sz w:val="28"/>
          <w:szCs w:val="28"/>
          <w:rtl w:val="true"/>
          <w:lang w:bidi="ar-SA"/>
        </w:rPr>
        <w:t>، و مُنيةٍ‌</w:t>
      </w:r>
      <w:r>
        <w:rPr>
          <w:rStyle w:val="FootnoteAnchor"/>
          <w:rtl w:val="true"/>
        </w:rPr>
        <w:footnoteReference w:id="2675"/>
      </w:r>
      <w:r>
        <w:rPr>
          <w:rFonts w:ascii="Amiri" w:hAnsi="Amiri" w:eastAsia="Amiri" w:cs="Amiri"/>
          <w:color w:val="111111"/>
          <w:sz w:val="28"/>
          <w:sz w:val="28"/>
          <w:szCs w:val="28"/>
          <w:rtl w:val="true"/>
          <w:lang w:bidi="ar-SA"/>
        </w:rPr>
        <w:t>مِن أينَ لكَ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يَعمَلُ الثاني دونَ الأوّلِ، بحَيثُ يَستَقيمُ المعنىٰ و لا يَفسُدُ؛ فمِن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بمَسحِ الأرجُلِ يَؤولُ إلىٰ فَسادٍ، و أنّه مما لا يَستَقيمُ؟</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كانَ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جهةِ التقديرِ عندَ كُلِّ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w:t>
      </w:r>
      <w:r>
        <w:rPr>
          <w:rStyle w:val="FootnoteAnchor"/>
          <w:rtl w:val="true"/>
        </w:rPr>
        <w:footnoteReference w:id="2676"/>
      </w:r>
      <w:r>
        <w:rPr>
          <w:rFonts w:ascii="Amiri" w:hAnsi="Amiri" w:eastAsia="Amiri" w:cs="Amiri"/>
          <w:color w:val="111111"/>
          <w:sz w:val="28"/>
          <w:sz w:val="28"/>
          <w:szCs w:val="28"/>
          <w:rtl w:val="true"/>
          <w:lang w:bidi="ar-SA"/>
        </w:rPr>
        <w:t xml:space="preserve">اللّٰهُ تَعالىٰ نَصّاً </w:t>
      </w:r>
    </w:p>
    <w:p>
      <w:pPr>
        <w:pStyle w:val="BookText"/>
        <w:rPr/>
      </w:pPr>
      <w:r>
        <w:rPr>
          <w:rFonts w:ascii="Amiri" w:hAnsi="Amiri" w:eastAsia="Amiri" w:cs="Amiri"/>
          <w:color w:val="111111"/>
          <w:sz w:val="28"/>
          <w:sz w:val="28"/>
          <w:szCs w:val="28"/>
          <w:rtl w:val="true"/>
          <w:lang w:bidi="ar-SA"/>
        </w:rPr>
        <w:t>صَريحاً علىٰ أنّ حُكمَ الأرجُلِ المَسحُ، كما كانَ ذلكَ حُكماً للرُّؤوسِ؟ و هَل يَدفَعُ جوازَ ذلكَ إلّامُكابِرٌ لنفسِه و حِسِّه</w:t>
      </w:r>
      <w:r>
        <w:rPr>
          <w:rStyle w:val="FootnoteAnchor"/>
          <w:rtl w:val="true"/>
        </w:rPr>
        <w:footnoteReference w:id="26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إلّاأن تَدَّعيَ‌</w:t>
      </w:r>
      <w:r>
        <w:rPr>
          <w:rStyle w:val="FootnoteAnchor"/>
          <w:rtl w:val="true"/>
        </w:rPr>
        <w:footnoteReference w:id="2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عَلِمتَ قَبلَ نَظَرِكَ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يوجِبُه في الأرجُلِ مِن غَسلٍ أو 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2679"/>
      </w:r>
      <w:r>
        <w:rPr>
          <w:rFonts w:ascii="Amiri" w:hAnsi="Amiri" w:eastAsia="Amiri" w:cs="Amiri"/>
          <w:color w:val="111111"/>
          <w:sz w:val="28"/>
          <w:sz w:val="28"/>
          <w:szCs w:val="28"/>
          <w:rtl w:val="true"/>
          <w:lang w:bidi="ar-SA"/>
        </w:rPr>
        <w:t>حُكمَ الأرجُلِ الغَسلُ دونَ المَسحِ، فبَنَيتَ‌</w:t>
      </w:r>
      <w:r>
        <w:rPr>
          <w:rStyle w:val="FootnoteAnchor"/>
          <w:rtl w:val="true"/>
        </w:rPr>
        <w:footnoteReference w:id="2680"/>
      </w:r>
      <w:r>
        <w:rPr>
          <w:rFonts w:ascii="Amiri" w:hAnsi="Amiri" w:eastAsia="Amiri" w:cs="Amiri"/>
          <w:color w:val="111111"/>
          <w:sz w:val="28"/>
          <w:sz w:val="28"/>
          <w:szCs w:val="28"/>
          <w:rtl w:val="true"/>
          <w:lang w:bidi="ar-SA"/>
        </w:rPr>
        <w:t>الآيةَ علىٰ عِلمِكَ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يَجِبُ أن تُبيِّنَ‌</w:t>
      </w:r>
      <w:r>
        <w:rPr>
          <w:rStyle w:val="FootnoteAnchor"/>
          <w:rtl w:val="true"/>
        </w:rPr>
        <w:footnoteReference w:id="2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ذلكَ؛ حتّىٰ بَنَيتَ‌</w:t>
      </w:r>
      <w:r>
        <w:rPr>
          <w:rStyle w:val="FootnoteAnchor"/>
          <w:rtl w:val="true"/>
        </w:rPr>
        <w:footnoteReference w:id="2682"/>
      </w:r>
      <w:r>
        <w:rPr>
          <w:rFonts w:ascii="Amiri" w:hAnsi="Amiri" w:eastAsia="Amiri" w:cs="Amiri"/>
          <w:color w:val="111111"/>
          <w:sz w:val="28"/>
          <w:sz w:val="28"/>
          <w:szCs w:val="28"/>
          <w:rtl w:val="true"/>
          <w:lang w:bidi="ar-SA"/>
        </w:rPr>
        <w:t>عليه حُكمَ الآيةِ؛ و حتّىٰ‌</w:t>
      </w:r>
      <w:r>
        <w:rPr>
          <w:rStyle w:val="FootnoteAnchor"/>
          <w:rtl w:val="true"/>
        </w:rPr>
        <w:footnoteReference w:id="2683"/>
      </w:r>
      <w:r>
        <w:rPr>
          <w:rFonts w:ascii="Amiri" w:hAnsi="Amiri" w:eastAsia="Amiri" w:cs="Amiri"/>
          <w:color w:val="111111"/>
          <w:sz w:val="28"/>
          <w:sz w:val="28"/>
          <w:szCs w:val="28"/>
          <w:rtl w:val="true"/>
          <w:lang w:bidi="ar-SA"/>
        </w:rPr>
        <w:t>ساغَ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يَعمَلُ العامِلُ الأقرَبُ بحَيثُ يَستَقيمُ و لا يَفسُدُ؟</w:t>
      </w:r>
    </w:p>
    <w:p>
      <w:pPr>
        <w:pStyle w:val="BookText"/>
        <w:rPr/>
      </w:pPr>
      <w:r>
        <w:rPr>
          <w:rFonts w:ascii="Amiri" w:hAnsi="Amiri" w:eastAsia="Amiri" w:cs="Amiri"/>
          <w:color w:val="111111"/>
          <w:sz w:val="28"/>
          <w:sz w:val="28"/>
          <w:szCs w:val="28"/>
          <w:rtl w:val="true"/>
          <w:lang w:bidi="ar-SA"/>
        </w:rPr>
        <w:t>و كُلُّ هذا إخلالٌ مِنكَ بما يَلزَمُكَ</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البَيتُ الذي أنشَدتَه، فلَيسَ مِن البابِ الذي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ترجيحِ إعمالِ الثاني مِن العامِلَينِ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يَتعلَّقُ به مَن نَصَرَ</w:t>
      </w:r>
      <w:r>
        <w:rPr>
          <w:rStyle w:val="FootnoteAnchor"/>
          <w:rtl w:val="true"/>
        </w:rPr>
        <w:footnoteReference w:id="2684"/>
      </w:r>
      <w:r>
        <w:rPr>
          <w:rFonts w:ascii="Amiri" w:hAnsi="Amiri" w:eastAsia="Amiri" w:cs="Amiri"/>
          <w:color w:val="111111"/>
          <w:sz w:val="28"/>
          <w:sz w:val="28"/>
          <w:szCs w:val="28"/>
          <w:rtl w:val="true"/>
          <w:lang w:bidi="ar-SA"/>
        </w:rPr>
        <w:t>الإعرابَ بالمُجاوَرةِ، كما استَشهَدوا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w:t>
      </w:r>
      <w:r>
        <w:rPr>
          <w:rStyle w:val="FootnoteAnchor"/>
          <w:rtl w:val="true"/>
        </w:rPr>
        <w:footnoteReference w:id="2685"/>
      </w:r>
      <w:r>
        <w:rPr>
          <w:rFonts w:ascii="Amiri" w:hAnsi="Amiri" w:eastAsia="Amiri" w:cs="Amiri"/>
          <w:color w:val="111111"/>
          <w:sz w:val="28"/>
          <w:sz w:val="28"/>
          <w:szCs w:val="28"/>
          <w:rtl w:val="true"/>
          <w:lang w:bidi="ar-SA"/>
        </w:rPr>
        <w:t>ضَبٍّ خَرِبٍ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 الشاعرِ</w:t>
      </w:r>
      <w:r>
        <w:rPr>
          <w:rStyle w:val="FootnoteAnchor"/>
          <w:rtl w:val="true"/>
        </w:rPr>
        <w:footnoteReference w:id="26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كَبيرُ </w:t>
      </w:r>
    </w:p>
    <w:p>
      <w:pPr>
        <w:pStyle w:val="BookText"/>
        <w:rPr/>
      </w:pPr>
      <w:r>
        <w:rPr>
          <w:rFonts w:ascii="Amiri" w:hAnsi="Amiri" w:eastAsia="Amiri" w:cs="Amiri"/>
          <w:color w:val="111111"/>
          <w:sz w:val="28"/>
          <w:sz w:val="28"/>
          <w:szCs w:val="28"/>
          <w:rtl w:val="true"/>
          <w:lang w:bidi="ar-SA"/>
        </w:rPr>
        <w:t>أُناسٍ في بِجادٍ</w:t>
      </w:r>
      <w:r>
        <w:rPr>
          <w:rStyle w:val="FootnoteAnchor"/>
          <w:rtl w:val="true"/>
        </w:rPr>
        <w:footnoteReference w:id="2687"/>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بيّنّا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الإعرابِ بالمُجاوَرةِ بكلامٍ كالشمسِ وضوحاً، و تَكلَّمنا علىٰ كُلِّ شَيءٍ تَعلَّقَ به أصحابُ المُجاوَرةِ</w:t>
      </w:r>
      <w:r>
        <w:rPr>
          <w:rFonts w:eastAsia="Amiri" w:cs="Amiri" w:ascii="Amiri" w:hAnsi="Amiri"/>
          <w:color w:val="111111"/>
          <w:sz w:val="28"/>
          <w:szCs w:val="28"/>
          <w:rtl w:val="true"/>
          <w:lang w:bidi="ar-SA"/>
        </w:rPr>
        <w:t>.</w:t>
      </w:r>
      <w:r>
        <w:rPr>
          <w:rStyle w:val="FootnoteAnchor"/>
          <w:rtl w:val="true"/>
        </w:rPr>
        <w:footnoteReference w:id="2689"/>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قد خَطَرَ لي في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غَزلَ العنكبوتِ المُرْمَلِ‌</w:t>
      </w:r>
      <w:r>
        <w:rPr>
          <w:rStyle w:val="FootnoteAnchor"/>
          <w:rtl w:val="true"/>
        </w:rPr>
        <w:footnoteReference w:id="2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ما</w:t>
      </w:r>
      <w:r>
        <w:rPr>
          <w:rStyle w:val="FootnoteAnchor"/>
          <w:rtl w:val="true"/>
        </w:rPr>
        <w:footnoteReference w:id="2691"/>
      </w:r>
      <w:r>
        <w:rPr>
          <w:rFonts w:ascii="Amiri" w:hAnsi="Amiri" w:eastAsia="Amiri" w:cs="Amiri"/>
          <w:color w:val="111111"/>
          <w:sz w:val="28"/>
          <w:sz w:val="28"/>
          <w:szCs w:val="28"/>
          <w:rtl w:val="true"/>
          <w:lang w:bidi="ar-SA"/>
        </w:rPr>
        <w:t xml:space="preserve">رأيتُه لأحَدٍ، و لا وَقَعَ لي مُتقدِّماً، و هو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العنكبوتِ، لا للغَزلِ، و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r>
        <w:rPr>
          <w:rStyle w:val="FootnoteAnchor"/>
          <w:rtl w:val="true"/>
        </w:rPr>
        <w:footnoteReference w:id="2692"/>
      </w:r>
      <w:r>
        <w:rPr>
          <w:rFonts w:ascii="Amiri" w:hAnsi="Amiri" w:eastAsia="Amiri" w:cs="Amiri"/>
          <w:color w:val="111111"/>
          <w:sz w:val="28"/>
          <w:sz w:val="28"/>
          <w:szCs w:val="28"/>
          <w:rtl w:val="true"/>
          <w:lang w:bidi="ar-SA"/>
        </w:rPr>
        <w:t>لأنّ العنكبوتَ رُبَّما يَنسِجُ بَيتَه في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حَمَلَت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w:t>
      </w:r>
      <w:r>
        <w:rPr>
          <w:rStyle w:val="FootnoteAnchor"/>
          <w:rtl w:val="true"/>
        </w:rPr>
        <w:footnoteReference w:id="2693"/>
      </w:r>
      <w:r>
        <w:rPr>
          <w:rFonts w:ascii="Amiri" w:hAnsi="Amiri" w:eastAsia="Amiri" w:cs="Amiri"/>
          <w:color w:val="111111"/>
          <w:sz w:val="28"/>
          <w:sz w:val="28"/>
          <w:szCs w:val="28"/>
          <w:rtl w:val="true"/>
          <w:lang w:bidi="ar-SA"/>
        </w:rPr>
        <w:t xml:space="preserve">صفةٌ للغَزلِ، مِن حَيثُ ذَهَبوا في هذه اللفظةِ إلىٰ أنّها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أرمَلتُ الثوبَ أو الحصيرَ، و رَمَلتُه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النَّسجُ لا يَليقُ بالعنكبوتِ نفسِه</w:t>
      </w:r>
      <w:r>
        <w:rPr>
          <w:rStyle w:val="FootnoteAnchor"/>
          <w:rtl w:val="true"/>
        </w:rPr>
        <w:footnoteReference w:id="2694"/>
      </w:r>
      <w:r>
        <w:rPr>
          <w:rFonts w:ascii="Amiri" w:hAnsi="Amiri" w:eastAsia="Amiri" w:cs="Amiri"/>
          <w:color w:val="111111"/>
          <w:sz w:val="28"/>
          <w:sz w:val="28"/>
          <w:szCs w:val="28"/>
          <w:rtl w:val="true"/>
          <w:lang w:bidi="ar-SA"/>
        </w:rPr>
        <w:t>، و إنّما يَليقُ بغَزلِه</w:t>
      </w:r>
      <w:r>
        <w:rPr>
          <w:rStyle w:val="FootnoteAnchor"/>
          <w:rtl w:val="true"/>
        </w:rPr>
        <w:footnoteReference w:id="2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التخريجُ أيضاً يُبطِلُ‌</w:t>
      </w:r>
      <w:r>
        <w:rPr>
          <w:rStyle w:val="FootnoteAnchor"/>
          <w:rtl w:val="true"/>
        </w:rPr>
        <w:footnoteReference w:id="2696"/>
      </w:r>
      <w:r>
        <w:rPr>
          <w:rFonts w:ascii="Amiri" w:hAnsi="Amiri" w:eastAsia="Amiri" w:cs="Amiri"/>
          <w:color w:val="111111"/>
          <w:sz w:val="28"/>
          <w:sz w:val="28"/>
          <w:szCs w:val="28"/>
          <w:rtl w:val="true"/>
          <w:lang w:bidi="ar-SA"/>
        </w:rPr>
        <w:t>تَعلُّقَ أصحابِ المُجاوَرةِ بهذا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صاحبُ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الأوجَهُ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علَى الباءِ، 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المُرادُ بالمَسحِ الغَسلَلأمرَينِ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حُكيَ عن أبي زَيدٍ</w:t>
      </w:r>
      <w:r>
        <w:rPr>
          <w:rStyle w:val="FootnoteAnchor"/>
          <w:rtl w:val="true"/>
        </w:rPr>
        <w:footnoteReference w:id="269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أخَفُّ الغَسلِ، 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تَمسَّحتُ للصلاةِ</w:t>
      </w:r>
      <w:r>
        <w:rPr>
          <w:rFonts w:eastAsia="Amiri" w:cs="Amiri" w:ascii="Amiri" w:hAnsi="Amiri"/>
          <w:color w:val="111111"/>
          <w:sz w:val="28"/>
          <w:szCs w:val="28"/>
          <w:rtl w:val="true"/>
          <w:lang w:bidi="ar-SA"/>
        </w:rPr>
        <w:t>.</w:t>
      </w:r>
      <w:r>
        <w:rPr>
          <w:rStyle w:val="FootnoteAnchor"/>
          <w:rtl w:val="true"/>
        </w:rPr>
        <w:footnoteReference w:id="2698"/>
      </w:r>
      <w:r>
        <w:rPr>
          <w:rFonts w:ascii="Amiri" w:hAnsi="Amiri" w:eastAsia="Amiri" w:cs="Amiri"/>
          <w:color w:val="111111"/>
          <w:sz w:val="28"/>
          <w:sz w:val="28"/>
          <w:szCs w:val="28"/>
          <w:rtl w:val="true"/>
          <w:lang w:bidi="ar-SA"/>
        </w:rPr>
        <w:t>فإذا كانَ كذلكَ، لَجازَ</w:t>
      </w:r>
      <w:r>
        <w:rPr>
          <w:rStyle w:val="FootnoteAnchor"/>
          <w:rtl w:val="true"/>
        </w:rPr>
        <w:footnoteReference w:id="2699"/>
      </w:r>
      <w:r>
        <w:rPr>
          <w:rFonts w:ascii="Amiri" w:hAnsi="Amiri" w:eastAsia="Amiri" w:cs="Amiri"/>
          <w:color w:val="111111"/>
          <w:sz w:val="28"/>
          <w:sz w:val="28"/>
          <w:szCs w:val="28"/>
          <w:rtl w:val="true"/>
          <w:lang w:bidi="ar-SA"/>
        </w:rPr>
        <w:t>الذي أَوجَبَه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دونَ المَسحِ</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الثَّوريَّ‌</w:t>
      </w:r>
      <w:r>
        <w:rPr>
          <w:rStyle w:val="FootnoteAnchor"/>
          <w:rtl w:val="true"/>
        </w:rPr>
        <w:footnoteReference w:id="2700"/>
      </w:r>
      <w:r>
        <w:rPr>
          <w:rFonts w:ascii="Amiri" w:hAnsi="Amiri" w:eastAsia="Amiri" w:cs="Amiri"/>
          <w:color w:val="111111"/>
          <w:sz w:val="28"/>
          <w:sz w:val="28"/>
          <w:szCs w:val="28"/>
          <w:rtl w:val="true"/>
          <w:lang w:bidi="ar-SA"/>
        </w:rPr>
        <w:t>رَوىٰ‌</w:t>
      </w:r>
      <w:r>
        <w:rPr>
          <w:rStyle w:val="FootnoteAnchor"/>
          <w:rtl w:val="true"/>
        </w:rPr>
        <w:footnoteReference w:id="2701"/>
      </w:r>
      <w:r>
        <w:rPr>
          <w:rFonts w:ascii="Amiri" w:hAnsi="Amiri" w:eastAsia="Amiri" w:cs="Amiri"/>
          <w:color w:val="111111"/>
          <w:sz w:val="28"/>
          <w:sz w:val="28"/>
          <w:szCs w:val="28"/>
          <w:rtl w:val="true"/>
          <w:lang w:bidi="ar-SA"/>
        </w:rPr>
        <w:t>عن أبي عُبَيدةَ‌</w:t>
      </w:r>
      <w:r>
        <w:rPr>
          <w:rStyle w:val="FootnoteAnchor"/>
          <w:rtl w:val="true"/>
        </w:rPr>
        <w:footnoteReference w:id="2702"/>
      </w:r>
      <w:r>
        <w:rPr>
          <w:rFonts w:ascii="Amiri" w:hAnsi="Amiri" w:eastAsia="Amiri" w:cs="Amiri"/>
          <w:color w:val="111111"/>
          <w:sz w:val="28"/>
          <w:sz w:val="28"/>
          <w:szCs w:val="28"/>
          <w:rtl w:val="true"/>
          <w:lang w:bidi="ar-SA"/>
        </w:rPr>
        <w:t>في تأويلِ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فَطَفِقَ مَسْحاً</w:t>
      </w:r>
      <w:r>
        <w:rPr>
          <w:rFonts w:eastAsia="Amiri" w:cs="Amiri" w:ascii="Amiri" w:hAnsi="Amiri"/>
          <w:color w:val="111111"/>
          <w:sz w:val="28"/>
          <w:szCs w:val="28"/>
          <w:rtl w:val="true"/>
          <w:lang w:bidi="ar-SA"/>
        </w:rPr>
        <w:t xml:space="preserve">» </w:t>
      </w:r>
      <w:r>
        <w:rPr>
          <w:rStyle w:val="FootnoteAnchor"/>
          <w:rtl w:val="true"/>
        </w:rPr>
        <w:footnoteReference w:id="2703"/>
      </w:r>
      <w:r>
        <w:rPr>
          <w:rFonts w:ascii="Amiri" w:hAnsi="Amiri" w:eastAsia="Amiri" w:cs="Amiri"/>
          <w:color w:val="111111"/>
          <w:sz w:val="28"/>
          <w:sz w:val="28"/>
          <w:szCs w:val="28"/>
          <w:rtl w:val="true"/>
          <w:lang w:bidi="ar-SA"/>
        </w:rPr>
        <w:t>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w:t>
      </w:r>
      <w:r>
        <w:rPr>
          <w:rStyle w:val="FootnoteAnchor"/>
          <w:rtl w:val="true"/>
        </w:rPr>
        <w:footnoteReference w:id="2704"/>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عِلاوتَه</w:t>
      </w:r>
      <w:r>
        <w:rPr>
          <w:rStyle w:val="FootnoteAnchor"/>
          <w:rtl w:val="true"/>
        </w:rPr>
        <w:footnoteReference w:id="2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ضَرَبَها بالاعتمادِ الذي يَقَعُ باليَدِ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آلةِ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المضروبِ‌</w:t>
      </w:r>
      <w:r>
        <w:rPr>
          <w:rStyle w:val="FootnoteAnchor"/>
          <w:rtl w:val="true"/>
        </w:rPr>
        <w:footnoteReference w:id="2706"/>
      </w:r>
      <w:r>
        <w:rPr>
          <w:rFonts w:ascii="Amiri" w:hAnsi="Amiri" w:eastAsia="Amiri" w:cs="Amiri"/>
          <w:color w:val="111111"/>
          <w:sz w:val="28"/>
          <w:sz w:val="28"/>
          <w:szCs w:val="28"/>
          <w:rtl w:val="true"/>
          <w:lang w:bidi="ar-SA"/>
        </w:rPr>
        <w:t>مِثلُ الاعتمادِ الذي يَقَعُ علَى المغسولِ في حالِ الغَسلِ باليَدِ إذا كانَ الغَسلُ بها، و ذلكَ فَوقَ‌</w:t>
      </w:r>
      <w:r>
        <w:rPr>
          <w:rStyle w:val="FootnoteAnchor"/>
          <w:rtl w:val="true"/>
        </w:rPr>
        <w:footnoteReference w:id="2707"/>
      </w:r>
      <w:r>
        <w:rPr>
          <w:rFonts w:ascii="Amiri" w:hAnsi="Amiri" w:eastAsia="Amiri" w:cs="Amiri"/>
          <w:color w:val="111111"/>
          <w:sz w:val="28"/>
          <w:sz w:val="28"/>
          <w:szCs w:val="28"/>
          <w:rtl w:val="true"/>
          <w:lang w:bidi="ar-SA"/>
        </w:rPr>
        <w:t>المَسحِ الذي لَيسَ بغَسلٍ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موقَّتٌ‌</w:t>
      </w:r>
      <w:r>
        <w:rPr>
          <w:rStyle w:val="FootnoteAnchor"/>
          <w:rtl w:val="true"/>
        </w:rPr>
        <w:footnoteReference w:id="2708"/>
      </w:r>
      <w:r>
        <w:rPr>
          <w:rFonts w:ascii="Amiri" w:hAnsi="Amiri" w:eastAsia="Amiri" w:cs="Amiri"/>
          <w:color w:val="111111"/>
          <w:sz w:val="28"/>
          <w:sz w:val="28"/>
          <w:szCs w:val="28"/>
          <w:rtl w:val="true"/>
          <w:lang w:bidi="ar-SA"/>
        </w:rPr>
        <w:t>بغايةٍ، كما وُقِّتَ غَسلُ اليَدِ بِها</w:t>
      </w:r>
      <w:r>
        <w:rPr>
          <w:rStyle w:val="FootnoteAnchor"/>
          <w:rtl w:val="true"/>
        </w:rPr>
        <w:footnoteReference w:id="2709"/>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 إِلَى اَلْمَرٰافِقِ</w:t>
      </w:r>
      <w:r>
        <w:rPr>
          <w:rFonts w:eastAsia="Amiri" w:cs="Amiri" w:ascii="Amiri" w:hAnsi="Amiri"/>
          <w:color w:val="111111"/>
          <w:sz w:val="28"/>
          <w:szCs w:val="28"/>
          <w:rtl w:val="true"/>
          <w:lang w:bidi="ar-SA"/>
        </w:rPr>
        <w:t xml:space="preserve">»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يُرادُ به المَسحُ الذي دونَ الغَسلِ لمَسحِ الرأسِ؛ فأُجريَ الجَرُّ علَى الرِّجلِ‌</w:t>
      </w:r>
      <w:r>
        <w:rPr>
          <w:rStyle w:val="FootnoteAnchor"/>
          <w:rtl w:val="true"/>
        </w:rPr>
        <w:footnoteReference w:id="2711"/>
      </w:r>
      <w:r>
        <w:rPr>
          <w:rFonts w:ascii="Amiri" w:hAnsi="Amiri" w:eastAsia="Amiri" w:cs="Amiri"/>
          <w:color w:val="111111"/>
          <w:sz w:val="28"/>
          <w:sz w:val="28"/>
          <w:szCs w:val="28"/>
          <w:rtl w:val="true"/>
          <w:lang w:bidi="ar-SA"/>
        </w:rPr>
        <w:t>في اللفظِ و المُرادُ به الغَسلُ، و حُمِلَ ذلكَ‌</w:t>
      </w:r>
      <w:r>
        <w:rPr>
          <w:rStyle w:val="FootnoteAnchor"/>
          <w:rtl w:val="true"/>
        </w:rPr>
        <w:footnoteReference w:id="2712"/>
      </w:r>
      <w:r>
        <w:rPr>
          <w:rFonts w:ascii="Amiri" w:hAnsi="Amiri" w:eastAsia="Amiri" w:cs="Amiri"/>
          <w:color w:val="111111"/>
          <w:sz w:val="28"/>
          <w:sz w:val="28"/>
          <w:szCs w:val="28"/>
          <w:rtl w:val="true"/>
          <w:lang w:bidi="ar-SA"/>
        </w:rPr>
        <w:t>لمُقارَبةِ المَسحِ للغَسلِ في المعنىٰ؛ ليَكونَ الحَملُ علىٰ أقرَبِ العامِلَينِ، كالآيِ‌</w:t>
      </w:r>
      <w:r>
        <w:rPr>
          <w:rStyle w:val="FootnoteAnchor"/>
          <w:rtl w:val="true"/>
        </w:rPr>
        <w:footnoteReference w:id="2713"/>
      </w:r>
      <w:r>
        <w:rPr>
          <w:rFonts w:ascii="Amiri" w:hAnsi="Amiri" w:eastAsia="Amiri" w:cs="Amiri"/>
          <w:color w:val="111111"/>
          <w:sz w:val="28"/>
          <w:sz w:val="28"/>
          <w:szCs w:val="28"/>
          <w:rtl w:val="true"/>
          <w:lang w:bidi="ar-SA"/>
        </w:rPr>
        <w:t>التي ذَكَرناها إذا</w:t>
      </w:r>
      <w:r>
        <w:rPr>
          <w:rStyle w:val="FootnoteAnchor"/>
          <w:rtl w:val="true"/>
        </w:rPr>
        <w:footnoteReference w:id="2714"/>
      </w:r>
      <w:r>
        <w:rPr>
          <w:rFonts w:ascii="Amiri" w:hAnsi="Amiri" w:eastAsia="Amiri" w:cs="Amiri"/>
          <w:color w:val="111111"/>
          <w:sz w:val="28"/>
          <w:sz w:val="28"/>
          <w:szCs w:val="28"/>
          <w:rtl w:val="true"/>
          <w:lang w:bidi="ar-SA"/>
        </w:rPr>
        <w:t xml:space="preserve">كانَ أهلُ اللغةِ قد آثَروا </w:t>
      </w:r>
    </w:p>
    <w:p>
      <w:pPr>
        <w:pStyle w:val="BookText"/>
        <w:rPr/>
      </w:pPr>
      <w:r>
        <w:rPr>
          <w:rFonts w:ascii="Amiri" w:hAnsi="Amiri" w:eastAsia="Amiri" w:cs="Amiri"/>
          <w:color w:val="111111"/>
          <w:sz w:val="28"/>
          <w:sz w:val="28"/>
          <w:szCs w:val="28"/>
          <w:rtl w:val="true"/>
          <w:lang w:bidi="ar-SA"/>
        </w:rPr>
        <w:t xml:space="preserve">ذلكَ فيما لا يَصِحُّ معناه إيثاراً منهم للحَملِ علَى الأقرَبِ، فلمّا استَعمَلوا ذلكَ فيما لا يَصِحُّ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غَزلَ العنكبوتِ المُرْمَلِ‌</w:t>
      </w:r>
      <w:r>
        <w:rPr>
          <w:rStyle w:val="FootnoteAnchor"/>
          <w:rtl w:val="true"/>
        </w:rPr>
        <w:footnoteReference w:id="271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w:t>
      </w:r>
      <w:r>
        <w:rPr>
          <w:rStyle w:val="FootnoteAnchor"/>
          <w:rtl w:val="true"/>
        </w:rPr>
        <w:footnoteReference w:id="2716"/>
      </w:r>
      <w:r>
        <w:rPr>
          <w:rFonts w:ascii="Amiri" w:hAnsi="Amiri" w:eastAsia="Amiri" w:cs="Amiri"/>
          <w:color w:val="111111"/>
          <w:sz w:val="28"/>
          <w:sz w:val="28"/>
          <w:szCs w:val="28"/>
          <w:rtl w:val="true"/>
          <w:lang w:bidi="ar-SA"/>
        </w:rPr>
        <w:t>فيما يَتَقارَبُ فيه المعنَيانِ‌</w:t>
      </w:r>
      <w:r>
        <w:rPr>
          <w:rStyle w:val="FootnoteAnchor"/>
          <w:rtl w:val="true"/>
        </w:rPr>
        <w:footnoteReference w:id="2717"/>
      </w:r>
      <w:r>
        <w:rPr>
          <w:rFonts w:ascii="Amiri" w:hAnsi="Amiri" w:eastAsia="Amiri" w:cs="Amiri"/>
          <w:color w:val="111111"/>
          <w:sz w:val="28"/>
          <w:sz w:val="28"/>
          <w:szCs w:val="28"/>
          <w:rtl w:val="true"/>
          <w:lang w:bidi="ar-SA"/>
        </w:rPr>
        <w:t>لأنّ المَعانيَ إذا تَقارَبَت وَقَعَ ألفاظُ بعضِها علىٰ بعضٍ،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أَنبأتُ زَيداً عَمراً خَيرَ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الإنباءُ ضَرباً مِن الإعلامِ أَجرَوا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فعَدَّوه إلىٰ ثَلاثةِ مَفاعيلَ‌</w:t>
      </w:r>
      <w:r>
        <w:rPr>
          <w:rStyle w:val="FootnoteAnchor"/>
          <w:rtl w:val="true"/>
        </w:rPr>
        <w:footnoteReference w:id="2718"/>
      </w:r>
      <w:r>
        <w:rPr>
          <w:rFonts w:ascii="Amiri" w:hAnsi="Amiri" w:eastAsia="Amiri" w:cs="Amiri"/>
          <w:color w:val="111111"/>
          <w:sz w:val="28"/>
          <w:sz w:val="28"/>
          <w:szCs w:val="28"/>
          <w:rtl w:val="true"/>
          <w:lang w:bidi="ar-SA"/>
        </w:rPr>
        <w:t xml:space="preserve">، كَما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جَرىٰ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بَدٰا لَهُمْ مِنْ بَعْدِ مٰا رَأَوُا اَلْآيٰاتِ</w:t>
      </w:r>
      <w:r>
        <w:rPr>
          <w:rFonts w:eastAsia="Amiri" w:cs="Amiri" w:ascii="Amiri" w:hAnsi="Amiri"/>
          <w:color w:val="111111"/>
          <w:sz w:val="28"/>
          <w:szCs w:val="28"/>
          <w:rtl w:val="true"/>
          <w:lang w:bidi="ar-SA"/>
        </w:rPr>
        <w:t xml:space="preserve">» </w:t>
      </w:r>
      <w:r>
        <w:rPr>
          <w:rStyle w:val="FootnoteAnchor"/>
          <w:rtl w:val="true"/>
        </w:rPr>
        <w:footnoteReference w:id="2719"/>
      </w:r>
      <w:r>
        <w:rPr>
          <w:rFonts w:ascii="Amiri" w:hAnsi="Amiri" w:eastAsia="Amiri" w:cs="Amiri"/>
          <w:color w:val="111111"/>
          <w:sz w:val="28"/>
          <w:sz w:val="28"/>
          <w:szCs w:val="28"/>
          <w:rtl w:val="true"/>
          <w:lang w:bidi="ar-SA"/>
        </w:rPr>
        <w:t xml:space="preserve">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 لَتأتيَنَّ مَنيَّتي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لهم رأيٌ لَم يَكونوا رَأَوه، فهو بمَنزِلةِ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ما لَم يَعلَموا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زَعَمَ أبو الحَسَنِ‌</w:t>
      </w:r>
      <w:r>
        <w:rPr>
          <w:rStyle w:val="FootnoteAnchor"/>
          <w:rtl w:val="true"/>
        </w:rPr>
        <w:footnoteReference w:id="2720"/>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رائحةً أطيَبَ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رأَيتُ رائحةً أطيَبَ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كلاماً أصوَبَ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w:t>
      </w:r>
      <w:r>
        <w:rPr>
          <w:rStyle w:val="FootnoteAnchor"/>
          <w:rtl w:val="true"/>
        </w:rPr>
        <w:footnoteReference w:id="2721"/>
      </w:r>
      <w:r>
        <w:rPr>
          <w:rFonts w:ascii="Amiri" w:hAnsi="Amiri" w:eastAsia="Amiri" w:cs="Amiri"/>
          <w:color w:val="111111"/>
          <w:sz w:val="28"/>
          <w:sz w:val="28"/>
          <w:szCs w:val="28"/>
          <w:rtl w:val="true"/>
          <w:lang w:bidi="ar-SA"/>
        </w:rPr>
        <w:t xml:space="preserve">بعضُ العبارةِ عن أفعالِ هذه الحواسِّ مكانَ بعضٍ؛ لِاجتماعِهنَّ في العِلمِ </w:t>
      </w:r>
      <w:bookmarkStart w:id="1022" w:name="pg16437_172801"/>
    </w:p>
    <w:p>
      <w:pPr>
        <w:pStyle w:val="BookText"/>
        <w:rPr/>
      </w:pPr>
      <w:bookmarkEnd w:id="1022"/>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وُضِعَ‌</w:t>
      </w:r>
      <w:r>
        <w:rPr>
          <w:rStyle w:val="FootnoteAnchor"/>
          <w:rtl w:val="true"/>
        </w:rPr>
        <w:footnoteReference w:id="2722"/>
      </w:r>
      <w:r>
        <w:rPr>
          <w:rFonts w:ascii="Amiri" w:hAnsi="Amiri" w:eastAsia="Amiri" w:cs="Amiri"/>
          <w:color w:val="111111"/>
          <w:sz w:val="28"/>
          <w:sz w:val="28"/>
          <w:szCs w:val="28"/>
          <w:rtl w:val="true"/>
          <w:lang w:bidi="ar-SA"/>
        </w:rPr>
        <w:t>المَسحُ مَكانَ الغَسلِ؛ لاجتماعِه في وقوعِ التطهيرِ بِهما في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بالمَسحِ الغَسلُ، كَما أنّ‌</w:t>
      </w:r>
      <w:r>
        <w:rPr>
          <w:rStyle w:val="FootnoteAnchor"/>
          <w:rtl w:val="true"/>
        </w:rPr>
        <w:footnoteReference w:id="2723"/>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شَمَمتُ؛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رأَيتُ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كُلُّ واحدٍ منهما في الاتّساعِ مَوضِعَ الآخَرِ؛ لاجتماعِهما في العِلمِ علَى الوجهِ الذي عُلِمَ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في كلامِكَ بأنّ‌</w:t>
      </w:r>
      <w:r>
        <w:rPr>
          <w:rStyle w:val="FootnoteAnchor"/>
          <w:rtl w:val="true"/>
        </w:rPr>
        <w:footnoteReference w:id="2725"/>
      </w:r>
      <w:r>
        <w:rPr>
          <w:rFonts w:ascii="Amiri" w:hAnsi="Amiri" w:eastAsia="Amiri" w:cs="Amiri"/>
          <w:color w:val="111111"/>
          <w:sz w:val="28"/>
          <w:sz w:val="28"/>
          <w:szCs w:val="28"/>
          <w:rtl w:val="true"/>
          <w:lang w:bidi="ar-SA"/>
        </w:rPr>
        <w:t>القِراءةَ في الأرجُلِ بالجَرِّ أَولىٰ و أرجَحُ‌</w:t>
      </w:r>
      <w:r>
        <w:rPr>
          <w:rStyle w:val="FootnoteAnchor"/>
          <w:rtl w:val="true"/>
        </w:rPr>
        <w:footnoteReference w:id="2726"/>
      </w:r>
      <w:r>
        <w:rPr>
          <w:rFonts w:ascii="Amiri" w:hAnsi="Amiri" w:eastAsia="Amiri" w:cs="Amiri"/>
          <w:color w:val="111111"/>
          <w:sz w:val="28"/>
          <w:sz w:val="28"/>
          <w:szCs w:val="28"/>
          <w:rtl w:val="true"/>
          <w:lang w:bidi="ar-SA"/>
        </w:rPr>
        <w:t>مِن القِراءةِ بالنَّصبِ علىٰ موجَبةِ العَرَبيّةِ؛ و هذا صَحيحٌ، مُبطِلٌ لِما يَظُنُّه مَن لا يَعرِفُ العَرَبيّةَ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إلّاأنّكَ لمّا أعيَتكَ الحِيَلُ في نُصرةِ غَسلِ الأرجُلِ مِن طريقِ الإعرابِ، عَدَلتَ إلىٰ شَيءٍ حُكيَ عن أبي زَيدٍ الأنصاريِّ‌</w:t>
      </w:r>
      <w:r>
        <w:rPr>
          <w:rStyle w:val="FootnoteAnchor"/>
          <w:rtl w:val="true"/>
        </w:rPr>
        <w:footnoteReference w:id="2727"/>
      </w:r>
      <w:r>
        <w:rPr>
          <w:rFonts w:ascii="Amiri" w:hAnsi="Amiri" w:eastAsia="Amiri" w:cs="Amiri"/>
          <w:color w:val="111111"/>
          <w:sz w:val="28"/>
          <w:sz w:val="28"/>
          <w:szCs w:val="28"/>
          <w:rtl w:val="true"/>
          <w:lang w:bidi="ar-SA"/>
        </w:rPr>
        <w:t>مِن أنّ المَسحَ غَسلٌ</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8040203_1280447820"/>
      <w:bookmarkStart w:id="1024" w:name="_Toc376"/>
      <w:bookmarkEnd w:id="1023"/>
      <w:r>
        <w:rPr>
          <w:rtl w:val="true"/>
        </w:rPr>
        <w:t>أدلّةُ بطلانِ أن يكونَ المسحُ غَسلاً</w:t>
      </w:r>
      <w:bookmarkEnd w:id="1024"/>
    </w:p>
    <w:p>
      <w:pPr>
        <w:pStyle w:val="Heading6"/>
        <w:numPr>
          <w:ilvl w:val="5"/>
          <w:numId w:val="1"/>
        </w:numPr>
        <w:rPr/>
      </w:pPr>
      <w:bookmarkStart w:id="1025" w:name="__RefHeading___Toc8040205_1280447820"/>
      <w:bookmarkStart w:id="1026" w:name="_Toc377"/>
      <w:bookmarkEnd w:id="1025"/>
      <w:r>
        <w:rPr>
          <w:rtl w:val="true"/>
        </w:rPr>
        <w:t>اشارة</w:t>
      </w:r>
      <w:bookmarkEnd w:id="1026"/>
    </w:p>
    <w:p>
      <w:pPr>
        <w:pStyle w:val="BookText"/>
        <w:rPr/>
      </w:pPr>
      <w:r>
        <w:rPr>
          <w:rFonts w:ascii="Amiri" w:hAnsi="Amiri" w:eastAsia="Amiri" w:cs="Amiri"/>
          <w:color w:val="111111"/>
          <w:sz w:val="28"/>
          <w:sz w:val="28"/>
          <w:szCs w:val="28"/>
          <w:rtl w:val="true"/>
          <w:lang w:bidi="ar-SA"/>
        </w:rPr>
        <w:t>و هذا الذي عَدَلتَ إليه واضِحُ‌</w:t>
      </w:r>
      <w:r>
        <w:rPr>
          <w:rStyle w:val="FootnoteAnchor"/>
          <w:rtl w:val="true"/>
        </w:rPr>
        <w:footnoteReference w:id="2728"/>
      </w:r>
      <w:r>
        <w:rPr>
          <w:rFonts w:ascii="Amiri" w:hAnsi="Amiri" w:eastAsia="Amiri" w:cs="Amiri"/>
          <w:color w:val="111111"/>
          <w:sz w:val="28"/>
          <w:sz w:val="28"/>
          <w:szCs w:val="28"/>
          <w:rtl w:val="true"/>
          <w:lang w:bidi="ar-SA"/>
        </w:rPr>
        <w:t>الفَسادِ مِن وجوهٍ</w:t>
      </w:r>
      <w:r>
        <w:rPr>
          <w:rFonts w:eastAsia="Amiri" w:cs="Amiri" w:ascii="Amiri" w:hAnsi="Amiri"/>
          <w:color w:val="111111"/>
          <w:sz w:val="28"/>
          <w:szCs w:val="28"/>
          <w:rtl w:val="true"/>
          <w:lang w:bidi="ar-SA"/>
        </w:rPr>
        <w:t>:</w:t>
      </w:r>
    </w:p>
    <w:p>
      <w:pPr>
        <w:pStyle w:val="Heading6"/>
        <w:numPr>
          <w:ilvl w:val="5"/>
          <w:numId w:val="1"/>
        </w:numPr>
        <w:rPr/>
      </w:pPr>
      <w:bookmarkStart w:id="1027" w:name="__RefHeading___Toc8040207_1280447820"/>
      <w:bookmarkStart w:id="1028" w:name="_Toc378"/>
      <w:bookmarkEnd w:id="1027"/>
      <w:r>
        <w:rPr>
          <w:rtl w:val="true"/>
        </w:rPr>
        <w:t>الدليل الأوّل</w:t>
      </w:r>
      <w:bookmarkEnd w:id="102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الغَسلِ و حقيقتَه يُخالِفُ‌</w:t>
      </w:r>
      <w:r>
        <w:rPr>
          <w:rStyle w:val="FootnoteAnchor"/>
          <w:rtl w:val="true"/>
        </w:rPr>
        <w:footnoteReference w:id="2729"/>
      </w:r>
      <w:r>
        <w:rPr>
          <w:rFonts w:ascii="Amiri" w:hAnsi="Amiri" w:eastAsia="Amiri" w:cs="Amiri"/>
          <w:color w:val="111111"/>
          <w:sz w:val="28"/>
          <w:sz w:val="28"/>
          <w:szCs w:val="28"/>
          <w:rtl w:val="true"/>
          <w:lang w:bidi="ar-SA"/>
        </w:rPr>
        <w:t xml:space="preserve">في اللغةِ و حقيقتِها معنَى المَسحِ؛ لأنّ الغَسلَ هو إجراءُ الماءِ علَى العضوِ المغسولِ، و المَسحَ هو مَسُّ العضوِ بالماءِ مِن </w:t>
      </w:r>
    </w:p>
    <w:p>
      <w:pPr>
        <w:pStyle w:val="BookText"/>
        <w:rPr/>
      </w:pPr>
      <w:r>
        <w:rPr>
          <w:rFonts w:ascii="Amiri" w:hAnsi="Amiri" w:eastAsia="Amiri" w:cs="Amiri"/>
          <w:color w:val="111111"/>
          <w:sz w:val="28"/>
          <w:sz w:val="28"/>
          <w:szCs w:val="28"/>
          <w:rtl w:val="true"/>
          <w:lang w:bidi="ar-SA"/>
        </w:rPr>
        <w:t>غيرِ أن يُجريَه عليه، فكأنّه قيلَ للماسِحِ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 العضوَ بالماءِ، و لا تُسِلْه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للغاسِلِ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تَقتَصِرْ علىٰ هذا القَدرِ، بَل أسِلْه علَى العضوِ و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فالمعنَيانِ مُتَضادّانِ كما تَراه، و كَيفَ‌</w:t>
      </w:r>
      <w:r>
        <w:rPr>
          <w:rStyle w:val="FootnoteAnchor"/>
          <w:rtl w:val="true"/>
        </w:rPr>
        <w:footnoteReference w:id="2730"/>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أحَدَهما هو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لا يَصِحُّ ما يَقولُه</w:t>
      </w:r>
      <w:r>
        <w:rPr>
          <w:rStyle w:val="FootnoteAnchor"/>
          <w:rtl w:val="true"/>
        </w:rPr>
        <w:footnoteReference w:id="2731"/>
      </w:r>
      <w:r>
        <w:rPr>
          <w:rFonts w:ascii="Amiri" w:hAnsi="Amiri" w:eastAsia="Amiri" w:cs="Amiri"/>
          <w:color w:val="111111"/>
          <w:sz w:val="28"/>
          <w:sz w:val="28"/>
          <w:szCs w:val="28"/>
          <w:rtl w:val="true"/>
          <w:lang w:bidi="ar-SA"/>
        </w:rPr>
        <w:t>الفقهاءُ مِن أنّ أحَدَهما داخلٌ في الآخَرِ؛ لأنّا قد بيّنّا تَنافيَ المعنَيَينِ، و ما يَتَنافى لا يَتَداخَلُ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جازَ أن يُسمّىٰ علَى الحقيقةِ الماسِحُ غاسِلاً، و يُدَّعىٰ دخولُ المَسحِ في الغَسلِ، لَوَجَبَ أن يُسمّىٰ مَن دَفَقَ الماءَ‌</w:t>
      </w:r>
      <w:r>
        <w:rPr>
          <w:rStyle w:val="FootnoteAnchor"/>
          <w:rtl w:val="true"/>
        </w:rPr>
        <w:footnoteReference w:id="2732"/>
      </w:r>
      <w:r>
        <w:rPr>
          <w:rFonts w:ascii="Amiri" w:hAnsi="Amiri" w:eastAsia="Amiri" w:cs="Amiri"/>
          <w:color w:val="111111"/>
          <w:sz w:val="28"/>
          <w:sz w:val="28"/>
          <w:szCs w:val="28"/>
          <w:rtl w:val="true"/>
          <w:lang w:bidi="ar-SA"/>
        </w:rPr>
        <w:t>الكثيرَ علىٰ بَدَنِه</w:t>
      </w:r>
      <w:r>
        <w:rPr>
          <w:rStyle w:val="FootnoteAnchor"/>
          <w:rtl w:val="true"/>
        </w:rPr>
        <w:footnoteReference w:id="2733"/>
      </w:r>
      <w:r>
        <w:rPr>
          <w:rFonts w:ascii="Amiri" w:hAnsi="Amiri" w:eastAsia="Amiri" w:cs="Amiri"/>
          <w:color w:val="111111"/>
          <w:sz w:val="28"/>
          <w:sz w:val="28"/>
          <w:szCs w:val="28"/>
          <w:rtl w:val="true"/>
          <w:lang w:bidi="ar-SA"/>
        </w:rPr>
        <w:t xml:space="preserve">و صَبَّه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راشّاً</w:t>
      </w:r>
      <w:r>
        <w:rPr>
          <w:rStyle w:val="FootnoteAnchor"/>
          <w:rtl w:val="true"/>
        </w:rPr>
        <w:footnoteReference w:id="2734"/>
      </w:r>
      <w:r>
        <w:rPr>
          <w:rFonts w:ascii="Amiri" w:hAnsi="Amiri" w:eastAsia="Amiri" w:cs="Amiri"/>
          <w:color w:val="111111"/>
          <w:sz w:val="28"/>
          <w:sz w:val="28"/>
          <w:szCs w:val="28"/>
          <w:rtl w:val="true"/>
          <w:lang w:bidi="ar-SA"/>
        </w:rPr>
        <w:t>الماءَ علىٰ بَدَنِه، و مُقطِّراً</w:t>
      </w:r>
      <w:r>
        <w:rPr>
          <w:rStyle w:val="FootnoteAnchor"/>
          <w:rtl w:val="true"/>
        </w:rPr>
        <w:footnoteReference w:id="2735"/>
      </w:r>
      <w:r>
        <w:rPr>
          <w:rFonts w:ascii="Amiri" w:hAnsi="Amiri" w:eastAsia="Amiri" w:cs="Amiri"/>
          <w:color w:val="111111"/>
          <w:sz w:val="28"/>
          <w:sz w:val="28"/>
          <w:szCs w:val="28"/>
          <w:rtl w:val="true"/>
          <w:lang w:bidi="ar-SA"/>
        </w:rPr>
        <w:t>لَه</w:t>
      </w:r>
      <w:r>
        <w:rPr>
          <w:rStyle w:val="FootnoteAnchor"/>
          <w:rtl w:val="true"/>
        </w:rPr>
        <w:footnoteReference w:id="2736"/>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الدَّفقَ و الصَّبَّ يَزيدُ علىٰ معنَى الرَّشِّ و التقطيرِ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لَوَجَبَ‌</w:t>
      </w:r>
      <w:r>
        <w:rPr>
          <w:rStyle w:val="FootnoteAnchor"/>
          <w:rtl w:val="true"/>
        </w:rPr>
        <w:footnoteReference w:id="2737"/>
      </w:r>
      <w:r>
        <w:rPr>
          <w:rFonts w:ascii="Amiri" w:hAnsi="Amiri" w:eastAsia="Amiri" w:cs="Amiri"/>
          <w:color w:val="111111"/>
          <w:sz w:val="28"/>
          <w:sz w:val="28"/>
          <w:szCs w:val="28"/>
          <w:rtl w:val="true"/>
          <w:lang w:bidi="ar-SA"/>
        </w:rPr>
        <w:t>أن يَكونَ مَن علىٰ رأسِه عِمامةٌ طويلةٌ يَصِحُّ أن يُقالَ لَه</w:t>
      </w:r>
      <w:r>
        <w:rPr>
          <w:rStyle w:val="FootnoteAnchor"/>
          <w:rtl w:val="true"/>
        </w:rPr>
        <w:footnoteReference w:id="2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تِكّةٌ‌</w:t>
      </w:r>
      <w:r>
        <w:rPr>
          <w:rStyle w:val="FootnoteAnchor"/>
          <w:rtl w:val="true"/>
        </w:rPr>
        <w:footnoteReference w:id="2739"/>
      </w:r>
      <w:r>
        <w:rPr>
          <w:rFonts w:ascii="Amiri" w:hAnsi="Amiri" w:eastAsia="Amiri" w:cs="Amiri"/>
          <w:color w:val="111111"/>
          <w:sz w:val="28"/>
          <w:sz w:val="28"/>
          <w:szCs w:val="28"/>
          <w:rtl w:val="true"/>
          <w:lang w:bidi="ar-SA"/>
        </w:rPr>
        <w:t>، أو خِرقةٌ؛ لأنّ العِمامةَ تَشتَمِلُ علىٰ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أحَداً لا يُطلِقُ‌</w:t>
      </w:r>
      <w:r>
        <w:rPr>
          <w:rStyle w:val="FootnoteAnchor"/>
          <w:rtl w:val="true"/>
        </w:rPr>
        <w:footnoteReference w:id="2740"/>
      </w:r>
      <w:r>
        <w:rPr>
          <w:rFonts w:ascii="Amiri" w:hAnsi="Amiri" w:eastAsia="Amiri" w:cs="Amiri"/>
          <w:color w:val="111111"/>
          <w:sz w:val="28"/>
          <w:sz w:val="28"/>
          <w:szCs w:val="28"/>
          <w:rtl w:val="true"/>
          <w:lang w:bidi="ar-SA"/>
        </w:rPr>
        <w:t>ذلكَ و لا يُجيزُه</w:t>
      </w:r>
      <w:r>
        <w:rPr>
          <w:rFonts w:eastAsia="Amiri" w:cs="Amiri" w:ascii="Amiri" w:hAnsi="Amiri"/>
          <w:color w:val="111111"/>
          <w:sz w:val="28"/>
          <w:szCs w:val="28"/>
          <w:rtl w:val="true"/>
          <w:lang w:bidi="ar-SA"/>
        </w:rPr>
        <w:t xml:space="preserve">. </w:t>
      </w:r>
      <w:bookmarkStart w:id="1029" w:name="pg16437_172803"/>
    </w:p>
    <w:p>
      <w:pPr>
        <w:pStyle w:val="Heading6"/>
        <w:numPr>
          <w:ilvl w:val="5"/>
          <w:numId w:val="1"/>
        </w:numPr>
        <w:rPr/>
      </w:pPr>
      <w:bookmarkStart w:id="1030" w:name="__RefHeading___Toc8040209_1280447820"/>
      <w:bookmarkStart w:id="1031" w:name="_Toc379"/>
      <w:bookmarkEnd w:id="1029"/>
      <w:bookmarkEnd w:id="1030"/>
      <w:r>
        <w:rPr>
          <w:rtl w:val="true"/>
        </w:rPr>
        <w:t>الدليل الثاني</w:t>
      </w:r>
      <w:bookmarkEnd w:id="103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Style w:val="FootnoteAnchor"/>
          <w:rtl w:val="true"/>
        </w:rPr>
        <w:footnoteReference w:id="2741"/>
      </w:r>
      <w:r>
        <w:rPr>
          <w:rFonts w:ascii="Amiri" w:hAnsi="Amiri" w:eastAsia="Amiri" w:cs="Amiri"/>
          <w:color w:val="111111"/>
          <w:sz w:val="28"/>
          <w:sz w:val="28"/>
          <w:szCs w:val="28"/>
          <w:rtl w:val="true"/>
          <w:lang w:bidi="ar-SA"/>
        </w:rPr>
        <w:t xml:space="preserve">لَو سَلَّمنا اشتراكَ ذلكَ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غيرَ صَحيحٍ، 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الشرعُ و عُرفُ أهلِه يَمنَعُ مِن ذلكَ؛ لأنّ أهلَ الشرعِ كُلَّهم قد فَرَّقوا بَينَ المَسحِ و الغَسلِ، و خالَفوا بَينَهما، و لهذا جَعَلوا بعضَ أعضاءِ الطهارةِ ممسوحاً و بعضَها مغسولاً، و فَرَّقوا بَينَ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يَرىٰ أنّ الفَرضَ في الرِّجلَينِ 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الغَسلَ</w:t>
      </w:r>
      <w:r>
        <w:rPr>
          <w:rFonts w:eastAsia="Amiri" w:cs="Amiri" w:ascii="Amiri" w:hAnsi="Amiri"/>
          <w:color w:val="111111"/>
          <w:sz w:val="28"/>
          <w:szCs w:val="28"/>
          <w:rtl w:val="true"/>
          <w:lang w:bidi="ar-SA"/>
        </w:rPr>
        <w:t>».</w:t>
      </w:r>
    </w:p>
    <w:p>
      <w:pPr>
        <w:pStyle w:val="Heading6"/>
        <w:numPr>
          <w:ilvl w:val="5"/>
          <w:numId w:val="1"/>
        </w:numPr>
        <w:rPr/>
      </w:pPr>
      <w:bookmarkStart w:id="1032" w:name="__RefHeading___Toc8040211_1280447820"/>
      <w:bookmarkStart w:id="1033" w:name="_Toc380"/>
      <w:bookmarkEnd w:id="1032"/>
      <w:r>
        <w:rPr>
          <w:rtl w:val="true"/>
        </w:rPr>
        <w:t>الدليل الثالث</w:t>
      </w:r>
      <w:bookmarkEnd w:id="103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ممسوحةً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الذي لا يَدخُلُ في معنَى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 الأُمّةِ، و عُطِفَت</w:t>
      </w:r>
      <w:r>
        <w:rPr>
          <w:rStyle w:val="FootnoteAnchor"/>
          <w:rtl w:val="true"/>
        </w:rPr>
        <w:footnoteReference w:id="2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فواجبٌ أن يَكونَ حُكمُها مِثلَ حُكمِ الرُّؤوسِ و كَيفيّتِه؛ لأنّ مَن فَرَّقَ بَينَهما مع العطفِ في كَيفيّةِ المَسحِ، كمَن فَرَّقَ بَينَهما في نفسِ المَسحِ، و حُكمُ العَطفِ يَمنَعُ مِن الأمرَينِ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القائلَ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زَيداً و عَمراً</w:t>
      </w:r>
      <w:r>
        <w:rPr>
          <w:rFonts w:eastAsia="Amiri" w:cs="Amiri" w:ascii="Amiri" w:hAnsi="Amiri"/>
          <w:color w:val="111111"/>
          <w:sz w:val="28"/>
          <w:szCs w:val="28"/>
          <w:rtl w:val="true"/>
          <w:lang w:bidi="ar-SA"/>
        </w:rPr>
        <w:t>»</w:t>
      </w:r>
      <w:r>
        <w:rPr>
          <w:rStyle w:val="FootnoteAnchor"/>
          <w:rtl w:val="true"/>
        </w:rPr>
        <w:footnoteReference w:id="2743"/>
      </w:r>
      <w:r>
        <w:rPr>
          <w:rFonts w:ascii="Amiri" w:hAnsi="Amiri" w:eastAsia="Amiri" w:cs="Amiri"/>
          <w:color w:val="111111"/>
          <w:sz w:val="28"/>
          <w:sz w:val="28"/>
          <w:szCs w:val="28"/>
          <w:rtl w:val="true"/>
          <w:lang w:bidi="ar-SA"/>
        </w:rPr>
        <w:t xml:space="preserve">، و أرادَ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Style w:val="FootnoteAnchor"/>
          <w:rtl w:val="true"/>
        </w:rPr>
        <w:footnoteReference w:id="2744"/>
      </w:r>
      <w:r>
        <w:rPr>
          <w:rFonts w:ascii="Amiri" w:hAnsi="Amiri" w:eastAsia="Amiri" w:cs="Amiri"/>
          <w:color w:val="111111"/>
          <w:sz w:val="28"/>
          <w:sz w:val="28"/>
          <w:szCs w:val="28"/>
          <w:rtl w:val="true"/>
          <w:lang w:bidi="ar-SA"/>
        </w:rPr>
        <w:t>التأديبَ و التثقيفَ‌</w:t>
      </w:r>
      <w:r>
        <w:rPr>
          <w:rStyle w:val="FootnoteAnchor"/>
          <w:rtl w:val="true"/>
        </w:rPr>
        <w:footnoteReference w:id="2745"/>
      </w:r>
      <w:r>
        <w:rPr>
          <w:rFonts w:ascii="Amiri" w:hAnsi="Amiri" w:eastAsia="Amiri" w:cs="Amiri"/>
          <w:color w:val="111111"/>
          <w:sz w:val="28"/>
          <w:sz w:val="28"/>
          <w:szCs w:val="28"/>
          <w:rtl w:val="true"/>
          <w:lang w:bidi="ar-SA"/>
        </w:rPr>
        <w:t>، لَم يَجُز أن يُريدَ بالمعطوفِ عليه</w:t>
      </w:r>
      <w:r>
        <w:rPr>
          <w:rStyle w:val="FootnoteAnchor"/>
          <w:rtl w:val="true"/>
        </w:rPr>
        <w:footnoteReference w:id="2746"/>
      </w:r>
      <w:r>
        <w:rPr>
          <w:rFonts w:ascii="Amiri" w:hAnsi="Amiri" w:eastAsia="Amiri" w:cs="Amiri"/>
          <w:color w:val="111111"/>
          <w:sz w:val="28"/>
          <w:sz w:val="28"/>
          <w:szCs w:val="28"/>
          <w:rtl w:val="true"/>
          <w:lang w:bidi="ar-SA"/>
        </w:rPr>
        <w:t xml:space="preserve">إلّاهذا المعنىٰ، و لا يَجوزُ أن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عَمرٍو علَى القيمةِ‌</w:t>
      </w:r>
      <w:r>
        <w:rPr>
          <w:rStyle w:val="FootnoteAnchor"/>
          <w:rtl w:val="true"/>
        </w:rPr>
        <w:footnoteReference w:id="2747"/>
      </w:r>
      <w:r>
        <w:rPr>
          <w:rFonts w:ascii="Amiri" w:hAnsi="Amiri" w:eastAsia="Amiri" w:cs="Amiri"/>
          <w:color w:val="111111"/>
          <w:sz w:val="28"/>
          <w:sz w:val="28"/>
          <w:szCs w:val="28"/>
          <w:rtl w:val="true"/>
          <w:lang w:bidi="ar-SA"/>
        </w:rPr>
        <w:t>دونَ التثقيفِ، و هو معطوفٌ علىٰ ما قالَه في</w:t>
      </w:r>
      <w:r>
        <w:rPr>
          <w:rStyle w:val="FootnoteAnchor"/>
          <w:rtl w:val="true"/>
        </w:rPr>
        <w:footnoteReference w:id="2748"/>
      </w:r>
      <w:r>
        <w:rPr>
          <w:rFonts w:ascii="Amiri" w:hAnsi="Amiri" w:eastAsia="Amiri" w:cs="Amiri"/>
          <w:color w:val="111111"/>
          <w:sz w:val="28"/>
          <w:sz w:val="28"/>
          <w:szCs w:val="28"/>
          <w:rtl w:val="true"/>
          <w:lang w:bidi="ar-SA"/>
        </w:rPr>
        <w:t xml:space="preserve">هذا الحُكمِ؟ </w:t>
      </w:r>
      <w:bookmarkStart w:id="1034" w:name="pg16437_172804"/>
    </w:p>
    <w:p>
      <w:pPr>
        <w:pStyle w:val="Heading6"/>
        <w:numPr>
          <w:ilvl w:val="5"/>
          <w:numId w:val="1"/>
        </w:numPr>
        <w:rPr/>
      </w:pPr>
      <w:bookmarkStart w:id="1035" w:name="__RefHeading___Toc8040213_1280447820"/>
      <w:bookmarkStart w:id="1036" w:name="_Toc381"/>
      <w:bookmarkEnd w:id="1034"/>
      <w:bookmarkEnd w:id="1035"/>
      <w:r>
        <w:rPr>
          <w:rtl w:val="true"/>
        </w:rPr>
        <w:t>الدليل الرابع</w:t>
      </w:r>
      <w:bookmarkEnd w:id="103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لَو كانَ غَسلاً أو الغَسلَ مَسحاً، لَسَقَطَ</w:t>
      </w:r>
      <w:r>
        <w:rPr>
          <w:rStyle w:val="FootnoteAnchor"/>
          <w:rtl w:val="true"/>
        </w:rPr>
        <w:footnoteReference w:id="2749"/>
      </w:r>
      <w:r>
        <w:rPr>
          <w:rFonts w:ascii="IRNazanin" w:hAnsi="IRNazanin" w:eastAsia="IRNazanin"/>
          <w:color w:val="111111"/>
          <w:sz w:val="28"/>
          <w:sz w:val="28"/>
          <w:szCs w:val="28"/>
          <w:rtl w:val="true"/>
          <w:lang w:bidi="fa-IR"/>
        </w:rPr>
        <w:t>ما</w:t>
      </w:r>
      <w:r>
        <w:rPr>
          <w:rStyle w:val="FootnoteAnchor"/>
          <w:rtl w:val="true"/>
        </w:rPr>
        <w:footnoteReference w:id="2750"/>
      </w:r>
      <w:r>
        <w:rPr>
          <w:rFonts w:ascii="Amiri" w:hAnsi="Amiri" w:eastAsia="Amiri" w:cs="Amiri"/>
          <w:color w:val="111111"/>
          <w:sz w:val="28"/>
          <w:sz w:val="28"/>
          <w:szCs w:val="28"/>
          <w:rtl w:val="true"/>
          <w:lang w:bidi="ar-SA"/>
        </w:rPr>
        <w:t>لا يَزالُ مُخالِفونا يَستَدِلّونَ بِه</w:t>
      </w:r>
      <w:r>
        <w:rPr>
          <w:rStyle w:val="FootnoteAnchor"/>
          <w:rtl w:val="true"/>
        </w:rPr>
        <w:footnoteReference w:id="2751"/>
      </w:r>
      <w:r>
        <w:rPr>
          <w:rFonts w:ascii="Amiri" w:hAnsi="Amiri" w:eastAsia="Amiri" w:cs="Amiri"/>
          <w:color w:val="111111"/>
          <w:sz w:val="28"/>
          <w:sz w:val="28"/>
          <w:szCs w:val="28"/>
          <w:rtl w:val="true"/>
          <w:lang w:bidi="ar-SA"/>
        </w:rPr>
        <w:t>و يَفزَعونَ إليه، مِن روايتِهم عنه عليه السلامُ أنّه تَوضّأَ و غَسَلَ رِجلَيه</w:t>
      </w:r>
      <w:r>
        <w:rPr>
          <w:rStyle w:val="FootnoteAnchor"/>
          <w:rtl w:val="true"/>
        </w:rPr>
        <w:footnoteReference w:id="2752"/>
      </w:r>
      <w:r>
        <w:rPr>
          <w:rFonts w:ascii="Amiri" w:hAnsi="Amiri" w:eastAsia="Amiri" w:cs="Amiri"/>
          <w:color w:val="111111"/>
          <w:sz w:val="28"/>
          <w:sz w:val="28"/>
          <w:szCs w:val="28"/>
          <w:rtl w:val="true"/>
          <w:lang w:bidi="ar-SA"/>
        </w:rPr>
        <w:t>لأنّه</w:t>
      </w:r>
      <w:r>
        <w:rPr>
          <w:rStyle w:val="FootnoteAnchor"/>
          <w:rtl w:val="true"/>
        </w:rPr>
        <w:footnoteReference w:id="2753"/>
      </w:r>
      <w:r>
        <w:rPr>
          <w:rFonts w:ascii="Amiri" w:hAnsi="Amiri" w:eastAsia="Amiri" w:cs="Amiri"/>
          <w:color w:val="111111"/>
          <w:sz w:val="28"/>
          <w:sz w:val="28"/>
          <w:szCs w:val="28"/>
          <w:rtl w:val="true"/>
          <w:lang w:bidi="ar-SA"/>
        </w:rPr>
        <w:t>كانَ لا يُنكَرُ أن يَكونَ الغَسلُ المذكورُ إنّما</w:t>
      </w:r>
      <w:r>
        <w:rPr>
          <w:rStyle w:val="FootnoteAnchor"/>
          <w:rtl w:val="true"/>
        </w:rPr>
        <w:footnoteReference w:id="2754"/>
      </w:r>
      <w:r>
        <w:rPr>
          <w:rFonts w:ascii="Amiri" w:hAnsi="Amiri" w:eastAsia="Amiri" w:cs="Amiri"/>
          <w:color w:val="111111"/>
          <w:sz w:val="28"/>
          <w:sz w:val="28"/>
          <w:szCs w:val="28"/>
          <w:rtl w:val="true"/>
          <w:lang w:bidi="ar-SA"/>
        </w:rPr>
        <w:t>هو مَسحٌ؛ فصارَ</w:t>
      </w:r>
      <w:r>
        <w:rPr>
          <w:rStyle w:val="FootnoteAnchor"/>
          <w:rtl w:val="true"/>
        </w:rPr>
        <w:footnoteReference w:id="2755"/>
      </w:r>
      <w:r>
        <w:rPr>
          <w:rFonts w:ascii="Amiri" w:hAnsi="Amiri" w:eastAsia="Amiri" w:cs="Amiri"/>
          <w:color w:val="111111"/>
          <w:sz w:val="28"/>
          <w:sz w:val="28"/>
          <w:szCs w:val="28"/>
          <w:rtl w:val="true"/>
          <w:lang w:bidi="ar-SA"/>
        </w:rPr>
        <w:t>تأويلُهم للآيةِ علىٰ هذا يُبطِلُ أصلَ مَذهبِهم في غَسلِ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حَكاه عن أبي زَيدٍ، فهو خطأٌ؛ بما بيّنّاه و أوضَحناه، و الخطأُ يَجوزُ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استشهادُ أبي زَيدٍ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تَمسَّحتُ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رُويَ عنه أنّه استَشهَدَ بذلكَ،</w:t>
      </w:r>
      <w:r>
        <w:rPr>
          <w:rStyle w:val="FootnoteAnchor"/>
          <w:rtl w:val="true"/>
        </w:rPr>
        <w:footnoteReference w:id="2756"/>
      </w:r>
      <w:r>
        <w:rPr>
          <w:rFonts w:ascii="Amiri" w:hAnsi="Amiri" w:eastAsia="Amiri" w:cs="Amiri"/>
          <w:color w:val="111111"/>
          <w:sz w:val="28"/>
          <w:sz w:val="28"/>
          <w:szCs w:val="28"/>
          <w:rtl w:val="true"/>
          <w:lang w:bidi="ar-SA"/>
        </w:rPr>
        <w:t>و الأمرُ</w:t>
      </w:r>
      <w:r>
        <w:rPr>
          <w:rStyle w:val="FootnoteAnchor"/>
          <w:rtl w:val="true"/>
        </w:rPr>
        <w:footnoteReference w:id="2757"/>
      </w:r>
      <w:r>
        <w:rPr>
          <w:rFonts w:ascii="Amiri" w:hAnsi="Amiri" w:eastAsia="Amiri" w:cs="Amiri"/>
          <w:color w:val="111111"/>
          <w:sz w:val="28"/>
          <w:sz w:val="28"/>
          <w:szCs w:val="28"/>
          <w:rtl w:val="true"/>
          <w:lang w:bidi="ar-SA"/>
        </w:rPr>
        <w:t>بخِلافِ ما ظَنَّه فيه؛ لأنّ أهلَ اللسانِ لمّا أرادوا أن يُخبِروا عن الطَّهورِ</w:t>
      </w:r>
      <w:r>
        <w:rPr>
          <w:rStyle w:val="FootnoteAnchor"/>
          <w:rtl w:val="true"/>
        </w:rPr>
        <w:footnoteReference w:id="2758"/>
      </w:r>
      <w:r>
        <w:rPr>
          <w:rFonts w:ascii="Amiri" w:hAnsi="Amiri" w:eastAsia="Amiri" w:cs="Amiri"/>
          <w:color w:val="111111"/>
          <w:sz w:val="28"/>
          <w:sz w:val="28"/>
          <w:szCs w:val="28"/>
          <w:rtl w:val="true"/>
          <w:lang w:bidi="ar-SA"/>
        </w:rPr>
        <w:t>بلفظٍ مُختَصَرٍ</w:t>
      </w:r>
      <w:r>
        <w:rPr>
          <w:rStyle w:val="FootnoteAnchor"/>
          <w:rtl w:val="true"/>
        </w:rPr>
        <w:footnoteReference w:id="2759"/>
      </w:r>
      <w:r>
        <w:rPr>
          <w:rFonts w:ascii="Amiri" w:hAnsi="Amiri" w:eastAsia="Amiri" w:cs="Amiri"/>
          <w:color w:val="111111"/>
          <w:sz w:val="28"/>
          <w:sz w:val="28"/>
          <w:szCs w:val="28"/>
          <w:rtl w:val="true"/>
          <w:lang w:bidi="ar-SA"/>
        </w:rPr>
        <w:t>، لَم يَجُز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اغتَسَلتُ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 الطهارةِ ما لَيسَ بغَسلٍ، و استَطالوا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اغتَسَلتُ و تَمسَّحتُ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بَدَلاً مِن ذلكَ</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تَمسَّحتُ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الغَسلَ ابتداؤه المَسحُ في الأكثَرِ، ثُمَّ يَزيدُ عليه فيَصيرُ غَسلاً، فرَجَّحوا لهذا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w:t>
      </w:r>
      <w:r>
        <w:rPr>
          <w:rStyle w:val="FootnoteAnchor"/>
          <w:rtl w:val="true"/>
        </w:rPr>
        <w:footnoteReference w:id="2760"/>
      </w:r>
      <w:r>
        <w:rPr>
          <w:rFonts w:ascii="Amiri" w:hAnsi="Amiri" w:eastAsia="Amiri" w:cs="Amiri"/>
          <w:color w:val="111111"/>
          <w:sz w:val="28"/>
          <w:sz w:val="28"/>
          <w:szCs w:val="28"/>
          <w:rtl w:val="true"/>
          <w:lang w:bidi="ar-SA"/>
        </w:rPr>
        <w:t>كانَ ذلكَ منهم تَجوُّزاً و تَوسُّعاً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الآيةُ التي ذَكَرَها</w:t>
      </w:r>
      <w:r>
        <w:rPr>
          <w:rStyle w:val="FootnoteAnchor"/>
          <w:rtl w:val="true"/>
        </w:rPr>
        <w:footnoteReference w:id="2761"/>
      </w:r>
      <w:r>
        <w:rPr>
          <w:rFonts w:ascii="Amiri" w:hAnsi="Amiri" w:eastAsia="Amiri" w:cs="Amiri"/>
          <w:color w:val="111111"/>
          <w:sz w:val="28"/>
          <w:sz w:val="28"/>
          <w:szCs w:val="28"/>
          <w:rtl w:val="true"/>
          <w:lang w:bidi="ar-SA"/>
        </w:rPr>
        <w:t>، فإنّه</w:t>
      </w:r>
      <w:r>
        <w:rPr>
          <w:rStyle w:val="FootnoteAnchor"/>
          <w:rtl w:val="true"/>
        </w:rPr>
        <w:footnoteReference w:id="2762"/>
      </w:r>
      <w:r>
        <w:rPr>
          <w:rFonts w:ascii="Amiri" w:hAnsi="Amiri" w:eastAsia="Amiri" w:cs="Amiri"/>
          <w:color w:val="111111"/>
          <w:sz w:val="28"/>
          <w:sz w:val="28"/>
          <w:szCs w:val="28"/>
          <w:rtl w:val="true"/>
          <w:lang w:bidi="ar-SA"/>
        </w:rPr>
        <w:t>لَم يُحسِنْ أن يَذكُرَ كَيفيّةَ الاستدلالِ بها علىٰ أنّ المَسحَ قد يَكونُ غَسلاً، و جَرَّدَه</w:t>
      </w:r>
      <w:r>
        <w:rPr>
          <w:rStyle w:val="FootnoteAnchor"/>
          <w:rtl w:val="true"/>
        </w:rPr>
        <w:footnoteReference w:id="2763"/>
      </w:r>
      <w:r>
        <w:rPr>
          <w:rFonts w:ascii="Amiri" w:hAnsi="Amiri" w:eastAsia="Amiri" w:cs="Amiri"/>
          <w:color w:val="111111"/>
          <w:sz w:val="28"/>
          <w:sz w:val="28"/>
          <w:szCs w:val="28"/>
          <w:rtl w:val="true"/>
          <w:lang w:bidi="ar-SA"/>
        </w:rPr>
        <w:t>علىٰ وجهٍ آخَرَ لا طائلَ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فائدةٍ لَه في أنّ ضَربَ العِلاوةِ‌</w:t>
      </w:r>
      <w:r>
        <w:rPr>
          <w:rStyle w:val="FootnoteAnchor"/>
          <w:rtl w:val="true"/>
        </w:rPr>
        <w:footnoteReference w:id="2764"/>
      </w:r>
      <w:r>
        <w:rPr>
          <w:rFonts w:ascii="Amiri" w:hAnsi="Amiri" w:eastAsia="Amiri" w:cs="Amiri"/>
          <w:color w:val="111111"/>
          <w:sz w:val="28"/>
          <w:sz w:val="28"/>
          <w:szCs w:val="28"/>
          <w:rtl w:val="true"/>
          <w:lang w:bidi="ar-SA"/>
        </w:rPr>
        <w:t xml:space="preserve">يُسمّىٰ مَسحاً؟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Style w:val="FootnoteAnchor"/>
          <w:rtl w:val="true"/>
        </w:rPr>
        <w:footnoteReference w:id="2765"/>
      </w:r>
      <w:r>
        <w:rPr>
          <w:rFonts w:ascii="Amiri" w:hAnsi="Amiri" w:eastAsia="Amiri" w:cs="Amiri"/>
          <w:color w:val="111111"/>
          <w:sz w:val="28"/>
          <w:sz w:val="28"/>
          <w:szCs w:val="28"/>
          <w:rtl w:val="true"/>
          <w:lang w:bidi="ar-SA"/>
        </w:rPr>
        <w:t>في أنّ المَسحَ غَسلٌ؟</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حُكيَ‌</w:t>
      </w:r>
      <w:r>
        <w:rPr>
          <w:rStyle w:val="FootnoteAnchor"/>
          <w:rtl w:val="true"/>
        </w:rPr>
        <w:footnoteReference w:id="2766"/>
      </w:r>
      <w:r>
        <w:rPr>
          <w:rFonts w:ascii="Amiri" w:hAnsi="Amiri" w:eastAsia="Amiri" w:cs="Amiri"/>
          <w:color w:val="111111"/>
          <w:sz w:val="28"/>
          <w:sz w:val="28"/>
          <w:szCs w:val="28"/>
          <w:rtl w:val="true"/>
          <w:lang w:bidi="ar-SA"/>
        </w:rPr>
        <w:t>عن أبي زَيدٍ مِن الاحتجاجِ بالآيةِ علىٰ غيرِ الوجهِ الذي ظَنَّه؛ لأنّ أبا زَيدٍ يُحكىٰ عنه أنّه</w:t>
      </w:r>
      <w:r>
        <w:rPr>
          <w:rStyle w:val="FootnoteAnchor"/>
          <w:rtl w:val="true"/>
        </w:rPr>
        <w:footnoteReference w:id="2767"/>
      </w:r>
      <w:r>
        <w:rPr>
          <w:rFonts w:ascii="Amiri" w:hAnsi="Amiri" w:eastAsia="Amiri" w:cs="Amiri"/>
          <w:color w:val="111111"/>
          <w:sz w:val="28"/>
          <w:sz w:val="28"/>
          <w:szCs w:val="28"/>
          <w:rtl w:val="true"/>
          <w:lang w:bidi="ar-SA"/>
        </w:rPr>
        <w:t>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فَطَفِقَ مَسْحاً بِالسُّوقِ وَ اَلْأَعْنٰاقِ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غَسَلَ‌</w:t>
      </w:r>
      <w:r>
        <w:rPr>
          <w:rStyle w:val="FootnoteAnchor"/>
          <w:rtl w:val="true"/>
        </w:rPr>
        <w:footnoteReference w:id="2768"/>
      </w:r>
      <w:r>
        <w:rPr>
          <w:rFonts w:ascii="Amiri" w:hAnsi="Amiri" w:eastAsia="Amiri" w:cs="Amiri"/>
          <w:color w:val="111111"/>
          <w:sz w:val="28"/>
          <w:sz w:val="28"/>
          <w:szCs w:val="28"/>
          <w:rtl w:val="true"/>
          <w:lang w:bidi="ar-SA"/>
        </w:rPr>
        <w:t>سُوقَها</w:t>
      </w:r>
      <w:r>
        <w:rPr>
          <w:rStyle w:val="FootnoteAnchor"/>
          <w:rtl w:val="true"/>
        </w:rPr>
        <w:footnoteReference w:id="2769"/>
      </w:r>
      <w:r>
        <w:rPr>
          <w:rFonts w:ascii="Amiri" w:hAnsi="Amiri" w:eastAsia="Amiri" w:cs="Amiri"/>
          <w:color w:val="111111"/>
          <w:sz w:val="28"/>
          <w:sz w:val="28"/>
          <w:szCs w:val="28"/>
          <w:rtl w:val="true"/>
          <w:lang w:bidi="ar-SA"/>
        </w:rPr>
        <w:t>و أعناقَها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أورَدنا هذه الشُّبهةَ علىٰ‌</w:t>
      </w:r>
      <w:r>
        <w:rPr>
          <w:rStyle w:val="FootnoteAnchor"/>
          <w:rtl w:val="true"/>
        </w:rPr>
        <w:footnoteReference w:id="2770"/>
      </w:r>
      <w:r>
        <w:rPr>
          <w:rFonts w:ascii="Amiri" w:hAnsi="Amiri" w:eastAsia="Amiri" w:cs="Amiri"/>
          <w:color w:val="111111"/>
          <w:sz w:val="28"/>
          <w:sz w:val="28"/>
          <w:szCs w:val="28"/>
          <w:rtl w:val="true"/>
          <w:lang w:bidi="ar-SA"/>
        </w:rPr>
        <w:t xml:space="preserve">أبي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المُفسِّرينَ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غيرُ غَسلِ الأعناقِ و الأسوُقِ‌</w:t>
      </w:r>
      <w:r>
        <w:rPr>
          <w:rStyle w:val="FootnoteAnchor"/>
          <w:rtl w:val="true"/>
        </w:rPr>
        <w:footnoteReference w:id="2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مَسحَ يَدِه علىٰ أعناقِها و سُوقِها</w:t>
      </w:r>
      <w:r>
        <w:rPr>
          <w:rStyle w:val="FootnoteAnchor"/>
          <w:rtl w:val="true"/>
        </w:rPr>
        <w:footnoteReference w:id="2772"/>
      </w:r>
      <w:r>
        <w:rPr>
          <w:rFonts w:ascii="Amiri" w:hAnsi="Amiri" w:eastAsia="Amiri" w:cs="Amiri"/>
          <w:color w:val="111111"/>
          <w:sz w:val="28"/>
          <w:sz w:val="28"/>
          <w:szCs w:val="28"/>
          <w:rtl w:val="true"/>
          <w:lang w:bidi="ar-SA"/>
        </w:rPr>
        <w:t>، كما يَفعَلُ الإنسانُ ذلكَ فيما يَستَحسِنُه مِن فَرشٍ و ثَوبٍ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ضَربَ أعناقِها و سُوقِها</w:t>
      </w:r>
      <w:r>
        <w:rPr>
          <w:rStyle w:val="FootnoteAnchor"/>
          <w:rtl w:val="true"/>
        </w:rPr>
        <w:footnoteReference w:id="2773"/>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غَسلَ سُوقِها و أعناقِها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الآيةِ علىٰ ما </w:t>
      </w:r>
    </w:p>
    <w:p>
      <w:pPr>
        <w:pStyle w:val="BookText"/>
        <w:rPr/>
      </w:pPr>
      <w:r>
        <w:rPr>
          <w:rFonts w:ascii="Amiri" w:hAnsi="Amiri" w:eastAsia="Amiri" w:cs="Amiri"/>
          <w:color w:val="111111"/>
          <w:sz w:val="28"/>
          <w:sz w:val="28"/>
          <w:szCs w:val="28"/>
          <w:rtl w:val="true"/>
          <w:lang w:bidi="ar-SA"/>
        </w:rPr>
        <w:t xml:space="preserve">هو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توسُّعٍ و لا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الأرجُلَ مغسولةٌ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بالتحديدِ إلَى الكَعبَينِ، و إجراؤها مَجرَى الأيدي في الغَسلِ لأجلِ التحديدِ، فهو شَيءٌ يَتعلَّقُ به قديماً الفقهاءُ، و هو ضَعيفٌ جدّاً؛ و ذلكَ أنّ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حُكمِ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774"/>
      </w:r>
      <w:r>
        <w:rPr>
          <w:rFonts w:ascii="Amiri" w:hAnsi="Amiri" w:eastAsia="Amiri" w:cs="Amiri"/>
          <w:color w:val="111111"/>
          <w:sz w:val="28"/>
          <w:sz w:val="28"/>
          <w:szCs w:val="28"/>
          <w:rtl w:val="true"/>
          <w:lang w:bidi="ar-SA"/>
        </w:rPr>
        <w:t xml:space="preserve">يَجِبُ أن يَكونَ ضَعيفاً مِن حَيثُ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محدودةً إلىٰ غايةٍ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و لا يَجِبُ أن يُعطَفَ‌</w:t>
      </w:r>
      <w:r>
        <w:rPr>
          <w:rStyle w:val="FootnoteAnchor"/>
          <w:rtl w:val="true"/>
        </w:rPr>
        <w:footnoteReference w:id="2775"/>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محدودةٌ‌</w:t>
      </w:r>
      <w:r>
        <w:rPr>
          <w:rStyle w:val="FootnoteAnchor"/>
          <w:rtl w:val="true"/>
        </w:rPr>
        <w:footnoteReference w:id="2776"/>
      </w:r>
      <w:r>
        <w:rPr>
          <w:rFonts w:ascii="Amiri" w:hAnsi="Amiri" w:eastAsia="Amiri" w:cs="Amiri"/>
          <w:color w:val="111111"/>
          <w:sz w:val="28"/>
          <w:sz w:val="28"/>
          <w:szCs w:val="28"/>
          <w:rtl w:val="true"/>
          <w:lang w:bidi="ar-SA"/>
        </w:rPr>
        <w:t xml:space="preserve">و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شَكٍّ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لها مِثلُ حُكمِها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r>
        <w:rPr>
          <w:rStyle w:val="FootnoteAnchor"/>
          <w:rtl w:val="true"/>
        </w:rPr>
        <w:footnoteReference w:id="2777"/>
      </w:r>
      <w:r>
        <w:rPr>
          <w:rFonts w:ascii="Amiri" w:hAnsi="Amiri" w:eastAsia="Amiri" w:cs="Amiri"/>
          <w:color w:val="111111"/>
          <w:sz w:val="28"/>
          <w:sz w:val="28"/>
          <w:szCs w:val="28"/>
          <w:rtl w:val="true"/>
          <w:lang w:bidi="ar-SA"/>
        </w:rPr>
        <w:t>جازَ أن نَعطِفَ‌</w:t>
      </w:r>
      <w:r>
        <w:rPr>
          <w:rStyle w:val="FootnoteAnchor"/>
          <w:rtl w:val="true"/>
        </w:rPr>
        <w:footnoteReference w:id="2778"/>
      </w:r>
      <w:r>
        <w:rPr>
          <w:rFonts w:ascii="Amiri" w:hAnsi="Amiri" w:eastAsia="Amiri" w:cs="Amiri"/>
          <w:color w:val="111111"/>
          <w:sz w:val="28"/>
          <w:sz w:val="28"/>
          <w:szCs w:val="28"/>
          <w:rtl w:val="true"/>
          <w:lang w:bidi="ar-SA"/>
        </w:rPr>
        <w:t>محدوداً مِن الأيدي</w:t>
      </w:r>
      <w:r>
        <w:rPr>
          <w:rStyle w:val="FootnoteAnchor"/>
          <w:rtl w:val="true"/>
        </w:rPr>
        <w:footnoteReference w:id="2779"/>
      </w:r>
      <w:r>
        <w:rPr>
          <w:rFonts w:ascii="Amiri" w:hAnsi="Amiri" w:eastAsia="Amiri" w:cs="Amiri"/>
          <w:color w:val="111111"/>
          <w:sz w:val="28"/>
          <w:sz w:val="28"/>
          <w:szCs w:val="28"/>
          <w:rtl w:val="true"/>
          <w:lang w:bidi="ar-SA"/>
        </w:rPr>
        <w:t>علىٰ غيرِ محدودٍ مِن الوجوهِ، جازَ أيضاً أن نَعطِفَ‌</w:t>
      </w:r>
      <w:r>
        <w:rPr>
          <w:rStyle w:val="FootnoteAnchor"/>
          <w:rtl w:val="true"/>
        </w:rPr>
        <w:footnoteReference w:id="2780"/>
      </w:r>
      <w:r>
        <w:rPr>
          <w:rFonts w:ascii="Amiri" w:hAnsi="Amiri" w:eastAsia="Amiri" w:cs="Amiri"/>
          <w:color w:val="111111"/>
          <w:sz w:val="28"/>
          <w:sz w:val="28"/>
          <w:szCs w:val="28"/>
          <w:rtl w:val="true"/>
          <w:lang w:bidi="ar-SA"/>
        </w:rPr>
        <w:t>محدوداً مِن الأرجُلِ علىٰ غيرِ محدودٍ مِن</w:t>
      </w:r>
      <w:r>
        <w:rPr>
          <w:rStyle w:val="FootnoteAnchor"/>
          <w:rtl w:val="true"/>
        </w:rPr>
        <w:footnoteReference w:id="2781"/>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نَقولُه أَشبَهُ بتقابُلِ الكلامِ و ترتيبِه؛ لأنّ الآيةَ تَضمَّنَت ذِكرَ عضوٍ مغسولٍ غيرِ محدودٍ، ثُمَّ عَطَفَ عليه مِن الأيدي عضواً مغسولاً محدوداً</w:t>
      </w:r>
      <w:r>
        <w:rPr>
          <w:rStyle w:val="FootnoteAnchor"/>
          <w:rtl w:val="true"/>
        </w:rPr>
        <w:footnoteReference w:id="2782"/>
      </w:r>
      <w:r>
        <w:rPr>
          <w:rFonts w:ascii="Amiri" w:hAnsi="Amiri" w:eastAsia="Amiri" w:cs="Amiri"/>
          <w:color w:val="111111"/>
          <w:sz w:val="28"/>
          <w:sz w:val="28"/>
          <w:szCs w:val="28"/>
          <w:rtl w:val="true"/>
          <w:lang w:bidi="ar-SA"/>
        </w:rPr>
        <w:t>، فالمُقابَلةُ تَقتَضي</w:t>
      </w:r>
      <w:r>
        <w:rPr>
          <w:rStyle w:val="FootnoteAnchor"/>
          <w:rtl w:val="true"/>
        </w:rPr>
        <w:footnoteReference w:id="2783"/>
      </w:r>
    </w:p>
    <w:p>
      <w:pPr>
        <w:pStyle w:val="BookText"/>
        <w:rPr/>
      </w:pPr>
      <w:r>
        <w:rPr>
          <w:rFonts w:ascii="Amiri" w:hAnsi="Amiri" w:eastAsia="Amiri" w:cs="Amiri"/>
          <w:color w:val="111111"/>
          <w:sz w:val="28"/>
          <w:sz w:val="28"/>
          <w:szCs w:val="28"/>
          <w:rtl w:val="true"/>
          <w:lang w:bidi="ar-SA"/>
        </w:rPr>
        <w:t>إذا ذَكَرَ عضواً ممسوحاً غيرَ محدودٍ أن يَعطِفَ‌</w:t>
      </w:r>
      <w:r>
        <w:rPr>
          <w:rStyle w:val="FootnoteAnchor"/>
          <w:rtl w:val="true"/>
        </w:rPr>
        <w:footnoteReference w:id="2784"/>
      </w:r>
      <w:r>
        <w:rPr>
          <w:rFonts w:ascii="Amiri" w:hAnsi="Amiri" w:eastAsia="Amiri" w:cs="Amiri"/>
          <w:color w:val="111111"/>
          <w:sz w:val="28"/>
          <w:sz w:val="28"/>
          <w:szCs w:val="28"/>
          <w:rtl w:val="true"/>
          <w:lang w:bidi="ar-SA"/>
        </w:rPr>
        <w:t>عليه بعضوٍ</w:t>
      </w:r>
      <w:r>
        <w:rPr>
          <w:rStyle w:val="FootnoteAnchor"/>
          <w:rtl w:val="true"/>
        </w:rPr>
        <w:footnoteReference w:id="2785"/>
      </w:r>
      <w:r>
        <w:rPr>
          <w:rFonts w:ascii="Amiri" w:hAnsi="Amiri" w:eastAsia="Amiri" w:cs="Amiri"/>
          <w:color w:val="111111"/>
          <w:sz w:val="28"/>
          <w:sz w:val="28"/>
          <w:szCs w:val="28"/>
          <w:rtl w:val="true"/>
          <w:lang w:bidi="ar-SA"/>
        </w:rPr>
        <w:t>ممسوحٍ‌</w:t>
      </w:r>
      <w:r>
        <w:rPr>
          <w:rStyle w:val="FootnoteAnchor"/>
          <w:rtl w:val="true"/>
        </w:rPr>
        <w:footnoteReference w:id="2786"/>
      </w:r>
      <w:r>
        <w:rPr>
          <w:rFonts w:ascii="Amiri" w:hAnsi="Amiri" w:eastAsia="Amiri" w:cs="Amiri"/>
          <w:color w:val="111111"/>
          <w:sz w:val="28"/>
          <w:sz w:val="28"/>
          <w:szCs w:val="28"/>
          <w:rtl w:val="true"/>
          <w:lang w:bidi="ar-SA"/>
        </w:rPr>
        <w:t>محدودٍ، بأن يَعطِفَ محدوداً مِن أرجُلٍ علىٰ غيرِ محدودٍ مِن الرُّؤوسِ‌</w:t>
      </w:r>
      <w:r>
        <w:rPr>
          <w:rStyle w:val="FootnoteAnchor"/>
          <w:rtl w:val="true"/>
        </w:rPr>
        <w:footnoteReference w:id="2787"/>
      </w:r>
      <w:r>
        <w:rPr>
          <w:rFonts w:ascii="Amiri" w:hAnsi="Amiri" w:eastAsia="Amiri" w:cs="Amiri"/>
          <w:color w:val="111111"/>
          <w:sz w:val="28"/>
          <w:sz w:val="28"/>
          <w:szCs w:val="28"/>
          <w:rtl w:val="true"/>
          <w:lang w:bidi="ar-SA"/>
        </w:rPr>
        <w:t>لتَتَقابَلَ الجُملتانِ الأُولىٰ و الأُخرىٰ، و 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الكلامُ الذي طَوَّل بإيرادِه مِن تسميةِ الشيءِ بما يُقارِبُه</w:t>
      </w:r>
      <w:r>
        <w:rPr>
          <w:rStyle w:val="FootnoteAnchor"/>
          <w:rtl w:val="true"/>
        </w:rPr>
        <w:footnoteReference w:id="2788"/>
      </w:r>
      <w:r>
        <w:rPr>
          <w:rFonts w:ascii="Amiri" w:hAnsi="Amiri" w:eastAsia="Amiri" w:cs="Amiri"/>
          <w:color w:val="111111"/>
          <w:sz w:val="28"/>
          <w:sz w:val="28"/>
          <w:szCs w:val="28"/>
          <w:rtl w:val="true"/>
          <w:lang w:bidi="ar-SA"/>
        </w:rPr>
        <w:t>، فهو إذا صَحَّ و سَلِمَ مِن كُلِّ قَدحٍ، تَوسُّعٌ مِن القومِ و تَجوُّزٌ و تَعَدٍّ للحقيقةِ، بغَيرِ شُبهةٍ؛ و لَيسَ لنا أن نَحمِلَ ظاهرَ كتابِ اللّٰهِ علَى المَجازِ و الاتّساعِ مِن 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رَضيَ القائلونَ بالمَسحِ‌</w:t>
      </w:r>
      <w:r>
        <w:rPr>
          <w:rStyle w:val="FootnoteAnchor"/>
          <w:rtl w:val="true"/>
        </w:rPr>
        <w:footnoteReference w:id="2789"/>
      </w:r>
      <w:r>
        <w:rPr>
          <w:rFonts w:ascii="IRNazanin" w:hAnsi="IRNazanin" w:eastAsia="IRNazanin"/>
          <w:color w:val="111111"/>
          <w:sz w:val="28"/>
          <w:sz w:val="28"/>
          <w:szCs w:val="28"/>
          <w:rtl w:val="true"/>
          <w:lang w:bidi="fa-IR"/>
        </w:rPr>
        <w:t>بأن</w:t>
      </w:r>
      <w:r>
        <w:rPr>
          <w:rStyle w:val="FootnoteAnchor"/>
          <w:rtl w:val="true"/>
        </w:rPr>
        <w:footnoteReference w:id="2790"/>
      </w:r>
      <w:r>
        <w:rPr>
          <w:rFonts w:ascii="Amiri" w:hAnsi="Amiri" w:eastAsia="Amiri" w:cs="Amiri"/>
          <w:color w:val="111111"/>
          <w:sz w:val="28"/>
          <w:sz w:val="28"/>
          <w:szCs w:val="28"/>
          <w:rtl w:val="true"/>
          <w:lang w:bidi="ar-SA"/>
        </w:rPr>
        <w:t>يَكونَ حُكمُ مَن أوجَبَ بالآيةِ غَسلَ الرِّجلَينِ حُكمَ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رائحةً‌</w:t>
      </w:r>
      <w:r>
        <w:rPr>
          <w:rStyle w:val="FootnoteAnchor"/>
          <w:rtl w:val="true"/>
        </w:rPr>
        <w:footnoteReference w:id="2791"/>
      </w:r>
      <w:r>
        <w:rPr>
          <w:rFonts w:ascii="Amiri" w:hAnsi="Amiri" w:eastAsia="Amiri" w:cs="Amiri"/>
          <w:color w:val="111111"/>
          <w:sz w:val="28"/>
          <w:sz w:val="28"/>
          <w:szCs w:val="28"/>
          <w:rtl w:val="true"/>
          <w:lang w:bidi="ar-SA"/>
        </w:rPr>
        <w:t>أطيَبَ مِن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حُكمُ‌</w:t>
      </w:r>
      <w:r>
        <w:rPr>
          <w:rStyle w:val="FootnoteAnchor"/>
          <w:rtl w:val="true"/>
        </w:rPr>
        <w:footnoteReference w:id="2792"/>
      </w:r>
      <w:r>
        <w:rPr>
          <w:rFonts w:ascii="Amiri" w:hAnsi="Amiri" w:eastAsia="Amiri" w:cs="Amiri"/>
          <w:color w:val="111111"/>
          <w:sz w:val="28"/>
          <w:sz w:val="28"/>
          <w:szCs w:val="28"/>
          <w:rtl w:val="true"/>
          <w:lang w:bidi="ar-SA"/>
        </w:rPr>
        <w:t>مَن قالَ أنّها توجِبُ المَسحَ حُكمَ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شَمَمتُ‌</w:t>
      </w:r>
      <w:r>
        <w:rPr>
          <w:rStyle w:val="FootnoteAnchor"/>
          <w:rtl w:val="true"/>
        </w:rPr>
        <w:footnoteReference w:id="2793"/>
      </w:r>
      <w:r>
        <w:rPr>
          <w:rFonts w:ascii="Amiri" w:hAnsi="Amiri" w:eastAsia="Amiri" w:cs="Amiri"/>
          <w:color w:val="111111"/>
          <w:sz w:val="28"/>
          <w:sz w:val="28"/>
          <w:szCs w:val="28"/>
          <w:rtl w:val="true"/>
          <w:lang w:bidi="ar-SA"/>
        </w:rPr>
        <w:t>رائحةً أطيَبَ مِن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يُريدونَ‌</w:t>
      </w:r>
      <w:r>
        <w:rPr>
          <w:rStyle w:val="FootnoteAnchor"/>
          <w:rtl w:val="true"/>
        </w:rPr>
        <w:footnoteReference w:id="2794"/>
      </w:r>
      <w:r>
        <w:rPr>
          <w:rFonts w:ascii="Amiri" w:hAnsi="Amiri" w:eastAsia="Amiri" w:cs="Amiri"/>
          <w:color w:val="111111"/>
          <w:sz w:val="28"/>
          <w:sz w:val="28"/>
          <w:szCs w:val="28"/>
          <w:rtl w:val="true"/>
          <w:lang w:bidi="ar-SA"/>
        </w:rPr>
        <w:t>زيادةً علىٰ ذلكَ؟</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الذي حَكاه عن</w:t>
      </w:r>
      <w:r>
        <w:rPr>
          <w:rStyle w:val="FootnoteAnchor"/>
          <w:rtl w:val="true"/>
        </w:rPr>
        <w:footnoteReference w:id="2795"/>
      </w:r>
      <w:r>
        <w:rPr>
          <w:rFonts w:ascii="Amiri" w:hAnsi="Amiri" w:eastAsia="Amiri" w:cs="Amiri"/>
          <w:color w:val="111111"/>
          <w:sz w:val="28"/>
          <w:sz w:val="28"/>
          <w:szCs w:val="28"/>
          <w:rtl w:val="true"/>
          <w:lang w:bidi="ar-SA"/>
        </w:rPr>
        <w:t>الأخفَشِ‌</w:t>
      </w:r>
      <w:r>
        <w:rPr>
          <w:rStyle w:val="FootnoteAnchor"/>
          <w:rtl w:val="true"/>
        </w:rPr>
        <w:footnoteReference w:id="2796"/>
      </w:r>
      <w:r>
        <w:rPr>
          <w:rFonts w:ascii="Amiri" w:hAnsi="Amiri" w:eastAsia="Amiri" w:cs="Amiri"/>
          <w:color w:val="111111"/>
          <w:sz w:val="28"/>
          <w:sz w:val="28"/>
          <w:szCs w:val="28"/>
          <w:rtl w:val="true"/>
          <w:lang w:bidi="ar-SA"/>
        </w:rPr>
        <w:t>مِن قولِهم</w:t>
      </w:r>
      <w:r>
        <w:rPr>
          <w:rStyle w:val="FootnoteAnchor"/>
          <w:rtl w:val="true"/>
        </w:rPr>
        <w:footnoteReference w:id="27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سَمِعتُ رائحةً أطيَبَ </w:t>
      </w:r>
    </w:p>
    <w:p>
      <w:pPr>
        <w:pStyle w:val="BookText"/>
        <w:rPr/>
      </w:pPr>
      <w:r>
        <w:rPr>
          <w:rFonts w:ascii="Amiri" w:hAnsi="Amiri" w:eastAsia="Amiri" w:cs="Amiri"/>
          <w:color w:val="111111"/>
          <w:sz w:val="28"/>
          <w:sz w:val="28"/>
          <w:szCs w:val="28"/>
          <w:rtl w:val="true"/>
          <w:lang w:bidi="ar-SA"/>
        </w:rPr>
        <w:t>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الأَولىٰ أن يَكونَ المُرادُ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خبرَ</w:t>
      </w:r>
      <w:r>
        <w:rPr>
          <w:rStyle w:val="FootnoteAnchor"/>
          <w:rtl w:val="true"/>
        </w:rPr>
        <w:footnoteReference w:id="2798"/>
      </w:r>
      <w:r>
        <w:rPr>
          <w:rFonts w:ascii="Amiri" w:hAnsi="Amiri" w:eastAsia="Amiri" w:cs="Amiri"/>
          <w:color w:val="111111"/>
          <w:sz w:val="28"/>
          <w:sz w:val="28"/>
          <w:szCs w:val="28"/>
          <w:rtl w:val="true"/>
          <w:lang w:bidi="ar-SA"/>
        </w:rPr>
        <w:t>رائحةٍ أطيَبَ مِن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حُذِفَ اختصاراً؛ فهذا أحسَنُ و أليَقُ مِن أن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شَمَمتُ</w:t>
      </w:r>
      <w:r>
        <w:rPr>
          <w:rFonts w:eastAsia="Amiri" w:cs="Amiri" w:ascii="Amiri" w:hAnsi="Amiri"/>
          <w:color w:val="111111"/>
          <w:sz w:val="28"/>
          <w:szCs w:val="28"/>
          <w:rtl w:val="true"/>
          <w:lang w:bidi="ar-SA"/>
        </w:rPr>
        <w:t>»</w:t>
      </w:r>
      <w:r>
        <w:rPr>
          <w:rStyle w:val="FootnoteAnchor"/>
          <w:rtl w:val="true"/>
        </w:rPr>
        <w:footnoteReference w:id="2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أطيَبَ مِن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الرؤيةِ التي هي العِلمُ؛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يُشتَرَكُ‌</w:t>
      </w:r>
      <w:r>
        <w:rPr>
          <w:rStyle w:val="FootnoteAnchor"/>
          <w:rtl w:val="true"/>
        </w:rPr>
        <w:footnoteReference w:id="2800"/>
      </w:r>
      <w:r>
        <w:rPr>
          <w:rFonts w:ascii="Amiri" w:hAnsi="Amiri" w:eastAsia="Amiri" w:cs="Amiri"/>
          <w:color w:val="111111"/>
          <w:sz w:val="28"/>
          <w:sz w:val="28"/>
          <w:szCs w:val="28"/>
          <w:rtl w:val="true"/>
          <w:lang w:bidi="ar-SA"/>
        </w:rPr>
        <w:t xml:space="preserve">أَولىٰ مِن 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شَمَمتُ</w:t>
      </w:r>
      <w:r>
        <w:rPr>
          <w:rFonts w:eastAsia="Amiri" w:cs="Amiri" w:ascii="Amiri" w:hAnsi="Amiri"/>
          <w:color w:val="111111"/>
          <w:sz w:val="28"/>
          <w:szCs w:val="28"/>
          <w:rtl w:val="true"/>
          <w:lang w:bidi="ar-SA"/>
        </w:rPr>
        <w:t>»</w:t>
      </w:r>
      <w:r>
        <w:rPr>
          <w:rStyle w:val="FootnoteAnchor"/>
          <w:rtl w:val="true"/>
        </w:rPr>
        <w:footnoteReference w:id="2801"/>
      </w:r>
      <w:r>
        <w:rPr>
          <w:rFonts w:ascii="Amiri" w:hAnsi="Amiri" w:eastAsia="Amiri" w:cs="Amiri"/>
          <w:color w:val="111111"/>
          <w:sz w:val="28"/>
          <w:sz w:val="28"/>
          <w:szCs w:val="28"/>
          <w:rtl w:val="true"/>
          <w:lang w:bidi="ar-SA"/>
        </w:rPr>
        <w:t>لأنّ الحَملَ علىٰ ما ذَكَرناه يُفسِدُ حقائقَ هذه الألفاظِ، و يَقتَضي</w:t>
      </w:r>
      <w:r>
        <w:rPr>
          <w:rStyle w:val="FootnoteAnchor"/>
          <w:rtl w:val="true"/>
        </w:rPr>
        <w:footnoteReference w:id="2802"/>
      </w:r>
      <w:r>
        <w:rPr>
          <w:rFonts w:ascii="Amiri" w:hAnsi="Amiri" w:eastAsia="Amiri" w:cs="Amiri"/>
          <w:color w:val="111111"/>
          <w:sz w:val="28"/>
          <w:sz w:val="28"/>
          <w:szCs w:val="28"/>
          <w:rtl w:val="true"/>
          <w:lang w:bidi="ar-SA"/>
        </w:rPr>
        <w:t>خَلطَ بعضِها ببعضٍ</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جُملةٌ كافيةٌ فيما قَصَدناهُ‌</w:t>
      </w:r>
      <w:r>
        <w:rPr>
          <w:rStyle w:val="FootnoteAnchor"/>
          <w:rtl w:val="true"/>
        </w:rPr>
        <w:footnoteReference w:id="2803"/>
      </w:r>
      <w:r>
        <w:rPr>
          <w:rFonts w:ascii="Amiri" w:hAnsi="Amiri" w:eastAsia="Amiri" w:cs="Amiri"/>
          <w:color w:val="111111"/>
          <w:sz w:val="28"/>
          <w:sz w:val="28"/>
          <w:szCs w:val="28"/>
          <w:rtl w:val="true"/>
          <w:lang w:bidi="ar-SA"/>
        </w:rPr>
        <w:t>، و الحَمدُ للّٰهِ رَبِّ العالَمينَ، و صَلَواتُه علىٰ سَيِّدِنا مُحمّدٍ و عِترتِه المُطهَّرينَ‌</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 xml:space="preserve">. </w:t>
      </w:r>
      <w:bookmarkStart w:id="1037" w:name="pg16437_172809"/>
    </w:p>
    <w:p>
      <w:pPr>
        <w:pStyle w:val="Heading3"/>
        <w:numPr>
          <w:ilvl w:val="2"/>
          <w:numId w:val="1"/>
        </w:numPr>
        <w:rPr/>
      </w:pPr>
      <w:bookmarkStart w:id="1038" w:name="__RefHeading___Toc8040215_1280447820"/>
      <w:bookmarkStart w:id="1039" w:name="_Toc382"/>
      <w:bookmarkEnd w:id="1037"/>
      <w:bookmarkEnd w:id="1038"/>
      <w:r>
        <w:rPr>
          <w:rtl w:val="true"/>
        </w:rPr>
        <w:t>(</w:t>
      </w:r>
      <w:r>
        <w:rPr/>
        <w:t>85</w:t>
      </w:r>
      <w:r>
        <w:rPr>
          <w:rtl w:val="true"/>
        </w:rPr>
        <w:t xml:space="preserve">) </w:t>
      </w:r>
      <w:r>
        <w:rPr>
          <w:rtl w:val="true"/>
        </w:rPr>
        <w:t>مَسألةٌ في المَسحِ علَى الخُفَّينِ‌</w:t>
      </w:r>
      <w:bookmarkEnd w:id="103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0" w:name="__RefHeading___Toc8040217_1280447820"/>
      <w:bookmarkStart w:id="1041" w:name="_Toc383"/>
      <w:bookmarkEnd w:id="1040"/>
      <w:r>
        <w:rPr>
          <w:rtl w:val="true"/>
        </w:rPr>
        <w:t>اشارة</w:t>
      </w:r>
      <w:bookmarkEnd w:id="104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2" w:name="pg16437_172811"/>
      <w:bookmarkStart w:id="1043" w:name="pg16437_172811"/>
      <w:bookmarkEnd w:id="1043"/>
    </w:p>
    <w:p>
      <w:pPr>
        <w:pStyle w:val="Heading4"/>
        <w:numPr>
          <w:ilvl w:val="3"/>
          <w:numId w:val="1"/>
        </w:numPr>
        <w:rPr/>
      </w:pPr>
      <w:bookmarkStart w:id="1044" w:name="pg16437_172811"/>
      <w:bookmarkStart w:id="1045" w:name="__RefHeading___Toc8040219_1280447820"/>
      <w:bookmarkStart w:id="1046" w:name="_Toc384"/>
      <w:bookmarkEnd w:id="1044"/>
      <w:bookmarkEnd w:id="1045"/>
      <w:r>
        <w:rPr>
          <w:rtl w:val="true"/>
        </w:rPr>
        <w:t>مقدّمة التحقيق</w:t>
      </w:r>
      <w:bookmarkEnd w:id="1046"/>
    </w:p>
    <w:p>
      <w:pPr>
        <w:pStyle w:val="Heading5"/>
        <w:numPr>
          <w:ilvl w:val="4"/>
          <w:numId w:val="1"/>
        </w:numPr>
        <w:rPr/>
      </w:pPr>
      <w:bookmarkStart w:id="1047" w:name="__RefHeading___Toc8040221_1280447820"/>
      <w:bookmarkStart w:id="1048" w:name="_Toc385"/>
      <w:bookmarkEnd w:id="1047"/>
      <w:r>
        <w:rPr>
          <w:rtl w:val="true"/>
        </w:rPr>
        <w:t>اشارة</w:t>
      </w:r>
      <w:bookmarkEnd w:id="1048"/>
    </w:p>
    <w:p>
      <w:pPr>
        <w:pStyle w:val="BookText"/>
        <w:rPr/>
      </w:pPr>
      <w:r>
        <w:rPr>
          <w:rFonts w:ascii="Amiri" w:hAnsi="Amiri" w:eastAsia="Amiri" w:cs="Amiri"/>
          <w:color w:val="111111"/>
          <w:sz w:val="28"/>
          <w:sz w:val="28"/>
          <w:szCs w:val="28"/>
          <w:rtl w:val="true"/>
          <w:lang w:bidi="ar-SA"/>
        </w:rPr>
        <w:t>من المسائل الفقهيّة الخلافيّة التي كثر النزاع حولها بين الفقهاء هي كيفيّة الوضوء، و منها مسألة المسح على الخُفّ؛ فهل يجوز أن يمسح المكلّف على خُفّه عند الوضوء بدلاً من المسح على رجله مباشرة، أم لا؟ منع الإماميّة من ذلك منعاً باتّاً، فيما أجازه جمهور فقهاء المذاهب الأُخرى</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قام علماء الإماميّة بتأليف كتب و رسائل حول هذا الموضوع،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المسح على الخُفّين، لعليّ بن بلال المهلّبيّ الأزدي</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المسح على الخُفّين، للفضل بن شاذان</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المسح على الخُفّين، للشيخ أبي عليّ بن الجنيد الإسكافي</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الإيضاح في المسح على الخُفّين، ليحيى بن محمّد بن أحمد</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مناظرة الشيعي و المرجي في المسح على الخُفّين، و أكل الجريّ، و غير ذلك، لأبي يحيى الجرجاني</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 xml:space="preserve">. </w:t>
      </w:r>
      <w:bookmarkStart w:id="1049" w:name="pg16437_172812"/>
    </w:p>
    <w:p>
      <w:pPr>
        <w:pStyle w:val="BookText"/>
        <w:rPr/>
      </w:pPr>
      <w:bookmarkEnd w:id="1049"/>
      <w:r>
        <w:rPr>
          <w:rFonts w:ascii="Amiri" w:hAnsi="Amiri" w:eastAsia="Amiri" w:cs="Amiri"/>
          <w:color w:val="111111"/>
          <w:sz w:val="28"/>
          <w:sz w:val="28"/>
          <w:szCs w:val="28"/>
          <w:rtl w:val="true"/>
          <w:lang w:bidi="ar-SA"/>
        </w:rPr>
        <w:t>و قد سُئل الشريف المرتضى عن رأيه في هذه المسألة، حيث أُرسل إليه سؤال من خراسان، فأجاب عنه، و قد أبدى رأيه في المسألة كسائر فقهاء الإماميّة في المنع الباتّ من المسح على 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تاريخ إملاء الرسالة في شعبان من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جاء في بدايتها</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8040223_1280447820"/>
      <w:bookmarkStart w:id="1051" w:name="_Toc386"/>
      <w:bookmarkEnd w:id="1050"/>
      <w:r>
        <w:rPr>
          <w:rtl w:val="true"/>
        </w:rPr>
        <w:t>نسبة الرسالة إلى المؤلّف</w:t>
      </w:r>
      <w:bookmarkEnd w:id="1051"/>
    </w:p>
    <w:p>
      <w:pPr>
        <w:pStyle w:val="BookText"/>
        <w:rPr/>
      </w:pPr>
      <w:r>
        <w:rPr>
          <w:rFonts w:ascii="Amiri" w:hAnsi="Amiri" w:eastAsia="Amiri" w:cs="Amiri"/>
          <w:color w:val="111111"/>
          <w:sz w:val="28"/>
          <w:sz w:val="28"/>
          <w:szCs w:val="28"/>
          <w:rtl w:val="true"/>
          <w:lang w:bidi="ar-SA"/>
        </w:rPr>
        <w:t xml:space="preserve">و يدلّ على صحّة نسبة الرسالة إليه ما جاء من معلومات في بداية الرسالة و التي أُشير فيها إلى أنّه قد أجاب عن هذه المسألة في دار أبيه الشريف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محوّل إحدى محلّات بغداد، و هي الدار التي ولد فيها الشريف المرتضى، إنّ هذه المعلومات تدلّ كلّها على تصحيح النسبة إليه؛ فإنّ من المستبعد أن يكون النسّاخ قد اخترعوا هذه المعلومات من عندهم، أو أنّهم أضافوها خطأ؛ فإنّ طرح هذه الاحتمالات تؤدّي إلى التشكيك في كلّ ما يأتينا من قِبَل النسّاخ، و منه نفس نصوص الكتب و الرسائل التي ينقلونها إلينا، و هذا يؤدّي إلى سدّ باب الاعتماد على النسخ الخطّيّة، إلّافي صورة إحراز وثاقة سلسلة النسّاخ إلى أن نصل إلى نسخة المؤلّف، و هذا أمرٌ دونه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يمكن تصحيح نسبة الرسالة إلى الشريف المرتضى</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8040225_1280447820"/>
      <w:bookmarkStart w:id="1053" w:name="_Toc387"/>
      <w:bookmarkEnd w:id="1052"/>
      <w:r>
        <w:rPr>
          <w:rtl w:val="true"/>
        </w:rPr>
        <w:t>محتوى الرسالة</w:t>
      </w:r>
      <w:bookmarkEnd w:id="1053"/>
    </w:p>
    <w:p>
      <w:pPr>
        <w:pStyle w:val="BookText"/>
        <w:rPr/>
      </w:pPr>
      <w:r>
        <w:rPr>
          <w:rFonts w:ascii="Amiri" w:hAnsi="Amiri" w:eastAsia="Amiri" w:cs="Amiri"/>
          <w:color w:val="111111"/>
          <w:sz w:val="28"/>
          <w:sz w:val="28"/>
          <w:szCs w:val="28"/>
          <w:rtl w:val="true"/>
          <w:lang w:bidi="ar-SA"/>
        </w:rPr>
        <w:t>و قد استدلّ في هذه الرسالة على عدم جواز المسح على الخُفّ بثلاثة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الوضوء دلّت على مسح الرِّجل،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2811"/>
      </w:r>
      <w:r>
        <w:rPr>
          <w:rFonts w:ascii="Amiri" w:hAnsi="Amiri" w:eastAsia="Amiri" w:cs="Amiri"/>
          <w:color w:val="111111"/>
          <w:sz w:val="28"/>
          <w:sz w:val="28"/>
          <w:szCs w:val="28"/>
          <w:rtl w:val="true"/>
          <w:lang w:bidi="ar-SA"/>
        </w:rPr>
        <w:t>، و الخُفّ لا يسمّى رِجلاً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وجود بعض التعبيرات الدالّة على تسمية الخُفّ رِجلاً،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وطأتُه </w:t>
      </w:r>
      <w:bookmarkStart w:id="1054" w:name="pg16437_172813"/>
    </w:p>
    <w:p>
      <w:pPr>
        <w:pStyle w:val="BookText"/>
        <w:rPr/>
      </w:pPr>
      <w:bookmarkEnd w:id="1054"/>
      <w:r>
        <w:rPr>
          <w:rFonts w:ascii="Amiri" w:hAnsi="Amiri" w:eastAsia="Amiri" w:cs="Amiri"/>
          <w:color w:val="111111"/>
          <w:sz w:val="28"/>
          <w:sz w:val="28"/>
          <w:szCs w:val="28"/>
          <w:rtl w:val="true"/>
          <w:lang w:bidi="ar-SA"/>
        </w:rPr>
        <w:t>برجلي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فيها خُفّ، فهي تعبيرات مجازيّة، لا يُقاس عليها، و لا يُترك ظاهر الكتاب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أن تكون الآية ناظرة إلى غير لابس الخُفّ، لا إلى كلّ مُحدِث حتّى اللابس له، فردُّه بأنّ إجماع المسلمين دلّ على شمول الآية لكل مُحدِث يريد الوضوء، سواء كان لابساً للخُف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توضّأ غير مرّة، و مسح رجله أو غلسها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لروايتنا أو رواية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إنّه وضوء لا يقبل اللّٰه الصلاة إلّابه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المسح علىٰ الخفّين يخالف ذلك الوضوء فلا تُستباح به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بإجماع الإماميّة على إنكار المسح على الخُفّ، و إجماع الإماميّة حجّة؛ لكونهم الفرقة المُحقّة التي دخل الإمام المعصوم في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كانت هذه الرسالة قد طبعت في ضمن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8040227_1280447820"/>
      <w:bookmarkStart w:id="1056" w:name="_Toc388"/>
      <w:bookmarkEnd w:id="1055"/>
      <w:r>
        <w:rPr>
          <w:rtl w:val="true"/>
        </w:rPr>
        <w:t>مخطوطات الرسالة</w:t>
      </w:r>
      <w:bookmarkEnd w:id="1056"/>
    </w:p>
    <w:p>
      <w:pPr>
        <w:pStyle w:val="Heading6"/>
        <w:numPr>
          <w:ilvl w:val="5"/>
          <w:numId w:val="1"/>
        </w:numPr>
        <w:rPr/>
      </w:pPr>
      <w:bookmarkStart w:id="1057" w:name="__RefHeading___Toc8040229_1280447820"/>
      <w:bookmarkStart w:id="1058" w:name="_Toc389"/>
      <w:bookmarkEnd w:id="1057"/>
      <w:r>
        <w:rPr>
          <w:rtl w:val="true"/>
        </w:rPr>
        <w:t>ألف</w:t>
      </w:r>
      <w:r>
        <w:rPr>
          <w:rtl w:val="true"/>
        </w:rPr>
        <w:t xml:space="preserve">) </w:t>
      </w:r>
      <w:r>
        <w:rPr>
          <w:rtl w:val="true"/>
        </w:rPr>
        <w:t>النسخ المعتمدة</w:t>
      </w:r>
      <w:r>
        <w:rPr>
          <w:rtl w:val="true"/>
        </w:rPr>
        <w:t>:</w:t>
      </w:r>
      <w:bookmarkEnd w:id="10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541/14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bookmarkStart w:id="1059" w:name="pg16437_172814"/>
    </w:p>
    <w:p>
      <w:pPr>
        <w:pStyle w:val="BookText"/>
        <w:rPr/>
      </w:pPr>
      <w:bookmarkEnd w:id="105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6"/>
        <w:numPr>
          <w:ilvl w:val="5"/>
          <w:numId w:val="1"/>
        </w:numPr>
        <w:rPr/>
      </w:pPr>
      <w:bookmarkStart w:id="1060" w:name="__RefHeading___Toc8040231_1280447820"/>
      <w:bookmarkStart w:id="1061" w:name="_Toc390"/>
      <w:bookmarkEnd w:id="1060"/>
      <w:r>
        <w:rPr>
          <w:rtl w:val="true"/>
        </w:rPr>
        <w:t>ب</w:t>
      </w:r>
      <w:r>
        <w:rPr>
          <w:rtl w:val="true"/>
        </w:rPr>
        <w:t xml:space="preserve">) </w:t>
      </w:r>
      <w:r>
        <w:rPr>
          <w:rtl w:val="true"/>
        </w:rPr>
        <w:t>سائر النسخ</w:t>
      </w:r>
      <w:r>
        <w:rPr>
          <w:rtl w:val="true"/>
        </w:rPr>
        <w:t>:</w:t>
      </w:r>
      <w:bookmarkEnd w:id="10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البروجردي،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10005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السيّد حسن الصدر رحمه اللّٰه، المرقّمة </w:t>
      </w:r>
      <w:r>
        <w:rPr>
          <w:rFonts w:eastAsia="Amiri" w:cs="Amiri" w:ascii="Amiri" w:hAnsi="Amiri"/>
          <w:color w:val="111111"/>
          <w:sz w:val="28"/>
          <w:szCs w:val="28"/>
          <w:lang w:bidi="ar-SA"/>
        </w:rPr>
        <w:t>587/7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لابدّ من الإشارة إلىٰ وجود مخطوطة أُخرى في مكتبة آية اللّٰه المرعشي بقمّ أُعطيت في فهرس هذه المكتبة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نُسبت إلى الشريف المرتضى، و هي الرسالة الثالثة من المجموعة المرقمة برقم </w:t>
      </w:r>
      <w:r>
        <w:rPr>
          <w:rFonts w:eastAsia="Amiri" w:cs="Amiri" w:ascii="Amiri" w:hAnsi="Amiri"/>
          <w:color w:val="111111"/>
          <w:sz w:val="28"/>
          <w:szCs w:val="28"/>
          <w:lang w:bidi="ar-SA"/>
        </w:rPr>
        <w:t>6896</w:t>
      </w:r>
      <w:r>
        <w:rPr>
          <w:rFonts w:ascii="Amiri" w:hAnsi="Amiri" w:eastAsia="Amiri" w:cs="Amiri"/>
          <w:color w:val="111111"/>
          <w:sz w:val="28"/>
          <w:sz w:val="28"/>
          <w:szCs w:val="28"/>
          <w:rtl w:val="true"/>
          <w:lang w:bidi="ar-SA"/>
        </w:rPr>
        <w:t>؛ و لكن عثرنا على شواهد في هذه الرسالة تدلّ على أنّها من تأليف الحسين بن عبد الصمد العاملي، و عنوانها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المسح على الرجلَين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2" w:name="pg16437_172817"/>
      <w:bookmarkStart w:id="1063" w:name="pg16437_172817"/>
      <w:bookmarkEnd w:id="1063"/>
    </w:p>
    <w:p>
      <w:pPr>
        <w:pStyle w:val="Heading4"/>
        <w:numPr>
          <w:ilvl w:val="3"/>
          <w:numId w:val="1"/>
        </w:numPr>
        <w:rPr/>
      </w:pPr>
      <w:bookmarkStart w:id="1064" w:name="pg16437_172817"/>
      <w:bookmarkStart w:id="1065" w:name="__RefHeading___Toc8040233_1280447820"/>
      <w:bookmarkStart w:id="1066" w:name="_Toc391"/>
      <w:bookmarkEnd w:id="1064"/>
      <w:bookmarkEnd w:id="1065"/>
      <w:r>
        <w:rPr>
          <w:rtl w:val="true"/>
        </w:rPr>
        <w:t>مَسألةٌ في المَسحِ علَى الخُفَّينِ‌</w:t>
      </w:r>
      <w:bookmarkEnd w:id="10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مسألةٌ في المسحِ علَى الخُفَّين إملاءُ سيِّدِنا الشريفِ المُرتَضىٰ ذي المَجدَينِ رَضِيَ اللّٰهُ عنه في شَعبانَ، سَنةَ خَمسَ عَشرةَ و أربَعِمائةٍ، فِي دارِ أبيه الطاهرِ</w:t>
      </w:r>
      <w:r>
        <w:rPr>
          <w:rStyle w:val="FootnoteAnchor"/>
          <w:rtl w:val="true"/>
        </w:rPr>
        <w:footnoteReference w:id="2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المُحوَّلِ‌</w:t>
      </w:r>
      <w:r>
        <w:rPr>
          <w:rStyle w:val="FootnoteAnchor"/>
          <w:rtl w:val="true"/>
        </w:rPr>
        <w:footnoteReference w:id="2813"/>
      </w:r>
      <w:r>
        <w:rPr>
          <w:rFonts w:ascii="Amiri" w:hAnsi="Amiri" w:eastAsia="Amiri" w:cs="Amiri"/>
          <w:color w:val="111111"/>
          <w:sz w:val="28"/>
          <w:sz w:val="28"/>
          <w:szCs w:val="28"/>
          <w:rtl w:val="true"/>
          <w:lang w:bidi="ar-SA"/>
        </w:rPr>
        <w:t>، جواباً عن مَسألةٍ وَرَدَت مِن خُراسانَ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Style w:val="FootnoteAnchor"/>
          <w:rtl w:val="true"/>
        </w:rPr>
        <w:footnoteReference w:id="2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الإماميّةُ تُنكِرُ المَسحَ علَى الخُفَّينِ، و تُبدِّعُ فاعلَه و تُخطّئُه</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خالَفَ فقهاءُ العامّةِ في ذلكَ، فأجازوا</w:t>
      </w:r>
      <w:r>
        <w:rPr>
          <w:rStyle w:val="FootnoteAnchor"/>
          <w:rtl w:val="true"/>
        </w:rPr>
        <w:footnoteReference w:id="2816"/>
      </w:r>
      <w:r>
        <w:rPr>
          <w:rFonts w:ascii="Amiri" w:hAnsi="Amiri" w:eastAsia="Amiri" w:cs="Amiri"/>
          <w:color w:val="111111"/>
          <w:sz w:val="28"/>
          <w:sz w:val="28"/>
          <w:szCs w:val="28"/>
          <w:rtl w:val="true"/>
          <w:lang w:bidi="ar-SA"/>
        </w:rPr>
        <w:t>المَسحَ علَى الخُفَّينِ‌</w:t>
      </w:r>
      <w:r>
        <w:rPr>
          <w:rStyle w:val="FootnoteAnchor"/>
          <w:rtl w:val="true"/>
        </w:rPr>
        <w:footnoteReference w:id="2817"/>
      </w:r>
      <w:r>
        <w:rPr>
          <w:rFonts w:ascii="IRNazanin" w:hAnsi="IRNazanin" w:eastAsia="IRNazanin"/>
          <w:color w:val="111111"/>
          <w:sz w:val="28"/>
          <w:sz w:val="28"/>
          <w:szCs w:val="28"/>
          <w:rtl w:val="true"/>
          <w:lang w:bidi="fa-IR"/>
        </w:rPr>
        <w:t>، و</w:t>
      </w:r>
      <w:r>
        <w:rPr>
          <w:rStyle w:val="FootnoteAnchor"/>
          <w:rtl w:val="true"/>
        </w:rPr>
        <w:footnoteReference w:id="2818"/>
      </w:r>
      <w:r>
        <w:rPr>
          <w:rFonts w:ascii="Amiri" w:hAnsi="Amiri" w:eastAsia="Amiri" w:cs="Amiri"/>
          <w:color w:val="111111"/>
          <w:sz w:val="28"/>
          <w:sz w:val="28"/>
          <w:szCs w:val="28"/>
          <w:rtl w:val="true"/>
          <w:lang w:bidi="ar-SA"/>
        </w:rPr>
        <w:t>فَرَّقوا بَينَ رُخصةِ المُقيمِ فيه و المُسافِرِ</w:t>
      </w:r>
      <w:r>
        <w:rPr>
          <w:rStyle w:val="FootnoteAnchor"/>
          <w:rtl w:val="true"/>
        </w:rPr>
        <w:footnoteReference w:id="2819"/>
      </w:r>
      <w:r>
        <w:rPr>
          <w:rFonts w:ascii="Amiri" w:hAnsi="Amiri" w:eastAsia="Amiri" w:cs="Amiri"/>
          <w:color w:val="111111"/>
          <w:sz w:val="28"/>
          <w:sz w:val="28"/>
          <w:szCs w:val="28"/>
          <w:rtl w:val="true"/>
          <w:lang w:bidi="ar-SA"/>
        </w:rPr>
        <w:t>، إلّاما رُويَ عن مالكٍ، فإنّه كانَ يُبطِلُ التوقيتَ في مَسحِ الخُفَّينِ و لا</w:t>
      </w:r>
      <w:r>
        <w:rPr>
          <w:rStyle w:val="FootnoteAnchor"/>
          <w:rtl w:val="true"/>
        </w:rPr>
        <w:footnoteReference w:id="2820"/>
      </w:r>
      <w:r>
        <w:rPr>
          <w:rFonts w:ascii="Amiri" w:hAnsi="Amiri" w:eastAsia="Amiri" w:cs="Amiri"/>
          <w:color w:val="111111"/>
          <w:sz w:val="28"/>
          <w:sz w:val="28"/>
          <w:szCs w:val="28"/>
          <w:rtl w:val="true"/>
          <w:lang w:bidi="ar-SA"/>
        </w:rPr>
        <w:t>يَضرِبُ له غايةً</w:t>
      </w:r>
      <w:r>
        <w:rPr>
          <w:rFonts w:eastAsia="Amiri" w:cs="Amiri" w:ascii="Amiri" w:hAnsi="Amiri"/>
          <w:color w:val="111111"/>
          <w:sz w:val="28"/>
          <w:szCs w:val="28"/>
          <w:rtl w:val="true"/>
          <w:lang w:bidi="ar-SA"/>
        </w:rPr>
        <w:t>.</w:t>
      </w:r>
      <w:r>
        <w:rPr>
          <w:rStyle w:val="FootnoteAnchor"/>
          <w:rtl w:val="true"/>
        </w:rPr>
        <w:footnoteReference w:id="2821"/>
      </w:r>
    </w:p>
    <w:p>
      <w:pPr>
        <w:pStyle w:val="BookText"/>
        <w:rPr/>
      </w:pPr>
      <w:r>
        <w:rPr>
          <w:rFonts w:ascii="Amiri" w:hAnsi="Amiri" w:eastAsia="Amiri" w:cs="Amiri"/>
          <w:color w:val="111111"/>
          <w:sz w:val="28"/>
          <w:sz w:val="28"/>
          <w:szCs w:val="28"/>
          <w:rtl w:val="true"/>
          <w:lang w:bidi="ar-SA"/>
        </w:rPr>
        <w:t>و قد حكىٰ عنه</w:t>
      </w:r>
      <w:r>
        <w:rPr>
          <w:rStyle w:val="FootnoteAnchor"/>
          <w:rtl w:val="true"/>
        </w:rPr>
        <w:footnoteReference w:id="2822"/>
      </w:r>
      <w:r>
        <w:rPr>
          <w:rFonts w:ascii="Amiri" w:hAnsi="Amiri" w:eastAsia="Amiri" w:cs="Amiri"/>
          <w:color w:val="111111"/>
          <w:sz w:val="28"/>
          <w:sz w:val="28"/>
          <w:szCs w:val="28"/>
          <w:rtl w:val="true"/>
          <w:lang w:bidi="ar-SA"/>
        </w:rPr>
        <w:t>بعضُ أصحابِه</w:t>
      </w:r>
      <w:r>
        <w:rPr>
          <w:rStyle w:val="FootnoteAnchor"/>
          <w:rtl w:val="true"/>
        </w:rPr>
        <w:footnoteReference w:id="2823"/>
      </w:r>
      <w:r>
        <w:rPr>
          <w:rFonts w:ascii="Amiri" w:hAnsi="Amiri" w:eastAsia="Amiri" w:cs="Amiri"/>
          <w:color w:val="111111"/>
          <w:sz w:val="28"/>
          <w:sz w:val="28"/>
          <w:szCs w:val="28"/>
          <w:rtl w:val="true"/>
          <w:lang w:bidi="ar-SA"/>
        </w:rPr>
        <w:t>أنّه كانَ يُضعِّفُ المَسحَ علَى الخُفَّينِ علَى الجُملةِ‌</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يَدُلُّ علىٰ صِحّةِ مَذهبِنا في بُطلانِ المَسحِ علَى الخُفَّينِ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2825"/>
      </w:r>
      <w:r>
        <w:rPr>
          <w:rFonts w:ascii="Amiri" w:hAnsi="Amiri" w:eastAsia="Amiri" w:cs="Amiri"/>
          <w:color w:val="111111"/>
          <w:sz w:val="28"/>
          <w:sz w:val="28"/>
          <w:szCs w:val="28"/>
          <w:rtl w:val="true"/>
          <w:lang w:bidi="ar-SA"/>
        </w:rPr>
        <w:t>فأمَرَ بغَسلِ و مَسحِ أعضاءٍ مخصوصةٍ بأسماءٍ لها خاصّةٍ‌</w:t>
      </w:r>
      <w:r>
        <w:rPr>
          <w:rStyle w:val="FootnoteAnchor"/>
          <w:rtl w:val="true"/>
        </w:rPr>
        <w:footnoteReference w:id="2826"/>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عَلِمنا أنّ الخُفَّ 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و لا عُرفٍ و لا شَرعٍ، فيَجِبُ أن </w:t>
      </w:r>
    </w:p>
    <w:p>
      <w:pPr>
        <w:pStyle w:val="BookText"/>
        <w:rPr/>
      </w:pPr>
      <w:r>
        <w:rPr>
          <w:rFonts w:ascii="Amiri" w:hAnsi="Amiri" w:eastAsia="Amiri" w:cs="Amiri"/>
          <w:color w:val="111111"/>
          <w:sz w:val="28"/>
          <w:sz w:val="28"/>
          <w:szCs w:val="28"/>
          <w:rtl w:val="true"/>
          <w:lang w:bidi="ar-SA"/>
        </w:rPr>
        <w:t>يَكونَ الماسحُ عليه</w:t>
      </w:r>
      <w:r>
        <w:rPr>
          <w:rStyle w:val="FootnoteAnchor"/>
          <w:rtl w:val="true"/>
        </w:rPr>
        <w:footnoteReference w:id="2827"/>
      </w:r>
      <w:r>
        <w:rPr>
          <w:rFonts w:ascii="Amiri" w:hAnsi="Amiri" w:eastAsia="Amiri" w:cs="Amiri"/>
          <w:color w:val="111111"/>
          <w:sz w:val="28"/>
          <w:sz w:val="28"/>
          <w:szCs w:val="28"/>
          <w:rtl w:val="true"/>
          <w:lang w:bidi="ar-SA"/>
        </w:rPr>
        <w:t>غيرَ مُتطهِّرٍ، و لا مُمتَثِلٍ لِحُكمِ‌</w:t>
      </w:r>
      <w:r>
        <w:rPr>
          <w:rStyle w:val="FootnoteAnchor"/>
          <w:rtl w:val="true"/>
        </w:rPr>
        <w:footnoteReference w:id="2828"/>
      </w:r>
      <w:r>
        <w:rPr>
          <w:rFonts w:ascii="Amiri" w:hAnsi="Amiri" w:eastAsia="Amiri" w:cs="Amiri"/>
          <w:color w:val="111111"/>
          <w:sz w:val="28"/>
          <w:sz w:val="28"/>
          <w:szCs w:val="28"/>
          <w:rtl w:val="true"/>
          <w:lang w:bidi="ar-SA"/>
        </w:rPr>
        <w:t>الآيةِ؛ لأنّ الآيةَ‌</w:t>
      </w:r>
      <w:r>
        <w:rPr>
          <w:rStyle w:val="FootnoteAnchor"/>
          <w:rtl w:val="true"/>
        </w:rPr>
        <w:footnoteReference w:id="2829"/>
      </w:r>
      <w:r>
        <w:rPr>
          <w:rFonts w:ascii="Amiri" w:hAnsi="Amiri" w:eastAsia="Amiri" w:cs="Amiri"/>
          <w:color w:val="111111"/>
          <w:sz w:val="28"/>
          <w:sz w:val="28"/>
          <w:szCs w:val="28"/>
          <w:rtl w:val="true"/>
          <w:lang w:bidi="ar-SA"/>
        </w:rPr>
        <w:t>أمَرَته</w:t>
      </w:r>
      <w:r>
        <w:rPr>
          <w:rStyle w:val="FootnoteAnchor"/>
          <w:rtl w:val="true"/>
        </w:rPr>
        <w:footnoteReference w:id="2830"/>
      </w:r>
      <w:r>
        <w:rPr>
          <w:rFonts w:ascii="Amiri" w:hAnsi="Amiri" w:eastAsia="Amiri" w:cs="Amiri"/>
          <w:color w:val="111111"/>
          <w:sz w:val="28"/>
          <w:sz w:val="28"/>
          <w:szCs w:val="28"/>
          <w:rtl w:val="true"/>
          <w:lang w:bidi="ar-SA"/>
        </w:rPr>
        <w:t xml:space="preserve">بمَسحِ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Style w:val="FootnoteAnchor"/>
          <w:rtl w:val="true"/>
        </w:rPr>
        <w:footnoteReference w:id="2831"/>
      </w:r>
      <w:r>
        <w:rPr>
          <w:rFonts w:ascii="Amiri" w:hAnsi="Amiri" w:eastAsia="Amiri" w:cs="Amiri"/>
          <w:color w:val="111111"/>
          <w:sz w:val="28"/>
          <w:sz w:val="28"/>
          <w:szCs w:val="28"/>
          <w:rtl w:val="true"/>
          <w:lang w:bidi="ar-SA"/>
        </w:rPr>
        <w:t>، و الخُفُّ لا يَستَحِقُّ هذه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يُسَمَّى</w:t>
      </w:r>
      <w:r>
        <w:rPr>
          <w:rStyle w:val="FootnoteAnchor"/>
          <w:rtl w:val="true"/>
        </w:rPr>
        <w:footnoteReference w:id="2832"/>
      </w:r>
      <w:r>
        <w:rPr>
          <w:rFonts w:ascii="Amiri" w:hAnsi="Amiri" w:eastAsia="Amiri" w:cs="Amiri"/>
          <w:color w:val="111111"/>
          <w:sz w:val="28"/>
          <w:sz w:val="28"/>
          <w:szCs w:val="28"/>
          <w:rtl w:val="true"/>
          <w:lang w:bidi="ar-SA"/>
        </w:rPr>
        <w:t xml:space="preserve">الخُفُّ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المَواضعِ؛ لأنّهم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وطِئتُه برِجلي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فيها</w:t>
      </w:r>
      <w:r>
        <w:rPr>
          <w:rStyle w:val="FootnoteAnchor"/>
          <w:rtl w:val="true"/>
        </w:rPr>
        <w:footnoteReference w:id="2833"/>
      </w:r>
      <w:r>
        <w:rPr>
          <w:rFonts w:ascii="Amiri" w:hAnsi="Amiri" w:eastAsia="Amiri" w:cs="Amiri"/>
          <w:color w:val="111111"/>
          <w:sz w:val="28"/>
          <w:sz w:val="28"/>
          <w:szCs w:val="28"/>
          <w:rtl w:val="true"/>
          <w:lang w:bidi="ar-SA"/>
        </w:rPr>
        <w:t>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مَجازٌ؛ و المَجازُ لا يُقاسُ عليه، و لا يُترَكُ ظاهرُ الكتابِ له؛ و الكلامُ محمولٌ علىٰ حقيقتِه و ظاهرِه، إلىٰ‌</w:t>
      </w:r>
      <w:r>
        <w:rPr>
          <w:rStyle w:val="FootnoteAnchor"/>
          <w:rtl w:val="true"/>
        </w:rPr>
        <w:footnoteReference w:id="2834"/>
      </w:r>
      <w:r>
        <w:rPr>
          <w:rFonts w:ascii="Amiri" w:hAnsi="Amiri" w:eastAsia="Amiri" w:cs="Amiri"/>
          <w:color w:val="111111"/>
          <w:sz w:val="28"/>
          <w:sz w:val="28"/>
          <w:szCs w:val="28"/>
          <w:rtl w:val="true"/>
          <w:lang w:bidi="ar-SA"/>
        </w:rPr>
        <w:t>أن تُخرِجَ‌</w:t>
      </w:r>
      <w:r>
        <w:rPr>
          <w:rStyle w:val="FootnoteAnchor"/>
          <w:rtl w:val="true"/>
        </w:rPr>
        <w:footnoteReference w:id="2835"/>
      </w:r>
      <w:r>
        <w:rPr>
          <w:rFonts w:ascii="Amiri" w:hAnsi="Amiri" w:eastAsia="Amiri" w:cs="Amiri"/>
          <w:color w:val="111111"/>
          <w:sz w:val="28"/>
          <w:sz w:val="28"/>
          <w:szCs w:val="28"/>
          <w:rtl w:val="true"/>
          <w:lang w:bidi="ar-SA"/>
        </w:rPr>
        <w:t>عنه ضَرورةٌ صارفةٌ‌</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Style w:val="FootnoteAnchor"/>
          <w:rtl w:val="true"/>
        </w:rPr>
        <w:footnoteReference w:id="2837"/>
      </w:r>
      <w:r>
        <w:rPr>
          <w:rFonts w:ascii="Amiri" w:hAnsi="Amiri" w:eastAsia="Amiri" w:cs="Amiri"/>
          <w:color w:val="111111"/>
          <w:sz w:val="28"/>
          <w:sz w:val="28"/>
          <w:szCs w:val="28"/>
          <w:rtl w:val="true"/>
          <w:lang w:bidi="ar-SA"/>
        </w:rPr>
        <w:t>، فيَجوزُ أن يُريدوا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وطِئتُه برِجلي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w:t>
      </w:r>
      <w:r>
        <w:rPr>
          <w:rStyle w:val="FootnoteAnchor"/>
          <w:rtl w:val="true"/>
        </w:rPr>
        <w:footnoteReference w:id="2838"/>
      </w:r>
      <w:r>
        <w:rPr>
          <w:rFonts w:ascii="Amiri" w:hAnsi="Amiri" w:eastAsia="Amiri" w:cs="Amiri"/>
          <w:color w:val="111111"/>
          <w:sz w:val="28"/>
          <w:sz w:val="28"/>
          <w:szCs w:val="28"/>
          <w:rtl w:val="true"/>
          <w:lang w:bidi="ar-SA"/>
        </w:rPr>
        <w:t>اعتَمَدتُ بها اعتماداً أفضىٰ‌</w:t>
      </w:r>
      <w:r>
        <w:rPr>
          <w:rStyle w:val="FootnoteAnchor"/>
          <w:rtl w:val="true"/>
        </w:rPr>
        <w:footnoteReference w:id="2839"/>
      </w:r>
      <w:r>
        <w:rPr>
          <w:rFonts w:ascii="Amiri" w:hAnsi="Amiri" w:eastAsia="Amiri" w:cs="Amiri"/>
          <w:color w:val="111111"/>
          <w:sz w:val="28"/>
          <w:sz w:val="28"/>
          <w:szCs w:val="28"/>
          <w:rtl w:val="true"/>
          <w:lang w:bidi="ar-SA"/>
        </w:rPr>
        <w:t>إلىٰ ذلكَ الجسمِ الذي قيلَ أنّه موطوءٌ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الاعتمادُ بالرِّجلِ التي عليها خُفٌّ إنّما يَبتَدئُ مِن الرِّجلِ في الحَقيقةِ‌</w:t>
      </w:r>
      <w:r>
        <w:rPr>
          <w:rStyle w:val="FootnoteAnchor"/>
          <w:rtl w:val="true"/>
        </w:rPr>
        <w:footnoteReference w:id="2840"/>
      </w:r>
      <w:r>
        <w:rPr>
          <w:rFonts w:ascii="Amiri" w:hAnsi="Amiri" w:eastAsia="Amiri" w:cs="Amiri"/>
          <w:color w:val="111111"/>
          <w:sz w:val="28"/>
          <w:sz w:val="28"/>
          <w:szCs w:val="28"/>
          <w:rtl w:val="true"/>
          <w:lang w:bidi="ar-SA"/>
        </w:rPr>
        <w:t>، ثُمَّ يَنتَهي إلَى الخُفِّ و إلىٰ‌</w:t>
      </w:r>
      <w:r>
        <w:rPr>
          <w:rStyle w:val="FootnoteAnchor"/>
          <w:rtl w:val="true"/>
        </w:rPr>
        <w:footnoteReference w:id="2841"/>
      </w:r>
      <w:r>
        <w:rPr>
          <w:rFonts w:ascii="Amiri" w:hAnsi="Amiri" w:eastAsia="Amiri" w:cs="Amiri"/>
          <w:color w:val="111111"/>
          <w:sz w:val="28"/>
          <w:sz w:val="28"/>
          <w:szCs w:val="28"/>
          <w:rtl w:val="true"/>
          <w:lang w:bidi="ar-SA"/>
        </w:rPr>
        <w:t>ما جاوَرَه و ماسَّه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2842"/>
      </w:r>
      <w:r>
        <w:rPr>
          <w:rFonts w:ascii="Amiri" w:hAnsi="Amiri" w:eastAsia="Amiri" w:cs="Amiri"/>
          <w:color w:val="111111"/>
          <w:sz w:val="28"/>
          <w:sz w:val="28"/>
          <w:szCs w:val="28"/>
          <w:rtl w:val="true"/>
          <w:lang w:bidi="ar-SA"/>
        </w:rPr>
        <w:t>أينَ لكم تَوَجُّهُ‌</w:t>
      </w:r>
      <w:r>
        <w:rPr>
          <w:rStyle w:val="FootnoteAnchor"/>
          <w:rtl w:val="true"/>
        </w:rPr>
        <w:footnoteReference w:id="2843"/>
      </w:r>
      <w:r>
        <w:rPr>
          <w:rFonts w:ascii="IRNazanin" w:hAnsi="IRNazanin" w:eastAsia="IRNazanin"/>
          <w:color w:val="111111"/>
          <w:sz w:val="28"/>
          <w:sz w:val="28"/>
          <w:szCs w:val="28"/>
          <w:rtl w:val="true"/>
          <w:lang w:bidi="fa-IR"/>
        </w:rPr>
        <w:t>هذه</w:t>
      </w:r>
      <w:r>
        <w:rPr>
          <w:rStyle w:val="FootnoteAnchor"/>
          <w:rtl w:val="true"/>
        </w:rPr>
        <w:footnoteReference w:id="2844"/>
      </w:r>
      <w:r>
        <w:rPr>
          <w:rFonts w:ascii="Amiri" w:hAnsi="Amiri" w:eastAsia="Amiri" w:cs="Amiri"/>
          <w:color w:val="111111"/>
          <w:sz w:val="28"/>
          <w:sz w:val="28"/>
          <w:szCs w:val="28"/>
          <w:rtl w:val="true"/>
          <w:lang w:bidi="ar-SA"/>
        </w:rPr>
        <w:t>الآيةِ إلىٰ كُلِّ مُحدِثٍ؟ و ما تُنكِرونَ‌</w:t>
      </w:r>
      <w:r>
        <w:rPr>
          <w:rStyle w:val="FootnoteAnchor"/>
          <w:rtl w:val="true"/>
        </w:rPr>
        <w:footnoteReference w:id="2845"/>
      </w:r>
      <w:r>
        <w:rPr>
          <w:rFonts w:ascii="Amiri" w:hAnsi="Amiri" w:eastAsia="Amiri" w:cs="Amiri"/>
          <w:color w:val="111111"/>
          <w:sz w:val="28"/>
          <w:sz w:val="28"/>
          <w:szCs w:val="28"/>
          <w:rtl w:val="true"/>
          <w:lang w:bidi="ar-SA"/>
        </w:rPr>
        <w:t>أن تَكونَ‌</w:t>
      </w:r>
      <w:r>
        <w:rPr>
          <w:rStyle w:val="FootnoteAnchor"/>
          <w:rtl w:val="true"/>
        </w:rPr>
        <w:footnoteReference w:id="2846"/>
      </w:r>
      <w:r>
        <w:rPr>
          <w:rFonts w:ascii="Amiri" w:hAnsi="Amiri" w:eastAsia="Amiri" w:cs="Amiri"/>
          <w:color w:val="111111"/>
          <w:sz w:val="28"/>
          <w:sz w:val="28"/>
          <w:szCs w:val="28"/>
          <w:rtl w:val="true"/>
          <w:lang w:bidi="ar-SA"/>
        </w:rPr>
        <w:t>خاصّةً في غيرِ لابِسِ الخُفِّ، و أن يَكونَ لابِسُ الخُفِّ‌</w:t>
      </w:r>
      <w:r>
        <w:rPr>
          <w:rStyle w:val="FootnoteAnchor"/>
          <w:rtl w:val="true"/>
        </w:rPr>
        <w:footnoteReference w:id="2847"/>
      </w:r>
      <w:r>
        <w:rPr>
          <w:rFonts w:ascii="Amiri" w:hAnsi="Amiri" w:eastAsia="Amiri" w:cs="Amiri"/>
          <w:color w:val="111111"/>
          <w:sz w:val="28"/>
          <w:sz w:val="28"/>
          <w:szCs w:val="28"/>
          <w:rtl w:val="true"/>
          <w:lang w:bidi="ar-SA"/>
        </w:rPr>
        <w:t>خارجاً عنها</w:t>
      </w:r>
      <w:r>
        <w:rPr>
          <w:rStyle w:val="FootnoteAnchor"/>
          <w:rtl w:val="true"/>
        </w:rPr>
        <w:footnoteReference w:id="28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 المُسلِمونَ علىٰ أنّ آيةَ الطهارةِ مُتَوجِّهةٌ إلىٰ كُلِّ مُحدِثٍ يَجِدُ الماءَ و لا يَتعذَّرُ عليه استعمالُه، و لا فَرقَ في ذلكَ بَينَ لابِسِ الخُفِّ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جَعَلها خاصّةً، لا بُدَّ له مِن تَركِ الظاهرِ؛ لأنّه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فعَمَّ بخِطابِه جميعَ المؤمِنينَ، و لابِسُو الخُفِّ‌</w:t>
      </w:r>
      <w:r>
        <w:rPr>
          <w:rStyle w:val="FootnoteAnchor"/>
          <w:rtl w:val="true"/>
        </w:rPr>
        <w:footnoteReference w:id="2849"/>
      </w:r>
      <w:r>
        <w:rPr>
          <w:rFonts w:ascii="Amiri" w:hAnsi="Amiri" w:eastAsia="Amiri" w:cs="Amiri"/>
          <w:color w:val="111111"/>
          <w:sz w:val="28"/>
          <w:sz w:val="28"/>
          <w:szCs w:val="28"/>
          <w:rtl w:val="true"/>
          <w:lang w:bidi="ar-SA"/>
        </w:rPr>
        <w:t>مِن المُحدِثينَ يَتَناوَلُهم هذا الِاسمُ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أيضاً علىٰ ذلكَ‌</w:t>
      </w:r>
      <w:r>
        <w:rPr>
          <w:rStyle w:val="FootnoteAnchor"/>
          <w:rtl w:val="true"/>
        </w:rPr>
        <w:footnoteReference w:id="2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تَوضّأَ مَرّةً مَرّةً، و طَهَّرَ رِجلَه</w:t>
      </w:r>
      <w:r>
        <w:rPr>
          <w:rStyle w:val="FootnoteAnchor"/>
          <w:rtl w:val="true"/>
        </w:rPr>
        <w:footnoteReference w:id="2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بالمَسحِ علىٰ رِجلَيه</w:t>
      </w:r>
      <w:r>
        <w:rPr>
          <w:rStyle w:val="FootnoteAnchor"/>
          <w:rtl w:val="true"/>
        </w:rPr>
        <w:footnoteReference w:id="2852"/>
      </w:r>
      <w:r>
        <w:rPr>
          <w:rFonts w:ascii="Amiri" w:hAnsi="Amiri" w:eastAsia="Amiri" w:cs="Amiri"/>
          <w:color w:val="111111"/>
          <w:sz w:val="28"/>
          <w:sz w:val="28"/>
          <w:szCs w:val="28"/>
          <w:rtl w:val="true"/>
          <w:lang w:bidi="ar-SA"/>
        </w:rPr>
        <w:t>علىٰ روايتِنا، أو بالغَسلِ‌</w:t>
      </w:r>
      <w:r>
        <w:rPr>
          <w:rStyle w:val="FootnoteAnchor"/>
          <w:rtl w:val="true"/>
        </w:rPr>
        <w:footnoteReference w:id="2853"/>
      </w:r>
      <w:r>
        <w:rPr>
          <w:rFonts w:ascii="Amiri" w:hAnsi="Amiri" w:eastAsia="Amiri" w:cs="Amiri"/>
          <w:color w:val="111111"/>
          <w:sz w:val="28"/>
          <w:sz w:val="28"/>
          <w:szCs w:val="28"/>
          <w:rtl w:val="true"/>
          <w:lang w:bidi="ar-SA"/>
        </w:rPr>
        <w:t xml:space="preserve">علىٰ روايتِهم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إلّابه</w:t>
      </w:r>
      <w:r>
        <w:rPr>
          <w:rFonts w:eastAsia="Amiri" w:cs="Amiri" w:ascii="Amiri" w:hAnsi="Amiri"/>
          <w:color w:val="111111"/>
          <w:sz w:val="28"/>
          <w:szCs w:val="28"/>
          <w:rtl w:val="true"/>
          <w:lang w:bidi="ar-SA"/>
        </w:rPr>
        <w:t>».</w:t>
      </w:r>
      <w:r>
        <w:rPr>
          <w:rStyle w:val="FootnoteAnchor"/>
          <w:rtl w:val="true"/>
        </w:rPr>
        <w:footnoteReference w:id="2854"/>
      </w:r>
    </w:p>
    <w:p>
      <w:pPr>
        <w:pStyle w:val="BookText"/>
        <w:rPr/>
      </w:pPr>
      <w:r>
        <w:rPr>
          <w:rFonts w:ascii="Amiri" w:hAnsi="Amiri" w:eastAsia="Amiri" w:cs="Amiri"/>
          <w:color w:val="111111"/>
          <w:sz w:val="28"/>
          <w:sz w:val="28"/>
          <w:szCs w:val="28"/>
          <w:rtl w:val="true"/>
          <w:lang w:bidi="ar-SA"/>
        </w:rPr>
        <w:t>و قد عَلِمنا أنّ المَسحَ علَى الخُفَّينِ يُخالِفُ ذلكَ الوضوءَ الذي بَيَّنَه النبيُّ صَلَّى اللّٰهُ عليه و آلِه، و قالَ بأنّه</w:t>
      </w:r>
      <w:r>
        <w:rPr>
          <w:rStyle w:val="FootnoteAnchor"/>
          <w:rtl w:val="true"/>
        </w:rPr>
        <w:footnoteReference w:id="2855"/>
      </w:r>
      <w:r>
        <w:rPr>
          <w:rFonts w:ascii="Amiri" w:hAnsi="Amiri" w:eastAsia="Amiri" w:cs="Amiri"/>
          <w:color w:val="111111"/>
          <w:sz w:val="28"/>
          <w:sz w:val="28"/>
          <w:szCs w:val="28"/>
          <w:rtl w:val="true"/>
          <w:lang w:bidi="ar-SA"/>
        </w:rPr>
        <w:t>لا تُقبَلُ‌</w:t>
      </w:r>
      <w:r>
        <w:rPr>
          <w:rStyle w:val="FootnoteAnchor"/>
          <w:rtl w:val="true"/>
        </w:rPr>
        <w:footnoteReference w:id="2856"/>
      </w:r>
      <w:r>
        <w:rPr>
          <w:rFonts w:ascii="Amiri" w:hAnsi="Amiri" w:eastAsia="Amiri" w:cs="Amiri"/>
          <w:color w:val="111111"/>
          <w:sz w:val="28"/>
          <w:sz w:val="28"/>
          <w:szCs w:val="28"/>
          <w:rtl w:val="true"/>
          <w:lang w:bidi="ar-SA"/>
        </w:rPr>
        <w:t>الصلاةُ إلّابه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لابِسِ الخُفِّ فيما ذَكرتم حُكمُ المُتيمِّمِ؛ فكما أنّ المُتيمِّمَ تُقبَلُ صلاتُه و إن لَم يَفعَلْ ذلكَ الوضوءَ الذي فَعَلَه النبيُّ صَلَّى اللّٰهُ عليه و آلِه و سَلَّم، و قالَ إنّ الصلاةَ لا تُقبَلُ إلّابه</w:t>
      </w:r>
      <w:r>
        <w:rPr>
          <w:rStyle w:val="FootnoteAnchor"/>
          <w:rtl w:val="true"/>
        </w:rPr>
        <w:footnoteReference w:id="2857"/>
      </w:r>
      <w:r>
        <w:rPr>
          <w:rFonts w:ascii="Amiri" w:hAnsi="Amiri" w:eastAsia="Amiri" w:cs="Amiri"/>
          <w:color w:val="111111"/>
          <w:sz w:val="28"/>
          <w:sz w:val="28"/>
          <w:szCs w:val="28"/>
          <w:rtl w:val="true"/>
          <w:lang w:bidi="ar-SA"/>
        </w:rPr>
        <w:t>، فكذلكَ ماسِحُ 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w:t>
      </w:r>
      <w:r>
        <w:rPr>
          <w:rStyle w:val="FootnoteAnchor"/>
          <w:rtl w:val="true"/>
        </w:rPr>
        <w:footnoteReference w:id="2858"/>
      </w:r>
      <w:r>
        <w:rPr>
          <w:rFonts w:ascii="Amiri" w:hAnsi="Amiri" w:eastAsia="Amiri" w:cs="Amiri"/>
          <w:color w:val="111111"/>
          <w:sz w:val="28"/>
          <w:sz w:val="28"/>
          <w:szCs w:val="28"/>
          <w:rtl w:val="true"/>
          <w:lang w:bidi="ar-SA"/>
        </w:rPr>
        <w:t>النبيَّ صَلَّى اللّٰهُ عليه و آلِه أشارَ إلىٰ وضوءٍ بالماءِ، له كَيفيّةٌ، وَقَعَ علىٰ‌</w:t>
      </w:r>
      <w:r>
        <w:rPr>
          <w:rStyle w:val="FootnoteAnchor"/>
          <w:rtl w:val="true"/>
        </w:rPr>
        <w:footnoteReference w:id="2859"/>
      </w:r>
      <w:r>
        <w:rPr>
          <w:rFonts w:ascii="Amiri" w:hAnsi="Amiri" w:eastAsia="Amiri" w:cs="Amiri"/>
          <w:color w:val="111111"/>
          <w:sz w:val="28"/>
          <w:sz w:val="28"/>
          <w:szCs w:val="28"/>
          <w:rtl w:val="true"/>
          <w:lang w:bidi="ar-SA"/>
        </w:rPr>
        <w:t>أعضاءٍ مخصوصةٍ، بَيَّنَ أنّ الصلاةَ لا تُقبَلُ إلّابه</w:t>
      </w:r>
      <w:r>
        <w:rPr>
          <w:rStyle w:val="FootnoteAnchor"/>
          <w:rtl w:val="true"/>
        </w:rPr>
        <w:footnoteReference w:id="2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كلامِه أنّ كُلَّ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لَم يَحصُل</w:t>
      </w:r>
      <w:r>
        <w:rPr>
          <w:rStyle w:val="FootnoteAnchor"/>
          <w:rtl w:val="true"/>
        </w:rPr>
        <w:footnoteReference w:id="2861"/>
      </w:r>
      <w:r>
        <w:rPr>
          <w:rFonts w:ascii="Amiri" w:hAnsi="Amiri" w:eastAsia="Amiri" w:cs="Amiri"/>
          <w:color w:val="111111"/>
          <w:sz w:val="28"/>
          <w:sz w:val="28"/>
          <w:szCs w:val="28"/>
          <w:rtl w:val="true"/>
          <w:lang w:bidi="ar-SA"/>
        </w:rPr>
        <w:t>علىٰ تلكَ‌</w:t>
      </w:r>
      <w:r>
        <w:rPr>
          <w:rStyle w:val="FootnoteAnchor"/>
          <w:rtl w:val="true"/>
        </w:rPr>
        <w:footnoteReference w:id="2862"/>
      </w:r>
      <w:r>
        <w:rPr>
          <w:rFonts w:ascii="Amiri" w:hAnsi="Amiri" w:eastAsia="Amiri" w:cs="Amiri"/>
          <w:color w:val="111111"/>
          <w:sz w:val="28"/>
          <w:sz w:val="28"/>
          <w:szCs w:val="28"/>
          <w:rtl w:val="true"/>
          <w:lang w:bidi="ar-SA"/>
        </w:rPr>
        <w:t xml:space="preserve">الكَيفيّةِ، فالصلاةُ به غيرُ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التيمُّمُ لَيسَ بوضوءٍ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أنّ وضوءَ الماسِحِ علىٰ خُفَّيه كوضوءِ غاسِلِ رِجلَيه أو ماسِحِهما في أنّ الِاسمَ‌</w:t>
      </w:r>
      <w:r>
        <w:rPr>
          <w:rStyle w:val="FootnoteAnchor"/>
          <w:rtl w:val="true"/>
        </w:rPr>
        <w:footnoteReference w:id="2863"/>
      </w:r>
      <w:r>
        <w:rPr>
          <w:rFonts w:ascii="Amiri" w:hAnsi="Amiri" w:eastAsia="Amiri" w:cs="Amiri"/>
          <w:color w:val="111111"/>
          <w:sz w:val="28"/>
          <w:sz w:val="28"/>
          <w:szCs w:val="28"/>
          <w:rtl w:val="true"/>
          <w:lang w:bidi="ar-SA"/>
        </w:rPr>
        <w:t>يَتَناوَلُه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أيضاً علىٰ صِحّةِ ما ذَهَبنا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الإماميّةَ مُطبِقةٌ علىٰ‌</w:t>
      </w:r>
      <w:r>
        <w:rPr>
          <w:rStyle w:val="FootnoteAnchor"/>
          <w:rtl w:val="true"/>
        </w:rPr>
        <w:footnoteReference w:id="2864"/>
      </w:r>
      <w:r>
        <w:rPr>
          <w:rFonts w:ascii="Amiri" w:hAnsi="Amiri" w:eastAsia="Amiri" w:cs="Amiri"/>
          <w:color w:val="111111"/>
          <w:sz w:val="28"/>
          <w:sz w:val="28"/>
          <w:szCs w:val="28"/>
          <w:rtl w:val="true"/>
          <w:lang w:bidi="ar-SA"/>
        </w:rPr>
        <w:t>إنكارِ المَسحِ علَى الخُفَّينِ‌</w:t>
      </w:r>
      <w:r>
        <w:rPr>
          <w:rStyle w:val="FootnoteAnchor"/>
          <w:rtl w:val="true"/>
        </w:rPr>
        <w:footnoteReference w:id="2865"/>
      </w:r>
      <w:r>
        <w:rPr>
          <w:rFonts w:ascii="Amiri" w:hAnsi="Amiri" w:eastAsia="Amiri" w:cs="Amiri"/>
          <w:color w:val="111111"/>
          <w:sz w:val="28"/>
          <w:sz w:val="28"/>
          <w:szCs w:val="28"/>
          <w:rtl w:val="true"/>
          <w:lang w:bidi="ar-SA"/>
        </w:rPr>
        <w:t>، و هي عندَنا الفِرقةُ المُحِقّةُ التي في جُملتِها الإمامُ المعصومُ، و قولُه</w:t>
      </w:r>
      <w:r>
        <w:rPr>
          <w:rStyle w:val="FootnoteAnchor"/>
          <w:rtl w:val="true"/>
        </w:rPr>
        <w:footnoteReference w:id="2866"/>
      </w:r>
      <w:r>
        <w:rPr>
          <w:rFonts w:ascii="Amiri" w:hAnsi="Amiri" w:eastAsia="Amiri" w:cs="Amiri"/>
          <w:color w:val="111111"/>
          <w:sz w:val="28"/>
          <w:sz w:val="28"/>
          <w:szCs w:val="28"/>
          <w:rtl w:val="true"/>
          <w:lang w:bidi="ar-SA"/>
        </w:rPr>
        <w:t>حُجّةٌ لا يَجوزُ العُدولُ عنه</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7" w:name="pg16437_172823"/>
      <w:bookmarkStart w:id="1068" w:name="pg16437_172823"/>
      <w:bookmarkEnd w:id="1068"/>
    </w:p>
    <w:p>
      <w:pPr>
        <w:pStyle w:val="Heading3"/>
        <w:numPr>
          <w:ilvl w:val="2"/>
          <w:numId w:val="1"/>
        </w:numPr>
        <w:rPr/>
      </w:pPr>
      <w:bookmarkStart w:id="1069" w:name="pg16437_172823"/>
      <w:bookmarkStart w:id="1070" w:name="__RefHeading___Toc8040235_1280447820"/>
      <w:bookmarkStart w:id="1071" w:name="_Toc392"/>
      <w:bookmarkEnd w:id="1069"/>
      <w:bookmarkEnd w:id="1070"/>
      <w:r>
        <w:rPr>
          <w:rtl w:val="true"/>
        </w:rPr>
        <w:t>(</w:t>
      </w:r>
      <w:r>
        <w:rPr/>
        <w:t>86</w:t>
      </w:r>
      <w:r>
        <w:rPr>
          <w:rtl w:val="true"/>
        </w:rPr>
        <w:t xml:space="preserve">) </w:t>
      </w:r>
      <w:r>
        <w:rPr>
          <w:rtl w:val="true"/>
        </w:rPr>
        <w:t>رسالةٌ في الردِّ علىٰ أصحابِ العَدَدِ</w:t>
      </w:r>
      <w:bookmarkEnd w:id="1071"/>
    </w:p>
    <w:p>
      <w:pPr>
        <w:pStyle w:val="Heading4"/>
        <w:numPr>
          <w:ilvl w:val="3"/>
          <w:numId w:val="1"/>
        </w:numPr>
        <w:rPr/>
      </w:pPr>
      <w:bookmarkStart w:id="1072" w:name="__RefHeading___Toc8040237_1280447820"/>
      <w:bookmarkStart w:id="1073" w:name="_Toc393"/>
      <w:bookmarkEnd w:id="1072"/>
      <w:r>
        <w:rPr>
          <w:rtl w:val="true"/>
        </w:rPr>
        <w:t>اشارة</w:t>
      </w:r>
      <w:bookmarkEnd w:id="1073"/>
    </w:p>
    <w:p>
      <w:pPr>
        <w:pStyle w:val="BookText"/>
        <w:rPr/>
      </w:pPr>
      <w:r>
        <w:rPr>
          <w:rFonts w:ascii="Amiri" w:hAnsi="Amiri" w:eastAsia="Amiri" w:cs="Amiri"/>
          <w:color w:val="111111"/>
          <w:sz w:val="28"/>
          <w:sz w:val="28"/>
          <w:szCs w:val="28"/>
          <w:rtl w:val="true"/>
          <w:lang w:bidi="ar-SA"/>
        </w:rPr>
        <w:t>تحقيقُ</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المختاري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خادميان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4" w:name="pg16437_172825"/>
      <w:bookmarkStart w:id="1075" w:name="pg16437_172825"/>
      <w:bookmarkEnd w:id="1075"/>
    </w:p>
    <w:p>
      <w:pPr>
        <w:pStyle w:val="Heading4"/>
        <w:numPr>
          <w:ilvl w:val="3"/>
          <w:numId w:val="1"/>
        </w:numPr>
        <w:rPr/>
      </w:pPr>
      <w:bookmarkStart w:id="1076" w:name="pg16437_172825"/>
      <w:bookmarkStart w:id="1077" w:name="__RefHeading___Toc8040239_1280447820"/>
      <w:bookmarkStart w:id="1078" w:name="_Toc394"/>
      <w:bookmarkEnd w:id="1076"/>
      <w:bookmarkEnd w:id="1077"/>
      <w:r>
        <w:rPr>
          <w:rtl w:val="true"/>
        </w:rPr>
        <w:t>مقدّمة التحقيق</w:t>
      </w:r>
      <w:bookmarkEnd w:id="1078"/>
    </w:p>
    <w:p>
      <w:pPr>
        <w:pStyle w:val="Heading5"/>
        <w:numPr>
          <w:ilvl w:val="4"/>
          <w:numId w:val="1"/>
        </w:numPr>
        <w:rPr/>
      </w:pPr>
      <w:bookmarkStart w:id="1079" w:name="__RefHeading___Toc8040241_1280447820"/>
      <w:bookmarkStart w:id="1080" w:name="_Toc395"/>
      <w:bookmarkEnd w:id="1079"/>
      <w:r>
        <w:rPr>
          <w:rtl w:val="true"/>
        </w:rPr>
        <w:t>اشارة</w:t>
      </w:r>
      <w:bookmarkEnd w:id="1080"/>
    </w:p>
    <w:p>
      <w:pPr>
        <w:pStyle w:val="BookText"/>
        <w:rPr/>
      </w:pPr>
      <w:r>
        <w:rPr>
          <w:rFonts w:ascii="Amiri" w:hAnsi="Amiri" w:eastAsia="Amiri" w:cs="Amiri"/>
          <w:color w:val="111111"/>
          <w:sz w:val="28"/>
          <w:sz w:val="28"/>
          <w:szCs w:val="28"/>
          <w:rtl w:val="true"/>
          <w:lang w:bidi="ar-SA"/>
        </w:rPr>
        <w:t xml:space="preserve">دارَ بين فقهاء و محدّثي الإماميّة خلاف حول كمال شهر رمضان و نقصانه؛ فكان الرأي السائد قبل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بكمال شهر رمضان، و كونه ثلاثين يوماً دائماً من دون زيادة أونقصان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ذهب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867"/>
      </w:r>
      <w:r>
        <w:rPr>
          <w:rFonts w:ascii="Amiri" w:hAnsi="Amiri" w:eastAsia="Amiri" w:cs="Amiri"/>
          <w:color w:val="111111"/>
          <w:sz w:val="28"/>
          <w:sz w:val="28"/>
          <w:szCs w:val="28"/>
          <w:rtl w:val="true"/>
          <w:lang w:bidi="ar-SA"/>
        </w:rPr>
        <w:t xml:space="preserve">، و أخوه الشيخ أبو عبد اللّٰه الحسين بن عليّ بن الحسين، و الشريف أبو محمّد الحسيني، و الشيخ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أبو محمّد 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خالف في ذلك الشيخ محمّد بن أحمد بن داود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ذهب إلى زيادة شهر رمضان و نقصانه، و اعتماد الرؤية في معرفته، و ألّف كتاباً نقض فيه على الشيخ ابن قولويه</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قام الشيخ المفيد بتأليف كتاب في أيّام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المفيد في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338</w:t>
      </w:r>
      <w:r>
        <w:rPr>
          <w:rStyle w:val="FootnoteAnchor"/>
          <w:rtl w:val="true"/>
        </w:rPr>
        <w:footnoteReference w:id="2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 البرهان؛ انتصر فيه لشيخه ابن قولويه، وردّ فيه على ابن داود</w:t>
      </w:r>
      <w:r>
        <w:rPr>
          <w:rStyle w:val="FootnoteAnchor"/>
          <w:rtl w:val="true"/>
        </w:rPr>
        <w:footnoteReference w:id="2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قام بتغيير رأيه، و ذهب إلى ما قاله ابن داود، و قام بتأليف كتابين لدعم هذا الرأي،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مصابيح النور في علامات أوائل الشهور</w:t>
      </w:r>
      <w:r>
        <w:rPr>
          <w:rFonts w:eastAsia="Amiri" w:cs="Amiri" w:ascii="Amiri" w:hAnsi="Amiri"/>
          <w:color w:val="111111"/>
          <w:sz w:val="28"/>
          <w:szCs w:val="28"/>
          <w:rtl w:val="true"/>
          <w:lang w:bidi="ar-SA"/>
        </w:rPr>
        <w:t>»</w:t>
      </w:r>
      <w:r>
        <w:rPr>
          <w:rStyle w:val="FootnoteAnchor"/>
          <w:rtl w:val="true"/>
        </w:rPr>
        <w:footnoteReference w:id="2872"/>
      </w:r>
      <w:r>
        <w:rPr>
          <w:rFonts w:ascii="IRNazanin" w:hAnsi="IRNazanin" w:eastAsia="IRNazanin"/>
          <w:color w:val="111111"/>
          <w:sz w:val="28"/>
          <w:sz w:val="28"/>
          <w:szCs w:val="28"/>
          <w:rtl w:val="true"/>
          <w:lang w:bidi="fa-IR"/>
        </w:rPr>
        <w:t xml:space="preserve">،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أهل الموصل في العدد و الرؤية</w:t>
      </w:r>
      <w:r>
        <w:rPr>
          <w:rFonts w:eastAsia="Amiri" w:cs="Amiri" w:ascii="Amiri" w:hAnsi="Amiri"/>
          <w:color w:val="111111"/>
          <w:sz w:val="28"/>
          <w:szCs w:val="28"/>
          <w:rtl w:val="true"/>
          <w:lang w:bidi="ar-SA"/>
        </w:rPr>
        <w:t>»</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المحقّق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كأُستاذه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بمرحلتين؛ فقد كان يؤمن في البداية بالعدد، و ألّف رسالة مختصر البيان عن دلالة شهر رمضان لدعم هذه النظريّة</w:t>
      </w:r>
      <w:r>
        <w:rPr>
          <w:rStyle w:val="FootnoteAnchor"/>
          <w:rtl w:val="true"/>
        </w:rPr>
        <w:footnoteReference w:id="2874"/>
      </w:r>
      <w:r>
        <w:rPr>
          <w:rFonts w:ascii="Amiri" w:hAnsi="Amiri" w:eastAsia="Amiri" w:cs="Amiri"/>
          <w:color w:val="111111"/>
          <w:sz w:val="28"/>
          <w:sz w:val="28"/>
          <w:szCs w:val="28"/>
          <w:rtl w:val="true"/>
          <w:lang w:bidi="ar-SA"/>
        </w:rPr>
        <w:t xml:space="preserve">، و بعد ذلك رجع عن القول بالعدد إلى القول بالرؤية، و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الرسالة الخازمية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لتأييد هذه النظريّة</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صار العمل بالرؤية نظريّة معروفة بين فقهاء الإماميّة، حتّى عُدَّ القول المقابل شاذاً</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سار الشريف المرتضى على خُطى شيخه المفيد في تبنّي نظريّة الرؤية، حيث قام بتأليف رسائل متعدّدة حول نصرة هذه النظريّة، و رفض النظريّة القائلة بالعدد؛ فقد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تعداده لكتبه و رسائله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مسائل كثيرة في نصرة الرؤية، و إبطال القول بالعدد</w:t>
      </w:r>
      <w:r>
        <w:rPr>
          <w:rFonts w:eastAsia="Amiri" w:cs="Amiri" w:ascii="Amiri" w:hAnsi="Amiri"/>
          <w:color w:val="111111"/>
          <w:sz w:val="28"/>
          <w:szCs w:val="28"/>
          <w:rtl w:val="true"/>
          <w:lang w:bidi="ar-SA"/>
        </w:rPr>
        <w:t>»</w:t>
      </w:r>
      <w:r>
        <w:rPr>
          <w:rStyle w:val="FootnoteAnchor"/>
          <w:rtl w:val="true"/>
        </w:rPr>
        <w:footnoteReference w:id="2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قام الشريف المرتضى بتأليف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الكراجكي في فساد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نصّ على ذلك البُصروي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نسب إليه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سمّاه كما هو في المطبوع من معالم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الفرائض في نقض الرؤية و إبطال القول بالعدد</w:t>
      </w:r>
      <w:r>
        <w:rPr>
          <w:rFonts w:eastAsia="Amiri" w:cs="Amiri" w:ascii="Amiri" w:hAnsi="Amiri"/>
          <w:color w:val="111111"/>
          <w:sz w:val="28"/>
          <w:szCs w:val="28"/>
          <w:rtl w:val="true"/>
          <w:lang w:bidi="ar-SA"/>
        </w:rPr>
        <w:t>»</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و 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تقدّم في عبارة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الشريف المرتضى إلى تبنّيه القول بالرؤية في مجموعة من كتبه و رسائله المتبقّية،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الناصريّات</w:t>
      </w:r>
      <w:r>
        <w:rPr>
          <w:rStyle w:val="FootnoteAnchor"/>
          <w:rtl w:val="true"/>
        </w:rPr>
        <w:footnoteReference w:id="2880"/>
      </w:r>
      <w:r>
        <w:rPr>
          <w:rFonts w:ascii="Amiri" w:hAnsi="Amiri" w:eastAsia="Amiri" w:cs="Amiri"/>
          <w:color w:val="111111"/>
          <w:sz w:val="28"/>
          <w:sz w:val="28"/>
          <w:szCs w:val="28"/>
          <w:rtl w:val="true"/>
          <w:lang w:bidi="ar-SA"/>
        </w:rPr>
        <w:t>، و المسألة الثامنة من جوابات المسائل الطبريّة، و المسألة الحادية و الأربعين من جوابات المسائل الميَّافارقيّات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تصريحه بتأليف كتاب حول هذا الموضوع،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يُبطل قول أصحاب العدد، و مَن ادّعى أنّ شهر رمضان لا يكون إلّا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أملينا في هذه المسائل كتاباً مفرداً استقصينا الكلام فيه؛ فمن أراد الاستيفاء يرجع إليه</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الرسائل التي كتبها الشريف المرتضى، و وصلت إلينا هي هذه الرسالة التي بين أيدينا، فقد قام فيها بالنقض على كتاب ذهب مؤلّفه إلى القول بالعدد، و بدأ نقضه بإثبات نظريّته في الرؤية، و استدلّ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 السيرة، و ببعض الآيات، و الأخبار، ثمّ قام بمناقشة الأدلّة التي ذكرها صاحب الكتاب لإثبات القول بالعدد، و أخيراً رَدّ علىٰ مناقشات صاحب الكتاب لأدلّة القول بالرؤية، و بهذا يمكن تقسيم مطالب الرسالة إلى ثلاثة فصول وفقاً لهذه البحوث الثلاثة التي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بنقض كلام صاحب الكتاب بطريقة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طريقة تشبه إلى حدّ كبير أُسلوبه في كتاب الشافي، و بعض كتاب الصرفة، اللذين نقض فيهما على كلام القاضي عبد الجبّار المعتزلي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أظهر لنا الشريف المرتضى في هذه الرسالة براعته و قدرته الفائقة على تأويل الآيات، بنفس البراعة التي أظهرها في أماليه، فقد ذكر مثلاً وجوهاً مختلفة </w:t>
      </w:r>
      <w:bookmarkStart w:id="1081" w:name="pg16437_172828"/>
    </w:p>
    <w:p>
      <w:pPr>
        <w:pStyle w:val="BookText"/>
        <w:rPr/>
      </w:pPr>
      <w:bookmarkEnd w:id="1081"/>
      <w:r>
        <w:rPr>
          <w:rFonts w:ascii="Amiri" w:hAnsi="Amiri" w:eastAsia="Amiri" w:cs="Amiri"/>
          <w:color w:val="111111"/>
          <w:sz w:val="28"/>
          <w:sz w:val="28"/>
          <w:szCs w:val="28"/>
          <w:rtl w:val="true"/>
          <w:lang w:bidi="ar-SA"/>
        </w:rPr>
        <w:t>لتأويل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Style w:val="FootnoteAnchor"/>
          <w:rtl w:val="true"/>
        </w:rPr>
        <w:footnoteReference w:id="2882"/>
      </w:r>
      <w:r>
        <w:rPr>
          <w:rFonts w:ascii="Amiri" w:hAnsi="Amiri" w:eastAsia="Amiri" w:cs="Amiri"/>
          <w:color w:val="111111"/>
          <w:sz w:val="28"/>
          <w:sz w:val="28"/>
          <w:szCs w:val="28"/>
          <w:rtl w:val="true"/>
          <w:lang w:bidi="ar-SA"/>
        </w:rPr>
        <w:t>، لردّ تمسّك أصحاب العدد بهذه الآية لتأييد نظريّتهم</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8040243_1280447820"/>
      <w:bookmarkStart w:id="1083" w:name="_Toc396"/>
      <w:bookmarkEnd w:id="1082"/>
      <w:r>
        <w:rPr>
          <w:rtl w:val="true"/>
        </w:rPr>
        <w:t>نسبة الرسالة و عنوانها</w:t>
      </w:r>
      <w:bookmarkEnd w:id="1083"/>
    </w:p>
    <w:p>
      <w:pPr>
        <w:pStyle w:val="BookText"/>
        <w:rPr/>
      </w:pPr>
      <w:r>
        <w:rPr>
          <w:rFonts w:ascii="Amiri" w:hAnsi="Amiri" w:eastAsia="Amiri" w:cs="Amiri"/>
          <w:color w:val="111111"/>
          <w:sz w:val="28"/>
          <w:sz w:val="28"/>
          <w:szCs w:val="28"/>
          <w:rtl w:val="true"/>
          <w:lang w:bidi="ar-SA"/>
        </w:rPr>
        <w:t>و لا شكّ في صحّة نسبة الرسالة إليه؛ بدليل نسبتها إليه في المخطوطات، و موافقة محتوى الكتاب مع رأيه حول الذهاب إلى تحديد رمضان بالرؤية، و أنّه يزيد و ينقص</w:t>
      </w:r>
      <w:r>
        <w:rPr>
          <w:rStyle w:val="FootnoteAnchor"/>
          <w:rtl w:val="true"/>
        </w:rPr>
        <w:footnoteReference w:id="2883"/>
      </w:r>
      <w:r>
        <w:rPr>
          <w:rFonts w:ascii="Amiri" w:hAnsi="Amiri" w:eastAsia="Amiri" w:cs="Amiri"/>
          <w:color w:val="111111"/>
          <w:sz w:val="28"/>
          <w:sz w:val="28"/>
          <w:szCs w:val="28"/>
          <w:rtl w:val="true"/>
          <w:lang w:bidi="ar-SA"/>
        </w:rPr>
        <w:t>، إضافة إلى إرجاعه في بداياتها إلى بعض جوابات مسائله المعروفة، و هي المسائل التبّانيّات، و الموصليّات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اختلفت أسماء هذه الرسالة؛ فسُمّيت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سوف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المخطوطات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كلام بعض من نصر العمل بالعدد في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 للرؤية في ثبوت الأهلة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أصحاب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بداية بعض مخطوطاتها</w:t>
      </w:r>
      <w:r>
        <w:rPr>
          <w:rStyle w:val="FootnoteAnchor"/>
          <w:rtl w:val="true"/>
        </w:rPr>
        <w:footnoteReference w:id="2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 للرؤية في ثبوت الأهلة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مصنّفات سيّدنا المرتضى في الجواب عمّا جمعه تلميذه الشيخ أبو الفتح الكراجكي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هذه الأسماء مناسبة لموضوع الرسالة؛ لكن إذا صحّ ما جاء في المخطوطة الأخيرة من أنّ هذه الرسالة هي نقض على كلام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أنّه كان يؤمن في البداية بالعدد، و ألّف رسالة لدعم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يكون اسم الرسالة الصحيح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جواب الكراجكي في فساد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أنّ البُصروي قد ذكر رسالة تحمل هذا العنوان، و البُصروي أدرى بأسماء مؤلّفات الشريف المرتضى</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شواهد احتماليّة تدلّ على أنّ هذه الرسالة هي ردّ على الكراجكي، هي</w:t>
      </w:r>
      <w:r>
        <w:rPr>
          <w:rFonts w:eastAsia="Amiri" w:cs="Amiri" w:ascii="Amiri" w:hAnsi="Amiri"/>
          <w:color w:val="111111"/>
          <w:sz w:val="28"/>
          <w:szCs w:val="28"/>
          <w:rtl w:val="true"/>
          <w:lang w:bidi="ar-SA"/>
        </w:rPr>
        <w:t xml:space="preserve">: </w:t>
      </w:r>
      <w:bookmarkStart w:id="1084" w:name="pg16437_172829"/>
    </w:p>
    <w:p>
      <w:pPr>
        <w:pStyle w:val="BookText"/>
        <w:rPr/>
      </w:pPr>
      <w:bookmarkEnd w:id="1084"/>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الرسالة التي بأيدينا هي ردّ على كتاب أو رسالة أُلّفت لدعم نظريّة العدد، كما هو واضح لكلّ مَن يقرأها، و أنّ للشريف المرتضى جواباً على الكراجكي حول نفس الموضوع بشهادة البُصروي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الشريف المرتضى ردّ في الرسالة التي بأيدينا على أحد علماء الشيعة، كما يظهر لمن يطالع الرسالة، و لا شكّ أنّ الكراجكي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بعض النسخ الخطّيّة للرسالة التصريح بأنّها جواب على الكراجكي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فهذه شواهد احتماليّة، تحتاج إلى ما يقوّيها لإثبات أنّ الرسالة التي بأيدينا هي نفس ردّ الشريف المرتضى على الكراجكي</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8040245_1280447820"/>
      <w:bookmarkStart w:id="1086" w:name="_Toc397"/>
      <w:bookmarkEnd w:id="1085"/>
      <w:r>
        <w:rPr>
          <w:rtl w:val="true"/>
        </w:rPr>
        <w:t>تاريخ تأليف الرسالة</w:t>
      </w:r>
      <w:bookmarkEnd w:id="1086"/>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الشريف المرتضى كتب هذه الرسالة بعد سنة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فقد أشار فيها إلى المسائل الموصليّات الثالثة الواردة عليه في تلك السنة</w:t>
      </w:r>
      <w:r>
        <w:rPr>
          <w:rStyle w:val="FootnoteAnchor"/>
          <w:rtl w:val="true"/>
        </w:rPr>
        <w:footnoteReference w:id="2885"/>
      </w:r>
      <w:r>
        <w:rPr>
          <w:rFonts w:ascii="Amiri" w:hAnsi="Amiri" w:eastAsia="Amiri" w:cs="Amiri"/>
          <w:color w:val="111111"/>
          <w:sz w:val="28"/>
          <w:sz w:val="28"/>
          <w:szCs w:val="28"/>
          <w:rtl w:val="true"/>
          <w:lang w:bidi="ar-SA"/>
        </w:rPr>
        <w:t>، حيث ذكر في بدايات الرسالة محلّ البحث أنّه بحث عن الإجماع و دخول المعصوم في أقوال الشيعة في مسائل أهل الموصل الواردة أخيراً، و إذا راجعنا المسائل الموصليّات لوجدناه يبحث عن الإجماع في الموصليّات الثالثة فقط</w:t>
      </w:r>
      <w:r>
        <w:rPr>
          <w:rStyle w:val="FootnoteAnchor"/>
          <w:rtl w:val="true"/>
        </w:rPr>
        <w:footnoteReference w:id="2886"/>
      </w:r>
      <w:r>
        <w:rPr>
          <w:rFonts w:ascii="Amiri" w:hAnsi="Amiri" w:eastAsia="Amiri" w:cs="Amiri"/>
          <w:color w:val="111111"/>
          <w:sz w:val="28"/>
          <w:sz w:val="28"/>
          <w:szCs w:val="28"/>
          <w:rtl w:val="true"/>
          <w:lang w:bidi="ar-SA"/>
        </w:rPr>
        <w:t>، دون الثانية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الموصليّات الأُولى، فعلى الرغم من كونها مفقودة، لكن قد وصلت إلينا أسماء مسائلها، و ليست فيها مسألة حول الإجماع؛ فإنّ مسائلها كما ذكرها البُصروي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الاعتماد، و أُخرى في الوعيد، و ثالثة في القياس</w:t>
      </w:r>
      <w:r>
        <w:rPr>
          <w:rStyle w:val="FootnoteAnchor"/>
          <w:rtl w:val="true"/>
        </w:rPr>
        <w:footnoteReference w:id="2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لقد كتب الشريف المرتضى هذه الرسالة بعد الموصليّات الثالثة الواردة في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087" w:name="pg16437_172830"/>
    </w:p>
    <w:p>
      <w:pPr>
        <w:pStyle w:val="Heading5"/>
        <w:numPr>
          <w:ilvl w:val="4"/>
          <w:numId w:val="1"/>
        </w:numPr>
        <w:rPr/>
      </w:pPr>
      <w:bookmarkStart w:id="1088" w:name="__RefHeading___Toc8040247_1280447820"/>
      <w:bookmarkStart w:id="1089" w:name="_Toc398"/>
      <w:bookmarkEnd w:id="1087"/>
      <w:bookmarkEnd w:id="1088"/>
      <w:r>
        <w:rPr>
          <w:rtl w:val="true"/>
        </w:rPr>
        <w:t>أهمّيّة الرسالة</w:t>
      </w:r>
      <w:bookmarkEnd w:id="1089"/>
    </w:p>
    <w:p>
      <w:pPr>
        <w:pStyle w:val="BookText"/>
        <w:rPr/>
      </w:pPr>
      <w:r>
        <w:rPr>
          <w:rFonts w:ascii="Amiri" w:hAnsi="Amiri" w:eastAsia="Amiri" w:cs="Amiri"/>
          <w:color w:val="111111"/>
          <w:sz w:val="28"/>
          <w:sz w:val="28"/>
          <w:szCs w:val="28"/>
          <w:rtl w:val="true"/>
          <w:lang w:bidi="ar-SA"/>
        </w:rPr>
        <w:t>إنّ هذه الرسالة تمتلك أهمّيّة خاصّة، فهي إضافة إلىٰ طرحها لنظريّة أصحاب الرؤية و أدلّتهم، فإنّها تعكس أيضاً نظريّة أصحاب العدد و أدلّتهم و أُسلوبهم في طرح رأيهم؛ فقد حفظ لنا الشريف المرتضى في ثنايا هذه الرسالة نصّاً مهماً من تراث القائلين بالعدد، فكان ينقل نصوصاً قد تكون مطوّلة أحياناً من الكتاب الذي 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استلال هذا الكتاب و فصله من كلام الشريف المرتضى ليظهر بصورة رسالة مستقلّة متكاملة حول إثبات نظريّة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الكتاب المردود عليه للكراجكي، فيمكن طباعته ضمن مجموعة مؤلّفاته، و إلّافيمكن طباعته بصورة مستقلّة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نصرة القول بالعدد</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8040249_1280447820"/>
      <w:bookmarkStart w:id="1091" w:name="_Toc399"/>
      <w:bookmarkEnd w:id="1090"/>
      <w:r>
        <w:rPr>
          <w:rtl w:val="true"/>
        </w:rPr>
        <w:t>فوائد مهمّة من الرسالة</w:t>
      </w:r>
      <w:bookmarkEnd w:id="1091"/>
    </w:p>
    <w:p>
      <w:pPr>
        <w:pStyle w:val="BookText"/>
        <w:rPr/>
      </w:pPr>
      <w:r>
        <w:rPr>
          <w:rFonts w:ascii="Amiri" w:hAnsi="Amiri" w:eastAsia="Amiri" w:cs="Amiri"/>
          <w:color w:val="111111"/>
          <w:sz w:val="28"/>
          <w:sz w:val="28"/>
          <w:szCs w:val="28"/>
          <w:rtl w:val="true"/>
          <w:lang w:bidi="ar-SA"/>
        </w:rPr>
        <w:t>و في الختام نشير إلى بعض الفوائد المُستقاة من هذه الرسالة،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 الشريف المرتضى في بداية الرسالة بنقد المعارضين لنظريّة الرؤية نقداً لاذعاً، و اعتبر أنّ عددهم يسير، و أنّ قولهم ليس بحجّة، لا في الأُصول و لا الفروع، و أنّهم ليسوا ممّن كُلّف النظر في هذه المسألة، و أنّهم من أصحاب الحديث و هم ليسوا أهل نظر و لا اجتهاد و لا وصول إلى الحقّ بالحجّة، و إنّما تعويلهم على التقليد و التسليم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النظرة السلبيّة تجاه أصحاب الحديث قد تكرّرت منه في جواب المسألة العاشرة من الطرابلسيات الأُولىٰ،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صرّح من أصحابنا بالقول بنقصان القرآن إلّاقوم من أصحاب الحديث الذين لا يفقهون ما يقولون، و لا يعلمون إلىٰ ما يذهبون، و إنّما دأبهم تقليد الحديث، و التسليم لما في الرواية من حقّ و باطل و غثّ و سمين، من غير تفكّر و لا تدبّر، و مَن هذه صفته لا يعدّ في خلاف و لا إجماع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الرغم من أنّ الشريف المرتضى كان يرفض حجّيّة خبر الواحد، إلّاأنّه إذا اقترن بقرينة قطعيّة كالإجماع فإنّه كان يقول بحجّيّته و يعمل به، كما فعل هناك بالنسبة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لرؤيته، و افطروا لرؤيته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الشريف المرتضى إلى نظريّته حول حجّيّة خبر الواحد، و هي أنّه يجوز عقلاً أن يتعبّدنا الشارع بالعمل بخبر الواحد؛ لكن لا يوجد دليل على أنّ الشارع تعبّدنا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نظريّة متشدّدة بعض الشيء لبعض الإماميّة، و هي أنّه لا يجوز عقلاً التعبّد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يصرّح الشريف المرتضى باسم مَن ذهب إلى هذه النظريّة، و هو المتكلّم الإمامي ابن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يذهب إلى هذه النظريّة</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الشريف المرتضى بالنسبة إلى القياس إلى نظريّة تشبه ما تقدّم حول خبر الواحد، و هو أنّه يجوز عقلاً التعبّد بالقياس، إلّاأنّ الشارع لم يتعبّدنا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إلى نقطة منهجيّة مهمّة، و هي أنّه عند اشتباه آيات القرآن و عدم وضوح المراد منها، فالمرجع هو العقل؛ لأنّ أدلّة العقول 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في جواب الدليل الأوّل الذي ذكره صاحب الكتاب المنقوض عليه إلىٰ وجهٍ في نصب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واحد آخر من إبداعاته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كانت هذه الرسالة قد طبعت في ضمن رسائل الشريف المرتضى،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كما طبعت في ضمن مجموعة رسائل تحمل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رؤيت هلال،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bookmarkStart w:id="1092" w:name="pg16437_172832"/>
    </w:p>
    <w:p>
      <w:pPr>
        <w:pStyle w:val="Heading5"/>
        <w:numPr>
          <w:ilvl w:val="4"/>
          <w:numId w:val="1"/>
        </w:numPr>
        <w:rPr/>
      </w:pPr>
      <w:bookmarkStart w:id="1093" w:name="__RefHeading___Toc8040251_1280447820"/>
      <w:bookmarkStart w:id="1094" w:name="_Toc400"/>
      <w:bookmarkEnd w:id="1092"/>
      <w:bookmarkEnd w:id="1093"/>
      <w:r>
        <w:rPr>
          <w:rtl w:val="true"/>
        </w:rPr>
        <w:t>مخطوطات الرسالة</w:t>
      </w:r>
      <w:bookmarkEnd w:id="10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1255/3</w:t>
      </w:r>
      <w:r>
        <w:rPr>
          <w:rFonts w:ascii="Amiri" w:hAnsi="Amiri" w:eastAsia="Amiri" w:cs="Amiri"/>
          <w:color w:val="111111"/>
          <w:sz w:val="28"/>
          <w:sz w:val="28"/>
          <w:szCs w:val="28"/>
          <w:rtl w:val="true"/>
          <w:lang w:bidi="ar-SA"/>
        </w:rPr>
        <w:t xml:space="preserve">؛ و هي ميكروفيلم من مخطوطة مكتبة الروضة الرضويّة المقدّسة في مشهد المرقّمة </w:t>
      </w:r>
      <w:r>
        <w:rPr>
          <w:rFonts w:eastAsia="Amiri" w:cs="Amiri" w:ascii="Amiri" w:hAnsi="Amiri"/>
          <w:color w:val="111111"/>
          <w:sz w:val="28"/>
          <w:szCs w:val="28"/>
          <w:lang w:bidi="ar-SA"/>
        </w:rPr>
        <w:t>2337</w:t>
      </w:r>
      <w:r>
        <w:rPr>
          <w:rFonts w:ascii="Amiri" w:hAnsi="Amiri" w:eastAsia="Amiri" w:cs="Amiri"/>
          <w:color w:val="111111"/>
          <w:sz w:val="28"/>
          <w:sz w:val="28"/>
          <w:szCs w:val="28"/>
          <w:rtl w:val="true"/>
          <w:lang w:bidi="ar-SA"/>
        </w:rPr>
        <w:t>، و المخطوطة أقدم مخطوطة وقفنا عليها، و العنوان المكتوب عليها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كلام بعض من نصر العمل بالعدد في 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نسخت في الثالث من شهر ذي الحجّة من سنة ستّ و سبعين و 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بتصريح كاتبها في انتهاء الرسالة؛ و أكثر النسخ التالية نُسخت عن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الرسالة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3324/2</w:t>
      </w:r>
      <w:r>
        <w:rPr>
          <w:rFonts w:ascii="Amiri" w:hAnsi="Amiri" w:eastAsia="Amiri" w:cs="Amiri"/>
          <w:color w:val="111111"/>
          <w:sz w:val="28"/>
          <w:sz w:val="28"/>
          <w:szCs w:val="28"/>
          <w:rtl w:val="true"/>
          <w:lang w:bidi="ar-SA"/>
        </w:rPr>
        <w:t xml:space="preserve">؛ نسخها محمّد نصر بن رضوان اللّٰه في عاشر شهر شعبان المعظّم من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انتقل أصلها إلى هذه المكتبة من مكتبة المحدّث الأُرموي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الرسالة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الملك بطهران، المرقّمة </w:t>
      </w:r>
      <w:r>
        <w:rPr>
          <w:rFonts w:eastAsia="Amiri" w:cs="Amiri" w:ascii="Amiri" w:hAnsi="Amiri"/>
          <w:color w:val="111111"/>
          <w:sz w:val="28"/>
          <w:szCs w:val="28"/>
          <w:lang w:bidi="ar-SA"/>
        </w:rPr>
        <w:t>593/4</w:t>
      </w:r>
      <w:r>
        <w:rPr>
          <w:rFonts w:ascii="Amiri" w:hAnsi="Amiri" w:eastAsia="Amiri" w:cs="Amiri"/>
          <w:color w:val="111111"/>
          <w:sz w:val="28"/>
          <w:sz w:val="28"/>
          <w:szCs w:val="28"/>
          <w:rtl w:val="true"/>
          <w:lang w:bidi="ar-SA"/>
        </w:rPr>
        <w:t xml:space="preserve">؛ نسخت في عام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الرسالة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7615/16</w:t>
      </w:r>
      <w:r>
        <w:rPr>
          <w:rFonts w:ascii="Amiri" w:hAnsi="Amiri" w:eastAsia="Amiri" w:cs="Amiri"/>
          <w:color w:val="111111"/>
          <w:sz w:val="28"/>
          <w:sz w:val="28"/>
          <w:szCs w:val="28"/>
          <w:rtl w:val="true"/>
          <w:lang w:bidi="ar-SA"/>
        </w:rPr>
        <w:t xml:space="preserve">؛ نسخت في عام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بتصريح الكاتب في انتهاء النسخة، و يُعلم ممّا كتب في فراغها أنّه نسخها عن نسخة مكتبة الروضة الرضويّة؛ لأنّ الكاتب قد كتب عبارة فراغ تلك المخطوطة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الرسالة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lang w:bidi="ar-SA"/>
        </w:rPr>
        <w:t>14755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المجموعة المُهداة من قبل السيّد الخامنئي حفظه اللّٰه</w:t>
      </w:r>
      <w:r>
        <w:rPr>
          <w:rFonts w:eastAsia="Amiri" w:cs="Amiri" w:ascii="Amiri" w:hAnsi="Amiri"/>
          <w:color w:val="111111"/>
          <w:sz w:val="28"/>
          <w:szCs w:val="28"/>
          <w:rtl w:val="true"/>
          <w:lang w:bidi="ar-SA"/>
        </w:rPr>
        <w:t>)</w:t>
      </w:r>
      <w:r>
        <w:rPr>
          <w:rStyle w:val="FootnoteAnchor"/>
          <w:rtl w:val="true"/>
        </w:rPr>
        <w:footnoteReference w:id="2889"/>
      </w:r>
      <w:r>
        <w:rPr>
          <w:rFonts w:ascii="Amiri" w:hAnsi="Amiri" w:eastAsia="Amiri" w:cs="Amiri"/>
          <w:color w:val="111111"/>
          <w:sz w:val="28"/>
          <w:sz w:val="28"/>
          <w:szCs w:val="28"/>
          <w:rtl w:val="true"/>
          <w:lang w:bidi="ar-SA"/>
        </w:rPr>
        <w:t xml:space="preserve">نسخها السيّد </w:t>
      </w:r>
    </w:p>
    <w:p>
      <w:pPr>
        <w:pStyle w:val="BookText"/>
        <w:rPr/>
      </w:pPr>
      <w:r>
        <w:rPr>
          <w:rFonts w:ascii="Amiri" w:hAnsi="Amiri" w:eastAsia="Amiri" w:cs="Amiri"/>
          <w:color w:val="111111"/>
          <w:sz w:val="28"/>
          <w:sz w:val="28"/>
          <w:szCs w:val="28"/>
          <w:rtl w:val="true"/>
          <w:lang w:bidi="ar-SA"/>
        </w:rPr>
        <w:t xml:space="preserve">أحمد الصفائي في عام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نسخة مكتبة الروضة الرضويّة كما يُعلم ممّا كتبه في فراغها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الرسالة معنونة في فوق الصفحة الأُولى منها بهذا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النصرة للرؤية في ثبوت الأهلّة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هوامشها علامات التصحيح و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تُشاهد في الورقة الأُولى منها علامة تملّك السيّد مصطفى الحسينيّ الصفائيّ الخوانساري، و خاتمه البيضويّ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في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Style w:val="FootnoteAnchor"/>
          <w:rtl w:val="true"/>
        </w:rPr>
        <w:footnoteReference w:id="2890"/>
      </w:r>
      <w:r>
        <w:rPr>
          <w:rFonts w:ascii="IRNazanin" w:hAnsi="IRNazanin" w:eastAsia="IRNazanin"/>
          <w:color w:val="111111"/>
          <w:sz w:val="28"/>
          <w:sz w:val="28"/>
          <w:szCs w:val="28"/>
          <w:rtl w:val="true"/>
          <w:lang w:bidi="fa-IR"/>
        </w:rPr>
        <w:t xml:space="preserve">، 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مخطوطة المكتبة المركزيّة بجامعة طهران، المرقّمة </w:t>
      </w:r>
      <w:r>
        <w:rPr>
          <w:rFonts w:eastAsia="IRNazanin" w:cs="IRNazanin"/>
          <w:color w:val="111111"/>
          <w:sz w:val="28"/>
          <w:szCs w:val="28"/>
          <w:lang w:bidi="fa-IR"/>
        </w:rPr>
        <w:t>1162/19</w:t>
      </w:r>
      <w:r>
        <w:rPr>
          <w:rFonts w:ascii="IRNazanin" w:hAnsi="IRNazanin" w:eastAsia="IRNazanin"/>
          <w:color w:val="111111"/>
          <w:sz w:val="28"/>
          <w:sz w:val="28"/>
          <w:szCs w:val="28"/>
          <w:rtl w:val="true"/>
          <w:lang w:bidi="fa-IR"/>
        </w:rPr>
        <w:t xml:space="preserve">؛ و هي ميكروفيلم من نسخة آقا بزرگ الطهراني في مكتبته بالنجف الأشرف، استنسخها بنفسه عن نسخة مكتبة الروضة الرضويّة في عام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الكاظميّة، كما ذكره في كتابه الذريعة، و عنونها بهذا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في الردّ على أصحاب العدد</w:t>
      </w:r>
      <w:r>
        <w:rPr>
          <w:rFonts w:eastAsia="IRNazanin" w:cs="IRNazanin"/>
          <w:color w:val="111111"/>
          <w:sz w:val="28"/>
          <w:szCs w:val="28"/>
          <w:rtl w:val="true"/>
          <w:lang w:bidi="fa-IR"/>
        </w:rPr>
        <w:t>»</w:t>
      </w:r>
      <w:r>
        <w:rPr>
          <w:rStyle w:val="FootnoteAnchor"/>
          <w:rtl w:val="true"/>
        </w:rPr>
        <w:footnoteReference w:id="2891"/>
      </w:r>
      <w:r>
        <w:rPr>
          <w:rFonts w:ascii="Amiri" w:hAnsi="Amiri" w:eastAsia="Amiri" w:cs="Amiri"/>
          <w:color w:val="111111"/>
          <w:sz w:val="28"/>
          <w:sz w:val="28"/>
          <w:szCs w:val="28"/>
          <w:rtl w:val="true"/>
          <w:lang w:bidi="ar-SA"/>
        </w:rPr>
        <w:t>، و كتب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فرغت من نسخها بمشهد الإمامين الهمامين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موسى و أبي جعفر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الثاني من جمادى الأُولى من سنة ثلاثين و ثلاثمائة بعد الألف، و أنا الأحقر المسيء الجاني محمّد محسن ابن الحاج عليّ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الرسالة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و في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Style w:val="FootnoteAnchor"/>
          <w:rtl w:val="true"/>
        </w:rPr>
        <w:footnoteReference w:id="2892"/>
      </w:r>
      <w:r>
        <w:rPr>
          <w:rFonts w:ascii="IRNazanin" w:hAnsi="IRNazanin" w:eastAsia="IRNazanin"/>
          <w:color w:val="111111"/>
          <w:sz w:val="28"/>
          <w:sz w:val="28"/>
          <w:szCs w:val="28"/>
          <w:rtl w:val="true"/>
          <w:lang w:bidi="fa-IR"/>
        </w:rPr>
        <w:t xml:space="preserve">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10007/4</w:t>
      </w:r>
      <w:r>
        <w:rPr>
          <w:rFonts w:ascii="Amiri" w:hAnsi="Amiri" w:eastAsia="Amiri" w:cs="Amiri"/>
          <w:color w:val="111111"/>
          <w:sz w:val="28"/>
          <w:sz w:val="28"/>
          <w:szCs w:val="28"/>
          <w:rtl w:val="true"/>
          <w:lang w:bidi="ar-SA"/>
        </w:rPr>
        <w:t xml:space="preserve">؛ نسخها عبد اللّٰه بن محمّد حسن الهشترودي التبريزي في الغري، في ليلة الأربعاء من شهر ذي القعدة من شهور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صرّح بذلك في انتهاء الرسالة، و يفهم ممّا كتبه في ظهر الورقة الأخيرة منها أنّه نسخها حسب أمر أُستاذه شيخ الإسلام الزنجاني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الرسالة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14254/1</w:t>
      </w:r>
      <w:r>
        <w:rPr>
          <w:rFonts w:ascii="Amiri" w:hAnsi="Amiri" w:eastAsia="Amiri" w:cs="Amiri"/>
          <w:color w:val="111111"/>
          <w:sz w:val="28"/>
          <w:sz w:val="28"/>
          <w:szCs w:val="28"/>
          <w:rtl w:val="true"/>
          <w:lang w:bidi="ar-SA"/>
        </w:rPr>
        <w:t>؛ يُعلم ممّا كُتب في انتهائها أنّها نُسخت عن نسخة مكتبة الروضة الرضويّة أيضاً، و ناسخها و تاريخ نسخها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الرسالة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1080/4</w:t>
      </w:r>
      <w:r>
        <w:rPr>
          <w:rFonts w:ascii="Amiri" w:hAnsi="Amiri" w:eastAsia="Amiri" w:cs="Amiri"/>
          <w:color w:val="111111"/>
          <w:sz w:val="28"/>
          <w:sz w:val="28"/>
          <w:szCs w:val="28"/>
          <w:rtl w:val="true"/>
          <w:lang w:bidi="ar-SA"/>
        </w:rPr>
        <w:t>؛ لم نعثر على اسم ناسخها و تاريخ 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في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ميكروفيلم </w:t>
      </w:r>
      <w:r>
        <w:rPr>
          <w:rFonts w:eastAsia="Amiri" w:cs="Amiri" w:ascii="Amiri" w:hAnsi="Amiri"/>
          <w:color w:val="111111"/>
          <w:sz w:val="28"/>
          <w:szCs w:val="28"/>
          <w:lang w:bidi="ar-SA"/>
        </w:rPr>
        <w:t>1690/6</w:t>
      </w:r>
      <w:r>
        <w:rPr>
          <w:rFonts w:ascii="Amiri" w:hAnsi="Amiri" w:eastAsia="Amiri" w:cs="Amiri"/>
          <w:color w:val="111111"/>
          <w:sz w:val="28"/>
          <w:sz w:val="28"/>
          <w:szCs w:val="28"/>
          <w:rtl w:val="true"/>
          <w:lang w:bidi="ar-SA"/>
        </w:rPr>
        <w:t>؛ و أصلها موجود في المكتبة الجعفريّة بقائن، و قد سمّيت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كلام بعض من نصر العمل بالعدد في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نفس عنوان مكتبة الروضة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الرسالة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1095" w:name="pg16437_172835"/>
    </w:p>
    <w:p>
      <w:pPr>
        <w:pStyle w:val="Heading4"/>
        <w:numPr>
          <w:ilvl w:val="3"/>
          <w:numId w:val="1"/>
        </w:numPr>
        <w:rPr/>
      </w:pPr>
      <w:bookmarkStart w:id="1096" w:name="__RefHeading___Toc8040253_1280447820"/>
      <w:bookmarkStart w:id="1097" w:name="_Toc401"/>
      <w:bookmarkEnd w:id="1095"/>
      <w:bookmarkEnd w:id="1096"/>
      <w:r>
        <w:rPr>
          <w:rtl w:val="true"/>
        </w:rPr>
        <w:t>رسالةٌ في الردِّ علىٰ أصحابِ العَدَدِ</w:t>
      </w:r>
      <w:bookmarkEnd w:id="1097"/>
    </w:p>
    <w:p>
      <w:pPr>
        <w:pStyle w:val="Heading5"/>
        <w:numPr>
          <w:ilvl w:val="4"/>
          <w:numId w:val="1"/>
        </w:numPr>
        <w:rPr/>
      </w:pPr>
      <w:bookmarkStart w:id="1098" w:name="__RefHeading___Toc8040255_1280447820"/>
      <w:bookmarkStart w:id="1099" w:name="_Toc402"/>
      <w:bookmarkEnd w:id="1098"/>
      <w:r>
        <w:rPr>
          <w:rtl w:val="true"/>
        </w:rPr>
        <w:t>اشارة</w:t>
      </w:r>
      <w:bookmarkEnd w:id="1099"/>
    </w:p>
    <w:p>
      <w:pPr>
        <w:pStyle w:val="BookText"/>
        <w:rPr/>
      </w:pPr>
      <w:r>
        <w:rPr>
          <w:rFonts w:ascii="Amiri" w:hAnsi="Amiri" w:eastAsia="Amiri" w:cs="Amiri"/>
          <w:color w:val="111111"/>
          <w:sz w:val="28"/>
          <w:sz w:val="28"/>
          <w:szCs w:val="28"/>
          <w:rtl w:val="true"/>
          <w:lang w:bidi="ar-SA"/>
        </w:rPr>
        <w:t>بِسمِ اللّٰهِ الرحمنِ الرحيمِ‌</w:t>
      </w:r>
    </w:p>
    <w:p>
      <w:pPr>
        <w:pStyle w:val="Heading5"/>
        <w:numPr>
          <w:ilvl w:val="4"/>
          <w:numId w:val="1"/>
        </w:numPr>
        <w:rPr/>
      </w:pPr>
      <w:bookmarkStart w:id="1100" w:name="__RefHeading___Toc8040257_1280447820"/>
      <w:bookmarkStart w:id="1101" w:name="_Toc403"/>
      <w:bookmarkEnd w:id="1100"/>
      <w:r>
        <w:rPr>
          <w:rtl w:val="true"/>
        </w:rPr>
        <w:t>مقدِّمةٌ‌</w:t>
      </w:r>
      <w:bookmarkEnd w:id="1101"/>
    </w:p>
    <w:p>
      <w:pPr>
        <w:pStyle w:val="BookText"/>
        <w:rPr/>
      </w:pPr>
      <w:r>
        <w:rPr>
          <w:rFonts w:ascii="Amiri" w:hAnsi="Amiri" w:eastAsia="Amiri" w:cs="Amiri"/>
          <w:color w:val="111111"/>
          <w:sz w:val="28"/>
          <w:sz w:val="28"/>
          <w:szCs w:val="28"/>
          <w:rtl w:val="true"/>
          <w:lang w:bidi="ar-SA"/>
        </w:rPr>
        <w:t>الحمدُ للّٰهِ علىٰ وافرِ الحِباءِ، و باهرِ العَطاءِ، و متواصِلِ الآلاءِ، و متتابِعِ السَّرّاء؛ و صَلَّى اللّٰهُ علىٰ خَيرِ البَشَرِ، و أفضَلِ البَدوِ و الحَضَرِ، سيّدِنا مُحمّدٍ نَبيِّه و صَفيِّه، و علَى الطاهرينَ مِن عترتِه،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توفيقَكَ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أنفَذتَه مِن الكلامِ المجموعِ في نُصرةِ العَدَدِ في الشهورِ، و الطعنِ علىٰ مَن ذَهَبَ إلَى الرؤيةِ و اعتَمَدَها و لَم يَلتَفِتْ إلىٰ ما سِواها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أُجيبُ مَسألَتَكَ، و أشفَعُكَ‌</w:t>
      </w:r>
      <w:r>
        <w:rPr>
          <w:rStyle w:val="FootnoteAnchor"/>
          <w:rtl w:val="true"/>
        </w:rPr>
        <w:footnoteReference w:id="2893"/>
      </w:r>
      <w:r>
        <w:rPr>
          <w:rFonts w:ascii="Amiri" w:hAnsi="Amiri" w:eastAsia="Amiri" w:cs="Amiri"/>
          <w:color w:val="111111"/>
          <w:sz w:val="28"/>
          <w:sz w:val="28"/>
          <w:szCs w:val="28"/>
          <w:rtl w:val="true"/>
          <w:lang w:bidi="ar-SA"/>
        </w:rPr>
        <w:t>بطَلِبتِكَ، و أُملي</w:t>
      </w:r>
      <w:r>
        <w:rPr>
          <w:rStyle w:val="FootnoteAnchor"/>
          <w:rtl w:val="true"/>
        </w:rPr>
        <w:footnoteReference w:id="2894"/>
      </w:r>
      <w:r>
        <w:rPr>
          <w:rFonts w:ascii="Amiri" w:hAnsi="Amiri" w:eastAsia="Amiri" w:cs="Amiri"/>
          <w:color w:val="111111"/>
          <w:sz w:val="28"/>
          <w:sz w:val="28"/>
          <w:szCs w:val="28"/>
          <w:rtl w:val="true"/>
          <w:lang w:bidi="ar-SA"/>
        </w:rPr>
        <w:t>في هذا البابِ كلاماً وَجيزاً تَقَعُ‌</w:t>
      </w:r>
      <w:r>
        <w:rPr>
          <w:rStyle w:val="FootnoteAnchor"/>
          <w:rtl w:val="true"/>
        </w:rPr>
        <w:footnoteReference w:id="2895"/>
      </w:r>
      <w:r>
        <w:rPr>
          <w:rFonts w:ascii="Amiri" w:hAnsi="Amiri" w:eastAsia="Amiri" w:cs="Amiri"/>
          <w:color w:val="111111"/>
          <w:sz w:val="28"/>
          <w:sz w:val="28"/>
          <w:szCs w:val="28"/>
          <w:rtl w:val="true"/>
          <w:lang w:bidi="ar-SA"/>
        </w:rPr>
        <w:t>بمِثلِه الكفايةُ؛ فإنّ مَن طَوَّلَ مِن أصحابِنا الكلامَ في هذه المسألةِ تَكلَّفَ ما لا يُحتاجُ إليه، و الأمرُ فيها أقرَبُ و أهوَنُ مِن أن يَحُوجَ إلَى التدقيقِ و 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 للصوابِ في جميعِ الأُمورِ</w:t>
      </w:r>
      <w:r>
        <w:rPr>
          <w:rFonts w:eastAsia="Amiri" w:cs="Amiri" w:ascii="Amiri" w:hAnsi="Amiri"/>
          <w:color w:val="111111"/>
          <w:sz w:val="28"/>
          <w:szCs w:val="28"/>
          <w:rtl w:val="true"/>
          <w:lang w:bidi="ar-SA"/>
        </w:rPr>
        <w:t xml:space="preserve">. </w:t>
      </w:r>
      <w:bookmarkStart w:id="1102" w:name="pg16437_172836"/>
    </w:p>
    <w:p>
      <w:pPr>
        <w:pStyle w:val="Heading5"/>
        <w:numPr>
          <w:ilvl w:val="4"/>
          <w:numId w:val="1"/>
        </w:numPr>
        <w:rPr/>
      </w:pPr>
      <w:bookmarkStart w:id="1103" w:name="__RefHeading___Toc8040259_1280447820"/>
      <w:bookmarkStart w:id="1104" w:name="_Toc404"/>
      <w:bookmarkEnd w:id="1102"/>
      <w:bookmarkEnd w:id="1103"/>
      <w:r>
        <w:rPr>
          <w:rtl w:val="true"/>
        </w:rPr>
        <w:t>الفصلُ الأوّلُ في بيانِ الأدلّةِ على القولِ بالرؤيةِ‌</w:t>
      </w:r>
      <w:bookmarkEnd w:id="1104"/>
    </w:p>
    <w:p>
      <w:pPr>
        <w:pStyle w:val="Heading6"/>
        <w:numPr>
          <w:ilvl w:val="5"/>
          <w:numId w:val="1"/>
        </w:numPr>
        <w:rPr/>
      </w:pPr>
      <w:bookmarkStart w:id="1105" w:name="__RefHeading___Toc8040261_1280447820"/>
      <w:bookmarkStart w:id="1106" w:name="_Toc405"/>
      <w:bookmarkEnd w:id="1105"/>
      <w:r>
        <w:rPr>
          <w:rtl w:val="true"/>
        </w:rPr>
        <w:t>الدليل الأوّل</w:t>
      </w:r>
      <w:r>
        <w:rPr>
          <w:rtl w:val="true"/>
        </w:rPr>
        <w:t xml:space="preserve">: </w:t>
      </w:r>
      <w:r>
        <w:rPr>
          <w:rtl w:val="true"/>
        </w:rPr>
        <w:t>إجماع المسلمين</w:t>
      </w:r>
      <w:bookmarkEnd w:id="1106"/>
    </w:p>
    <w:p>
      <w:pPr>
        <w:pStyle w:val="BookText"/>
        <w:rPr/>
      </w:pPr>
      <w:r>
        <w:rPr>
          <w:rFonts w:ascii="Amiri" w:hAnsi="Amiri" w:eastAsia="Amiri" w:cs="Amiri"/>
          <w:color w:val="111111"/>
          <w:sz w:val="28"/>
          <w:sz w:val="28"/>
          <w:szCs w:val="28"/>
          <w:rtl w:val="true"/>
          <w:lang w:bidi="ar-SA"/>
        </w:rPr>
        <w:t>و اعلَمْ أنّ هذه مَسألةٌ إذا تُؤُمِّلَتْ عُلِمَ أنّها مَسألةُ إجماعٍ مِن جميعِ المُسلِمينَ، و الإجماعُ عليها هو الدليلُ المُعتَمَدُ؛ لأنّ الخِلافَ فيها إنّما ظَهَرَ مِن نَفَرٍ مِن أصحابِ الحديثِ المُنتَمينَ إلىٰ أصحابِنا، و قد تَقدَّمَهم الإجماعُ و سَبَقَهم، و لا اعتبارَ بالخِلافِ الحادثِ؛ لأنّه لَو كانَ به اعتبارٌ لَما استَقَرَّ إجماعٌ، و لا قامَت الحُجّةُ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ضَرورةً أنّ أحَداً مِن أهلِ العِلمِ لَم يُخالِفْ قَديماً في هذه المَسألةِ، و لا جَرىٰ بَينَ أهلِ العِلمِ فيها مُتقدِّماً كلامٌ و لا نَظَرٌ و لا جِدالٌ، حتّىٰ ظَهَرَ مِن بَينِ أصحابِنا فيها هذا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اعتبارَ بهذا الخِلافِ، سابقاً</w:t>
      </w:r>
      <w:r>
        <w:rPr>
          <w:rStyle w:val="FootnoteAnchor"/>
          <w:rtl w:val="true"/>
        </w:rPr>
        <w:footnoteReference w:id="2896"/>
      </w:r>
      <w:r>
        <w:rPr>
          <w:rFonts w:ascii="Amiri" w:hAnsi="Amiri" w:eastAsia="Amiri" w:cs="Amiri"/>
          <w:color w:val="111111"/>
          <w:sz w:val="28"/>
          <w:sz w:val="28"/>
          <w:szCs w:val="28"/>
          <w:rtl w:val="true"/>
          <w:lang w:bidi="ar-SA"/>
        </w:rPr>
        <w:t>كانَ أم حادثاً مُتأخِّراً؛ لأنّ الخِلافَ إنّما يُعتَدُّ به إذا وَقَعَ ممّن بمِثلِه اعتبارٌ في الإجماعِ مِن أهلِ العِلمِ و الفَضلِ و الدرايةِ و التحصيلِ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خالَفوا مِن أصحابِنا في هذه المَسألةِ عَدَدٌ يَسيرٌ ممّن</w:t>
      </w:r>
      <w:r>
        <w:rPr>
          <w:rStyle w:val="FootnoteAnchor"/>
          <w:rtl w:val="true"/>
        </w:rPr>
        <w:footnoteReference w:id="2897"/>
      </w:r>
      <w:r>
        <w:rPr>
          <w:rFonts w:ascii="Amiri" w:hAnsi="Amiri" w:eastAsia="Amiri" w:cs="Amiri"/>
          <w:color w:val="111111"/>
          <w:sz w:val="28"/>
          <w:sz w:val="28"/>
          <w:szCs w:val="28"/>
          <w:rtl w:val="true"/>
          <w:lang w:bidi="ar-SA"/>
        </w:rPr>
        <w:t>لَيسَ قولُه بحُجّةٍ في الأُصولِ و لا في الفروعِ، و لَيسَ ممّن كُلِّفَ النظرَ في هذه المسألةِ، و لا فيما هو أجلىٰ منها؛</w:t>
      </w:r>
      <w:r>
        <w:rPr>
          <w:rStyle w:val="FootnoteAnchor"/>
          <w:rtl w:val="true"/>
        </w:rPr>
        <w:footnoteReference w:id="2898"/>
      </w:r>
      <w:r>
        <w:rPr>
          <w:rFonts w:ascii="Amiri" w:hAnsi="Amiri" w:eastAsia="Amiri" w:cs="Amiri"/>
          <w:color w:val="111111"/>
          <w:sz w:val="28"/>
          <w:sz w:val="28"/>
          <w:szCs w:val="28"/>
          <w:rtl w:val="true"/>
          <w:lang w:bidi="ar-SA"/>
        </w:rPr>
        <w:t>لقُصورِ فَهمِه و نُقصانِ فِطنتِه</w:t>
      </w:r>
      <w:r>
        <w:rPr>
          <w:rFonts w:eastAsia="Amiri" w:cs="Amiri" w:ascii="Amiri" w:hAnsi="Amiri"/>
          <w:color w:val="111111"/>
          <w:sz w:val="28"/>
          <w:szCs w:val="28"/>
          <w:rtl w:val="true"/>
          <w:lang w:bidi="ar-SA"/>
        </w:rPr>
        <w:t xml:space="preserve">. </w:t>
      </w:r>
      <w:bookmarkStart w:id="1107" w:name="pg16437_172837"/>
    </w:p>
    <w:p>
      <w:pPr>
        <w:pStyle w:val="BookText"/>
        <w:rPr/>
      </w:pPr>
      <w:bookmarkEnd w:id="1107"/>
      <w:r>
        <w:rPr>
          <w:rFonts w:ascii="Amiri" w:hAnsi="Amiri" w:eastAsia="Amiri" w:cs="Amiri"/>
          <w:color w:val="111111"/>
          <w:sz w:val="28"/>
          <w:sz w:val="28"/>
          <w:szCs w:val="28"/>
          <w:rtl w:val="true"/>
          <w:lang w:bidi="ar-SA"/>
        </w:rPr>
        <w:t xml:space="preserve">و ما لأصحابِ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يَعرِفوا الحَقَّ في الأُصولِ، و لا اعتَقَدوها بحُجّةٍ و لا نظرٍ، بَل هم مُقلِّدونَ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للكلامِ‌</w:t>
      </w:r>
      <w:r>
        <w:rPr>
          <w:rStyle w:val="FootnoteAnchor"/>
          <w:rtl w:val="true"/>
        </w:rPr>
        <w:footnoteReference w:id="2899"/>
      </w:r>
      <w:r>
        <w:rPr>
          <w:rFonts w:ascii="Amiri" w:hAnsi="Amiri" w:eastAsia="Amiri" w:cs="Amiri"/>
          <w:color w:val="111111"/>
          <w:sz w:val="28"/>
          <w:sz w:val="28"/>
          <w:szCs w:val="28"/>
          <w:rtl w:val="true"/>
          <w:lang w:bidi="ar-SA"/>
        </w:rPr>
        <w:t>في هذه المسائلِ؟ و لَيسوا بأهلِ نظرٍ فيها و لا اجتهادٍ، و لا وصولٍ إلَى الحَقِّ بالحُجّةِ، و إنّما تعويلُهم علَى التقليدِ و التسليمِ و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بانَ بهذه الجُملةِ أنّ هذه المَسألةَ مَسألةُ إجماعٍ، و الإجماعُ عندَنا حُجّةٌ؛ لأنّ 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يَخلو الزمانُ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داخلٌ فيه، و هو حُجّةٌ لدخولِ قولِ مَن هو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في مَواضِعَ كثيرةٍ مِن كُتُبِنا صِحّةَ هذه الطريقةِ، و كَيفيّةَ العِلمِ بالطريقِ إلىٰ أنّ قولَ الإمامِ داخلٌ في أقوالِ الشيعةِ و غيرُ منفصِلٍ عنها في زمانِ الغَيبةِ، الذي يَخفىٰ عنّا فيه قولُ الإمامِ علَى التحقيقِ؛ منها في جوابِ مسائلِ أبي عبد اللّٰهِ ابنِ التَّبّانِ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الكلامُ هُناكَ‌</w:t>
      </w:r>
      <w:r>
        <w:rPr>
          <w:rStyle w:val="FootnoteAnchor"/>
          <w:rtl w:val="true"/>
        </w:rPr>
        <w:footnoteReference w:id="2900"/>
      </w:r>
      <w:r>
        <w:rPr>
          <w:rFonts w:ascii="Amiri" w:hAnsi="Amiri" w:eastAsia="Amiri" w:cs="Amiri"/>
          <w:color w:val="111111"/>
          <w:sz w:val="28"/>
          <w:sz w:val="28"/>
          <w:szCs w:val="28"/>
          <w:rtl w:val="true"/>
          <w:lang w:bidi="ar-SA"/>
        </w:rPr>
        <w:t>في هذه المَسألةِ أيضاً فيما هو جوابُ مَسائلِ أهلِ المَوْصِلِ الواردةِ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استيفاءَ الكلامِ في هذا البابِ رَجَعَ إلىٰ ما أشَرنا إليه مِن هذه الكُتُبِ</w:t>
      </w:r>
      <w:r>
        <w:rPr>
          <w:rFonts w:eastAsia="Amiri" w:cs="Amiri" w:ascii="Amiri" w:hAnsi="Amiri"/>
          <w:color w:val="111111"/>
          <w:sz w:val="28"/>
          <w:szCs w:val="28"/>
          <w:rtl w:val="true"/>
          <w:lang w:bidi="ar-SA"/>
        </w:rPr>
        <w:t>.</w:t>
      </w:r>
      <w:r>
        <w:rPr>
          <w:rStyle w:val="FootnoteAnchor"/>
          <w:rtl w:val="true"/>
        </w:rPr>
        <w:footnoteReference w:id="2901"/>
      </w:r>
    </w:p>
    <w:p>
      <w:pPr>
        <w:pStyle w:val="Heading6"/>
        <w:numPr>
          <w:ilvl w:val="5"/>
          <w:numId w:val="1"/>
        </w:numPr>
        <w:rPr/>
      </w:pPr>
      <w:bookmarkStart w:id="1108" w:name="__RefHeading___Toc8040263_1280447820"/>
      <w:bookmarkStart w:id="1109" w:name="_Toc406"/>
      <w:bookmarkEnd w:id="1108"/>
      <w:r>
        <w:rPr>
          <w:rtl w:val="true"/>
        </w:rPr>
        <w:t>الدليل الثاني</w:t>
      </w:r>
      <w:r>
        <w:rPr>
          <w:rtl w:val="true"/>
        </w:rPr>
        <w:t xml:space="preserve">: </w:t>
      </w:r>
      <w:r>
        <w:rPr>
          <w:rtl w:val="true"/>
        </w:rPr>
        <w:t>سيرة المسلمين</w:t>
      </w:r>
      <w:bookmarkEnd w:id="1109"/>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أنّا قد عَلِمنا ضَرورةً أنّ المُسلِمينَ مِن لَدُنِ النبيِّ صَلَّى اللّٰهُ عليه و آلِه إلىٰ وقتِنا هذا يَفزَعونَ و يَلجَؤونَ في أوائلِ الشهورِ و العِلمِ بها علَى التحقيقِ إلَى الرؤيةِ، و يَخرُجونَ إلَى الصحاري و المَواضِعِ المُنكَشِفةِ، خُروجاً مُنكَشِفاً </w:t>
      </w:r>
      <w:bookmarkStart w:id="1110" w:name="pg16437_172838"/>
    </w:p>
    <w:p>
      <w:pPr>
        <w:pStyle w:val="BookText"/>
        <w:rPr/>
      </w:pPr>
      <w:bookmarkEnd w:id="1110"/>
      <w:r>
        <w:rPr>
          <w:rFonts w:ascii="Amiri" w:hAnsi="Amiri" w:eastAsia="Amiri" w:cs="Amiri"/>
          <w:color w:val="111111"/>
          <w:sz w:val="28"/>
          <w:sz w:val="28"/>
          <w:szCs w:val="28"/>
          <w:rtl w:val="true"/>
          <w:lang w:bidi="ar-SA"/>
        </w:rPr>
        <w:t>ظاهراً مُعلَناً شائعاً ذائعاً؛ حتّىٰ إنّهم يَتأهَّبونَ لذلكَ، و يَتزيَّنونَ له، و يَتجمَّلونَ بضُروبِ التجمُّلاتِ، لا يُخالِفُ في ذلكَ منهم مُخالِفٌ، و لا يُعارِضُ منهم مُعارِضٌ، و لا يُنكِرُ منهم مُنكِرٌ، حتّىٰ إنّه قد جَرىٰ مَجرَى الأعيادِ و الجُمَعِ في الظهورِ و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تعيينُ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تَتعلَّقُ الأحكامُ بتعيينِها</w:t>
      </w:r>
      <w:r>
        <w:rPr>
          <w:rStyle w:val="FootnoteAnchor"/>
          <w:rtl w:val="true"/>
        </w:rPr>
        <w:footnoteReference w:id="2902"/>
      </w:r>
      <w:r>
        <w:rPr>
          <w:rFonts w:ascii="Amiri" w:hAnsi="Amiri" w:eastAsia="Amiri" w:cs="Amiri"/>
          <w:color w:val="111111"/>
          <w:sz w:val="28"/>
          <w:sz w:val="28"/>
          <w:szCs w:val="28"/>
          <w:rtl w:val="true"/>
          <w:lang w:bidi="ar-SA"/>
        </w:rPr>
        <w:t xml:space="preserve">مِن صَومٍ و حَجٍّ و انقضاءِ عِدّةٍ و وجوبِ دَينٍ، و غيرِ ذلكَ مِن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يَثبُتُ بالعَدَدِ لا برؤيةِ الأهِلّةِ، لَكانَ جميعُ ما حَكَينا مِن فعلِ المُسلِمينَ مِن الفَزَعِ إلَى الرؤيةِ عَبَثاً و غَلَطاً و تَكلُّفَ ما</w:t>
      </w:r>
      <w:r>
        <w:rPr>
          <w:rStyle w:val="FootnoteAnchor"/>
          <w:rtl w:val="true"/>
        </w:rPr>
        <w:footnoteReference w:id="2903"/>
      </w:r>
      <w:r>
        <w:rPr>
          <w:rFonts w:ascii="Amiri" w:hAnsi="Amiri" w:eastAsia="Amiri" w:cs="Amiri"/>
          <w:color w:val="111111"/>
          <w:sz w:val="28"/>
          <w:sz w:val="28"/>
          <w:szCs w:val="28"/>
          <w:rtl w:val="true"/>
          <w:lang w:bidi="ar-SA"/>
        </w:rPr>
        <w:t>لا فائدةَ فيه</w:t>
      </w:r>
      <w:r>
        <w:rPr>
          <w:rStyle w:val="FootnoteAnchor"/>
          <w:rtl w:val="true"/>
        </w:rPr>
        <w:footnoteReference w:id="2904"/>
      </w:r>
      <w:r>
        <w:rPr>
          <w:rFonts w:ascii="Amiri" w:hAnsi="Amiri" w:eastAsia="Amiri" w:cs="Amiri"/>
          <w:color w:val="111111"/>
          <w:sz w:val="28"/>
          <w:sz w:val="28"/>
          <w:szCs w:val="28"/>
          <w:rtl w:val="true"/>
          <w:lang w:bidi="ar-SA"/>
        </w:rPr>
        <w:t>، و العدولَ‌</w:t>
      </w:r>
      <w:r>
        <w:rPr>
          <w:rStyle w:val="FootnoteAnchor"/>
          <w:rtl w:val="true"/>
        </w:rPr>
        <w:footnoteReference w:id="2905"/>
      </w:r>
      <w:r>
        <w:rPr>
          <w:rFonts w:ascii="Amiri" w:hAnsi="Amiri" w:eastAsia="Amiri" w:cs="Amiri"/>
          <w:color w:val="111111"/>
          <w:sz w:val="28"/>
          <w:sz w:val="28"/>
          <w:szCs w:val="28"/>
          <w:rtl w:val="true"/>
          <w:lang w:bidi="ar-SA"/>
        </w:rPr>
        <w:t>عمّا فيه الفائدةُ</w:t>
      </w:r>
      <w:r>
        <w:rPr>
          <w:rFonts w:eastAsia="Amiri" w:cs="Amiri" w:ascii="Amiri" w:hAnsi="Amiri"/>
          <w:color w:val="111111"/>
          <w:sz w:val="28"/>
          <w:szCs w:val="28"/>
          <w:rtl w:val="true"/>
          <w:lang w:bidi="ar-SA"/>
        </w:rPr>
        <w:t>.</w:t>
      </w:r>
    </w:p>
    <w:p>
      <w:pPr>
        <w:pStyle w:val="Heading6"/>
        <w:numPr>
          <w:ilvl w:val="5"/>
          <w:numId w:val="1"/>
        </w:numPr>
        <w:rPr/>
      </w:pPr>
      <w:bookmarkStart w:id="1111" w:name="__RefHeading___Toc8040265_1280447820"/>
      <w:bookmarkStart w:id="1112" w:name="_Toc407"/>
      <w:bookmarkEnd w:id="1111"/>
      <w:r>
        <w:rPr>
          <w:rtl w:val="true"/>
        </w:rPr>
        <w:t>الدليل الثالث</w:t>
      </w:r>
      <w:r>
        <w:rPr>
          <w:rtl w:val="true"/>
        </w:rPr>
        <w:t xml:space="preserve">: </w:t>
      </w:r>
      <w:r>
        <w:rPr>
          <w:rtl w:val="true"/>
        </w:rPr>
        <w:t>الكتاب</w:t>
      </w:r>
      <w:bookmarkEnd w:id="1112"/>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اَلْأَهِلَّةِ قُلْ هِيَ مَوٰاقِيتُ لِلنّٰاسِ وَ اَلْحَجِّ</w:t>
      </w:r>
      <w:r>
        <w:rPr>
          <w:rFonts w:eastAsia="Amiri" w:cs="Amiri" w:ascii="Amiri" w:hAnsi="Amiri"/>
          <w:color w:val="111111"/>
          <w:sz w:val="28"/>
          <w:szCs w:val="28"/>
          <w:rtl w:val="true"/>
          <w:lang w:bidi="ar-SA"/>
        </w:rPr>
        <w:t>» .</w:t>
      </w:r>
      <w:r>
        <w:rPr>
          <w:rStyle w:val="FootnoteAnchor"/>
          <w:rtl w:val="true"/>
        </w:rPr>
        <w:footnoteReference w:id="2906"/>
      </w:r>
      <w:r>
        <w:rPr>
          <w:rFonts w:ascii="Amiri" w:hAnsi="Amiri" w:eastAsia="Amiri" w:cs="Amiri"/>
          <w:color w:val="111111"/>
          <w:sz w:val="28"/>
          <w:sz w:val="28"/>
          <w:szCs w:val="28"/>
          <w:rtl w:val="true"/>
          <w:lang w:bidi="ar-SA"/>
        </w:rPr>
        <w:t xml:space="preserve">و هذا نَصٌّ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الأهِلّةَ هي المُعتَبَرةُ في المَواقيتِ، و الدالّةُ علَى الشهورِ؛ لأنّه عُلِّقَ بها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العَدَدُ هو الذي يُعرَفُ به التوقيتُ، لَخُصَّ العَدَدُ بالتوقيتِ دونَ رؤيةِ الأهِلّةِ؛ إذ لا مُعْتَبَرَ برؤيةِ الأهِلّةِ في المَواقيتِ علىٰ قَولِ أصحابِ العَدَدِ</w:t>
      </w:r>
      <w:r>
        <w:rPr>
          <w:rFonts w:eastAsia="Amiri" w:cs="Amiri" w:ascii="Amiri" w:hAnsi="Amiri"/>
          <w:color w:val="111111"/>
          <w:sz w:val="28"/>
          <w:szCs w:val="28"/>
          <w:rtl w:val="true"/>
          <w:lang w:bidi="ar-SA"/>
        </w:rPr>
        <w:t>.</w:t>
      </w:r>
    </w:p>
    <w:p>
      <w:pPr>
        <w:pStyle w:val="Heading6"/>
        <w:numPr>
          <w:ilvl w:val="5"/>
          <w:numId w:val="1"/>
        </w:numPr>
        <w:rPr/>
      </w:pPr>
      <w:bookmarkStart w:id="1113" w:name="__RefHeading___Toc8040267_1280447820"/>
      <w:bookmarkStart w:id="1114" w:name="_Toc408"/>
      <w:bookmarkEnd w:id="1113"/>
      <w:r>
        <w:rPr>
          <w:rtl w:val="true"/>
        </w:rPr>
        <w:t>الدليل الرابع</w:t>
      </w:r>
      <w:r>
        <w:rPr>
          <w:rtl w:val="true"/>
        </w:rPr>
        <w:t xml:space="preserve">: </w:t>
      </w:r>
      <w:r>
        <w:rPr>
          <w:rtl w:val="true"/>
        </w:rPr>
        <w:t>آية قرآنيّة أُخرىٰ‌</w:t>
      </w:r>
      <w:bookmarkEnd w:id="1114"/>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 اَلْقَمَرَ نُوراً وَ قَدَّرَهُ مَنٰازِلَ لِتَعْلَمُوا عَدَدَ اَلسِّنِينَ وَ اَلْحِسٰابَ</w:t>
      </w:r>
      <w:r>
        <w:rPr>
          <w:rFonts w:eastAsia="Amiri" w:cs="Amiri" w:ascii="Amiri" w:hAnsi="Amiri"/>
          <w:color w:val="111111"/>
          <w:sz w:val="28"/>
          <w:szCs w:val="28"/>
          <w:rtl w:val="true"/>
          <w:lang w:bidi="ar-SA"/>
        </w:rPr>
        <w:t>» .</w:t>
      </w:r>
      <w:r>
        <w:rPr>
          <w:rStyle w:val="FootnoteAnchor"/>
          <w:rtl w:val="true"/>
        </w:rPr>
        <w:footnoteReference w:id="2907"/>
      </w:r>
      <w:r>
        <w:rPr>
          <w:rFonts w:ascii="Amiri" w:hAnsi="Amiri" w:eastAsia="Amiri" w:cs="Amiri"/>
          <w:color w:val="111111"/>
          <w:sz w:val="28"/>
          <w:sz w:val="28"/>
          <w:szCs w:val="28"/>
          <w:rtl w:val="true"/>
          <w:lang w:bidi="ar-SA"/>
        </w:rPr>
        <w:t xml:space="preserve">و هذا نَصٌّ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bookmarkStart w:id="1115" w:name="pg16437_172839"/>
    </w:p>
    <w:p>
      <w:pPr>
        <w:pStyle w:val="BookText"/>
        <w:rPr/>
      </w:pPr>
      <w:bookmarkEnd w:id="1115"/>
      <w:r>
        <w:rPr>
          <w:rFonts w:ascii="Amiri" w:hAnsi="Amiri" w:eastAsia="Amiri" w:cs="Amiri"/>
          <w:color w:val="111111"/>
          <w:sz w:val="28"/>
          <w:sz w:val="28"/>
          <w:szCs w:val="28"/>
          <w:rtl w:val="true"/>
          <w:lang w:bidi="ar-SA"/>
        </w:rPr>
        <w:t>مَعرِفةَ السنينَ و الحِسابِ مرجوعٌ فيها إلَى القمرِ و نُقصانِه و زيادتِه، و أنّه لا حَظَّ للعَدَدِ الذي يَعتَمِدُه أصحابُ العَدَدِ في عِلمِ السنينَ و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أوضَحُ مِن أن تَدخُلَ علىٰ عاقلٍ فيه شُبهةٌ</w:t>
      </w:r>
      <w:r>
        <w:rPr>
          <w:rFonts w:eastAsia="Amiri" w:cs="Amiri" w:ascii="Amiri" w:hAnsi="Amiri"/>
          <w:color w:val="111111"/>
          <w:sz w:val="28"/>
          <w:szCs w:val="28"/>
          <w:rtl w:val="true"/>
          <w:lang w:bidi="ar-SA"/>
        </w:rPr>
        <w:t>.</w:t>
      </w:r>
    </w:p>
    <w:p>
      <w:pPr>
        <w:pStyle w:val="Heading6"/>
        <w:numPr>
          <w:ilvl w:val="5"/>
          <w:numId w:val="1"/>
        </w:numPr>
        <w:rPr/>
      </w:pPr>
      <w:bookmarkStart w:id="1116" w:name="__RefHeading___Toc8040269_1280447820"/>
      <w:bookmarkStart w:id="1117" w:name="_Toc409"/>
      <w:bookmarkEnd w:id="1116"/>
      <w:r>
        <w:rPr>
          <w:rtl w:val="true"/>
        </w:rPr>
        <w:t>الدليل الخامس</w:t>
      </w:r>
      <w:r>
        <w:rPr>
          <w:rtl w:val="true"/>
        </w:rPr>
        <w:t xml:space="preserve">: </w:t>
      </w:r>
      <w:r>
        <w:rPr>
          <w:rtl w:val="true"/>
        </w:rPr>
        <w:t>السنّة</w:t>
      </w:r>
      <w:bookmarkEnd w:id="1117"/>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الخبرُ المَرويُّ عن النبيِّ صَلَّى اللّٰهُ عليه و آلِه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لرؤيتِه، و أفطِروا لرؤيتِه، فإن غُمَّ عليكم فعُدّوا ثَلاثينَ</w:t>
      </w:r>
      <w:r>
        <w:rPr>
          <w:rFonts w:eastAsia="Amiri" w:cs="Amiri" w:ascii="Amiri" w:hAnsi="Amiri"/>
          <w:color w:val="111111"/>
          <w:sz w:val="28"/>
          <w:szCs w:val="28"/>
          <w:rtl w:val="true"/>
          <w:lang w:bidi="ar-SA"/>
        </w:rPr>
        <w:t>».</w:t>
      </w:r>
      <w:r>
        <w:rPr>
          <w:rStyle w:val="FootnoteAnchor"/>
          <w:rtl w:val="true"/>
        </w:rPr>
        <w:footnoteReference w:id="2908"/>
      </w:r>
    </w:p>
    <w:p>
      <w:pPr>
        <w:pStyle w:val="BookText"/>
        <w:rPr/>
      </w:pPr>
      <w:r>
        <w:rPr>
          <w:rFonts w:ascii="Amiri" w:hAnsi="Amiri" w:eastAsia="Amiri" w:cs="Amiri"/>
          <w:color w:val="111111"/>
          <w:sz w:val="28"/>
          <w:sz w:val="28"/>
          <w:szCs w:val="28"/>
          <w:rtl w:val="true"/>
          <w:lang w:bidi="ar-SA"/>
        </w:rPr>
        <w:t xml:space="preserve">و هذا الخبرُ و إن كانَ مِن طريقِ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لا يُعلَمُ كَما عُلِمَ ما طريقُه مِن الأخبارِ العِلمُ </w:t>
      </w:r>
      <w:r>
        <w:rPr>
          <w:rFonts w:eastAsia="Amiri" w:cs="Amiri" w:ascii="Amiri" w:hAnsi="Amiri"/>
          <w:color w:val="111111"/>
          <w:sz w:val="28"/>
          <w:szCs w:val="28"/>
          <w:rtl w:val="true"/>
          <w:lang w:bidi="ar-SA"/>
        </w:rPr>
        <w:t>-</w:t>
      </w:r>
      <w:r>
        <w:rPr>
          <w:rStyle w:val="FootnoteAnchor"/>
          <w:rtl w:val="true"/>
        </w:rPr>
        <w:footnoteReference w:id="2909"/>
      </w:r>
      <w:r>
        <w:rPr>
          <w:rFonts w:ascii="Amiri" w:hAnsi="Amiri" w:eastAsia="Amiri" w:cs="Amiri"/>
          <w:color w:val="111111"/>
          <w:sz w:val="28"/>
          <w:sz w:val="28"/>
          <w:szCs w:val="28"/>
          <w:rtl w:val="true"/>
          <w:lang w:bidi="ar-SA"/>
        </w:rPr>
        <w:t>فقَد أجمَعَت الأُمّةُ علىٰ قبولِه، و إنِ اختَلفَوا في تأويلِه، فما رَدَّه أحَدٌ منهم، و لا شَكَّكَ‌</w:t>
      </w:r>
      <w:r>
        <w:rPr>
          <w:rStyle w:val="FootnoteAnchor"/>
          <w:rtl w:val="true"/>
        </w:rPr>
        <w:footnoteReference w:id="2910"/>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نَصٌّ صَريحٌ غيرُ مُحتَمِلٍ؛ لأنّ الرؤيةَ هي الأصلُ، و أنّ العَدَدَ تابعٌ لها</w:t>
      </w:r>
      <w:r>
        <w:rPr>
          <w:rStyle w:val="FootnoteAnchor"/>
          <w:rtl w:val="true"/>
        </w:rPr>
        <w:footnoteReference w:id="2911"/>
      </w:r>
      <w:r>
        <w:rPr>
          <w:rFonts w:ascii="Amiri" w:hAnsi="Amiri" w:eastAsia="Amiri" w:cs="Amiri"/>
          <w:color w:val="111111"/>
          <w:sz w:val="28"/>
          <w:sz w:val="28"/>
          <w:szCs w:val="28"/>
          <w:rtl w:val="true"/>
          <w:lang w:bidi="ar-SA"/>
        </w:rPr>
        <w:t>و غيرُ مُعتَبَرٍ إلّابَعدَ ارتفاعِ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بالعَدَدِ اعتبارٌ لَم يُعلِّقِ الصومَ بنَفسِ الرؤيةِ، و لَعلَّقَه بالعَدَدِ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بالعَدَدِ و أفطِروا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يَمنَعُ مِن ذلكَ غايةَ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لرؤيتِه، و أفطِروا لرؤيتِه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 فائدةٍ لهذا الكلامِ؟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لأجلِ رؤيتِه و عندَ رؤيتِه، كما يَقولُ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w:t>
      </w:r>
    </w:p>
    <w:p>
      <w:pPr>
        <w:pStyle w:val="BookText"/>
        <w:rPr/>
      </w:pPr>
      <w:r>
        <w:rPr>
          <w:rFonts w:ascii="Amiri" w:hAnsi="Amiri" w:eastAsia="Amiri" w:cs="Amiri"/>
          <w:color w:val="111111"/>
          <w:sz w:val="28"/>
          <w:sz w:val="28"/>
          <w:szCs w:val="28"/>
          <w:rtl w:val="true"/>
          <w:lang w:bidi="ar-SA"/>
        </w:rPr>
        <w:t>الغَداةَ لطلوعِ الفَجرِ</w:t>
      </w:r>
      <w:r>
        <w:rPr>
          <w:rStyle w:val="FootnoteAnchor"/>
          <w:rtl w:val="true"/>
        </w:rPr>
        <w:footnoteReference w:id="2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لأجلِ طلوعِه و عندَ طلوعِه،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w:t>
      </w:r>
      <w:r>
        <w:rPr>
          <w:rStyle w:val="FootnoteAnchor"/>
          <w:rtl w:val="true"/>
        </w:rPr>
        <w:footnoteReference w:id="2913"/>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نَعودُ إلَى الكلامِ علىٰ ما ذَكَره صاحبُ الكتابِ</w:t>
      </w:r>
      <w:r>
        <w:rPr>
          <w:rFonts w:eastAsia="Amiri" w:cs="Amiri" w:ascii="Amiri" w:hAnsi="Amiri"/>
          <w:color w:val="111111"/>
          <w:sz w:val="28"/>
          <w:szCs w:val="28"/>
          <w:rtl w:val="true"/>
          <w:lang w:bidi="ar-SA"/>
        </w:rPr>
        <w:t>.</w:t>
      </w:r>
      <w:r>
        <w:rPr>
          <w:rStyle w:val="FootnoteAnchor"/>
          <w:rtl w:val="true"/>
        </w:rPr>
        <w:footnoteReference w:id="2914"/>
      </w:r>
      <w:bookmarkStart w:id="1118" w:name="pg16437_172841"/>
    </w:p>
    <w:p>
      <w:pPr>
        <w:pStyle w:val="Heading5"/>
        <w:numPr>
          <w:ilvl w:val="4"/>
          <w:numId w:val="1"/>
        </w:numPr>
        <w:rPr/>
      </w:pPr>
      <w:bookmarkStart w:id="1119" w:name="__RefHeading___Toc8040271_1280447820"/>
      <w:bookmarkStart w:id="1120" w:name="_Toc410"/>
      <w:bookmarkEnd w:id="1118"/>
      <w:bookmarkEnd w:id="1119"/>
      <w:r>
        <w:rPr>
          <w:rtl w:val="true"/>
        </w:rPr>
        <w:t>الفصلُ الثاني مُناقشةُ أدلّةِ صاحبِ الكتابِ علىٰ القولِ بالعددِ</w:t>
      </w:r>
      <w:bookmarkEnd w:id="1120"/>
    </w:p>
    <w:p>
      <w:pPr>
        <w:pStyle w:val="Heading6"/>
        <w:numPr>
          <w:ilvl w:val="5"/>
          <w:numId w:val="1"/>
        </w:numPr>
        <w:rPr/>
      </w:pPr>
      <w:bookmarkStart w:id="1121" w:name="__RefHeading___Toc8040273_1280447820"/>
      <w:bookmarkStart w:id="1122" w:name="_Toc411"/>
      <w:bookmarkEnd w:id="1121"/>
      <w:r>
        <w:rPr>
          <w:rtl w:val="true"/>
        </w:rPr>
        <w:t>الدليل الأوّل</w:t>
      </w:r>
      <w:r>
        <w:rPr>
          <w:rtl w:val="true"/>
        </w:rPr>
        <w:t xml:space="preserve">: </w:t>
      </w:r>
      <w:r>
        <w:rPr>
          <w:rtl w:val="true"/>
        </w:rPr>
        <w:t>دليل من القرآن</w:t>
      </w:r>
      <w:bookmarkEnd w:id="1122"/>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Style w:val="FootnoteAnchor"/>
          <w:rtl w:val="true"/>
        </w:rPr>
        <w:footnoteReference w:id="2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ي، ل، 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فالمحفوظ</w:t>
      </w:r>
      <w:r>
        <w:rPr>
          <w:rFonts w:eastAsia="Amiri" w:cs="Amiri" w:ascii="Amiri" w:hAnsi="Amiri"/>
          <w:color w:val="111111"/>
          <w:sz w:val="28"/>
          <w:szCs w:val="28"/>
          <w:rtl w:val="true"/>
          <w:lang w:bidi="ar-SA"/>
        </w:rPr>
        <w:t>».</w:t>
      </w:r>
      <w:r>
        <w:rPr>
          <w:rStyle w:val="FootnoteAnchor"/>
          <w:rtl w:val="true"/>
        </w:rPr>
        <w:footnoteReference w:id="2916"/>
      </w:r>
      <w:r>
        <w:rPr>
          <w:rFonts w:ascii="Amiri" w:hAnsi="Amiri" w:eastAsia="Amiri" w:cs="Amiri"/>
          <w:color w:val="111111"/>
          <w:sz w:val="28"/>
          <w:sz w:val="28"/>
          <w:szCs w:val="28"/>
          <w:rtl w:val="true"/>
          <w:lang w:bidi="ar-SA"/>
        </w:rPr>
        <w:t>فأخبَرَ بأنّ الصومَ المكتوبَ علينا نَظيرُ الصومِ المكتوبِ علىٰ مَنْ قَبلَنا، و قد عُلِمَ أنّه عَنىٰ بذلكَ أهلَ الكتابِ، و أنّهم لَم يُكلَّفوا في مَعرفةِ ما كُتِبَ عليهم مِن الصيامِ إلّا العَدَدَ و الحِسابَ، و قد بَيَّنَ اللّٰهُ تَعالىٰ ذلكَ بقَولِه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نَصٌّ مِن الكتابِ في مَوضِعِ الخِلافِ، يَشهَدُ بأنّ فَرضَ الصيامِ المكتوبِ علينا أيّامٌ معدودةٌ، حَسَبَ ما اقتَضاه التشبيهُ بَينَ الصومَينِ، و ما فَسَّرَه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وَجَبَ ذلكَ، فالمعدودُ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العباداتِ محفوظٌ بعَدَدِه، محروسٌ بمعرفةِ كمّيّتِه، لا يَجوزُ عليه تغييرٌ</w:t>
      </w:r>
      <w:r>
        <w:rPr>
          <w:rStyle w:val="FootnoteAnchor"/>
          <w:rtl w:val="true"/>
        </w:rPr>
        <w:footnoteReference w:id="2917"/>
      </w:r>
      <w:r>
        <w:rPr>
          <w:rFonts w:ascii="Amiri" w:hAnsi="Amiri" w:eastAsia="Amiri" w:cs="Amiri"/>
          <w:color w:val="111111"/>
          <w:sz w:val="28"/>
          <w:sz w:val="28"/>
          <w:szCs w:val="28"/>
          <w:rtl w:val="true"/>
          <w:lang w:bidi="ar-SA"/>
        </w:rPr>
        <w:t>ما دامَ فَرضُه لازماً علىٰ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هو الذي نَذهَبُ إليه في شهرِ رمضانَ مِن أنّ نيّةَ‌</w:t>
      </w:r>
      <w:r>
        <w:rPr>
          <w:rStyle w:val="FootnoteAnchor"/>
          <w:rtl w:val="true"/>
        </w:rPr>
        <w:footnoteReference w:id="2918"/>
      </w:r>
      <w:r>
        <w:rPr>
          <w:rFonts w:ascii="Amiri" w:hAnsi="Amiri" w:eastAsia="Amiri" w:cs="Amiri"/>
          <w:color w:val="111111"/>
          <w:sz w:val="28"/>
          <w:sz w:val="28"/>
          <w:szCs w:val="28"/>
          <w:rtl w:val="true"/>
          <w:lang w:bidi="ar-SA"/>
        </w:rPr>
        <w:t>مَعرفتِه بالعَدَدِ و الحِسابِ، و أنّه محصورٌ بعَدَدٍ سالِمٍ مِن الزيادةِ و النقصانِ، و لَولا ذلكَ لَم يَكُن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أبعَدَ عن الصوابِ و مَوقِعِ الحُجّةِ مِن هذا الاستدلالِ؛ لأنّ اللّٰهَ تَعالىٰ إنّما جَمَعَ بَينَ ما كَتَبَه علينا مِن الصيامِ و بَينَ ما كَتَبَه على مَنْ كانَ قَبلَنا، و شَبَّهَ أحَدَهما بصاحبِه في صفةٍ واحدةٍ، و هي أنّ هذا مفروضٌ مكتوبٌ، كما أنّ ذاكَ مفروضٌ مكتوبٌ؛ فجَمَعَ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الإيجابِ و الإلزامِ، و لَم يَجمَعْ بَينَهما في كُلِّ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العَدَدَ فيما فُرِضَ علينا مِن الصيامِ و فيما فُرِضَ علَى اليهودِ و النصارىٰ مُختَلِفٌ غيرُ مُتَّفِقٍ؟ فكَيفَ يُدَّعىٰ أنّ الصفاتِ و الأحكامَ واحدةٌ؟</w:t>
      </w:r>
    </w:p>
    <w:p>
      <w:pPr>
        <w:pStyle w:val="BookText"/>
        <w:rPr/>
      </w:pPr>
      <w:r>
        <w:rPr>
          <w:rFonts w:ascii="Amiri" w:hAnsi="Amiri" w:eastAsia="Amiri" w:cs="Amiri"/>
          <w:color w:val="111111"/>
          <w:sz w:val="28"/>
          <w:sz w:val="28"/>
          <w:szCs w:val="28"/>
          <w:rtl w:val="true"/>
          <w:lang w:bidi="ar-SA"/>
        </w:rPr>
        <w:t xml:space="preserve">علىٰ أنّا لَو سَلَّمنا أنّ الآيةَ تَقتَضي التشبيهَ بَينَ الصومَينِ في كُلِّ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لهُم في الآيةِ حُجّةٌ؛ لأنّا لا نَعلَمُ‌</w:t>
      </w:r>
      <w:r>
        <w:rPr>
          <w:rStyle w:val="FootnoteAnchor"/>
          <w:rtl w:val="true"/>
        </w:rPr>
        <w:footnoteReference w:id="2919"/>
      </w:r>
      <w:r>
        <w:rPr>
          <w:rFonts w:ascii="Amiri" w:hAnsi="Amiri" w:eastAsia="Amiri" w:cs="Amiri"/>
          <w:color w:val="111111"/>
          <w:sz w:val="28"/>
          <w:sz w:val="28"/>
          <w:szCs w:val="28"/>
          <w:rtl w:val="true"/>
          <w:lang w:bidi="ar-SA"/>
        </w:rPr>
        <w:t>أنّ فَرضَ اليهودِ و النصارىٰ في صَومِهم العَدَدُ دونَ الرؤيةِ، و اليهودُ يَختَلِفونَ في طريقِهم إلىٰ معرفةِ الشهورِ؛ فمنهم مَن يَذهَبُ إلىٰ أنّ الطريقَ هو الرؤيةُ، و آخَرونَ يَذهَبونَ إلَى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يَثبُتْ أنّ أهلَ الكتابِ كُلِّفوا في حِسابِ الشهورِ العَدَدَ دونَ الرؤيةِ، سَقَطَ ما بَنَوا الكلامَ عليه و تَلاشىٰ‌</w:t>
      </w:r>
      <w:r>
        <w:rPr>
          <w:rStyle w:val="FootnoteAnchor"/>
          <w:rtl w:val="true"/>
        </w:rPr>
        <w:footnoteReference w:id="2920"/>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يُرِدْ به أنّ الطريقَ إلىٰ إثباتِ هذا الصيامِ </w:t>
      </w:r>
    </w:p>
    <w:p>
      <w:pPr>
        <w:pStyle w:val="BookText"/>
        <w:rPr/>
      </w:pPr>
      <w:r>
        <w:rPr>
          <w:rFonts w:ascii="Amiri" w:hAnsi="Amiri" w:eastAsia="Amiri" w:cs="Amiri"/>
          <w:color w:val="111111"/>
          <w:sz w:val="28"/>
          <w:sz w:val="28"/>
          <w:szCs w:val="28"/>
          <w:rtl w:val="true"/>
          <w:lang w:bidi="ar-SA"/>
        </w:rPr>
        <w:t>و تعيينِه هو العَدَدُ دونَ الرؤيةِ،</w:t>
      </w:r>
      <w:r>
        <w:rPr>
          <w:rStyle w:val="FootnoteAnchor"/>
          <w:rtl w:val="true"/>
        </w:rPr>
        <w:footnoteReference w:id="2921"/>
      </w:r>
      <w:r>
        <w:rPr>
          <w:rFonts w:ascii="Amiri" w:hAnsi="Amiri" w:eastAsia="Amiri" w:cs="Amiri"/>
          <w:color w:val="111111"/>
          <w:sz w:val="28"/>
          <w:sz w:val="28"/>
          <w:szCs w:val="28"/>
          <w:rtl w:val="true"/>
          <w:lang w:bidi="ar-SA"/>
        </w:rPr>
        <w:t>و إنّما أرادَ تَعالىٰ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محصوراتٍ مضبوطاتٍ، كما يَقولُ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أعطيتُه مالاً معدوداً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أنّه محصورٌ مضبوطٌ متعيِّنٌ، و قد يَنحصرُ الشيءُ و يَنضبطُ بالعَدَدِ و بغَيرِه، فهذا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قَلائلُ،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 بِثَمَنٍ بَخْسٍ دَرٰاهِمَ مَعْدُودَةٍ</w:t>
      </w:r>
      <w:r>
        <w:rPr>
          <w:rFonts w:eastAsia="Amiri" w:cs="Amiri" w:ascii="Amiri" w:hAnsi="Amiri"/>
          <w:color w:val="111111"/>
          <w:sz w:val="28"/>
          <w:szCs w:val="28"/>
          <w:rtl w:val="true"/>
          <w:lang w:bidi="ar-SA"/>
        </w:rPr>
        <w:t xml:space="preserve">» </w:t>
      </w:r>
      <w:r>
        <w:rPr>
          <w:rStyle w:val="FootnoteAnchor"/>
          <w:rtl w:val="true"/>
        </w:rPr>
        <w:footnoteReference w:id="2922"/>
      </w:r>
      <w:r>
        <w:rPr>
          <w:rFonts w:ascii="Amiri" w:hAnsi="Amiri" w:eastAsia="Amiri" w:cs="Amiri"/>
          <w:color w:val="111111"/>
          <w:sz w:val="28"/>
          <w:sz w:val="28"/>
          <w:szCs w:val="28"/>
          <w:rtl w:val="true"/>
          <w:lang w:bidi="ar-SA"/>
        </w:rPr>
        <w:t>يُريدُ أنّها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w:t>
      </w:r>
      <w:r>
        <w:rPr>
          <w:rStyle w:val="FootnoteAnchor"/>
          <w:rtl w:val="true"/>
        </w:rPr>
        <w:footnoteReference w:id="2923"/>
      </w:r>
      <w:r>
        <w:rPr>
          <w:rFonts w:ascii="Amiri" w:hAnsi="Amiri" w:eastAsia="Amiri" w:cs="Amiri"/>
          <w:color w:val="111111"/>
          <w:sz w:val="28"/>
          <w:sz w:val="28"/>
          <w:szCs w:val="28"/>
          <w:rtl w:val="true"/>
          <w:lang w:bidi="ar-SA"/>
        </w:rPr>
        <w:t>التأويلانِ جميعاً يَسوغانِ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 xml:space="preserve">» </w:t>
      </w:r>
      <w:r>
        <w:rPr>
          <w:rStyle w:val="FootnoteAnchor"/>
          <w:rtl w:val="true"/>
        </w:rPr>
        <w:footnoteReference w:id="2924"/>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المعدودَ مِن العباداتِ محفوظٌ بعَدَدِه، محروسٌ بمَعرفةِ كمّيّتِه، لا يَجوزُ عليه تغييرٌ</w:t>
      </w:r>
      <w:r>
        <w:rPr>
          <w:rStyle w:val="FootnoteAnchor"/>
          <w:rtl w:val="true"/>
        </w:rPr>
        <w:footnoteReference w:id="2925"/>
      </w:r>
      <w:r>
        <w:rPr>
          <w:rFonts w:ascii="Amiri" w:hAnsi="Amiri" w:eastAsia="Amiri" w:cs="Amiri"/>
          <w:color w:val="111111"/>
          <w:sz w:val="28"/>
          <w:sz w:val="28"/>
          <w:szCs w:val="28"/>
          <w:rtl w:val="true"/>
          <w:lang w:bidi="ar-SA"/>
        </w:rPr>
        <w:t>ما دامَ فَرضُه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لكِنّه لا يؤثِّرُ في مَوضِعِ الخِلافِ في هذه المسألةِ؛ لأنّ العَدَدَ</w:t>
      </w:r>
      <w:r>
        <w:rPr>
          <w:rStyle w:val="FootnoteAnchor"/>
          <w:rtl w:val="true"/>
        </w:rPr>
        <w:footnoteReference w:id="2926"/>
      </w:r>
      <w:r>
        <w:rPr>
          <w:rFonts w:ascii="Amiri" w:hAnsi="Amiri" w:eastAsia="Amiri" w:cs="Amiri"/>
          <w:color w:val="111111"/>
          <w:sz w:val="28"/>
          <w:sz w:val="28"/>
          <w:szCs w:val="28"/>
          <w:rtl w:val="true"/>
          <w:lang w:bidi="ar-SA"/>
        </w:rPr>
        <w:t xml:space="preserve">إذا كانَ محفوظاً بالعَدَدِ مضبوطَ الكمّيّةِ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المعدودَ المضبوطَ إنّما عُرِفَ مقدارُه و ضُبِطَ عَدَدُه لا مِن طريقِ الرؤيةِ، بَل مِن الطريقِ الذي يَدَّعيهِ أهلُ العَدَدِ؛ فلَيسَ في كَونِه مضبوطاً معروفَ العَدَدِ ما يَدُلُّ علَى الطريقِ الذي به عَرَفنا عَدَدَه و حَصَرناه، و لَيسَ بمُنكَرٍ أن تَكونَ الرؤيةُ هي الطريقَ إلىٰ مَعرفةِ حَصرِه و عَدَدِه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مِن أينَ صِحّةُ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محصورٌ بعَدَدٍ سالِمٍ مِن الزيادةِ و 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تَكونُ تارةً ناقصةً و تارةً زائدةً، بحَسَبِ ما تَدُلُّ عليه الرؤيةُ؛ و إنّما تَدُلُّ علىٰ أحَدِ الأمرَينِ اللذَينِ ذَكَرناهما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معنَى القِلّةِ، أو معنَى الضبطِ و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كَونِها مضبوطاتٍ محصوراتٍ ما يَدُلُّ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تارةً زائدةً و تارةً ناقصةَ العَدَدِ</w:t>
      </w:r>
      <w:r>
        <w:rPr>
          <w:rStyle w:val="FootnoteAnchor"/>
          <w:rtl w:val="true"/>
        </w:rPr>
        <w:footnoteReference w:id="2927"/>
      </w:r>
      <w:r>
        <w:rPr>
          <w:rFonts w:ascii="Amiri" w:hAnsi="Amiri" w:eastAsia="Amiri" w:cs="Amiri"/>
          <w:color w:val="111111"/>
          <w:sz w:val="28"/>
          <w:sz w:val="28"/>
          <w:szCs w:val="28"/>
          <w:rtl w:val="true"/>
          <w:lang w:bidi="ar-SA"/>
        </w:rPr>
        <w:t>بحَسَبِ الرؤيةِ و طلوعِ الأهِلّةِ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انتصابُ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الظرفِ،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في أيّامٍ معدوداتٍ؛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علَيَّ الصيامَ أيّامَ حَياتي، و خُروجُ زَيدٍ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يُعدَّى الصيامُ،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أن تَصوموا أيّاماً معدوداتٍ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تفسيراً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مردوداً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w:t>
      </w:r>
      <w:r>
        <w:rPr>
          <w:rStyle w:val="FootnoteAnchor"/>
          <w:rtl w:val="true"/>
        </w:rPr>
        <w:footnoteReference w:id="2928"/>
      </w:r>
      <w:r>
        <w:rPr>
          <w:rFonts w:ascii="Amiri" w:hAnsi="Amiri" w:eastAsia="Amiri" w:cs="Amiri"/>
          <w:color w:val="111111"/>
          <w:sz w:val="28"/>
          <w:sz w:val="28"/>
          <w:szCs w:val="28"/>
          <w:rtl w:val="true"/>
          <w:lang w:bidi="ar-SA"/>
        </w:rPr>
        <w:t>كتابةً كَما كُتِبَ علَى الذينَ مِن قَبلِكم، و فَسَّرَ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المكتوبُ علىٰ غيرِكم أيّاماً معدوداتٍ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أيضاً أن يَكونَ تفسيراً و تمييزاً للصومِ؛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و يَجوزُ أن تَتَناوَلَ‌</w:t>
      </w:r>
      <w:r>
        <w:rPr>
          <w:rStyle w:val="FootnoteAnchor"/>
          <w:rtl w:val="true"/>
        </w:rPr>
        <w:footnoteReference w:id="2929"/>
      </w:r>
      <w:r>
        <w:rPr>
          <w:rFonts w:ascii="Amiri" w:hAnsi="Amiri" w:eastAsia="Amiri" w:cs="Amiri"/>
          <w:color w:val="111111"/>
          <w:sz w:val="28"/>
          <w:sz w:val="28"/>
          <w:szCs w:val="28"/>
          <w:rtl w:val="true"/>
          <w:lang w:bidi="ar-SA"/>
        </w:rPr>
        <w:t>الأيّامَ و اللياليَ و الشهورَ، فيُميَّزُ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يُبَيَّنُ أنّ هذا الصومَ واقعٌ في أيّامٍ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مفعولُ ما لَم يُسَمَّ فاعلُه،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زَيداً المالُ</w:t>
      </w:r>
      <w:r>
        <w:rPr>
          <w:rFonts w:eastAsia="Amiri" w:cs="Amiri" w:ascii="Amiri" w:hAnsi="Amiri"/>
          <w:color w:val="111111"/>
          <w:sz w:val="28"/>
          <w:szCs w:val="28"/>
          <w:rtl w:val="true"/>
          <w:lang w:bidi="ar-SA"/>
        </w:rPr>
        <w:t xml:space="preserve">. </w:t>
      </w:r>
      <w:bookmarkStart w:id="1123" w:name="pg16437_172845"/>
    </w:p>
    <w:p>
      <w:pPr>
        <w:pStyle w:val="BookText"/>
        <w:rPr/>
      </w:pPr>
      <w:bookmarkEnd w:id="1123"/>
      <w:r>
        <w:rPr>
          <w:rFonts w:ascii="Amiri" w:hAnsi="Amiri" w:eastAsia="Amiri" w:cs="Amiri"/>
          <w:color w:val="111111"/>
          <w:sz w:val="28"/>
          <w:sz w:val="28"/>
          <w:szCs w:val="28"/>
          <w:rtl w:val="true"/>
          <w:lang w:bidi="ar-SA"/>
        </w:rPr>
        <w:t>و خالَفَه الزجّاجُ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يُشْبِهُ ما مَثَّلَ به؛ لأنّه لا 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عليكم الصيامَ أيّامٌ؛ كَما يَجوزُ رَفعُ المالِ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زَيداً المالُ، فالأيّامُ لا تَكونُ إلّامنصوبةً علىٰ كُلِّ حالٍ</w:t>
      </w:r>
      <w:r>
        <w:rPr>
          <w:rFonts w:eastAsia="Amiri" w:cs="Amiri" w:ascii="Amiri" w:hAnsi="Amiri"/>
          <w:color w:val="111111"/>
          <w:sz w:val="28"/>
          <w:szCs w:val="28"/>
          <w:rtl w:val="true"/>
          <w:lang w:bidi="ar-SA"/>
        </w:rPr>
        <w:t>.</w:t>
      </w:r>
      <w:r>
        <w:rPr>
          <w:rStyle w:val="FootnoteAnchor"/>
          <w:rtl w:val="true"/>
        </w:rPr>
        <w:footnoteReference w:id="2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النسخ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w:t>
      </w:r>
      <w:r>
        <w:rPr>
          <w:rStyle w:val="FootnoteAnchor"/>
          <w:rtl w:val="true"/>
        </w:rPr>
        <w:footnoteReference w:id="2931"/>
      </w:r>
    </w:p>
    <w:p>
      <w:pPr>
        <w:pStyle w:val="BookText"/>
        <w:rPr/>
      </w:pPr>
      <w:r>
        <w:rPr>
          <w:rFonts w:ascii="Amiri" w:hAnsi="Amiri" w:eastAsia="Amiri" w:cs="Amiri"/>
          <w:color w:val="111111"/>
          <w:sz w:val="28"/>
          <w:sz w:val="28"/>
          <w:szCs w:val="28"/>
          <w:rtl w:val="true"/>
          <w:lang w:bidi="ar-SA"/>
        </w:rPr>
        <w:t>و ممّا يُمكِنُ أن يُقالَ هاهُنا في هذا البابِ ممّا لم نُسْبَقْ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تَتَّقونَ أيّاماً معدوداتٍ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تَحذَرونَها و تَخافونَ شَرَّها، و هذه الأيّامُ أيّامُ المُحاسَبةِ، و المُواقَفةِ‌</w:t>
      </w:r>
      <w:r>
        <w:rPr>
          <w:rStyle w:val="FootnoteAnchor"/>
          <w:rtl w:val="true"/>
        </w:rPr>
        <w:footnoteReference w:id="2932"/>
      </w:r>
      <w:r>
        <w:rPr>
          <w:rFonts w:ascii="Amiri" w:hAnsi="Amiri" w:eastAsia="Amiri" w:cs="Amiri"/>
          <w:color w:val="111111"/>
          <w:sz w:val="28"/>
          <w:sz w:val="28"/>
          <w:szCs w:val="28"/>
          <w:rtl w:val="true"/>
          <w:lang w:bidi="ar-SA"/>
        </w:rPr>
        <w:t>، و المُساءَلةِ، و دخولِ النارِ، و ما أشبَهَ ذلكَ مِن الأيّامِ المحذورةِ المرهوبةِ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الصومَ إنّما كُتِبَ عليكم لتَحذَروا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تَخافوها، و تَتجَنَّبوا القَبائحَ و تَفعَلوا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صاحبُ الكتابِ عنّا ما لا نَقولُه و لا نَعتَمِدُه و لا نُسألُ عن مِثلِه،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عَدَدُها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تَشاغَلَ بنَقضِ ذلكَ و إبطالِه، و إذا كُنّا لا نَعتَمِدُ ذلكَ و لا نَحتَجُّ به فقَد تَشاغَلَ بما لا طائلَ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نَقولُه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الوجهَينِ ما ذَكَرناه فيما تَقدَّمَ و بيّنّاه، فلا معنىٰ للتشاغُلِ بغَيرِه</w:t>
      </w:r>
      <w:r>
        <w:rPr>
          <w:rFonts w:eastAsia="Amiri" w:cs="Amiri" w:ascii="Amiri" w:hAnsi="Amiri"/>
          <w:color w:val="111111"/>
          <w:sz w:val="28"/>
          <w:szCs w:val="28"/>
          <w:rtl w:val="true"/>
          <w:lang w:bidi="ar-SA"/>
        </w:rPr>
        <w:t>.</w:t>
      </w:r>
    </w:p>
    <w:p>
      <w:pPr>
        <w:pStyle w:val="Heading6"/>
        <w:numPr>
          <w:ilvl w:val="5"/>
          <w:numId w:val="1"/>
        </w:numPr>
        <w:rPr/>
      </w:pPr>
      <w:bookmarkStart w:id="1124" w:name="__RefHeading___Toc8040275_1280447820"/>
      <w:bookmarkStart w:id="1125" w:name="_Toc412"/>
      <w:bookmarkEnd w:id="1124"/>
      <w:r>
        <w:rPr>
          <w:rtl w:val="true"/>
        </w:rPr>
        <w:t>الدليل الثاني</w:t>
      </w:r>
      <w:r>
        <w:rPr>
          <w:rtl w:val="true"/>
        </w:rPr>
        <w:t xml:space="preserve">: </w:t>
      </w:r>
      <w:r>
        <w:rPr>
          <w:rtl w:val="true"/>
        </w:rPr>
        <w:t>دليل آخر من القرآن</w:t>
      </w:r>
      <w:bookmarkEnd w:id="1125"/>
    </w:p>
    <w:p>
      <w:pPr>
        <w:pStyle w:val="Heading6"/>
        <w:numPr>
          <w:ilvl w:val="5"/>
          <w:numId w:val="1"/>
        </w:numPr>
        <w:rPr/>
      </w:pPr>
      <w:bookmarkStart w:id="1126" w:name="__RefHeading___Toc8040277_1280447820"/>
      <w:bookmarkStart w:id="1127" w:name="_Toc413"/>
      <w:bookmarkEnd w:id="1126"/>
      <w:r>
        <w:rPr>
          <w:rtl w:val="true"/>
        </w:rPr>
        <w:t>اشارة</w:t>
      </w:r>
      <w:bookmarkEnd w:id="1127"/>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آخَرُ مِن القُرآنِ،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bookmarkStart w:id="1128" w:name="pg16437_172846"/>
    </w:p>
    <w:p>
      <w:pPr>
        <w:pStyle w:val="BookText"/>
        <w:rPr/>
      </w:pPr>
      <w:bookmarkEnd w:id="1128"/>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لِتُكْمِلُوا اَلْعِدَّةَ وَ لِتُكَبِّرُوا اَللّٰهَ عَلىٰ مٰا هَدٰاكُمْ وَ لَعَلَّكُمْ تَشْكُرُونَ</w:t>
      </w:r>
      <w:r>
        <w:rPr>
          <w:rFonts w:eastAsia="Amiri" w:cs="Amiri" w:ascii="Amiri" w:hAnsi="Amiri"/>
          <w:color w:val="111111"/>
          <w:sz w:val="28"/>
          <w:szCs w:val="28"/>
          <w:rtl w:val="true"/>
          <w:lang w:bidi="ar-SA"/>
        </w:rPr>
        <w:t>» .</w:t>
      </w:r>
      <w:r>
        <w:rPr>
          <w:rStyle w:val="FootnoteAnchor"/>
          <w:rtl w:val="true"/>
        </w:rPr>
        <w:footnoteReference w:id="2933"/>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تَعْتَريها</w:t>
      </w:r>
      <w:r>
        <w:rPr>
          <w:rFonts w:eastAsia="Amiri" w:cs="Amiri" w:ascii="Amiri" w:hAnsi="Amiri"/>
          <w:color w:val="111111"/>
          <w:sz w:val="28"/>
          <w:szCs w:val="28"/>
          <w:rtl w:val="true"/>
          <w:lang w:bidi="ar-SA"/>
        </w:rPr>
        <w:t>».</w:t>
      </w:r>
      <w:r>
        <w:rPr>
          <w:rStyle w:val="FootnoteAnchor"/>
          <w:rtl w:val="true"/>
        </w:rPr>
        <w:footnoteReference w:id="2934"/>
      </w:r>
      <w:r>
        <w:rPr>
          <w:rFonts w:ascii="Amiri" w:hAnsi="Amiri" w:eastAsia="Amiri" w:cs="Amiri"/>
          <w:color w:val="111111"/>
          <w:sz w:val="28"/>
          <w:sz w:val="28"/>
          <w:szCs w:val="28"/>
          <w:rtl w:val="true"/>
          <w:lang w:bidi="ar-SA"/>
        </w:rPr>
        <w:t>فأبانَ تَعالىٰ في هذه الآيةِ أنّ شَهرَ رمضانَ عِدّةٌ يَجِبُ صيامُها علىٰ شَرطِ الكمالِ، و هذا قولُنا في شَهرِ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كاملٌ تامٌّ سالِمٌ مِن الاختلافِ، و إنّ أيّامَه عِدّةٌ محصورةٌ لا تَعتَرِضُها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و 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كَما يَذهَبُ إليه أصحابُ الرؤيةِ؛ إذ كانوا يُجيزونَ نُقصانَه عن ثَلاثينَ، و عدمَ استحقاقِه لصِفةِ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ظَنَنتَ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ثَلاثينَ يَوماً مِن غيرِ نُقصانٍ عنها؟</w:t>
      </w:r>
    </w:p>
    <w:p>
      <w:pPr>
        <w:pStyle w:val="BookText"/>
        <w:rPr/>
      </w:pPr>
      <w:r>
        <w:rPr>
          <w:rFonts w:ascii="Amiri" w:hAnsi="Amiri" w:eastAsia="Amiri" w:cs="Amiri"/>
          <w:color w:val="111111"/>
          <w:sz w:val="28"/>
          <w:sz w:val="28"/>
          <w:szCs w:val="28"/>
          <w:rtl w:val="true"/>
          <w:lang w:bidi="ar-SA"/>
        </w:rPr>
        <w:t>و ما أنكَرتَ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العِدّةَ التي وَجَبَ عليكم صيامُها مِن الأيّامِ علَى التمامِ و الكمالِ؟ و قد يَجوزُ أن تَكونَ هذه العِدّةُ تارةً ثَلاثينَ، و تارةً تِسعةً و عِشرينَ يوماً؛ و مَن رأَى الهِلالَ، فقَد أكمَلَ العِدّةَ التي وَجَبَ عليه صيامُها، و ما نَقَصَ عنها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مَن نَذَرَ أن يَصومَ تِسعةً و عِشرينَ يَوماً مِن شَهرٍ ثُمّ صامَها،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أكمَلَ العِدّةَ التي وَجَبَت عليه و تَمَّمَها و استَوفاها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يَصُمْ شَهراً عَدَدُه ثَلاثونَ يَوماً؟</w:t>
      </w:r>
    </w:p>
    <w:p>
      <w:pPr>
        <w:pStyle w:val="Heading6"/>
        <w:numPr>
          <w:ilvl w:val="5"/>
          <w:numId w:val="1"/>
        </w:numPr>
        <w:rPr/>
      </w:pPr>
      <w:bookmarkStart w:id="1129" w:name="__RefHeading___Toc8040279_1280447820"/>
      <w:bookmarkStart w:id="1130" w:name="_Toc414"/>
      <w:bookmarkEnd w:id="1129"/>
      <w:r>
        <w:rPr>
          <w:rtl w:val="true"/>
        </w:rPr>
        <w:t>معنىٰ نقصان الشهر و كماله</w:t>
      </w:r>
      <w:bookmarkEnd w:id="1130"/>
    </w:p>
    <w:p>
      <w:pPr>
        <w:pStyle w:val="BookText"/>
        <w:rPr/>
      </w:pPr>
      <w:r>
        <w:rPr>
          <w:rFonts w:ascii="Amiri" w:hAnsi="Amiri" w:eastAsia="Amiri" w:cs="Amiri"/>
          <w:color w:val="111111"/>
          <w:sz w:val="28"/>
          <w:sz w:val="28"/>
          <w:szCs w:val="28"/>
          <w:rtl w:val="true"/>
          <w:lang w:bidi="ar-SA"/>
        </w:rPr>
        <w:t>ثُمّ قالَ صاحبُ الكتابِ</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عارَضَ بعضُهم في هذا الاستدلالِ،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 و إن نَقَصَ عَدَدُ أيّامِه عن ثَلاثينَ يَوماً، فإنّه يَستَحِقُّ مِن صفةِ الكمالِ ما يَستَحِقُّه إذا كانَ </w:t>
      </w:r>
    </w:p>
    <w:p>
      <w:pPr>
        <w:pStyle w:val="BookText"/>
        <w:rPr/>
      </w:pPr>
      <w:r>
        <w:rPr>
          <w:rFonts w:ascii="Amiri" w:hAnsi="Amiri" w:eastAsia="Amiri" w:cs="Amiri"/>
          <w:color w:val="111111"/>
          <w:sz w:val="28"/>
          <w:sz w:val="28"/>
          <w:szCs w:val="28"/>
          <w:rtl w:val="true"/>
          <w:lang w:bidi="ar-SA"/>
        </w:rPr>
        <w:t>ثَلاثينَ، و إنّ كُلَّ واحدٍ مِن الشهرَينِ المُختَلِفَينِ في العَدَدِ كاملٌ تامٌّ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غيرُ صَحيحٍ؛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الإضافاتِ، و هُما كالكبيرِ و الصغيرِ، و الكثيرِ و القليلِ؛ فكَما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إلّالوجودِ صَغيرٍ،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إلّالحصولِ قَليلٍ، فكذلكَ لا يُقالُ لشَهرٍ مِن الشهورِ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إلّابَعدَ ثُبوتِ شَهرٍ ناقصٍ؛ فلَو استَحالَ تَسميةُ شَهرٍ بالنقصانِ، لَاستَحالَ لذلكَ تَسميةُ شَهرٍ آخَرَ بالتمامِ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يَدُلُّ المُنْصِفَ علىٰ فَسادِ مُعارَضةِ الخُصومِ، و وجودِ كاملٍ و ناقصٍ في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نُنكِرُ أن يَكونَ في الشهورِ ما هو ناقصٌ و منها ما هو كاملٌ؛ لكِنَّ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يُرادَ به النقصانُ في العَدَدِ، و يَحتَمِلُ أن يُرادَ به النقصانُ في الحُكمِ و أداءِ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سَأَلَنا سائلٌ عن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عَدَدُه ثَلاثونَ يَوماً، و الآخَرُ عَدَدُه تِسعةٌ و عِشرونَ يَوماً،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أنّ الشهرَ الذي عَدَدُه تِسعةٌ و عِشرونَ يَوماً أنقَصُ مِن الذي عَدَدُه ثَلاثونَ يَوماً؟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فجوابُنا 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بالنقصانِ‌</w:t>
      </w:r>
      <w:r>
        <w:rPr>
          <w:rStyle w:val="FootnoteAnchor"/>
          <w:rtl w:val="true"/>
        </w:rPr>
        <w:footnoteReference w:id="2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العَدَدِ، فالقليلُ الأيّامِ ناقصٌ عن الذي زادَ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النقصانَ في الحُكمِ و أداءِ الفَرضِ، فلا نَقولُ ذلكَ؛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أدّىٰ ما عليه في الشهرِ القليلِ العَدَدِ، و صامَه كَمَلاً إلىٰ </w:t>
      </w:r>
      <w:bookmarkStart w:id="1131" w:name="pg16437_172848"/>
    </w:p>
    <w:p>
      <w:pPr>
        <w:pStyle w:val="BookText"/>
        <w:rPr/>
      </w:pPr>
      <w:bookmarkEnd w:id="1131"/>
      <w:r>
        <w:rPr>
          <w:rFonts w:ascii="Amiri" w:hAnsi="Amiri" w:eastAsia="Amiri" w:cs="Amiri"/>
          <w:color w:val="111111"/>
          <w:sz w:val="28"/>
          <w:sz w:val="28"/>
          <w:szCs w:val="28"/>
          <w:rtl w:val="true"/>
          <w:lang w:bidi="ar-SA"/>
        </w:rPr>
        <w:t>آخِرِه، فقَد كَمَّلَ العِدّةَ التي وَجَبَت عليه،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صَومَه كاملٌ تامٌّ لا نُقصانَ فيه، و إن كانَ عَدَدُ أيّامِه أقَلَّ مِن عَدَدِ أيّامِ الشهرِ الآخَرِ؛ فلَم نُنكِرْ كَما ظَنَنتَ أن يَكونَ شَهرٌ ناقصاً و شَهرٌ تامّاً، حتّىٰ نَحتاجَ إلىٰ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مِن ألفاظِ 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فَصَّلنا ذلكَ و قَسَّمناه و وَضَعناه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الكتابِ مِن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استَجَزتم القولَ بأنّ سائرَ الشهورِ كاملةٌ، مع إقرارِكم بأنّ فيها ما عَدَدُ أيّامِه ثَلاثونَ يَوماً، و فيها ما هو تِسعةٌ و عِشرونَ يَوماً، و لَيسَ في العَرَبِ أحَدٌ إذا سُئلَ عن الكاملِ مِن هذه الشهورِ، التَبَسَ عليه أنّه الذي عَدَدُه ثَلاثونَ؟</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قد بانَ جوابُه في كلامِنا الماضي، و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نُنكِرُ أنّ الشهرَ الذي عَدَدُ أيّامِه تِسعةٌ و عِشرونَ يَوماً أنقَصُ عَدَداً مِن الذي عَدَدُه ثَلاثونَ يَوماً، و أنّ الذي عَدَدُه ثَلاثونَ 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هو تِسعةٌ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أنكَرنا أن يَكونَ أحَدُهما أكمَلَ مِن صاحبِه و أنقَصَ منه في بابِ الحُكمِ و أداءِ الفَرضِ؛ لأنّهما علَى الوجهِ الذي يُطابِقُ الأمرَ و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يَشتَبِهُ علَى المُحصِّلينَ</w:t>
      </w:r>
      <w:r>
        <w:rPr>
          <w:rFonts w:eastAsia="Amiri" w:cs="Amiri" w:ascii="Amiri" w:hAnsi="Amiri"/>
          <w:color w:val="111111"/>
          <w:sz w:val="28"/>
          <w:szCs w:val="28"/>
          <w:rtl w:val="true"/>
          <w:lang w:bidi="ar-SA"/>
        </w:rPr>
        <w:t>.</w:t>
      </w:r>
    </w:p>
    <w:p>
      <w:pPr>
        <w:pStyle w:val="Heading6"/>
        <w:numPr>
          <w:ilvl w:val="5"/>
          <w:numId w:val="1"/>
        </w:numPr>
        <w:rPr/>
      </w:pPr>
      <w:bookmarkStart w:id="1132" w:name="__RefHeading___Toc8040281_1280447820"/>
      <w:bookmarkStart w:id="1133" w:name="_Toc415"/>
      <w:bookmarkEnd w:id="1132"/>
      <w:r>
        <w:rPr>
          <w:rtl w:val="true"/>
        </w:rPr>
        <w:t>معنىٰ إكمال العِدّة</w:t>
      </w:r>
      <w:bookmarkEnd w:id="1133"/>
    </w:p>
    <w:p>
      <w:p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بعضُ‌</w:t>
      </w:r>
      <w:r>
        <w:rPr>
          <w:rStyle w:val="FootnoteAnchor"/>
          <w:rtl w:val="true"/>
        </w:rPr>
        <w:footnoteReference w:id="2936"/>
      </w:r>
      <w:r>
        <w:rPr>
          <w:rFonts w:ascii="Amiri" w:hAnsi="Amiri" w:eastAsia="Amiri" w:cs="Amiri"/>
          <w:color w:val="111111"/>
          <w:sz w:val="28"/>
          <w:sz w:val="28"/>
          <w:szCs w:val="28"/>
          <w:rtl w:val="true"/>
          <w:lang w:bidi="ar-SA"/>
        </w:rPr>
        <w:t>حُذّاقِهم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به </w:t>
      </w:r>
    </w:p>
    <w:p>
      <w:pPr>
        <w:pStyle w:val="BookText"/>
        <w:rPr/>
      </w:pPr>
      <w:r>
        <w:rPr>
          <w:rFonts w:ascii="Amiri" w:hAnsi="Amiri" w:eastAsia="Amiri" w:cs="Amiri"/>
          <w:color w:val="111111"/>
          <w:sz w:val="28"/>
          <w:sz w:val="28"/>
          <w:szCs w:val="28"/>
          <w:rtl w:val="true"/>
          <w:lang w:bidi="ar-SA"/>
        </w:rPr>
        <w:t>قَضاءَ الفائتِ علَى العليلِ و المُسافرِ؛ لأنّه ذَكَرَه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علىٰ ما ظَنَنتموه، لَكانَ قاضي ما فاتَه في عِلّةٍ أو سَفَرٍ مندوباً إلَى التكبيرِ عَقيبَ القضاءِ؛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 وَ لِتُكَبِّرُوا اَللّٰهَ عَلىٰ مٰا هَدٰاكُمْ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أجمَعَت الأُمّةُ علىٰ أنّه لا تكبيرَ عليه فَرضاً و لا سُنّةً، و إنّما هو مندوبٌ إليه عَقيبَ انقضاءِ شَهرِ رمضانَ ليلةَ الفِطرِ مِن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بما ذَكَرنا سُقوطُ هذه المُعارَضةِ، و صِحّةُ ما ذَهَبنا إليه في معنَى الآيةِ، و أنّ كمالَ العِدّةِ يُرادُ به نفسُ شَهرِ الصيامِ، و إيرادُه علَى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أمرَه تَعالىٰ بإكمالِ العِدّةِ لَيسَ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ثَلاثينَ علىٰ كُلِّ حالٍ؛ و إنّما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ما وَجَبَ عليكم صيامُه، و اقتَضَت الرؤيةُ‌</w:t>
      </w:r>
      <w:r>
        <w:rPr>
          <w:rStyle w:val="FootnoteAnchor"/>
          <w:rtl w:val="true"/>
        </w:rPr>
        <w:footnoteReference w:id="2937"/>
      </w:r>
      <w:r>
        <w:rPr>
          <w:rFonts w:ascii="Amiri" w:hAnsi="Amiri" w:eastAsia="Amiri" w:cs="Amiri"/>
          <w:color w:val="111111"/>
          <w:sz w:val="28"/>
          <w:sz w:val="28"/>
          <w:szCs w:val="28"/>
          <w:rtl w:val="true"/>
          <w:lang w:bidi="ar-SA"/>
        </w:rPr>
        <w:t>أو العَدَدُ الذي يَصيرُ</w:t>
      </w:r>
      <w:r>
        <w:rPr>
          <w:rStyle w:val="FootnoteAnchor"/>
          <w:rtl w:val="true"/>
        </w:rPr>
        <w:footnoteReference w:id="2938"/>
      </w:r>
      <w:r>
        <w:rPr>
          <w:rFonts w:ascii="Amiri" w:hAnsi="Amiri" w:eastAsia="Amiri" w:cs="Amiri"/>
          <w:color w:val="111111"/>
          <w:sz w:val="28"/>
          <w:sz w:val="28"/>
          <w:szCs w:val="28"/>
          <w:rtl w:val="true"/>
          <w:lang w:bidi="ar-SA"/>
        </w:rPr>
        <w:t>إليه بَعدَ الرؤيةِ، و أكمِلوا ذلكَ و استَوْفُوه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 تِسعةً و عِشرينَ يَوماً وَجَبَ عليه لموجَبِ الرؤيةِ، كمَن صامَ ثَلاثينَ يَوماً وَجَبَ عليه برؤيةٍ أو عَدَدٍ عندَ عدمِ الرؤيةِ؛ لأنّهما قد أكمَلا العِدّةَ و تَمَّماها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علىٰ ما ذَكَرناه، فلا حاجةَ بنا إلىٰ أن نَجعَلَ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بقَضاءِ الفائتِ علَى العليلِ و المُسافرِ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قالَ صاحبُ الكتابِ في جوابِ ما 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بعضَ حُذّاقِهم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134" w:name="pg16437_172850"/>
    </w:p>
    <w:p>
      <w:pPr>
        <w:pStyle w:val="BookText"/>
        <w:rPr/>
      </w:pPr>
      <w:bookmarkEnd w:id="1134"/>
      <w:r>
        <w:rPr>
          <w:rFonts w:ascii="Amiri" w:hAnsi="Amiri" w:eastAsia="Amiri" w:cs="Amiri"/>
          <w:color w:val="111111"/>
          <w:sz w:val="28"/>
          <w:sz w:val="28"/>
          <w:szCs w:val="28"/>
          <w:rtl w:val="true"/>
          <w:lang w:bidi="ar-SA"/>
        </w:rPr>
        <w:t>إكمالَ العِدّةِ إنّما أُمرَ به العليلُ و المسافرُ</w:t>
      </w:r>
      <w:r>
        <w:rPr>
          <w:rStyle w:val="FootnoteAnchor"/>
          <w:rtl w:val="true"/>
        </w:rPr>
        <w:footnoteReference w:id="29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تخصيصٌ للعمومِ بغَيرِ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أجوَدَ ممّا عَوَّلَ عليه؛ 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في قَضاءِ الفائتِ مِن شَهرِ رمضانَ و في استيفاءِ العَدَدِ و تكميلِه</w:t>
      </w:r>
      <w:r>
        <w:rPr>
          <w:rStyle w:val="FootnoteAnchor"/>
          <w:rtl w:val="true"/>
        </w:rPr>
        <w:footnoteReference w:id="2940"/>
      </w:r>
      <w:r>
        <w:rPr>
          <w:rFonts w:ascii="Amiri" w:hAnsi="Amiri" w:eastAsia="Amiri" w:cs="Amiri"/>
          <w:color w:val="111111"/>
          <w:sz w:val="28"/>
          <w:sz w:val="28"/>
          <w:szCs w:val="28"/>
          <w:rtl w:val="true"/>
          <w:lang w:bidi="ar-SA"/>
        </w:rPr>
        <w:t>و إذا صَرَفَه صارفٌ إلىٰ مَوضِعٍ دونَ آخَرَ، كانَ مُخصِّصاً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مندوبيّةَ‌</w:t>
      </w:r>
      <w:r>
        <w:rPr>
          <w:rStyle w:val="FootnoteAnchor"/>
          <w:rtl w:val="true"/>
        </w:rPr>
        <w:footnoteReference w:id="2941"/>
      </w:r>
      <w:r>
        <w:rPr>
          <w:rFonts w:ascii="Amiri" w:hAnsi="Amiri" w:eastAsia="Amiri" w:cs="Amiri"/>
          <w:color w:val="111111"/>
          <w:sz w:val="28"/>
          <w:sz w:val="28"/>
          <w:szCs w:val="28"/>
          <w:rtl w:val="true"/>
          <w:lang w:bidi="ar-SA"/>
        </w:rPr>
        <w:t>التكبيرِ إنّما هو عَقيبَ انقضاءِ شَهرِ رمضانَ ليلةَ الفِطرِ، ولَيسَ علىٰ قاضي ما فاتَه في عِلّةٍ أو سَفَرٍ تكبيرٌ، و لا هو مندوبٌ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فغَلَطٌ منه؛ لأنّ التكبيرَ و ذِكرَ اللّٰهِ تَعالىٰ و شُكرَه علىٰ نِعَمِه مندوبٌ إليه في كُلِّ وقتٍ و علىٰ كُلِّ حالٍ، و عَقيبَ كُلِّ أداءِ العبادةِ أو قَضائها، فكَيفَ يَدَّعي أنّه غيرُ مندوبٍ إليه إلّاعَقيبَ انقضاءِ شَهرِ رمضانَ؟</w:t>
      </w:r>
    </w:p>
    <w:p>
      <w:pPr>
        <w:pStyle w:val="Heading6"/>
        <w:numPr>
          <w:ilvl w:val="5"/>
          <w:numId w:val="1"/>
        </w:numPr>
        <w:rPr/>
      </w:pPr>
      <w:bookmarkStart w:id="1135" w:name="__RefHeading___Toc8040283_1280447820"/>
      <w:bookmarkStart w:id="1136" w:name="_Toc416"/>
      <w:bookmarkEnd w:id="1135"/>
      <w:r>
        <w:rPr>
          <w:rtl w:val="true"/>
        </w:rPr>
        <w:t>الدليل الثالث</w:t>
      </w:r>
      <w:r>
        <w:rPr>
          <w:rtl w:val="true"/>
        </w:rPr>
        <w:t xml:space="preserve">: </w:t>
      </w:r>
      <w:r>
        <w:rPr>
          <w:rtl w:val="true"/>
        </w:rPr>
        <w:t>دليل من جهة الأثر</w:t>
      </w:r>
      <w:bookmarkEnd w:id="1136"/>
    </w:p>
    <w:p>
      <w:pPr>
        <w:pStyle w:val="Heading6"/>
        <w:numPr>
          <w:ilvl w:val="5"/>
          <w:numId w:val="1"/>
        </w:numPr>
        <w:rPr/>
      </w:pPr>
      <w:bookmarkStart w:id="1137" w:name="__RefHeading___Toc8040285_1280447820"/>
      <w:bookmarkStart w:id="1138" w:name="_Toc417"/>
      <w:bookmarkEnd w:id="1137"/>
      <w:r>
        <w:rPr>
          <w:rtl w:val="true"/>
        </w:rPr>
        <w:t>اشارة</w:t>
      </w:r>
      <w:bookmarkEnd w:id="1138"/>
    </w:p>
    <w:p>
      <w:pPr>
        <w:pStyle w:val="BookText"/>
        <w:rPr/>
      </w:pPr>
      <w:r>
        <w:rPr>
          <w:rFonts w:ascii="Amiri" w:hAnsi="Amiri" w:eastAsia="Amiri" w:cs="Amiri"/>
          <w:color w:val="111111"/>
          <w:sz w:val="28"/>
          <w:sz w:val="28"/>
          <w:szCs w:val="28"/>
          <w:rtl w:val="true"/>
          <w:lang w:bidi="ar-SA"/>
        </w:rPr>
        <w:t>ثُمّ قالَ صاحبُ الكتابِ</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w:t>
      </w:r>
      <w:r>
        <w:rPr>
          <w:rStyle w:val="FootnoteAnchor"/>
          <w:rtl w:val="true"/>
        </w:rPr>
        <w:footnoteReference w:id="2942"/>
      </w:r>
      <w:r>
        <w:rPr>
          <w:rFonts w:ascii="Amiri" w:hAnsi="Amiri" w:eastAsia="Amiri" w:cs="Amiri"/>
          <w:color w:val="111111"/>
          <w:sz w:val="28"/>
          <w:sz w:val="28"/>
          <w:szCs w:val="28"/>
          <w:rtl w:val="true"/>
          <w:lang w:bidi="ar-SA"/>
        </w:rPr>
        <w:t>مِن جهةِ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رَوَى الشيخُ أبو جعفرٍ محمّدُ بن عليِّ بنِ بابَوَيهِ القُمّيّ رَحِمَه اللّٰهُ في رسالتِه إلىٰ حَمّادِ بنِ عليٍّ الفارِسيِّ في الردِّ علَى الجُنَيديّةِ‌</w:t>
      </w:r>
      <w:r>
        <w:rPr>
          <w:rStyle w:val="FootnoteAnchor"/>
          <w:rtl w:val="true"/>
        </w:rPr>
        <w:footnoteReference w:id="2943"/>
      </w:r>
      <w:r>
        <w:rPr>
          <w:rFonts w:ascii="Amiri" w:hAnsi="Amiri" w:eastAsia="Amiri" w:cs="Amiri"/>
          <w:color w:val="111111"/>
          <w:sz w:val="28"/>
          <w:sz w:val="28"/>
          <w:szCs w:val="28"/>
          <w:rtl w:val="true"/>
          <w:lang w:bidi="ar-SA"/>
        </w:rPr>
        <w:t xml:space="preserve">، و ذَكَرَ بإسنادِه عن مُحمّدِ بنِ يعقوبَ بنِ شُعَيبٍ، عن أبيه،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رسولَ اللّٰهِ صَلَّى اللّٰهُ عليه و آلِه صامَ‌</w:t>
      </w:r>
      <w:r>
        <w:rPr>
          <w:rStyle w:val="FootnoteAnchor"/>
          <w:rtl w:val="true"/>
        </w:rPr>
        <w:footnoteReference w:id="2944"/>
      </w:r>
      <w:r>
        <w:rPr>
          <w:rFonts w:ascii="Amiri" w:hAnsi="Amiri" w:eastAsia="Amiri" w:cs="Amiri"/>
          <w:color w:val="111111"/>
          <w:sz w:val="28"/>
          <w:sz w:val="28"/>
          <w:szCs w:val="28"/>
          <w:rtl w:val="true"/>
          <w:lang w:bidi="ar-SA"/>
        </w:rPr>
        <w:t>شَهرَ رمضانَ تِسعةً و عِشرينَ يَوماً أكثَرَ ممّا صامَ ثَلاثينَ،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ما صامَ رسولُ اللّٰهِ صَلَّى اللّٰهُ عليه و آلِه إلّاتامّاً</w:t>
      </w:r>
      <w:r>
        <w:rPr>
          <w:rStyle w:val="FootnoteAnchor"/>
          <w:rtl w:val="true"/>
        </w:rPr>
        <w:footnoteReference w:id="2945"/>
      </w:r>
      <w:r>
        <w:rPr>
          <w:rFonts w:ascii="Amiri" w:hAnsi="Amiri" w:eastAsia="Amiri" w:cs="Amiri"/>
          <w:color w:val="111111"/>
          <w:sz w:val="28"/>
          <w:sz w:val="28"/>
          <w:szCs w:val="28"/>
          <w:rtl w:val="true"/>
          <w:lang w:bidi="ar-SA"/>
        </w:rPr>
        <w:t>، و لا تَكونُ الفَرائضُ ناقصةً، إنّ اللّٰهَ تَعالىٰ خَلَقَ السَّنةَ ثَلاثَمِائةٍ و سِتّينَ يَوماً، و خَلَقَ السماواتِ و الأرضَ في سِتّةِ أيّامٍ يَحجُزُها مِن ثَلاثِمِائةٍ و سِتّينَ يَوماً، فالسَّنةُ ثَلاثُمِائةٍ و أربَعةٌ و خَمسونَ يَوماً، و شَهرُ رمضانَ ثَلاثونَ يَوماً؛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الكاملُ تامٌّ، و شوّالٌ تِسعةٌ و عِشرونَ يَوماً، و ذو القَعدةِ ثَلاثونَ يَوماً؛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مُوسىٰ ثَلاٰثِينَ لَيْلَةً وَ أَتْمَمْنٰاهٰا بِعَشْرٍ فَتَمَّ مِيقٰاتُ رَبِّهِ أَرْبَعِينَ لَيْلَةً</w:t>
      </w:r>
      <w:r>
        <w:rPr>
          <w:rFonts w:eastAsia="Amiri" w:cs="Amiri" w:ascii="Amiri" w:hAnsi="Amiri"/>
          <w:color w:val="111111"/>
          <w:sz w:val="28"/>
          <w:szCs w:val="28"/>
          <w:rtl w:val="true"/>
          <w:lang w:bidi="ar-SA"/>
        </w:rPr>
        <w:t xml:space="preserve">» </w:t>
      </w:r>
      <w:r>
        <w:rPr>
          <w:rStyle w:val="FootnoteAnchor"/>
          <w:rtl w:val="true"/>
        </w:rPr>
        <w:footnoteReference w:id="2946"/>
      </w:r>
      <w:r>
        <w:rPr>
          <w:rFonts w:ascii="Amiri" w:hAnsi="Amiri" w:eastAsia="Amiri" w:cs="Amiri"/>
          <w:color w:val="111111"/>
          <w:sz w:val="28"/>
          <w:sz w:val="28"/>
          <w:szCs w:val="28"/>
          <w:rtl w:val="true"/>
          <w:lang w:bidi="ar-SA"/>
        </w:rPr>
        <w:t>، و الشهرُ هكذا أبداً؛ شهرٌ تامٌّ و شهرٌ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رمضانَ لا يَنقُصُ أبداً، و شَعبانُ لا يَتِمُّ أبداً</w:t>
      </w:r>
      <w:r>
        <w:rPr>
          <w:rFonts w:eastAsia="Amiri" w:cs="Amiri" w:ascii="Amiri" w:hAnsi="Amiri"/>
          <w:color w:val="111111"/>
          <w:sz w:val="28"/>
          <w:szCs w:val="28"/>
          <w:rtl w:val="true"/>
          <w:lang w:bidi="ar-SA"/>
        </w:rPr>
        <w:t>».</w:t>
      </w:r>
      <w:r>
        <w:rPr>
          <w:rStyle w:val="FootnoteAnchor"/>
          <w:rtl w:val="true"/>
        </w:rPr>
        <w:footnoteReference w:id="2947"/>
      </w:r>
    </w:p>
    <w:p>
      <w:pPr>
        <w:pStyle w:val="BookText"/>
        <w:rPr/>
      </w:pPr>
      <w:r>
        <w:rPr>
          <w:rFonts w:ascii="Amiri" w:hAnsi="Amiri" w:eastAsia="Amiri" w:cs="Amiri"/>
          <w:color w:val="111111"/>
          <w:sz w:val="28"/>
          <w:sz w:val="28"/>
          <w:szCs w:val="28"/>
          <w:rtl w:val="true"/>
          <w:lang w:bidi="ar-SA"/>
        </w:rPr>
        <w:t>و هذا الخبرُ يُغني عن إيرادِ غيرِه مِن الأخبارِ؛ لِما يَتضمَّنُه مِن النصِّ الصريحِ علىٰ صِحّةِ المَذهبِ، و يَحويهِ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الخبرُ فكأنّه موضوعٌ و مُرتَّبٌ علىٰ مَذهبِ أصحابِ العَدَدِ؛ لأنّه علىٰ ترتيبِ مَذهبِهم، و قد احتُرسَ فيه مِن المَطاعنِ، و استُعمِلَ مِن الألفاظِ ما لا يَدخُلُه الاحتمالُ و التأويلُ، و لا حُجّةَ في هذا الخبرِ و لا في أمثالِه علىٰ كُلِّ حالٍ</w:t>
      </w:r>
      <w:r>
        <w:rPr>
          <w:rFonts w:eastAsia="Amiri" w:cs="Amiri" w:ascii="Amiri" w:hAnsi="Amiri"/>
          <w:color w:val="111111"/>
          <w:sz w:val="28"/>
          <w:szCs w:val="28"/>
          <w:rtl w:val="true"/>
          <w:lang w:bidi="ar-SA"/>
        </w:rPr>
        <w:t xml:space="preserve">. </w:t>
      </w:r>
      <w:bookmarkStart w:id="1139" w:name="pg16437_172852"/>
    </w:p>
    <w:p>
      <w:pPr>
        <w:pStyle w:val="Heading6"/>
        <w:numPr>
          <w:ilvl w:val="5"/>
          <w:numId w:val="1"/>
        </w:numPr>
        <w:rPr/>
      </w:pPr>
      <w:bookmarkStart w:id="1140" w:name="__RefHeading___Toc8040287_1280447820"/>
      <w:bookmarkStart w:id="1141" w:name="_Toc418"/>
      <w:bookmarkEnd w:id="1139"/>
      <w:bookmarkEnd w:id="1140"/>
      <w:r>
        <w:rPr>
          <w:rtl w:val="true"/>
        </w:rPr>
        <w:t>ردُّ حجّية خبر الواحد</w:t>
      </w:r>
      <w:bookmarkEnd w:id="1141"/>
    </w:p>
    <w:p>
      <w:pPr>
        <w:pStyle w:val="BookText"/>
        <w:rPr/>
      </w:pPr>
      <w:r>
        <w:rPr>
          <w:rFonts w:ascii="Amiri" w:hAnsi="Amiri" w:eastAsia="Amiri" w:cs="Amiri"/>
          <w:color w:val="111111"/>
          <w:sz w:val="28"/>
          <w:sz w:val="28"/>
          <w:szCs w:val="28"/>
          <w:rtl w:val="true"/>
          <w:lang w:bidi="ar-SA"/>
        </w:rPr>
        <w:t>و قد بيّنّا في مَواضعَ كَثيرةٍ مِن كُتُبِنا أنّ خبرَ الواحدِ لا يوجِبُ العِلمَ، و لا يُقطَعُ علىٰ صِحّتِه و إن رَواه العُدولُ الثقاتُ، كأنّ العِلمَ به لا يَجوزُ</w:t>
      </w:r>
      <w:r>
        <w:rPr>
          <w:rStyle w:val="FootnoteAnchor"/>
          <w:rtl w:val="true"/>
        </w:rPr>
        <w:footnoteReference w:id="2948"/>
      </w:r>
      <w:r>
        <w:rPr>
          <w:rFonts w:ascii="Amiri" w:hAnsi="Amiri" w:eastAsia="Amiri" w:cs="Amiri"/>
          <w:color w:val="111111"/>
          <w:sz w:val="28"/>
          <w:sz w:val="28"/>
          <w:szCs w:val="28"/>
          <w:rtl w:val="true"/>
          <w:lang w:bidi="ar-SA"/>
        </w:rPr>
        <w:t>لأنّا لا نأمَنُ فيما نُقدِمُ عليه مِن الحُكمِ الذي تَضمَّنَه أن يَكونَ مَفسَدةً، و لا نَقطَعُ علىٰ أنّه مَصلَحةٌ، و الإقدامُ علىٰ مِثلِ ذلكَ قَبيحٌ، حتّىٰ إنّ مِن أصحابِنا مَن يَزيدُ علىٰ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الآحادِ لا يَجوزُ العملُ بها، و لا التعبُّدُ بأحكامِها مِن طريقِ العقولِ</w:t>
      </w:r>
      <w:r>
        <w:rPr>
          <w:rFonts w:eastAsia="Amiri" w:cs="Amiri" w:ascii="Amiri" w:hAnsi="Amiri"/>
          <w:color w:val="111111"/>
          <w:sz w:val="28"/>
          <w:szCs w:val="28"/>
          <w:rtl w:val="true"/>
          <w:lang w:bidi="ar-SA"/>
        </w:rPr>
        <w:t>.</w:t>
      </w:r>
      <w:r>
        <w:rPr>
          <w:rStyle w:val="FootnoteAnchor"/>
          <w:rtl w:val="true"/>
        </w:rPr>
        <w:footnoteReference w:id="2949"/>
      </w:r>
    </w:p>
    <w:p>
      <w:pPr>
        <w:pStyle w:val="BookText"/>
        <w:rPr/>
      </w:pPr>
      <w:r>
        <w:rPr>
          <w:rFonts w:ascii="Amiri" w:hAnsi="Amiri" w:eastAsia="Amiri" w:cs="Amiri"/>
          <w:color w:val="111111"/>
          <w:sz w:val="28"/>
          <w:sz w:val="28"/>
          <w:szCs w:val="28"/>
          <w:rtl w:val="true"/>
          <w:lang w:bidi="ar-SA"/>
        </w:rPr>
        <w:t>و قد بيّنّا في مَواضعَ كثيرةٍ أنّ المَذهبَ الصحيحَ هو تجويزُ ورودِ العبادةِ بالعملِ بأخبارِ الآحادِ مِن طريقِ العقولِ؛ لكِنّ ذلكَ ما وَرَدَ، و لا تُعُبِّدنا بها؛ فنَحنُ لا نَعمَلُ بها؛ لأنّ التعبُّدَ بها مفقودٌ و إن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تُجيزونَ العملَ بها مِن طريقِ العقولِ و ورودِ العبادةِ بذلكَ، مع ما ذَكَرتموه مِن أنّه لا يُؤْمَنُ في الإقدامِ عليها أن يَكونَ مَفسَدةً؛ لأنّ الذي يُؤمِنُ ذلكَ القطعُ علىٰ صِدقِ رُواتِها، و لا قَطعَ إلّامع العِلمِ، و الظنُّ لا قَطعَ معه؟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ورودَ العبادةِ بالعملِ بأخبارِ الآحادِ، أَمِنّا أن يَكونَ الإقدامُ عليها مَفسَدةً؛ لأنّه لَو كانَ مَفسَدةً أو قَبيحاً لَما وَرَدَت العبادةُ به</w:t>
      </w:r>
      <w:r>
        <w:rPr>
          <w:rStyle w:val="FootnoteAnchor"/>
          <w:rtl w:val="true"/>
        </w:rPr>
        <w:footnoteReference w:id="2950"/>
      </w:r>
      <w:r>
        <w:rPr>
          <w:rFonts w:ascii="Amiri" w:hAnsi="Amiri" w:eastAsia="Amiri" w:cs="Amiri"/>
          <w:color w:val="111111"/>
          <w:sz w:val="28"/>
          <w:sz w:val="28"/>
          <w:szCs w:val="28"/>
          <w:rtl w:val="true"/>
          <w:lang w:bidi="ar-SA"/>
        </w:rPr>
        <w:t>مِن الحكيمِ تَعالىٰ بالعملِ بها، فصارَ دليلاً علَى العملِ بها، يُقطَعُ معه علىٰ أنّ العملَ مَصلَحةٌ و لَيسَ بمَفسَدةٍ، كما يُقطَعُ علىٰ ذلكَ مع العِلمِ بصِدقِ الراوي</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لَم تَرِدِ العبادةُ بالعملِ بأخبارِ الآحادِ و جَوَّزنا كَذِب الراوي، فالتجويزُ لكَونِ العملِ بقَولِه مَفسَدةً ثابتٌ، و مع هذا التجويزِ لا يَجوزُ الإقدامُ علَى الفعلِ؛ لأنّا </w:t>
      </w:r>
      <w:bookmarkStart w:id="1142" w:name="pg16437_172853"/>
    </w:p>
    <w:p>
      <w:pPr>
        <w:pStyle w:val="BookText"/>
        <w:rPr/>
      </w:pPr>
      <w:bookmarkEnd w:id="1142"/>
      <w:r>
        <w:rPr>
          <w:rFonts w:ascii="Amiri" w:hAnsi="Amiri" w:eastAsia="Amiri" w:cs="Amiri"/>
          <w:color w:val="111111"/>
          <w:sz w:val="28"/>
          <w:sz w:val="28"/>
          <w:szCs w:val="28"/>
          <w:rtl w:val="true"/>
          <w:lang w:bidi="ar-SA"/>
        </w:rPr>
        <w:t>لا نأمَنُ كَونَه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هذه الأخبارُ التي تُروىٰ في هذا البابِ غيرَ حُجّةٍ، و ما لَيسَ كذلكَ لا يُعمَلُ به و لا يُلتَفَتُ إليه</w:t>
      </w:r>
      <w:r>
        <w:rPr>
          <w:rFonts w:eastAsia="Amiri" w:cs="Amiri" w:ascii="Amiri" w:hAnsi="Amiri"/>
          <w:color w:val="111111"/>
          <w:sz w:val="28"/>
          <w:szCs w:val="28"/>
          <w:rtl w:val="true"/>
          <w:lang w:bidi="ar-SA"/>
        </w:rPr>
        <w:t>.</w:t>
      </w:r>
    </w:p>
    <w:p>
      <w:pPr>
        <w:pStyle w:val="Heading6"/>
        <w:numPr>
          <w:ilvl w:val="5"/>
          <w:numId w:val="1"/>
        </w:numPr>
        <w:rPr/>
      </w:pPr>
      <w:bookmarkStart w:id="1143" w:name="__RefHeading___Toc8040289_1280447820"/>
      <w:bookmarkStart w:id="1144" w:name="_Toc419"/>
      <w:bookmarkEnd w:id="1143"/>
      <w:r>
        <w:rPr>
          <w:rtl w:val="true"/>
        </w:rPr>
        <w:t>الدليل الرابع</w:t>
      </w:r>
      <w:r>
        <w:rPr>
          <w:rtl w:val="true"/>
        </w:rPr>
        <w:t xml:space="preserve">: </w:t>
      </w:r>
      <w:r>
        <w:rPr>
          <w:rtl w:val="true"/>
        </w:rPr>
        <w:t>حَملُ أخبارِ الرؤيةِ علَى التقيّةِ‌</w:t>
      </w:r>
      <w:bookmarkEnd w:id="1144"/>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مَشايخَ العِصابةِ و أُمناءَ الطائفةِ قد رَوَوا أخبارَ العَدَدِ كما رَوَوا أخبارَ الرؤيةِ، و قد عَلِمنا أنّ الأئمّةَ عليهم السلامُ كانوا في زمانِ تقيّةٍ، و لَم يَكُن أحَدٌ مِن المُتغلِّبينَ في أيّامِهم و لا مِن العامّةِ في وقتِهم يَقولُ بالعَدَدِ فيُخَوِّفَه</w:t>
      </w:r>
      <w:r>
        <w:rPr>
          <w:rStyle w:val="FootnoteAnchor"/>
          <w:rtl w:val="true"/>
        </w:rPr>
        <w:footnoteReference w:id="2951"/>
      </w:r>
      <w:r>
        <w:rPr>
          <w:rFonts w:ascii="Amiri" w:hAnsi="Amiri" w:eastAsia="Amiri" w:cs="Amiri"/>
          <w:color w:val="111111"/>
          <w:sz w:val="28"/>
          <w:sz w:val="28"/>
          <w:szCs w:val="28"/>
          <w:rtl w:val="true"/>
          <w:lang w:bidi="ar-SA"/>
        </w:rPr>
        <w:t>، و في عِلمِنا بخِلافِ ذلكَ دلالةٌ علىٰ أنّ أخبارَ الرؤيةِ أَولىٰ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منكَ كلامٌ علىٰ مَن يَحتَجُّ في إثباتِ الرؤيةِ بأخبارِ الآحادِ المَرويّةِ، و نَحنُ لا نَحتَجُّ بشَيءٍ مِن ذلكَ، و لا نُعَوِّلُ إلّاعلىٰ طُرُقٍ مِن الأدلّةِ توجِبُ العِلمَ و يَزولُ معها الشكُّ و الريبُ، و قد تَقدَّمَ في صَدرِ كتابِنا هذا ما يَجِبُ أن 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ترجيحُ أخبارِ العَدَدِ علىٰ أخبارِ الرؤيةِ بذِكرِ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أقوالِ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 إن كانَ كلاماً علىٰ غيرِنا ممّن يُعَوِّلُ علىٰ أخبارِ الآحادِ في إثباتِ العملِ بالرؤيةِ، فهو أيضاً غيرُ مُعتَمَدٍ؛ لأنّ أكثَرَ ما في هذا الترجيحِ الذي ذَكَرَه أن تَكونَ أخبارُ العَدَدِ الظنُّ فيها أقوىٰ منه في أخبارِ الرؤيةِ، و مع الظنِّ التجويزُ قائمٌ، و العِلمُ القاطعُ غيرُ حاصلٍ، و العملُ مع ذلكَ لا يَسوغُ؛ لأنّ العملَ إنّما يَحسُنُ مع القطعِ لا مع قُوّةِ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 ذلكَ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الصادقِ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bookmarkStart w:id="1145" w:name="pg16437_172854"/>
    </w:p>
    <w:p>
      <w:pPr>
        <w:pStyle w:val="BookText"/>
        <w:rPr/>
      </w:pPr>
      <w:bookmarkEnd w:id="1145"/>
      <w:r>
        <w:rPr>
          <w:rFonts w:ascii="Amiri" w:hAnsi="Amiri" w:eastAsia="Amiri" w:cs="Amiri"/>
          <w:color w:val="111111"/>
          <w:sz w:val="28"/>
          <w:sz w:val="28"/>
          <w:szCs w:val="28"/>
          <w:rtl w:val="true"/>
          <w:lang w:bidi="ar-SA"/>
        </w:rPr>
        <w:t>أتاكم عنّا حديثانِ، فحَدِّثوا</w:t>
      </w:r>
      <w:r>
        <w:rPr>
          <w:rStyle w:val="FootnoteAnchor"/>
          <w:rtl w:val="true"/>
        </w:rPr>
        <w:footnoteReference w:id="2952"/>
      </w:r>
      <w:r>
        <w:rPr>
          <w:rFonts w:ascii="Amiri" w:hAnsi="Amiri" w:eastAsia="Amiri" w:cs="Amiri"/>
          <w:color w:val="111111"/>
          <w:sz w:val="28"/>
          <w:sz w:val="28"/>
          <w:szCs w:val="28"/>
          <w:rtl w:val="true"/>
          <w:lang w:bidi="ar-SA"/>
        </w:rPr>
        <w:t>بأبعَدِهما مِن أقوالِ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إجماعِ العامّةِ علَى القولِ بالرؤيةِ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ورودِ هذه الأخبارِ عن الأئمّةِ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واضحةٌ علىٰ وجوبِ الأخذِ بالعَدَدِ، و أنّه الأصلُ الذي عليه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عُلِمَ صِحّةُ هذا الخبرِ المَرويِّ عن الصادقِ عليه السلامُ حتّىٰ جَعَلتَه أصلاً، و عَوَّلتَ عليه في العملِ بالأخبارِ المَرويّةِ، و ترجيحِ بعضِها علىٰ بعضٍ؟ أَ وَ لَيسَ هذا الخبرُ مِن أخبارِ الآحادِ؟ نَعني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يوجِبُ عِلماً، و لا يَنفي تَجوُّزاً</w:t>
      </w:r>
      <w:r>
        <w:rPr>
          <w:rStyle w:val="FootnoteAnchor"/>
          <w:rtl w:val="true"/>
        </w:rPr>
        <w:footnoteReference w:id="2953"/>
      </w:r>
      <w:r>
        <w:rPr>
          <w:rFonts w:ascii="Amiri" w:hAnsi="Amiri" w:eastAsia="Amiri" w:cs="Amiri"/>
          <w:color w:val="111111"/>
          <w:sz w:val="28"/>
          <w:sz w:val="28"/>
          <w:szCs w:val="28"/>
          <w:rtl w:val="true"/>
          <w:lang w:bidi="ar-SA"/>
        </w:rPr>
        <w:t>، و إن كانَ رَواه أكثَرُ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نُعوِّلُ في أخبارِ الآحادِ و ترجيحِ بعضِها علىٰ بعضٍ علىٰ خبرٍ هو مِن جُملةِ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يُعوِّلُ عليه مِن أصحابِنا مَن لا يَعرِفُ ما نَقولُه و نأتيهِ و نَذَرُه</w:t>
      </w:r>
      <w:r>
        <w:rPr>
          <w:rFonts w:eastAsia="Amiri" w:cs="Amiri" w:ascii="Amiri" w:hAnsi="Amiri"/>
          <w:color w:val="111111"/>
          <w:sz w:val="28"/>
          <w:szCs w:val="28"/>
          <w:rtl w:val="true"/>
          <w:lang w:bidi="ar-SA"/>
        </w:rPr>
        <w:t>.</w:t>
      </w:r>
    </w:p>
    <w:p>
      <w:pPr>
        <w:pStyle w:val="Heading6"/>
        <w:numPr>
          <w:ilvl w:val="5"/>
          <w:numId w:val="1"/>
        </w:numPr>
        <w:rPr/>
      </w:pPr>
      <w:bookmarkStart w:id="1146" w:name="__RefHeading___Toc8040291_1280447820"/>
      <w:bookmarkStart w:id="1147" w:name="_Toc420"/>
      <w:bookmarkEnd w:id="1146"/>
      <w:r>
        <w:rPr>
          <w:rtl w:val="true"/>
        </w:rPr>
        <w:t>الدليل الخامس</w:t>
      </w:r>
      <w:r>
        <w:rPr>
          <w:rtl w:val="true"/>
        </w:rPr>
        <w:t xml:space="preserve">: </w:t>
      </w:r>
      <w:r>
        <w:rPr>
          <w:rtl w:val="true"/>
        </w:rPr>
        <w:t>الاستدلال من طريق القياس</w:t>
      </w:r>
      <w:bookmarkEnd w:id="1147"/>
    </w:p>
    <w:p>
      <w:pPr>
        <w:pStyle w:val="BookText"/>
        <w:rPr/>
      </w:pPr>
      <w:r>
        <w:rPr>
          <w:rFonts w:ascii="Amiri" w:hAnsi="Amiri" w:eastAsia="Amiri" w:cs="Amiri"/>
          <w:color w:val="111111"/>
          <w:sz w:val="28"/>
          <w:sz w:val="28"/>
          <w:szCs w:val="28"/>
          <w:rtl w:val="true"/>
          <w:lang w:bidi="ar-SA"/>
        </w:rPr>
        <w:t>ثُمّ 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مِن طريقِ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ما نَذهَبُ إليه في شهرِ رمضانَ أنّا وَجَدنا صيامَه أحَدَ فَرائضِ الإسلامِ، فوَجَبَ أن يَكونَ مِن فَرضِه سَلامةُ أيّامِه مِن الزيادةِ و النقصانِ؛ قياساً علَى الصلَواتِ الخَمسِ التي لا يَجوزُ كَونُها مَرّةً أربَعاً</w:t>
      </w:r>
      <w:r>
        <w:rPr>
          <w:rStyle w:val="FootnoteAnchor"/>
          <w:rtl w:val="true"/>
        </w:rPr>
        <w:footnoteReference w:id="2954"/>
      </w:r>
      <w:r>
        <w:rPr>
          <w:rFonts w:ascii="Amiri" w:hAnsi="Amiri" w:eastAsia="Amiri" w:cs="Amiri"/>
          <w:color w:val="111111"/>
          <w:sz w:val="28"/>
          <w:sz w:val="28"/>
          <w:szCs w:val="28"/>
          <w:rtl w:val="true"/>
          <w:lang w:bidi="ar-SA"/>
        </w:rPr>
        <w:t xml:space="preserve">و مَرّةً سِتّاً؛ و علَى الزكاةِ أيضاً؛ لفَسادِ إخراجِ أربَعةٍ مِن المِائتَينِ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خَمسةٍ مَرّةً أُخرىٰ</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بهذا الاعتبارِ أنّ شَهرَ رمضانَ لا يَجوزُ عليه زيادةٌ و لا نُقصانٌ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القياسُ عندَكَ باطلاً و عندَ أصحابِكَ، 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خِلافَ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تَحتَجُّ بما لَيسَ بحُجّةٍ عندَكَ؟ و كَيفَ تَثبُتُ الأحكامُ الشرعيّةُ بما لَيسَ بدليلٍ؟</w:t>
      </w:r>
    </w:p>
    <w:p>
      <w:pPr>
        <w:pStyle w:val="BookText"/>
        <w:rPr/>
      </w:pPr>
      <w:r>
        <w:rPr>
          <w:rFonts w:ascii="Amiri" w:hAnsi="Amiri" w:eastAsia="Amiri" w:cs="Amiri"/>
          <w:color w:val="111111"/>
          <w:sz w:val="28"/>
          <w:sz w:val="28"/>
          <w:szCs w:val="28"/>
          <w:rtl w:val="true"/>
          <w:lang w:bidi="ar-SA"/>
        </w:rPr>
        <w:t>فإن قالَ ما قد قاله بُعَيدَ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نُنكِرُ مِن القياسِ ما خالَفَ النصوصَ، و قياسُنا هذا يَعضُدُه النصُّ الواردُ في القُرآنِ، و الأخبارُ تَدُلُّ علىٰ صِحّتِه و استمرارِه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مُخالِفٌ لما يَقولُه أصحابُكَ المُتقدِّمونَ و المُتأخِّرونَ؛ لأنّ القياسَ عندَهم باطلٌ، لا يَجوزُ اعتمادُه فيما وافَقَ النصوصَ و لا فيما خالَفَها، و لا هو حُجّةٌ في شَيءٍ مِن الأحكامِ علىٰ وجهٍ، و لا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النصوصُ تَدُلُّ علَى الحُكمِ، أيُّ حاجةٍ بنا إلَى استعمالِ القياسِ في ذلكَ الحُكمِ، و قد عَرَفناه مِن طريقِ النصوصِ؟ فوجودُ القياسِ هاهُنا كعدمِه؛ و إذا كُنّا نَستَغني بالنصِّ الواردِ في الحُكمِ عن نَصٍّ آخَرَ، و إن كانَ الثاني حُجّةً دالّاً علَى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القياسَ الذي استَعمَلتَه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لكَ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غيرُ صحيحٍ في نفسِه؛ لأنّ الأصلَ الذي قِستَ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اختلافُ العبادةِ فيها علَى المُكلَّفينَ بالزيادةِ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تَرىٰ أنّ مَن دَخَلَ في صَلاةِ الظهرِ لا يَعلَمُ أنّه يَبقىٰ حتّىٰ يُصلّيَ الركَعاتِ الأربَعَ،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الاخترامُ قَبلَ التمامِ، و إنّما يَعلَمُ أنّه مُكلَّفٌ بالأربَعِ إذا فَرَغَ منها و جاوَزَها؟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يَجوزُ أن يُبقِيَ اللّٰهُ سُبحانَه بعضَ المُكلَّفينَ صَحيحاً سَليماً إلىٰ أن يُصلّيَ </w:t>
      </w:r>
      <w:bookmarkStart w:id="1148" w:name="pg16437_172856"/>
    </w:p>
    <w:p>
      <w:pPr>
        <w:pStyle w:val="BookText"/>
        <w:rPr/>
      </w:pPr>
      <w:bookmarkEnd w:id="1148"/>
      <w:r>
        <w:rPr>
          <w:rFonts w:ascii="Amiri" w:hAnsi="Amiri" w:eastAsia="Amiri" w:cs="Amiri"/>
          <w:color w:val="111111"/>
          <w:sz w:val="28"/>
          <w:sz w:val="28"/>
          <w:szCs w:val="28"/>
          <w:rtl w:val="true"/>
          <w:lang w:bidi="ar-SA"/>
        </w:rPr>
        <w:t xml:space="preserve">الأربَعَ، و قد يَجوزُ أن يَختَرِمَه و قد فَرَغَ مِن واحدةٍ أو اثنَتَينِ أو ثَلاثٍ؛ فيُعلَمُ أنّ الذي دَخَلَ في تكليفِه نَقَصَ الفَراغُ منه، و ما اقتُطِعَ دونَه مِن الركَعاتِ فلَيسَ بداخلٍ في تكليفِه؛ فقَد اختَلَفَ الفرضُ كَما تَرىٰ، و صارَ فَرضُ بعضِ المُكلَّفينَ في الصلَواتِ زائداً و بعضِهم ناقصاً، و جَرىٰ ذلكَ مَجرىٰ شَهرِ رمضانَ، فإنّه يَلحَقُه الزيادةُ و النقصانُ؛ فيَجِبُ علىٰ مَن رأَى الهِلالَ ليلةَ الثلاثينَ أن يُفطِرَ، و يَكونُ فَرضُه تِسعةً و عِشرينَ يَوماً؛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يَرَه و لا شَهِدَ عندَه به مَن يَجِبُ العملُ بقَولِه أن يَصومَ ثَلاثينَ، فيَختَلِفُ فَرضاهما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أيضاً علَى الجميعِ إذا غُمَّ عليهم ليلةَ الثلاثينَ أن يَصوموا شَهراً علَى التمامِ؛ و يَجِبُ عليهم إذا رأَوه ليلةَ الثلاثينَ أن يُفطِروا، فيَختَلِفُ التكليفانِ باختلافِ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تَختَلِفُ أحوالُ التكليفِ في الصيامِ؛ فإنّ مَن اختُرِمَ في أيّامٍ مِن شَهرِ رمضانَ، فتكليفُه ما صامَه مِن الأيّامِ، و عَلِمنا بالاخترامِ أنّ صيامَ باقي الشهرِ لَم يَكُن في تكليفِه، و مَن بَقيَ إلىٰ آخِرِ الشهرِ قَطَعنا علىٰ أنّه مُكلَّفٌ بصيامِ جميعِ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إنّما يَخفىٰ علىٰ مَن لَم يَعرِفْ كَيفَ الطريقُ إلَى العِلمِ بدخولِ بعضِ الأفعالِ في التكليفِ، و هَل يَسبِقُ ذلكَ وقوعَ الفعلِ أو يَتأخَّرُ عنه؟</w:t>
      </w:r>
    </w:p>
    <w:p>
      <w:pPr>
        <w:pStyle w:val="Heading6"/>
        <w:numPr>
          <w:ilvl w:val="5"/>
          <w:numId w:val="1"/>
        </w:numPr>
        <w:rPr/>
      </w:pPr>
      <w:bookmarkStart w:id="1149" w:name="__RefHeading___Toc8040293_1280447820"/>
      <w:bookmarkStart w:id="1150" w:name="_Toc421"/>
      <w:bookmarkEnd w:id="1149"/>
      <w:r>
        <w:rPr>
          <w:rtl w:val="true"/>
        </w:rPr>
        <w:t>الدليل السادس</w:t>
      </w:r>
      <w:r>
        <w:rPr>
          <w:rtl w:val="true"/>
        </w:rPr>
        <w:t xml:space="preserve">: </w:t>
      </w:r>
      <w:r>
        <w:rPr>
          <w:rtl w:val="true"/>
        </w:rPr>
        <w:t>معرفة أوقات الفرائض قبل حلولها بناء على القول بالعدد</w:t>
      </w:r>
      <w:bookmarkEnd w:id="1150"/>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جميعَ الفَرائضِ يَعلَمُ المُكلَّفُ أوقاتَها قَبلَ حُلولِها، و يَعلَمُ أوائلَها قَبلَ دخولِه فيها، و كذلكَ يَعلَمُ أواخِرَها قَبلَ تَقضّيها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تَرىٰ أنّه لا شَيءَ مِن الصلَواتِ و طَهورِها و الزكَواتِ و شَرائطِها و </w:t>
      </w:r>
    </w:p>
    <w:p>
      <w:pPr>
        <w:pStyle w:val="BookText"/>
        <w:rPr/>
      </w:pPr>
      <w:r>
        <w:rPr>
          <w:rFonts w:ascii="Amiri" w:hAnsi="Amiri" w:eastAsia="Amiri" w:cs="Amiri"/>
          <w:color w:val="111111"/>
          <w:sz w:val="28"/>
          <w:sz w:val="28"/>
          <w:szCs w:val="28"/>
          <w:rtl w:val="true"/>
          <w:lang w:bidi="ar-SA"/>
        </w:rPr>
        <w:t>فَرائضِ الحَجِّ و العُمرةِ و مَناسِكِها إلّاو هذه صِفتُه و حُكمُه؟ فعَلِمنا أنّ شَهرَ رمضانَ كذلكَ إذا كانَ أحَدَ الفَرائضِ، يَجِبُ أن يُعلَمَ أوّلُه قَبلَ دخولِ التكليفِ فيه و آخِرُه قَبلَ تَقضّيه، و هذا لا يُقدَرُ عليه إلّابالعَدَدِ دونَ الرؤيةِ؛ فعُلِمَ أنّ العَدَدَ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بكلامِكَ هذا أنّ جميعَ الفَرائضِ لابُدَّ أن يَعلَمَ المُكلَّفُ أوقاتَها قَبلَ دخولِه فيها و أوائلَها و أواخِرَها، و أنّه لا بُدَّ أن يَعلَمَ ذلكَ علَى الجُملةِ، و يَكونَ مُميِّزاً للأوّلِ و الآخِرِ بالصفاتِ التي أورَدَتها الشريعةُ، مِن غيرِ أن يَعلَمَ أنّه في نفسِه لا يَكونُ داخلاً في تكليفِ الأوّلِ و الآخِرِ</w:t>
      </w:r>
      <w:r>
        <w:rPr>
          <w:rStyle w:val="FootnoteAnchor"/>
          <w:rtl w:val="true"/>
        </w:rPr>
        <w:footnoteReference w:id="2955"/>
      </w:r>
      <w:r>
        <w:rPr>
          <w:rFonts w:ascii="Amiri" w:hAnsi="Amiri" w:eastAsia="Amiri" w:cs="Amiri"/>
          <w:color w:val="111111"/>
          <w:sz w:val="28"/>
          <w:sz w:val="28"/>
          <w:szCs w:val="28"/>
          <w:rtl w:val="true"/>
          <w:lang w:bidi="ar-SA"/>
        </w:rPr>
        <w:t>، فالأمرُ علىٰ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أرَدتَ أنّه لابُدَّ أن يَعلَمَ قَبلَ الدخولِ فيها أنّه مُكلَّفٌ لأوّلِها و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تكليفِ الآخِرِ كما دَخَلَ في تكليفِ الأوّلِ، فقَد بيّنّا أنّ الأمرَ بخِلافِ ذلكَ،</w:t>
      </w:r>
      <w:r>
        <w:rPr>
          <w:rStyle w:val="FootnoteAnchor"/>
          <w:rtl w:val="true"/>
        </w:rPr>
        <w:footnoteReference w:id="2956"/>
      </w:r>
      <w:r>
        <w:rPr>
          <w:rFonts w:ascii="Amiri" w:hAnsi="Amiri" w:eastAsia="Amiri" w:cs="Amiri"/>
          <w:color w:val="111111"/>
          <w:sz w:val="28"/>
          <w:sz w:val="28"/>
          <w:szCs w:val="28"/>
          <w:rtl w:val="true"/>
          <w:lang w:bidi="ar-SA"/>
        </w:rPr>
        <w:t>و أنّ المُكلَّفَ لا يَعلَمُ أنّه مُكلَّفٌ للآخِرِ و لا كُلِّ جُزءٍ مِن العباداتِ إلّابَعدَ قَطعِه و 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المُكلَّفُ علىٰ مَذهبِكم قَبلَ دخولِ شَهرِ رمضانَ أوّلَ هذه العبادةِ وآخِرَها؟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أوّلَ هذه العبادةِ بأن يُشاهِدَ الهِلالَ ليلةَ الشهرِ، أو يُخبِرَه مَن يَجِبُ عليه قبولُ خبرِه برؤيتِه، فيَعلَمُ بذلكَ أنّه أوّلُ هذه العبادةِ قَبلَ دخولِه فيها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آخِرُها، فيَعلَمُه أيضاً قَبلَ الوصولِ إليه، بأن يُشاهِدَ الهِلالَ ليلةَ الثلاثينَ، أو يُخبِرَه عن مُشاهَدتِه مَن يَلزَمُه العملُ بخبرِه، أو بأن يَفقِدَ الرؤيةَ مع الطلبِ و الخبرِ </w:t>
      </w:r>
      <w:bookmarkStart w:id="1151" w:name="pg16437_172858"/>
    </w:p>
    <w:p>
      <w:pPr>
        <w:pStyle w:val="BookText"/>
        <w:rPr/>
      </w:pPr>
      <w:bookmarkEnd w:id="1151"/>
      <w:r>
        <w:rPr>
          <w:rFonts w:ascii="Amiri" w:hAnsi="Amiri" w:eastAsia="Amiri" w:cs="Amiri"/>
          <w:color w:val="111111"/>
          <w:sz w:val="28"/>
          <w:sz w:val="28"/>
          <w:szCs w:val="28"/>
          <w:rtl w:val="true"/>
          <w:lang w:bidi="ar-SA"/>
        </w:rPr>
        <w:t>عنها، فيَلزَمُه حينئذٍ أن يَصومَ الثلاثينَ؛ فقَد صارَ أوّلُ شَهرِ رمضانَ و آخِرُه مُتميِّزَينِ عندَ أصحابِ الرؤيةِ، كَما تَميَّزا عندَ أصحابِ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عندَ أصحابِ العَدَدِ واضحٌ؛ لأنّهم يُعوِّلونَ علىٰ شَيءٍ واحدٍ في أوّلِ الشهرِ و آخِرِه، و هو العَدَدُ دونَ انتقالٍ مِن غيرِه إليه، و أصحابُ الرؤيةِ يُعوِّلونَ علَى الرؤيةِ التي يُجوِّزونَ أن تَحصُلَ و أن لا تَحصُلَ، ثُمّ يَنتَقِلونَ إذا لَم تَحصُلْ إلَى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فَرقٍ بَينَ‌</w:t>
      </w:r>
      <w:r>
        <w:rPr>
          <w:rStyle w:val="FootnoteAnchor"/>
          <w:rtl w:val="true"/>
        </w:rPr>
        <w:footnoteReference w:id="2957"/>
      </w:r>
      <w:r>
        <w:rPr>
          <w:rFonts w:ascii="Amiri" w:hAnsi="Amiri" w:eastAsia="Amiri" w:cs="Amiri"/>
          <w:color w:val="111111"/>
          <w:sz w:val="28"/>
          <w:sz w:val="28"/>
          <w:szCs w:val="28"/>
          <w:rtl w:val="true"/>
          <w:lang w:bidi="ar-SA"/>
        </w:rPr>
        <w:t>تمييزِ العبادةِ و تعيينِها بَينَ أن تَتميَّزَ بأمرٍ واحدٍ لا يُنتَقَلُ منه إلىٰ غيرِه و لا يَختَلِفُ حُكمُه و بَينَ أن تَتميَّزَ بأمرٍ يُتقدَّرُ حُصولُه و يُتوقَّعُ كَونُه؛ فإن وَقَعَ تَميَّزَ به، و إن لَم يَقَعْ وَقَعَ الانتقالُ إلىٰ أمرٍ آخَرَ؟ و أكثَرُ الشريعةِ علىٰ ما ذَكَرناه، و أنّها تَتميَّزُ بأوصافٍ مُختَلِفةٍ و شُروطٍ مُتعاقِبةٍ مُترتِّبةٍ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لا تَرىٰ أنّ العِدّةَ في الطلاقِ قد تَختَلِفُ علَى المرأةِ، فتَعتَدُّ تارةً بالشهورِ، و تارةً بالأقراءِ، فتَنتَقِلُ العِدّةُ بالمُعتَدّةِ الواحدةِ مِن شُهورٍ إلىٰ أقراءٍ، و مِن أقراءٍ إلىٰ شُهورٍ، فتَختَلِفُ العادةُ؟ و هذا الاختلافُ كاختلافِ الشروطِ و الصفاتِ فيها</w:t>
      </w:r>
      <w:r>
        <w:rPr>
          <w:rFonts w:eastAsia="Amiri" w:cs="Amiri" w:ascii="Amiri" w:hAnsi="Amiri"/>
          <w:color w:val="111111"/>
          <w:sz w:val="28"/>
          <w:szCs w:val="28"/>
          <w:rtl w:val="true"/>
          <w:lang w:bidi="ar-SA"/>
        </w:rPr>
        <w:t>.</w:t>
      </w:r>
    </w:p>
    <w:p>
      <w:pPr>
        <w:pStyle w:val="Heading6"/>
        <w:numPr>
          <w:ilvl w:val="5"/>
          <w:numId w:val="1"/>
        </w:numPr>
        <w:rPr/>
      </w:pPr>
      <w:bookmarkStart w:id="1152" w:name="__RefHeading___Toc8040295_1280447820"/>
      <w:bookmarkStart w:id="1153" w:name="_Toc422"/>
      <w:bookmarkEnd w:id="1152"/>
      <w:r>
        <w:rPr>
          <w:rtl w:val="true"/>
        </w:rPr>
        <w:t>الدليل السابع</w:t>
      </w:r>
      <w:r>
        <w:rPr>
          <w:rtl w:val="true"/>
        </w:rPr>
        <w:t xml:space="preserve">: </w:t>
      </w:r>
      <w:r>
        <w:rPr>
          <w:rtl w:val="true"/>
        </w:rPr>
        <w:t>لوازم باطلة تلزم القول بالرؤية</w:t>
      </w:r>
      <w:bookmarkEnd w:id="1153"/>
    </w:p>
    <w:p>
      <w:pPr>
        <w:pStyle w:val="Heading6"/>
        <w:numPr>
          <w:ilvl w:val="5"/>
          <w:numId w:val="1"/>
        </w:numPr>
        <w:rPr/>
      </w:pPr>
      <w:bookmarkStart w:id="1154" w:name="__RefHeading___Toc8040297_1280447820"/>
      <w:bookmarkStart w:id="1155" w:name="_Toc423"/>
      <w:bookmarkEnd w:id="1154"/>
      <w:r>
        <w:rPr>
          <w:rtl w:val="true"/>
        </w:rPr>
        <w:t>اشارة</w:t>
      </w:r>
      <w:bookmarkEnd w:id="1155"/>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أخبِرونا عمّن طَلَبَ أوّلَ شَهرِ رمضانَ إذا رَقَبَ الهِلالَ فرآه، لا يَخلو أمرُه مِن إحدىٰ ثَلاثِ خِصالٍ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يَعتَقِدَ برؤيتِه أنّه قد أدرَكَ مَعرِفةَ أوّلِه لأهلِ الإسلامِ، حتّىٰ لا يُجيزَ وُرودَ الخبرِ برؤيتِه قَبلَ ذلكَ في بعضِ البلادِ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يَعتَقِدَ أنّه أوّلُ الشهرِ عندَه؛ لأنّه رآه، و يُجيزَ رؤيةَ غيرِه له مِن قَبلُ و استتارَه عنه في الحالِ، لكِنّه لا يَلتَفِتُ إلىٰ هذا الجوازِ، و لا يُعوِّلُ إلّاعلىٰ ما أدرَكَه و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يَعتَقِدَ ذلكَ و يَقِفَ مُجوِّزاً غيرَ قاطعٍ؛ لإمكانِ ورودِ الخبرِ الصادقِ بظُهورِه لغَيرِه قَبلَ تلكَ الليلةِ في إحدَى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أيِّ هذه الأقسامِ يَكونُ تعويلُ المُكلَّفِ في رؤيةِ الهِلالِ؟</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القِسمِ الأوّلِ، و هو القَطعُ و تَركُ التجويزِ مع المُشاهَدةِ؛ ليَصِحَّ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أوجَبوا علَى المُكلَّفِ اعتقادَ أمرٍ</w:t>
      </w:r>
      <w:r>
        <w:rPr>
          <w:rStyle w:val="FootnoteAnchor"/>
          <w:rtl w:val="true"/>
        </w:rPr>
        <w:footnoteReference w:id="2958"/>
      </w:r>
      <w:r>
        <w:rPr>
          <w:rFonts w:ascii="Amiri" w:hAnsi="Amiri" w:eastAsia="Amiri" w:cs="Amiri"/>
          <w:color w:val="111111"/>
          <w:sz w:val="28"/>
          <w:sz w:val="28"/>
          <w:szCs w:val="28"/>
          <w:rtl w:val="true"/>
          <w:lang w:bidi="ar-SA"/>
        </w:rPr>
        <w:t>يَجوزُ عندَ العقلاءِ خِلافُه، و ألزَموه تَركَ ما يَشهَدُ به الامتحانُ و العادةُ بتجويزِه؛ لأنّ اللَّبْسَ مُرتفِعٌ عن ذَوي التحصيلِ في اختلافِ أسبابِ المَناظِرِ، و جوازِ تخصيصِ العَوارضِ و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رَوَوه مِن وجوبِ صَومِ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حِذاراً مِن ورودِ الخبرِ برؤيةِ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بُطلانِ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يَعتَمِدُ علَى القِسمِ الثاني، فيَعتَقِدُ أنّه أوّلُ الشهرِ؛ لِما دَلَّته عليه المُشاهَدةُ، و لا يَكتَرِثُ لِما سِوىٰ ذلكَ مِن الأُمورِ المُجوَّزةِ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أجازوا اختلافَ أوّلِ شَهرِ رمضانَ؛ لجوازِ اختلافِ رؤيةِ الهِلالِ، و أحَلّوا لبعضِ الناسِ الإفطارَ في يَومٍ أوجَبوا علىٰ غيرِهم فيه الصيامَ، و لَزِمَهم في آخِرِ الشهرِ نَظيرُ ما التَزَموه في أوّلِه مِن غيرِ انفصالٍ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يَؤولُ إلىٰ نُقصانِه عندَ قومٍ، و كَونِه عندَ قومٍ علَى التمامِ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أيضاً بُطلانُ التواريخِ و فَسادُ الأعيادِ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مِن حقيقةِ الشهرِ عندَ اللّٰهِ سُبحانَه غيرُ معلومٍ لسائرِ العبادِ، مع عمومِ التكليفِ لهُم بصَومِه علَى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خِلافُ ما أجمَعَت عليه الشيعةُ في الردِّ علىٰ أصحابِ القياسِ مِن بُطلانِ تحليلِ شَيءٍ لقومٍ‌</w:t>
      </w:r>
      <w:r>
        <w:rPr>
          <w:rStyle w:val="FootnoteAnchor"/>
          <w:rtl w:val="true"/>
        </w:rPr>
        <w:footnoteReference w:id="2959"/>
      </w:r>
      <w:r>
        <w:rPr>
          <w:rFonts w:ascii="Amiri" w:hAnsi="Amiri" w:eastAsia="Amiri" w:cs="Amiri"/>
          <w:color w:val="111111"/>
          <w:sz w:val="28"/>
          <w:sz w:val="28"/>
          <w:szCs w:val="28"/>
          <w:rtl w:val="true"/>
          <w:lang w:bidi="ar-SA"/>
        </w:rPr>
        <w:t>و تحريمِه علىٰ غيرِهم مِن الناسِ</w:t>
      </w:r>
      <w:r>
        <w:rPr>
          <w:rFonts w:eastAsia="Amiri" w:cs="Amiri" w:ascii="Amiri" w:hAnsi="Amiri"/>
          <w:color w:val="111111"/>
          <w:sz w:val="28"/>
          <w:szCs w:val="28"/>
          <w:rtl w:val="true"/>
          <w:lang w:bidi="ar-SA"/>
        </w:rPr>
        <w:t>.</w:t>
      </w:r>
      <w:r>
        <w:rPr>
          <w:rStyle w:val="FootnoteAnchor"/>
          <w:rtl w:val="true"/>
        </w:rPr>
        <w:footnoteReference w:id="2960"/>
      </w:r>
    </w:p>
    <w:p>
      <w:pPr>
        <w:pStyle w:val="BookText"/>
        <w:rPr/>
      </w:pPr>
      <w:r>
        <w:rPr>
          <w:rFonts w:ascii="Amiri" w:hAnsi="Amiri" w:eastAsia="Amiri" w:cs="Amiri"/>
          <w:color w:val="111111"/>
          <w:sz w:val="28"/>
          <w:sz w:val="28"/>
          <w:szCs w:val="28"/>
          <w:rtl w:val="true"/>
          <w:lang w:bidi="ar-SA"/>
        </w:rPr>
        <w:t>و هو أيضاً يُضادُّ ما يَروونَه مِن صَومِ يَومِ الشكِّ علىٰ سَبيلِ الاستظهارِ</w:t>
      </w:r>
      <w:r>
        <w:rPr>
          <w:rFonts w:eastAsia="Amiri" w:cs="Amiri" w:ascii="Amiri" w:hAnsi="Amiri"/>
          <w:color w:val="111111"/>
          <w:sz w:val="28"/>
          <w:szCs w:val="28"/>
          <w:rtl w:val="true"/>
          <w:lang w:bidi="ar-SA"/>
        </w:rPr>
        <w:t>.</w:t>
      </w:r>
      <w:r>
        <w:rPr>
          <w:rStyle w:val="FootnoteAnchor"/>
          <w:rtl w:val="true"/>
        </w:rPr>
        <w:footnoteReference w:id="2961"/>
      </w:r>
    </w:p>
    <w:p>
      <w:pPr>
        <w:pStyle w:val="BookText"/>
        <w:rPr/>
      </w:pPr>
      <w:r>
        <w:rPr>
          <w:rFonts w:ascii="Amiri" w:hAnsi="Amiri" w:eastAsia="Amiri" w:cs="Amiri"/>
          <w:color w:val="111111"/>
          <w:sz w:val="28"/>
          <w:sz w:val="28"/>
          <w:szCs w:val="28"/>
          <w:rtl w:val="true"/>
          <w:lang w:bidi="ar-SA"/>
        </w:rPr>
        <w:t>و ظهورُ بُطلانِ هذا القِسمِ يُغني عن الإطالةِ فيه و الإكثارِ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علَى العبدِ إذا رأَى الهِلالَ أن لا يُبادِرَ بالقَطعِ و البَتاتِ، و أن يَتوقَّفَ مُجوِّزاً لورودِ أخبارِ البلادِ بما يَصِحُّ معه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هذا أبعَدَ</w:t>
      </w:r>
      <w:r>
        <w:rPr>
          <w:rStyle w:val="FootnoteAnchor"/>
          <w:rtl w:val="true"/>
        </w:rPr>
        <w:footnoteReference w:id="2962"/>
      </w:r>
      <w:r>
        <w:rPr>
          <w:rFonts w:ascii="Amiri" w:hAnsi="Amiri" w:eastAsia="Amiri" w:cs="Amiri"/>
          <w:color w:val="111111"/>
          <w:sz w:val="28"/>
          <w:sz w:val="28"/>
          <w:szCs w:val="28"/>
          <w:rtl w:val="true"/>
          <w:lang w:bidi="ar-SA"/>
        </w:rPr>
        <w:t>عن الصوابِ و أَولىٰ بالفَسادِ، و هو مُسقِطٌ عن كافّةِ الأُمّةِ اعتقادَ أوّلِ شَهرِ رمضانَ إلىٰ أن تَتَّصِلَ بهِم أخبارُ البلادِ</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السبيلُ لِمَن لَم يَرَ الهِلالَ إلَى العِلمِ بأنّه قد رُئيَ في بعضِ الجِهاتِ، فَيُبيِّتَ‌</w:t>
      </w:r>
      <w:r>
        <w:rPr>
          <w:rStyle w:val="FootnoteAnchor"/>
          <w:rtl w:val="true"/>
        </w:rPr>
        <w:footnoteReference w:id="2963"/>
      </w:r>
      <w:r>
        <w:rPr>
          <w:rFonts w:ascii="Amiri" w:hAnsi="Amiri" w:eastAsia="Amiri" w:cs="Amiri"/>
          <w:color w:val="111111"/>
          <w:sz w:val="28"/>
          <w:sz w:val="28"/>
          <w:szCs w:val="28"/>
          <w:rtl w:val="true"/>
          <w:lang w:bidi="ar-SA"/>
        </w:rPr>
        <w:t xml:space="preserve">له النيّةَ في فَرضِ الصيامِ؟ بَل كَيفَ يَصنَعُ مَن رآه إذا اتَّصَلَ به أنّه ظَهَرَ قَبلَ تلكَ الليلةِ للناسِ؟ و متىٰ يَستَدرِكُ النيّةَ و الاعتقادَ في أمرٍ قد فاتَ؟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إيجابَهم لصَومِ يَومِ الشكِّ لا يُسقِطُ ما لَزِمَهم في هذا الكلامِ؛ لأ نّا سأَلناهم عن النيّةِ و الاعتقادِ، و لَيسَ يُمكِنُهم القولُ بأنّ يَومَ الشكِّ مِن شَهرِ رمضانَ، و لا يَجِبُ علىٰ مَن أفطَرَه ما يَجِبُ علىٰ مَن أفطَرَ يَوماً فُرِضَ عليه فيه الصيامُ، و الشكُّ فيه يَمنَعُ مِن النيّةِ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مِن أقسامِكَ التي ذَكَرتَها هو الصحيحُ المُعتَمَدُ، و ما رأَيناكَ أبطَلتَ هذا القِسمَ إلّابما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طائلَ فيه؛ لأنّكَ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يَلزَمُ علَى اختلافِ أوّلِ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اختلافِ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 لبعضِ الناسِ الإفطارُ في يَومٍ يَجِبُ علىٰ غيرِهم فيه الصيامُ، و إنّه يَلزَمُ في آخِرِ الشهرِ نَظيرُ ما لَزِمَ في أوّلِه؛ و هذا يَؤولُ إلىٰ نُقصانِه عندَ قومٍ، و كَونِه عندَ غيرِهم علَى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الذي ذَكرتَه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لازمٌ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نَحنُ نَلتَزِمُ ذلكَ، وهو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يَمنَعُ مِن اختلافِ العباداتِ لِاختلافِ أسبابِها و شُروطِها، و أن يَلزَمَ بعضَ المُكلَّفينَ مِن العبادةِ ما لا يَلزَمُ غيرَه، فتَختَلِفَ أحوالُهم باختلافِ أسبابِهم؟</w:t>
      </w:r>
    </w:p>
    <w:p>
      <w:pPr>
        <w:pStyle w:val="BookText"/>
        <w:rPr/>
      </w:pPr>
      <w:r>
        <w:rPr>
          <w:rFonts w:ascii="Amiri" w:hAnsi="Amiri" w:eastAsia="Amiri" w:cs="Amiri"/>
          <w:color w:val="111111"/>
          <w:sz w:val="28"/>
          <w:sz w:val="28"/>
          <w:szCs w:val="28"/>
          <w:rtl w:val="true"/>
          <w:lang w:bidi="ar-SA"/>
        </w:rPr>
        <w:t xml:space="preserve">و مَن الذي يَدفَعُ هذا و يُنكِرُه، و الشريعةُ مَبنيّةٌ عليه؟ أ لا تَرىٰ أنّ مَن وَجَبَت عليه بعضُ الصلَواتِ و اجتَهَدَ في جِهةِ القِبلةِ فغَلَبَ في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بقُوّةِ بعضِ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جِهةٍ مخصوصةٍ، فإنّه تَجِبُ عليه الصلاةُ إلىٰ تلكَ الجِهةِ، و إذا اجتَهَدَ مُكلَّفٌ آخَرُ فغَلَبَ في ظَنِّه أنّها في جِهةٍ أُخرىٰ غيرِ تلكَ الجِهةِ، فإنّه يَجِبُ عليه أن يُصلّيَ إلىٰ تلكَ الجِهةِ الأُخرىٰ و إن خالَفَت الأُولىٰ</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اختَلَفَ فَرضُ هذَينِ المُكلَّفَينِ كماتَرىٰ، و صارَ فَرضُ أحَدِهما أن يُصلّيَ </w:t>
      </w:r>
    </w:p>
    <w:p>
      <w:pPr>
        <w:pStyle w:val="BookText"/>
        <w:rPr/>
      </w:pPr>
      <w:r>
        <w:rPr>
          <w:rFonts w:ascii="Amiri" w:hAnsi="Amiri" w:eastAsia="Amiri" w:cs="Amiri"/>
          <w:color w:val="111111"/>
          <w:sz w:val="28"/>
          <w:sz w:val="28"/>
          <w:szCs w:val="28"/>
          <w:rtl w:val="true"/>
          <w:lang w:bidi="ar-SA"/>
        </w:rPr>
        <w:t>إلىٰ جِهةٍ، و فَرضُ الآخَرِ أن يُصلّيَ إلىٰ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دَخَلَ اثنانِ في بعضِ الصلَواتِ، و ذَكرَ أحَدُهما أنّه علىٰ غيرِ وضوءٍ، أو أنّه أحدَثَ و نَقَضَ‌</w:t>
      </w:r>
      <w:r>
        <w:rPr>
          <w:rStyle w:val="FootnoteAnchor"/>
          <w:rtl w:val="true"/>
        </w:rPr>
        <w:footnoteReference w:id="2964"/>
      </w:r>
      <w:r>
        <w:rPr>
          <w:rFonts w:ascii="Amiri" w:hAnsi="Amiri" w:eastAsia="Amiri" w:cs="Amiri"/>
          <w:color w:val="111111"/>
          <w:sz w:val="28"/>
          <w:sz w:val="28"/>
          <w:szCs w:val="28"/>
          <w:rtl w:val="true"/>
          <w:lang w:bidi="ar-SA"/>
        </w:rPr>
        <w:t>الوضوءَ، و الآخَرُ لَم يَذكُرْ شَيئاً مِن ذلكَ؛ لَكانَ فَرضُ أحَدِهما أن يَقطَعَ الصلاةَ و يَستأنِفَها، و فَرضُ الآخَرِ أن يَمضيَ فيها و يَستَمِرَّ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لَو حَضَرَ ماءٌ بَينَ يَدَي مُحدِثَينِ، فغَلَبَ في ظَنِّ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بأمارةٍ لاحَت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ذلكَ الماءِ، و الآخَرُ لَم يَغلِبْ في ظَنِّه نَجاستُه، لَكانَ فَرضاهما مُختَلِفَينِ، و وَجَبَ علىٰ أحَدِهما أن يَتجنَّبَ ذلكَ الماءَ و علَى الآخَرِ أن يَستَعمِلَه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حُكمُ الأوقاتِ عندَ مَن غَلَبَ في ظَنِّه دخولُ بعضِ الصلَواتِ، فإنّه تَجِبُ عليه الصلاةُ في ذلكَ الوقتِ، و مَن لم يَغلِبْ ذلكَ في ظَنِّه لا يَحِلُّ له أن يُصلّيَ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أكثَرُ مِن أن يُحصىٰ، و الشريعةُ مَبنيّةٌ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يَجوزُ أن يَكونَ الوقتُ وقتاً للصلاةِ عندَ قَومٍ و غيرَ وقتٍ لها عندَ آخَرينَ، و القِبلةُ في جِهةٍ عندَ قومٍ وعندَ آخَرينَ خِلافَ ذلكَ، فيَختَلِفَ الفَرضُ بحَسَبِ اختلافِ الأسبابِ، كذلكَ جائزٌ أن يَكونَ الشهرُ ناقصاً عندَ قَومٍ و تامّاً عندَ آخَرينَ، و إلّافما الفَرقُ؟</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بُطلانَ التواريخِ و فَسادَ الأعيادِ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فيَتبَعانِ الرؤيةَ‌</w:t>
      </w:r>
      <w:r>
        <w:rPr>
          <w:rStyle w:val="FootnoteAnchor"/>
          <w:rtl w:val="true"/>
        </w:rPr>
        <w:footnoteReference w:id="2965"/>
      </w:r>
      <w:r>
        <w:rPr>
          <w:rFonts w:ascii="Amiri" w:hAnsi="Amiri" w:eastAsia="Amiri" w:cs="Amiri"/>
          <w:color w:val="111111"/>
          <w:sz w:val="28"/>
          <w:sz w:val="28"/>
          <w:szCs w:val="28"/>
          <w:rtl w:val="true"/>
          <w:lang w:bidi="ar-SA"/>
        </w:rPr>
        <w:t>، و قد يَجوزُ أن يَكونَ عيدُ قومٍ غيرَ عيدِ غيرِهم؛ لأنّ ذلكَ يَتبَعُ الأسبابَ المُختَلِفةَ</w:t>
      </w:r>
      <w:r>
        <w:rPr>
          <w:rFonts w:eastAsia="Amiri" w:cs="Amiri" w:ascii="Amiri" w:hAnsi="Amiri"/>
          <w:color w:val="111111"/>
          <w:sz w:val="28"/>
          <w:szCs w:val="28"/>
          <w:rtl w:val="true"/>
          <w:lang w:bidi="ar-SA"/>
        </w:rPr>
        <w:t xml:space="preserve">. </w:t>
      </w:r>
      <w:bookmarkStart w:id="1156" w:name="pg16437_172863"/>
    </w:p>
    <w:p>
      <w:pPr>
        <w:pStyle w:val="Heading6"/>
        <w:numPr>
          <w:ilvl w:val="5"/>
          <w:numId w:val="1"/>
        </w:numPr>
        <w:rPr/>
      </w:pPr>
      <w:bookmarkStart w:id="1157" w:name="__RefHeading___Toc8040299_1280447820"/>
      <w:bookmarkStart w:id="1158" w:name="_Toc424"/>
      <w:bookmarkEnd w:id="1156"/>
      <w:bookmarkEnd w:id="1157"/>
      <w:r>
        <w:rPr>
          <w:rtl w:val="true"/>
        </w:rPr>
        <w:t>في أنّ معلوم اللّٰه تعالىٰ مطابق لتكاليف المكلّفين، و إن اختلفت</w:t>
      </w:r>
      <w:bookmarkEnd w:id="1158"/>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هذا أنّ المعلومَ‌</w:t>
      </w:r>
      <w:r>
        <w:rPr>
          <w:rStyle w:val="FootnoteAnchor"/>
          <w:rtl w:val="true"/>
        </w:rPr>
        <w:footnoteReference w:id="2966"/>
      </w:r>
      <w:r>
        <w:rPr>
          <w:rFonts w:ascii="Amiri" w:hAnsi="Amiri" w:eastAsia="Amiri" w:cs="Amiri"/>
          <w:color w:val="111111"/>
          <w:sz w:val="28"/>
          <w:sz w:val="28"/>
          <w:szCs w:val="28"/>
          <w:rtl w:val="true"/>
          <w:lang w:bidi="ar-SA"/>
        </w:rPr>
        <w:t>مِن حقيقةِ الشهرِ عندَ اللّٰهِ تَعالىٰ غيرُ معلومٍ لسائرِ العبادِ، مع عمومِ التكليفِ لهُم بصَومِه علَى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 غيرِ مُتحقِّقٍ لِما يَقولُه خُصومُه في هذا البابِ؛ لأنّ المعلومَ مِن حُكمِ الشريعةِ عندَ اللّٰهِ تَعالىٰ هو المعلومُ للعبادِ مِن غيرِ اختلافٍ، و لا زيادةٍ و لا نُقصانٍ؛ لأنّ اللّٰهَ تَعالىٰ إذا أوجَبَ علىٰ مَن رأَى الهِلالَ ليلةَ الشهرِ أن يَصومَه، و يَفتَتِحَ اليَومَ الذي رأَى الهِلالَ في ليلِه بالصومِ، و يَحكُمَ بأنّه في عبادتِه أوّلُ الشهرِ علَى الحقيقةِ في حَقِّه، و أوجَبَ علىٰ مَن لَم يَرَه في تلكَ الليلةِ و لا خَبَّرَه مُخبِّرٌ برؤيتِه أن يَحكُمَ بأنّه لَيسَ مِن شَهرِ رمضانَ، و لا وَجَبَ عليه فيه الصيامُ؛ فالمعلومُ للّٰهِ تَعالىٰ هو هذا بعَينِه، و أنّه تَعالىٰ يَعلَمُ هذا الذي فَصَّلناه و فَسَّرناه، و هو أنّ هذا اليَومَ في حَقِّ مَن رأَى الهِلالَ في لَيلِه مِن شَهرِ رمضانَ، فواجبٌ عليه صَومُه، و لَيسَ هو مِن شَهرِ رمضانَ في حَقِّ مَن لَم يَرَه و لا صَحَّ عندَه بالخبرِ رؤيتُه، و لا معلومَ له يُخالِفُ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في سائرِ المَسائلِ الشرعيّةِ، و في جِهةِ القِبلةِ، و أنّ مَن غَلَبَ في ظَنِّه أنّها في جِهةٍ مخصوصةٍ وَجَبَ عليه التوجُّهُ إلىٰ خِلافِ الجِهةِ الأُولىٰ، و اختَلَفَ فَرضُ هذَينِ المُكلَّفَينِ، و كانَ معلومُ اللّٰهِ تَعالىٰ مُطابِقاً لمعلومِهما، و غيرَ مُخالِفٍ لِما وَجَبَ عليهما و عَلِماه في هذا البابِ</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تَعالىٰ لا بُدَّ أن يَكونَ عالِماً بأنّ القِبلةَ في جِهةٍ بعَينِها لا يَجوزُ عليه الاختلافُ و إنِ اختَلَفَت ظُنونُ المُتوجِّهينَ، و كذلكَ لا بُدَّ أن يَكونَ عالِماً بطلوعِ الهِلالِ في ليلةٍ مخصوصةٍ أو بفَقدِ طلوعِه فيها و إن لَم يَظهَرْ ذلكَ بعَينِه </w:t>
      </w:r>
    </w:p>
    <w:p>
      <w:pPr>
        <w:pStyle w:val="BookText"/>
        <w:rPr/>
      </w:pPr>
      <w:r>
        <w:rPr>
          <w:rFonts w:ascii="Amiri" w:hAnsi="Amiri" w:eastAsia="Amiri" w:cs="Amiri"/>
          <w:color w:val="111111"/>
          <w:sz w:val="28"/>
          <w:sz w:val="28"/>
          <w:szCs w:val="28"/>
          <w:rtl w:val="true"/>
          <w:lang w:bidi="ar-SA"/>
        </w:rPr>
        <w:t>للمُكلَّفِ؟ و كَيفَ يَكونُ ما عَلِمَه تَعالىٰ في هذه المَواضعِ مُساوياً لِما يَعتَقِدُه العبدُ و يَعمَلُه؟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في بابِ التكليفِ بجِهةِ الكعبةِ نفسِها، مع فَقدِ المُعايَنةِ و بُعدِ الدارِ؛ و إنّما الاعتبارُ الذي يَتبَعُه الحُكمُ إنّما يَرجِعُ إلىٰ ظَنِّ المُكلَّفِ و ما يؤَدّيه إليه اجتهادُه في جِهةِ الكعبةِ مع بُعدِ دارِه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تكليفُه إنّما يَختَلِفُ بحَسَبِ اختلافِ ظُنونِه؛ فإذا غَلَبَ في ظَنِّه أنّها في جِهةٍ مخصوصةٍ، فتكليفُه مُتعلِّقٌ بالتوجُّهِ إلَى الجِهةِ بعَينِها؛ سَواءٌ كانَت الكعبةُ فيها، أو لَم تَكُن؛ و إن كانَ فَرضُه بالتوجُّهِ مُتعلِّقاً بما يَغلِبُ في ظَنِّه أنّه جِهةُ الكَعبةِ، فتلكَ الجِهةُ هي قِبلتُه،</w:t>
      </w:r>
      <w:r>
        <w:rPr>
          <w:rStyle w:val="FootnoteAnchor"/>
          <w:rtl w:val="true"/>
        </w:rPr>
        <w:footnoteReference w:id="2967"/>
      </w:r>
      <w:r>
        <w:rPr>
          <w:rFonts w:ascii="Amiri" w:hAnsi="Amiri" w:eastAsia="Amiri" w:cs="Amiri"/>
          <w:color w:val="111111"/>
          <w:sz w:val="28"/>
          <w:sz w:val="28"/>
          <w:szCs w:val="28"/>
          <w:rtl w:val="true"/>
          <w:lang w:bidi="ar-SA"/>
        </w:rPr>
        <w:t>و المفروضُ عليه التوجُّهُ إليها، و عِلمُ اللّٰهِ مُتعلِّقٌ بهذا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القولُ في مُكلَّفٍ آخَرَ غَلَبَ في ظَنِّه أنّ جِهةَ الكعبةِ في جِهةٍ أُخرىٰ، فإنّ الواجبَ عليه التوجُّهُ إلىٰ تلكَ الجِهةِ، و هي جِهتُه و قِبلتُه</w:t>
      </w:r>
      <w:r>
        <w:rPr>
          <w:rFonts w:eastAsia="Amiri" w:cs="Amiri" w:ascii="Amiri" w:hAnsi="Amiri"/>
          <w:color w:val="111111"/>
          <w:sz w:val="28"/>
          <w:szCs w:val="28"/>
          <w:rtl w:val="true"/>
          <w:lang w:bidi="ar-SA"/>
        </w:rPr>
        <w:t>.</w:t>
      </w:r>
      <w:r>
        <w:rPr>
          <w:rStyle w:val="FootnoteAnchor"/>
          <w:rtl w:val="true"/>
        </w:rPr>
        <w:footnoteReference w:id="2968"/>
      </w:r>
    </w:p>
    <w:p>
      <w:pPr>
        <w:pStyle w:val="BookText"/>
        <w:rPr/>
      </w:pPr>
      <w:r>
        <w:rPr>
          <w:rFonts w:ascii="Amiri" w:hAnsi="Amiri" w:eastAsia="Amiri" w:cs="Amiri"/>
          <w:color w:val="111111"/>
          <w:sz w:val="28"/>
          <w:sz w:val="28"/>
          <w:szCs w:val="28"/>
          <w:rtl w:val="true"/>
          <w:lang w:bidi="ar-SA"/>
        </w:rPr>
        <w:t>و القولُ في طلوعِ الهِلالِ و استتارِه كالقولِ في الكعبةِ، فلا معنىٰ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في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خِلافُ ما أجمَعَت عليه الشيعةُ في الردِّ علىٰ أصحابِ القياسِ مِن بُطلانِ تحليلِ شَيءٍ لقَومٍ و تحريمِه علىٰ غيرِهم مِن الناسِ</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أجمَعَت الشيعةُ علىٰ ما ظَنَّه، و لا يَرُدُّ مِن الشيعةِ علىٰ أصحابِ القياسِ بهذا الضربِ مِن الردِّ مُحصِّلٌ و لا 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في كَثيرٍ مِن كُتُبِنا و كلامِنا</w:t>
      </w:r>
      <w:r>
        <w:rPr>
          <w:rStyle w:val="FootnoteAnchor"/>
          <w:rtl w:val="true"/>
        </w:rPr>
        <w:footnoteReference w:id="2969"/>
      </w:r>
      <w:r>
        <w:rPr>
          <w:rFonts w:ascii="Amiri" w:hAnsi="Amiri" w:eastAsia="Amiri" w:cs="Amiri"/>
          <w:color w:val="111111"/>
          <w:sz w:val="28"/>
          <w:sz w:val="28"/>
          <w:szCs w:val="28"/>
          <w:rtl w:val="true"/>
          <w:lang w:bidi="ar-SA"/>
        </w:rPr>
        <w:t xml:space="preserve">كلاماً في </w:t>
      </w:r>
    </w:p>
    <w:p>
      <w:pPr>
        <w:pStyle w:val="BookText"/>
        <w:rPr/>
      </w:pPr>
      <w:r>
        <w:rPr>
          <w:rFonts w:ascii="Amiri" w:hAnsi="Amiri" w:eastAsia="Amiri" w:cs="Amiri"/>
          <w:color w:val="111111"/>
          <w:sz w:val="28"/>
          <w:sz w:val="28"/>
          <w:szCs w:val="28"/>
          <w:rtl w:val="true"/>
          <w:lang w:bidi="ar-SA"/>
        </w:rPr>
        <w:t>هذا المَوضِعِ‌</w:t>
      </w:r>
      <w:r>
        <w:rPr>
          <w:rStyle w:val="FootnoteAnchor"/>
          <w:rtl w:val="true"/>
        </w:rPr>
        <w:footnoteReference w:id="2970"/>
      </w:r>
      <w:r>
        <w:rPr>
          <w:rFonts w:ascii="Amiri" w:hAnsi="Amiri" w:eastAsia="Amiri" w:cs="Amiri"/>
          <w:color w:val="111111"/>
          <w:sz w:val="28"/>
          <w:sz w:val="28"/>
          <w:szCs w:val="28"/>
          <w:rtl w:val="true"/>
          <w:lang w:bidi="ar-SA"/>
        </w:rPr>
        <w:t>، و أنّه لا يَمتَنِعُ في التكليفِ أن يُحلِّلَ اللّٰهُ تَعالىٰ شَيئاً علىٰ قومٍ و يُحرِّمَه علىٰ آخَرينَ، و أنّ هذا غيرُ مُتَناقِضٍ و لا مُتَنافٍ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يُعوِّلُ علىٰ هذا الضربِ مِن الكلامِ مَن يُبطِلُ القياسَ مِن طريقِ العقولِ، و يَعتَقِدُ أنّ العبادةَ تَستَحيلُ أن تَرِدَ به،</w:t>
      </w:r>
      <w:r>
        <w:rPr>
          <w:rStyle w:val="FootnoteAnchor"/>
          <w:rtl w:val="true"/>
        </w:rPr>
        <w:footnoteReference w:id="2971"/>
      </w:r>
      <w:r>
        <w:rPr>
          <w:rFonts w:ascii="Amiri" w:hAnsi="Amiri" w:eastAsia="Amiri" w:cs="Amiri"/>
          <w:color w:val="111111"/>
          <w:sz w:val="28"/>
          <w:sz w:val="28"/>
          <w:szCs w:val="28"/>
          <w:rtl w:val="true"/>
          <w:lang w:bidi="ar-SA"/>
        </w:rPr>
        <w:t>و قد بيّنّا جوازَ ورودِ العبادةِ بالقياسِ، و إنّما نُحرِّمُه في الشريعةِ و لا نُثبِتُ به أحكامَها لأنّ العبادةَ ما وَرَدَت به، و لا دَلَّ دليلٌ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أيضاً يُضادُّ ما يَروونَه مِن صَومِ يَومِ الشكِّ علىٰ سَبيلِ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يَنبَغي أن يُبيِّنَ و يُوضِّحَ مَوضِعَ التضادِّ بَينَ القولَينِ في مَذهبِنا بالرؤيةِ، و بَينَ ما نَستَحِبُّه مِن صَومِ يَومِ الشكِّ علىٰ سَبيلِ الاستظهارِ، و ما تَعرَّضَ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w:t>
      </w:r>
      <w:r>
        <w:rPr>
          <w:rStyle w:val="FootnoteAnchor"/>
          <w:rtl w:val="true"/>
        </w:rPr>
        <w:footnoteReference w:id="2972"/>
      </w:r>
      <w:r>
        <w:rPr>
          <w:rFonts w:ascii="Amiri" w:hAnsi="Amiri" w:eastAsia="Amiri" w:cs="Amiri"/>
          <w:color w:val="111111"/>
          <w:sz w:val="28"/>
          <w:sz w:val="28"/>
          <w:szCs w:val="28"/>
          <w:rtl w:val="true"/>
          <w:lang w:bidi="ar-SA"/>
        </w:rPr>
        <w:t>الواجبُ علَى العبدِ إذا رأَى الهِلالَ أن لا يُبادِرَ بالقَطعِ و البَتاتِ، و أن يَتوقَّفَ مُجوِّزاً لورودِ أخبارِ البلادِ بما يَصِحُّ معه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بُعدٌ عن الصوابِ و أولىٰ بالفَسادِ، و هو مُسقِطٌ عن كافّةِ الأُمّةِ اعتقادَ أوّلِ شَهرِ رمضانَ إلىٰ أن تَتَّصِلَ بِهم أخبارُ البلادِ</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بيّنّا أنّ القِسمَ الصحيحَ مِن أقسامِه التي قَسَّمَها هو غيرُ هذا القِسمِ، و أوضَحناه، و أنّ الواجبَ علىٰ مَن رأَى الهِلالَ أن يَعتَقِدَ أنّ هذه ليلةُ‌</w:t>
      </w:r>
      <w:r>
        <w:rPr>
          <w:rStyle w:val="FootnoteAnchor"/>
          <w:rtl w:val="true"/>
        </w:rPr>
        <w:footnoteReference w:id="2973"/>
      </w:r>
      <w:r>
        <w:rPr>
          <w:rFonts w:ascii="Amiri" w:hAnsi="Amiri" w:eastAsia="Amiri" w:cs="Amiri"/>
          <w:color w:val="111111"/>
          <w:sz w:val="28"/>
          <w:sz w:val="28"/>
          <w:szCs w:val="28"/>
          <w:rtl w:val="true"/>
          <w:lang w:bidi="ar-SA"/>
        </w:rPr>
        <w:t xml:space="preserve">أوّلِ شَهرِ رمضانَ في حَقِّه و حَقِّ مَن يَجري مَجراه في رؤيتِه، و إن 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 </w:t>
      </w:r>
    </w:p>
    <w:p>
      <w:pPr>
        <w:pStyle w:val="BookText"/>
        <w:rPr/>
      </w:pPr>
      <w:r>
        <w:rPr>
          <w:rFonts w:ascii="Amiri" w:hAnsi="Amiri" w:eastAsia="Amiri" w:cs="Amiri"/>
          <w:color w:val="111111"/>
          <w:sz w:val="28"/>
          <w:sz w:val="28"/>
          <w:szCs w:val="28"/>
          <w:rtl w:val="true"/>
          <w:lang w:bidi="ar-SA"/>
        </w:rPr>
        <w:t>في بعضِ البلادِ، و يَختَلِفُ فَرضُ مَن رآه تلكَ الليلةِ و مَن لَم يَرَه و يُخبَرْ عنه، غيرَ أنّه و إن قَطَعَ بالرؤيةِ علىٰ أنّه أوّلُ يَومٍ مِن شَهرِ رمضانَ، فلا بُدَّ أن يَكونَ ذلكَ مشروطاً بأن لا يَرِدَ الخبرُ الصحيحُ بأنّه رُئيَ قَبلَ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صامَ بالاتّفاقِ و علىٰ سَبيلِ الشكِّ اليومَ الذي رآه غيرُه في ليلةٍ أُخرىٰ، أجزأَ ذلكَ عنه، و سَقَطَ عنه فَرضُ قَضائه، و كان مؤَدّياً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يَتَّفِقْ له صَومُ ذلكَ اليومِ، كانَ عليه قَضاءُ صيامِه، و لا إثمَ عليه و 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السبيلُ لِمَن لَم يَرَ الهِلالَ إلَى العِلمِ بأنّه قد رُئيَ في بعضِ الجِهاتِ، فيُبيِّتَ له النيّةَ في فَرضِ الصيامِ؟ بَل كَيفَ يَصنَعُ مَن رآه إذا اتَّصَلَ به أنّه ظَهَرَ قَبلَ تلكَ الليلةِ للناسِ؟ و متىٰ‌</w:t>
      </w:r>
      <w:r>
        <w:rPr>
          <w:rStyle w:val="FootnoteAnchor"/>
          <w:rtl w:val="true"/>
        </w:rPr>
        <w:footnoteReference w:id="2974"/>
      </w:r>
      <w:r>
        <w:rPr>
          <w:rFonts w:ascii="Amiri" w:hAnsi="Amiri" w:eastAsia="Amiri" w:cs="Amiri"/>
          <w:color w:val="111111"/>
          <w:sz w:val="28"/>
          <w:sz w:val="28"/>
          <w:szCs w:val="28"/>
          <w:rtl w:val="true"/>
          <w:lang w:bidi="ar-SA"/>
        </w:rPr>
        <w:t>يَستَدرِكُ النيّةَ و الاعتقادَ في أمرٍ قد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بيّنّا كَيفَ السبيلُ لِمَن لَم يَرَه إلَى العِلمِ بأنّه قد رُئيَ في بعضِ تلكَ الجِهاتِ قَبلَ تلكَ الليلةِ، و هو أن يُخبِرَه عن ذلكَ مَن يَثِقُ بعَدالتِه و أمانتِه، فيُبيِّتَ له النيّةَ؛ و إذا كانَ ما</w:t>
      </w:r>
      <w:r>
        <w:rPr>
          <w:rStyle w:val="FootnoteAnchor"/>
          <w:rtl w:val="true"/>
        </w:rPr>
        <w:footnoteReference w:id="2975"/>
      </w:r>
      <w:r>
        <w:rPr>
          <w:rFonts w:ascii="Amiri" w:hAnsi="Amiri" w:eastAsia="Amiri" w:cs="Amiri"/>
          <w:color w:val="111111"/>
          <w:sz w:val="28"/>
          <w:sz w:val="28"/>
          <w:szCs w:val="28"/>
          <w:rtl w:val="true"/>
          <w:lang w:bidi="ar-SA"/>
        </w:rPr>
        <w:t>فاتَه صيامُ ذلكَ اليومِ، فقَد بيّنّا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رآه في بعضِ الليالي، و صَحَّ عندَه أنّه ظَهَرَ قَبلَ تلكَ الليلةِ، و لَم يَكُن صامَ ذلكَ اليومَ بنيّةِ النَّفلِ، فعَلَيه القَضاءُ علىٰ ما بيّنّاه، و لَيسَ عليه مِن الاستدراكِ أكثَرُ مِن أن يَصومَ يَوماً و يَعتَقِدَ أنّه قَضاءُ ذلكَ اليومِ الفائتِ</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 أنّ إيجابَهم لصَومِ يَومِ الشكِّ لا يُسقِطُ ما لَزِمَهم في هذا الكلامِ؛ لأنّا سأَلناهم عن النيّةِ و الاعتقادِ، و لَيسَ يُمكِنُهم القولُ بأنّ يَومَ الشكِّ مِن شَهرِ رمضانَ، و لا يَجِبُ علىٰ مَن أفطَرَه ما يَجِبُ علىٰ مَن أفطَرَ يَوماً فُرِضَ عليه </w:t>
      </w:r>
    </w:p>
    <w:p>
      <w:pPr>
        <w:pStyle w:val="BookText"/>
        <w:rPr/>
      </w:pPr>
      <w:r>
        <w:rPr>
          <w:rFonts w:ascii="Amiri" w:hAnsi="Amiri" w:eastAsia="Amiri" w:cs="Amiri"/>
          <w:color w:val="111111"/>
          <w:sz w:val="28"/>
          <w:sz w:val="28"/>
          <w:szCs w:val="28"/>
          <w:rtl w:val="true"/>
          <w:lang w:bidi="ar-SA"/>
        </w:rPr>
        <w:t>فيه الصيامُ، و الشكُّ فيه يَمنَعُ مِن النيّةِ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 غيرُ صحيحٍ؛ لأنّا لا نوجِبُ صيامَ يَومِ الشكِّ، و لا أحَدٌ مِن المُسلِمينَ أوجَبَه، و إنّما نَستَحِبُّه، و يُروىٰ فيه فَضلٌ، و استظهارٌ للفَرضِ</w:t>
      </w:r>
      <w:r>
        <w:rPr>
          <w:rFonts w:eastAsia="Amiri" w:cs="Amiri" w:ascii="Amiri" w:hAnsi="Amiri"/>
          <w:color w:val="111111"/>
          <w:sz w:val="28"/>
          <w:szCs w:val="28"/>
          <w:rtl w:val="true"/>
          <w:lang w:bidi="ar-SA"/>
        </w:rPr>
        <w:t>.</w:t>
      </w:r>
      <w:r>
        <w:rPr>
          <w:rStyle w:val="FootnoteAnchor"/>
          <w:rtl w:val="true"/>
        </w:rPr>
        <w:footnoteReference w:id="2976"/>
      </w:r>
      <w:r>
        <w:rPr>
          <w:rFonts w:ascii="Amiri" w:hAnsi="Amiri" w:eastAsia="Amiri" w:cs="Amiri"/>
          <w:color w:val="111111"/>
          <w:sz w:val="28"/>
          <w:sz w:val="28"/>
          <w:szCs w:val="28"/>
          <w:rtl w:val="true"/>
          <w:lang w:bidi="ar-SA"/>
        </w:rPr>
        <w:t>و إنّما نَستَجيزُ صَومَه بنيّةِ النَّفلِ و التطوُّعِ؛ فإنِ اتَّفَقَ أن يَظهَرَ أنّه مِن شَهرِ رمضانَ، فقَد أجزأَ</w:t>
      </w:r>
      <w:r>
        <w:rPr>
          <w:rStyle w:val="FootnoteAnchor"/>
          <w:rtl w:val="true"/>
        </w:rPr>
        <w:footnoteReference w:id="2977"/>
      </w:r>
      <w:r>
        <w:rPr>
          <w:rFonts w:ascii="Amiri" w:hAnsi="Amiri" w:eastAsia="Amiri" w:cs="Amiri"/>
          <w:color w:val="111111"/>
          <w:sz w:val="28"/>
          <w:sz w:val="28"/>
          <w:szCs w:val="28"/>
          <w:rtl w:val="true"/>
          <w:lang w:bidi="ar-SA"/>
        </w:rPr>
        <w:t>ذلكَ الصيامُ، و وَقَعَ في مَوقِعِه و لا قَضاءَ عليه؛ و إن لَم يَتَّفِقْ ظهورُ أنّه مِن شَهرِ رمضانَ، كانَ صائمُ ذلكَ اليومِ مُثاباً عليه ثَوابَ النَّفلِ و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يُمكِنُهم القولُ بأنّ يَومَ الشكِّ مِن شَهرِ رمضانَ، و لا يَجِبُ علىٰ مَن أفطَرَه ما يَجِبُ علىٰ مَن أفطَرَ يَوماً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فبَعيدٌ عن الصوابِ؛ لأنّا لا نوجِبُ صيامَ يَومِ الشكِّ علىٰ ما قَدَّمنا ذِكرَه، و يَومُ الشكِّ إنّما هو اليومُ الذي يُجوِّزُ المُكلَّفونَ أن يَرَوا الهِلالَ في ليلتِه فيَحكُموا أنّه مِن شَهرِ رمضانَ و يَخرُجَ مِن أن يَستَحِقَّ اسمَ الشكِّ، فما لا يُجوِّزونَ أن يَرَوا الهِلالَ في تلكَ الليلةِ و لا يُخبِرَهم عن رؤيتِه مُخبِرٌ، يَقَعُ القَطعُ علىٰ أنّه مِن شَعبانَ و يَزولُ عنه اسمُ الشكِّ أيضاً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لَسنا نَقولُ بأنّ يَومَ الشكِّ يَومٌ مِن شَهرِ رمضانَ علَى الإطلاقِ، بَل علَى القِسمةِ الصحيحةِ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أفطَرَ يَومَ الشكِّ و لَم يَرَ الهِلالَ و لا أُخبِرَ عنه، فلا إثمَ عليه و 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رآه في ليلةِ يَومِ الشكِّ أو أُخبِرَ عن رؤيتِه، فالذي يَجِبُ عليه أن يَقضيَ إن كانَ ما صامَ ذلكَ اليومَ؛ و إن كانَ قد اتَّفَقَ له صيامُه بنيّةِ النَّفلِ، فلا قَضاءَ عليه</w:t>
      </w:r>
      <w:r>
        <w:rPr>
          <w:rFonts w:eastAsia="Amiri" w:cs="Amiri" w:ascii="Amiri" w:hAnsi="Amiri"/>
          <w:color w:val="111111"/>
          <w:sz w:val="28"/>
          <w:szCs w:val="28"/>
          <w:rtl w:val="true"/>
          <w:lang w:bidi="ar-SA"/>
        </w:rPr>
        <w:t xml:space="preserve">. </w:t>
      </w:r>
      <w:bookmarkStart w:id="1159" w:name="pg16437_172868"/>
    </w:p>
    <w:p>
      <w:pPr>
        <w:pStyle w:val="Heading6"/>
        <w:numPr>
          <w:ilvl w:val="5"/>
          <w:numId w:val="1"/>
        </w:numPr>
        <w:rPr/>
      </w:pPr>
      <w:bookmarkStart w:id="1160" w:name="__RefHeading___Toc8040301_1280447820"/>
      <w:bookmarkStart w:id="1161" w:name="_Toc425"/>
      <w:bookmarkEnd w:id="1159"/>
      <w:bookmarkEnd w:id="1160"/>
      <w:r>
        <w:rPr>
          <w:rtl w:val="true"/>
        </w:rPr>
        <w:t>الكلامُ في صَومِ يَومِ الشكِّ، و فرقُه مع صومِ المسجونِ‌</w:t>
      </w:r>
      <w:bookmarkEnd w:id="1161"/>
    </w:p>
    <w:p>
      <w:pPr>
        <w:pStyle w:val="BookText"/>
        <w:rPr/>
      </w:pPr>
      <w:r>
        <w:rPr>
          <w:rFonts w:ascii="Amiri" w:hAnsi="Amiri" w:eastAsia="Amiri" w:cs="Amiri"/>
          <w:color w:val="111111"/>
          <w:sz w:val="28"/>
          <w:sz w:val="28"/>
          <w:szCs w:val="28"/>
          <w:rtl w:val="true"/>
          <w:lang w:bidi="ar-SA"/>
        </w:rPr>
        <w:t>ثُمّ 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التَبَسَ الأمرُ عليهم في هذا البابِ، فظَنّوا أنّ صَومَ يَومِ الشكِّ بغَيرِ اعتقادِ أنّه مِن شَهرِ رمضانَ يُغني عن الاعتقادِ إذا كانَ منه، و يَجري مَجرىٰ بقيّةِ الأيّامِ؛ قياساً علَى المسجونِ إذا كانَ قد صامَ شَهراً علَى الكمالِ فصادَفَ ذلكَ شَهرَ رمضانَ علَى الاتّفاقِ مِن غيرِ عِلمٍ بذلكَ، و أنّه يُجزئُه عن الفَرضِ عليه مِن صَومِه في شَريعةِ الإسلامِ و إن لَم يُقدِّمِ النيّةَ و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واضحٌ بَينَ الصومَينِ بِلا ارتيابٍ؛ و ذلكَ أنّ أفعالَ الاضطرارِ لا تُقاسُ عليها أُمورُ التمكُّنِ و الاختيارِ، و معلومٌ تَبايُنُ الممنوعِ و المُطلَقِ، و مَن يَتمكَّنُ مِن السؤالِ و ارتقابِ الهِلالِ و مَن لا يَقدِرُ، و ما هُما إلّا كالعاجزِ و القادرِ؛ فالمُماثَلةُ فيما هذا سَبيلُه باطلةٌ، و القياسُ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نَقولُه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حَكيتَ عنّا أنّا نَقيسُ مَن خَفيَ عليه الهِلالُ ليلةَ يومِ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يَرَه و لَم يُخبَرْ عن رؤيتِه، فصامَه بنيّةِ النَّفلِ، ثُمّ ظَهَرَ بالخبرِ أنّه رُئيَ و أنّه مِن شَهرِ رمضانَ، في أنّه يُجزئُ عنه صيامُه، و إن لَم يَصِحَّ بنيّةِ الفَرضِ، و لا يَجِبُ عليه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لا نَقيسُ هذا علىٰ ذاكَ، و لا نَرَى القياسَ في الأحكامِ، و إنّما سَوَّينا بَينَهما في صِحّةِ الصيامِ و إجزائه و أنّه لا قضاءَ فيه عليه بدليلٍ يوجِبُ العِلمَ، و لَو لَم يَكُن في ذلكَ إلّاإجماعُ الفِرقةِ المُحِقّةِ مِن الشيعةِ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إجماعُهم حُجّةٌ؛ لدخولِ المعصومِ عليه السلامُ فيه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حالَ الضرورةِ لا تُقاسُ علَى الاختيارِ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بيّنّا أنّا لا نَقيسُ حالاً علىٰ أُخرىٰ؛ علىٰ أنّه إن رَضيَ لنفسِه بهذا القَدرِ مِن الفَرقِ، فالحالانِ مُتَساويانِ في الضرورةِ و نفيِ الاختيارِ؛ لأنّ المسجونَ كَما لا قُدرةَ له و لا سَبيلَ إلىٰ أن يَعلَمَ تَعيُّنَ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يَتمكَّنُ مِن رؤيةِ الهِلالِ و لا مِن سؤالِ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مَن غُمَّ عليه الهِلالُ ليلةَ يومِ الشكِّ، فلَم يَرَه و لا خُبِّرَ برؤيتِه، و لا سَبيلَ له إلَى العِلمِ بأنّ ذلكَ اليومَ مِن شَهرِ رمضانَ، فهو أيضاً كالمُضطَرِّ الذي لا قُدرةَ له علَى العِلمِ بأنّ ذلكَ اليومَ مِن شَهرِ رمضانَ، فجَرىٰ مَجرَى المسجونِ في سُقوطِ الفَرضِ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تَجاسَرَ أحَدُهم علَى ادّعاءِ المُماثَلةِ بَينَهما</w:t>
      </w:r>
      <w:r>
        <w:rPr>
          <w:rStyle w:val="FootnoteAnchor"/>
          <w:rtl w:val="true"/>
        </w:rPr>
        <w:footnoteReference w:id="2978"/>
      </w:r>
      <w:r>
        <w:rPr>
          <w:rFonts w:ascii="Amiri" w:hAnsi="Amiri" w:eastAsia="Amiri" w:cs="Amiri"/>
          <w:color w:val="111111"/>
          <w:sz w:val="28"/>
          <w:sz w:val="28"/>
          <w:szCs w:val="28"/>
          <w:rtl w:val="true"/>
          <w:lang w:bidi="ar-SA"/>
        </w:rPr>
        <w:t>في الاضطرارِ، أتىٰ بالفَظيعِ مِن الكلامِ، و أدخَلَ سائرَ الأُمّةِ في حُكمِ الاضطرارِ، و فَتَحَ علىٰ نفسِه باباً مِن الإلزامِ في تكليفِ ما لا يُطاقُ؛ لأنّه لا فَرقَ بَينَ أن يُكلِّفَ اللّٰهُ العبادَ صَومَ شَهرِ رمضانَ علَى الكمالِ و لا يَجعَلَ لهُم علىٰ مَعرِفةِ أوّلِه دليلاً إلّادليلَ شَكٍّ و ارتيابٍ يَلتَجئُ معه المُكلَّفونَ إلىٰ أحكامِ الاضطرارِ، و بَينَ أن يَفرِضَ عليهم أمراً و يُعدِمَهم ما يَتوصَّلونَ به إليه علىٰ كُلِّ حالٍ حتّىٰ يُدخِلَهم ذلكَ في حَيِّزِ الإجبارِ؛ وهذا ما يُنكِرُه مُعتَقِدو العَدلِ مِن كافّةِ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اللّٰهُ تَعالىٰ قد بَعَثَ رسولَه صَلَّى اللّٰهُ عليه و آلِه ليُبيِّنَ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w:t>
      </w:r>
      <w:r>
        <w:rPr>
          <w:rStyle w:val="FootnoteAnchor"/>
          <w:rtl w:val="true"/>
        </w:rPr>
        <w:footnoteReference w:id="2979"/>
      </w:r>
      <w:r>
        <w:rPr>
          <w:rFonts w:ascii="Amiri" w:hAnsi="Amiri" w:eastAsia="Amiri" w:cs="Amiri"/>
          <w:color w:val="111111"/>
          <w:sz w:val="28"/>
          <w:sz w:val="28"/>
          <w:szCs w:val="28"/>
          <w:rtl w:val="true"/>
          <w:lang w:bidi="ar-SA"/>
        </w:rPr>
        <w:t xml:space="preserve">وجهٌ للبيانِ في دليلِ فَرضٍ يَعتَرِضُه اللَّبسُ؟ و أينَ مَوضِعُ </w:t>
      </w:r>
    </w:p>
    <w:p>
      <w:pPr>
        <w:pStyle w:val="BookText"/>
        <w:rPr/>
      </w:pPr>
      <w:r>
        <w:rPr>
          <w:rFonts w:ascii="Amiri" w:hAnsi="Amiri" w:eastAsia="Amiri" w:cs="Amiri"/>
          <w:color w:val="111111"/>
          <w:sz w:val="28"/>
          <w:sz w:val="28"/>
          <w:szCs w:val="28"/>
          <w:rtl w:val="true"/>
          <w:lang w:bidi="ar-SA"/>
        </w:rPr>
        <w:t>الإشكالِ إلّافي عبادةٍ افتتاحُها الشكُّ؟</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الفظيعُ مِن الكلامِ و الشنيعُ مِن المَذهبِ إلّاما عُوِّلَ عليه في هذا الفَصلِ؛ لأنّكَ ظَنَنتَ أنّ خُصومَكَ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فَرَضَ صَومَ الشكِّ علىٰ مَن لَم يَدُلَّه عليه و لَم يُرشِدْه إلىٰ طريقِ العِلمِ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ألزَمتَ علىٰ ذلكَ تكليفَه ما لا يُطاقُ؛ و هذا ما لا يَقولُه مِن الخُصومِ، و لا غيرِهم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أوّلِ يَومٍ مِن شَهرِ رمضانَ لا يَجِبُ إلّاعلىٰ مَن دَلَّه اللّٰهُ عليه؛ إمّا برؤيتِه نفسِه الهِلالَ، أو بأن يُخبِرَه عنه مَن يَجِبُ عليه الرجوعُ إلىٰ قولِه، فأمّا مَن عَدِمَ رؤيتَه فصَومُ ذلكَ اليومِ لَيسَ مِن فَرضِه و لا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لا يُطِيقُ مَعرِفةَ كَونِ هذا اليومِ مِن شَهرِ رمضانَ ما تَوجَّهَ إليه قَطُّ تكليفُ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علىٰ هذا كُلُّ المسائلِ التي ذَكَرناها فيما تَقدَّمَ في القِبلةِ و الصلاةِ و الأحداثِ، حتّىٰ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يُكلِّفُ اللّٰهُ تَعالىٰ مُكلَّفاً التوجُّهَ إلَى الكعبةِ بعَينِها، و لا يَنصِبُ له دليلاً عليها يَعلَمُ به أنّه مُتَوجِّهٌ إلىٰ جِهتِها؛ لأنّه إذا كانَ بَعيداً عنها، فإنّما يَتوجَّهُ إلىٰ حَيثُ يَظُنُّ أنّه جِهةُ الكعبةِ مِن غيرِ تحقيقٍ و لا قَطعٍ؟ و هَل هذا إلّا تكليفُ ما لا يُطاقُ؟ و كذلكَ القولُ في سائرِ المسائلِ التي أشَرنا إلىٰ بعضِها، و هي كثيرةٌ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الرسولُ صَلَّى اللّٰهُ عليه و</w:t>
      </w:r>
      <w:r>
        <w:rPr>
          <w:rStyle w:val="FootnoteAnchor"/>
          <w:rtl w:val="true"/>
        </w:rPr>
        <w:footnoteReference w:id="2980"/>
      </w:r>
      <w:r>
        <w:rPr>
          <w:rFonts w:ascii="Amiri" w:hAnsi="Amiri" w:eastAsia="Amiri" w:cs="Amiri"/>
          <w:color w:val="111111"/>
          <w:sz w:val="28"/>
          <w:sz w:val="28"/>
          <w:szCs w:val="28"/>
          <w:rtl w:val="true"/>
          <w:lang w:bidi="ar-SA"/>
        </w:rPr>
        <w:t>آلِه، فقَد بَيَّنَ لنا هذه المَواضعَ بما لا يَعتَرِضُه لَبسٌ و لا يَدخُلُه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تأمَّلَ ما فَصَّلناه و قَسَّمناه، عَلِمَ أنّه لا لَبسَ و لا إشكالَ في هذه العبادةِ</w:t>
      </w:r>
      <w:r>
        <w:rPr>
          <w:rFonts w:eastAsia="Amiri" w:cs="Amiri" w:ascii="Amiri" w:hAnsi="Amiri"/>
          <w:color w:val="111111"/>
          <w:sz w:val="28"/>
          <w:szCs w:val="28"/>
          <w:rtl w:val="true"/>
          <w:lang w:bidi="ar-SA"/>
        </w:rPr>
        <w:t xml:space="preserve">. </w:t>
      </w:r>
      <w:bookmarkStart w:id="1162" w:name="pg16437_172871"/>
    </w:p>
    <w:p>
      <w:pPr>
        <w:pStyle w:val="Heading6"/>
        <w:numPr>
          <w:ilvl w:val="5"/>
          <w:numId w:val="1"/>
        </w:numPr>
        <w:rPr/>
      </w:pPr>
      <w:bookmarkStart w:id="1163" w:name="__RefHeading___Toc8040303_1280447820"/>
      <w:bookmarkStart w:id="1164" w:name="_Toc426"/>
      <w:bookmarkEnd w:id="1162"/>
      <w:bookmarkEnd w:id="1163"/>
      <w:r>
        <w:rPr>
          <w:rtl w:val="true"/>
        </w:rPr>
        <w:t>الدليل الثامن</w:t>
      </w:r>
      <w:r>
        <w:rPr>
          <w:rtl w:val="true"/>
        </w:rPr>
        <w:t xml:space="preserve">: </w:t>
      </w:r>
      <w:r>
        <w:rPr>
          <w:rtl w:val="true"/>
        </w:rPr>
        <w:t xml:space="preserve">خبر </w:t>
      </w:r>
      <w:r>
        <w:rPr>
          <w:rtl w:val="true"/>
        </w:rPr>
        <w:t>«</w:t>
      </w:r>
      <w:r>
        <w:rPr>
          <w:rtl w:val="true"/>
        </w:rPr>
        <w:t>يَومُ صَومِكم يَومُ نَحرِكم</w:t>
      </w:r>
      <w:r>
        <w:rPr>
          <w:rtl w:val="true"/>
        </w:rPr>
        <w:t>»</w:t>
      </w:r>
      <w:bookmarkEnd w:id="1164"/>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أُخرىٰ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رَوَيتم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صَومِكم يَومُ نَحرِكم</w:t>
      </w:r>
      <w:r>
        <w:rPr>
          <w:rFonts w:eastAsia="Amiri" w:cs="Amiri" w:ascii="Amiri" w:hAnsi="Amiri"/>
          <w:color w:val="111111"/>
          <w:sz w:val="28"/>
          <w:szCs w:val="28"/>
          <w:rtl w:val="true"/>
          <w:lang w:bidi="ar-SA"/>
        </w:rPr>
        <w:t>»</w:t>
      </w:r>
      <w:r>
        <w:rPr>
          <w:rStyle w:val="FootnoteAnchor"/>
          <w:rtl w:val="true"/>
        </w:rPr>
        <w:footnoteReference w:id="2981"/>
      </w:r>
      <w:r>
        <w:rPr>
          <w:rFonts w:ascii="Amiri" w:hAnsi="Amiri" w:eastAsia="Amiri" w:cs="Amiri"/>
          <w:color w:val="111111"/>
          <w:sz w:val="28"/>
          <w:sz w:val="28"/>
          <w:szCs w:val="28"/>
          <w:rtl w:val="true"/>
          <w:lang w:bidi="ar-SA"/>
        </w:rPr>
        <w:t>فما الحاجةُ إلىٰ ذلكَ و علَى الرؤيةِ مُعَوَّلُكُم؟ بَل كَيفَ يَصِحُّ ما ذَكَرتموه علىٰ أصلِ مُعتَقَدِكم لِما تُجيزونَه مِن تَتابُع ثَلاثةِ شُهورٍ ناقصةٍ و تَوالي ثَلاثةٍ أُخرىٰ تامّةٍ؟ و كَيفَ يُوافِقُ مع ذلكَ أوّلُ يَومٍ مِن شَهرِ رمضانَ ليومِ العاشرِ مِن ذي الحِجّةِ أبَداً مِن غيرِ اختلافٍ؟</w:t>
      </w:r>
    </w:p>
    <w:p>
      <w:pPr>
        <w:pStyle w:val="BookText"/>
        <w:rPr/>
      </w:pPr>
      <w:r>
        <w:rPr>
          <w:rFonts w:ascii="Amiri" w:hAnsi="Amiri" w:eastAsia="Amiri" w:cs="Amiri"/>
          <w:color w:val="111111"/>
          <w:sz w:val="28"/>
          <w:sz w:val="28"/>
          <w:szCs w:val="28"/>
          <w:rtl w:val="true"/>
          <w:lang w:bidi="ar-SA"/>
        </w:rPr>
        <w:t>فهَل يَصِحُّ هذا إلّامِن طَريقِ أصحابِ العَدَدِ؛ لقَولِهم بتَمامِ شَهرِ رمضانَ و نُقصانِ شَوّالٍ، و أنّ ذا القَعدةِ تامٌّ كشَهرِ رمضانَ، فيَكونُ يَومُ الصومِ أبداً مُوافِقاً ليومِ النحرِ علَى اتّساقٍ و نِظامٍ؟</w:t>
      </w:r>
    </w:p>
    <w:p>
      <w:pPr>
        <w:pStyle w:val="BookText"/>
        <w:rPr/>
      </w:pPr>
      <w:r>
        <w:rPr>
          <w:rFonts w:ascii="Amiri" w:hAnsi="Amiri" w:eastAsia="Amiri" w:cs="Amiri"/>
          <w:color w:val="111111"/>
          <w:sz w:val="28"/>
          <w:sz w:val="28"/>
          <w:szCs w:val="28"/>
          <w:rtl w:val="true"/>
          <w:lang w:bidi="ar-SA"/>
        </w:rPr>
        <w:t>فما تَصنَعونَ في هذا الخبرِ مع اشتهارِه؟ أ تَقبَلونَه و إن خالَفَ ما أنتم عليه في أصلِ الاعتقادِ، أو تَلتَجِئونَ فيه إلَى الدفعِ و الإنكارِ؟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الخبرُ، فغَيرُ واردٍ مَورِدَ الحُجّةِ؛ لأنّه خبرٌ غيرُ مقطوعٍ عليه، و لا </w:t>
      </w:r>
    </w:p>
    <w:p>
      <w:pPr>
        <w:pStyle w:val="BookText"/>
        <w:rPr/>
      </w:pPr>
      <w:r>
        <w:rPr>
          <w:rFonts w:ascii="Amiri" w:hAnsi="Amiri" w:eastAsia="Amiri" w:cs="Amiri"/>
          <w:color w:val="111111"/>
          <w:sz w:val="28"/>
          <w:sz w:val="28"/>
          <w:szCs w:val="28"/>
          <w:rtl w:val="true"/>
          <w:lang w:bidi="ar-SA"/>
        </w:rPr>
        <w:t>معلومٍ؛ و قد بيّنّا أنّ أخبارَ الآحادِ لا يَجِبُ العملُ بها في الشريعةِ، و إنِ‌</w:t>
      </w:r>
      <w:r>
        <w:rPr>
          <w:rStyle w:val="FootnoteAnchor"/>
          <w:rtl w:val="true"/>
        </w:rPr>
        <w:footnoteReference w:id="2982"/>
      </w:r>
      <w:r>
        <w:rPr>
          <w:rFonts w:ascii="Amiri" w:hAnsi="Amiri" w:eastAsia="Amiri" w:cs="Amiri"/>
          <w:color w:val="111111"/>
          <w:sz w:val="28"/>
          <w:sz w:val="28"/>
          <w:szCs w:val="28"/>
          <w:rtl w:val="true"/>
          <w:lang w:bidi="ar-SA"/>
        </w:rPr>
        <w:t xml:space="preserve">اعتُمِدَ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عُوِّلَ علىٰ سَرابٍ بِقيعةٍ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يَجِبُ علينا أن نَتأوَّلَ خبراً لا نَقطَعُ به و لا نَعلَمُ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يَجوزُ علىٰ سَبيلِ التسهيلِ ما عَوَّلَ عليه بعضُ أصحابِنا في تأويلِ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ذلكَ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سَنةٌ بعَينِها اتَّفَقَ فيها أنّ أوّلَ الصومِ كانَ مُوافِقاً للنحرِ، فحُمِلَ علَى الخصوصِ دونَ العمومِ؛ لأنّه لا يَصِحُّ فيه العمومُ، و شَهادةُ الاستقراءِ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 في تأويلِ الخبرِ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أنّ يَومَ الصومِ يَجري في وجوبِ الأحكامِ المشروعةِ و لزومِها مَجرىٰ يَومِ النحرِ في الأحكامِ المُتعلِّقةِ به، و المُرادُ بذلكَ تحقيقُ المُماثَلةِ و المُساواةِ، كما يَقولُ القائلُ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صَلاتُكم مِثلُ صَومِكم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العَصرِ هي صَلاةُ 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يُريدُ الأعَمَّ، و يُريدُ المُماثَلةَ و المُساواةَ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بَيِّنٌ</w:t>
      </w:r>
      <w:r>
        <w:rPr>
          <w:rFonts w:eastAsia="Amiri" w:cs="Amiri" w:ascii="Amiri" w:hAnsi="Amiri"/>
          <w:color w:val="111111"/>
          <w:sz w:val="28"/>
          <w:szCs w:val="28"/>
          <w:rtl w:val="true"/>
          <w:lang w:bidi="ar-SA"/>
        </w:rPr>
        <w:t xml:space="preserve">. </w:t>
      </w:r>
      <w:bookmarkStart w:id="1165" w:name="pg16437_172873"/>
    </w:p>
    <w:p>
      <w:pPr>
        <w:pStyle w:val="Heading5"/>
        <w:numPr>
          <w:ilvl w:val="4"/>
          <w:numId w:val="1"/>
        </w:numPr>
        <w:rPr/>
      </w:pPr>
      <w:bookmarkStart w:id="1166" w:name="__RefHeading___Toc8040305_1280447820"/>
      <w:bookmarkStart w:id="1167" w:name="_Toc427"/>
      <w:bookmarkEnd w:id="1165"/>
      <w:bookmarkEnd w:id="1166"/>
      <w:r>
        <w:rPr>
          <w:rtl w:val="true"/>
        </w:rPr>
        <w:t>الفصلُ الثالثُ مُناقَشةُ ما رَدَّ به صاحبُ الكتابِ أدلّةَ القائلينَ بالرؤيةِ‌</w:t>
      </w:r>
      <w:bookmarkEnd w:id="1167"/>
    </w:p>
    <w:p>
      <w:pPr>
        <w:pStyle w:val="Heading6"/>
        <w:numPr>
          <w:ilvl w:val="5"/>
          <w:numId w:val="1"/>
        </w:numPr>
        <w:rPr/>
      </w:pPr>
      <w:bookmarkStart w:id="1168" w:name="__RefHeading___Toc8040307_1280447820"/>
      <w:bookmarkStart w:id="1169" w:name="_Toc428"/>
      <w:bookmarkEnd w:id="1168"/>
      <w:r>
        <w:rPr>
          <w:rtl w:val="true"/>
        </w:rPr>
        <w:t>الدليل الأوّل</w:t>
      </w:r>
      <w:r>
        <w:rPr>
          <w:rtl w:val="true"/>
        </w:rPr>
        <w:t xml:space="preserve">: </w:t>
      </w:r>
      <w:r>
        <w:rPr>
          <w:rtl w:val="true"/>
        </w:rPr>
        <w:t>آية الأهلّة</w:t>
      </w:r>
      <w:bookmarkEnd w:id="1169"/>
    </w:p>
    <w:p>
      <w:pPr>
        <w:pStyle w:val="BookText"/>
        <w:rPr/>
      </w:pPr>
      <w:r>
        <w:rPr>
          <w:rFonts w:ascii="Amiri" w:hAnsi="Amiri" w:eastAsia="Amiri" w:cs="Amiri"/>
          <w:color w:val="111111"/>
          <w:sz w:val="28"/>
          <w:sz w:val="28"/>
          <w:szCs w:val="28"/>
          <w:rtl w:val="true"/>
          <w:lang w:bidi="ar-SA"/>
        </w:rPr>
        <w:t>ثُمّ 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أُخرىٰ لهُم وجوابُها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سَألوا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اَلْأَهِلَّةِ قُلْ هِيَ مَوٰاقِيتُ لِلنّٰاسِ وَ اَلْحَجِّ</w:t>
      </w:r>
      <w:r>
        <w:rPr>
          <w:rFonts w:eastAsia="Amiri" w:cs="Amiri" w:ascii="Amiri" w:hAnsi="Amiri"/>
          <w:color w:val="111111"/>
          <w:sz w:val="28"/>
          <w:szCs w:val="28"/>
          <w:rtl w:val="true"/>
          <w:lang w:bidi="ar-SA"/>
        </w:rPr>
        <w:t>» .</w:t>
      </w:r>
      <w:r>
        <w:rPr>
          <w:rStyle w:val="FootnoteAnchor"/>
          <w:rtl w:val="true"/>
        </w:rPr>
        <w:footnoteReference w:id="2983"/>
      </w:r>
    </w:p>
    <w:p>
      <w:pPr>
        <w:pStyle w:val="BookText"/>
        <w:rPr/>
      </w:pPr>
      <w:r>
        <w:rPr>
          <w:rFonts w:ascii="Amiri" w:hAnsi="Amiri" w:eastAsia="Amiri" w:cs="Amiri"/>
          <w:color w:val="111111"/>
          <w:sz w:val="28"/>
          <w:sz w:val="28"/>
          <w:szCs w:val="28"/>
          <w:rtl w:val="true"/>
          <w:lang w:bidi="ar-SA"/>
        </w:rPr>
        <w:t>و أجمَعَ الكافّةُ علىٰ أنّها شُهورٌ قمريّةٌ،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أجازَ لكُم الاعتبارَ بغَيرِ القمرِ؟ و هَل انصرافُكم إلَى العَدَدِ إلّاخِلافُ الإجماعِ؟</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به النصُّ و تَقرَّرَ عليه الإجماعُ، فهو مُسلَّمٌ علىٰ كُلِّ حالٍ؛ لكِنّ وجودَ الاتّفاقِ علىٰ أنّ الهِلالَ ميقاتٌ لا يُحيلُ الاختلافَ فيما يُعرَفُ به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حصولُ الموافَقةِ علىٰ أنّها شُهورٌ لا تُضادُّ المُمانَعةَ في الاستدلالِ عليها بالرؤيةِ؛ إذ لَيسَ مِن شَرطِ المَواقيتِ </w:t>
      </w:r>
    </w:p>
    <w:p>
      <w:pPr>
        <w:pStyle w:val="BookText"/>
        <w:rPr/>
      </w:pPr>
      <w:r>
        <w:rPr>
          <w:rFonts w:ascii="Amiri" w:hAnsi="Amiri" w:eastAsia="Amiri" w:cs="Amiri"/>
          <w:color w:val="111111"/>
          <w:sz w:val="28"/>
          <w:sz w:val="28"/>
          <w:szCs w:val="28"/>
          <w:rtl w:val="true"/>
          <w:lang w:bidi="ar-SA"/>
        </w:rPr>
        <w:t>اختصاصُ العِلمِ مِن جِهةِ مُشاهَدتِها، و لا لأنّ الشهورَ العربيّةَ قمريّةٌ وَجَبَ الاستدلالُ علىٰ أوائلِها برؤيةِ أهِلّتِها؛ و لَو كانَ ذلكَ واجباً، لَدَلَّت العقولُ عليه، و شَهِدَت بقُبحِ الاختلافِ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فلا يَخلو الطريقُ إلىٰ مَعرِفةِ هذا الميقاتِ مِن أن تَكونَ المُشاهَدةَ له و العِيانَ، أو العَدَدَ الدالَّ عليه 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مُحالٌ أن تَكونَ الرؤيةُ هي</w:t>
      </w:r>
      <w:r>
        <w:rPr>
          <w:rStyle w:val="FootnoteAnchor"/>
          <w:rtl w:val="true"/>
        </w:rPr>
        <w:footnoteReference w:id="2984"/>
      </w:r>
      <w:r>
        <w:rPr>
          <w:rFonts w:ascii="Amiri" w:hAnsi="Amiri" w:eastAsia="Amiri" w:cs="Amiri"/>
          <w:color w:val="111111"/>
          <w:sz w:val="28"/>
          <w:sz w:val="28"/>
          <w:szCs w:val="28"/>
          <w:rtl w:val="true"/>
          <w:lang w:bidi="ar-SA"/>
        </w:rPr>
        <w:t>أَولىٰ بالاستدلالِ؛ لِما يَقَعُ فيها مِن الاختلافِ و الشكِّ، و ذلكَ أنّ رؤيةَ الهِلالِ لَو كانَت تُفيدُ مَعرِفةً له مِن الليالي و الأيّامِ، لَم يَختَلِفْ فيه عندَ رؤيتِه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إمكانِ وجودِ الاختلافِ في حالِ ظهورِه دَلالةٌ علىٰ أنّ الرؤيةَ لا يَصِحُّ بها الاستدلالُ، و أنّ العَدَدَ هو الدالُّ علَى الميقاتِ؛ لسَلامتِه ممّا يَلحَقُ الرؤيةَ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التي ذَكَرتَها دليلٌ واضحٌ علىٰ صِحّةِ القولِ بالرؤيةِ و بُطلانِ العَدَدِ، و قد بيّنّا في صَدرِ كتابِنا هذا كَيفيّةَ الاستدلالِ بها، و أنّ تعليقَ المَواقيتِ بالأهِلّةِ دليلٌ علىٰ أنّها لا تَتعلَّقُ بالعَدَدِ و لا بغَيرِ الأهِلّةِ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2985"/>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وجودَ الاتّفاقِ علىٰ أنّ الأهِلّةَ ميقاتٌ لا يُحيلُ الاختلافَ فيما يُعرَفُ به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بالصحيحِ؛ لأنّ المَواقيتَ إذا وَقَفَت علَى الأهِلّةِ، فمعلومٌ أنّ الهِلالَ لا طَريقَ إلىٰ مَعرِفتِه و طلوعِه أو عدمِ طلوعِه إلّاالرؤيةُ في النفيِ </w:t>
      </w:r>
      <w:bookmarkStart w:id="1170" w:name="pg16437_172875"/>
    </w:p>
    <w:p>
      <w:pPr>
        <w:pStyle w:val="BookText"/>
        <w:rPr/>
      </w:pPr>
      <w:bookmarkEnd w:id="1170"/>
      <w:r>
        <w:rPr>
          <w:rFonts w:ascii="Amiri" w:hAnsi="Amiri" w:eastAsia="Amiri" w:cs="Amiri"/>
          <w:color w:val="111111"/>
          <w:sz w:val="28"/>
          <w:sz w:val="28"/>
          <w:szCs w:val="28"/>
          <w:rtl w:val="true"/>
          <w:lang w:bidi="ar-SA"/>
        </w:rPr>
        <w:t xml:space="preserve">و الإثباتِ؛ فيَعلَمُ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w:t>
      </w:r>
      <w:r>
        <w:rPr>
          <w:rStyle w:val="FootnoteAnchor"/>
          <w:rtl w:val="true"/>
        </w:rPr>
        <w:footnoteReference w:id="2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طلوعَه بالمُشاهَدةِ أو بالخبرِ المَبنيِّ علَى المُشاهَدةِ، و يَعلَمُ أنّه ما طَلَعَ بفَقدِ المُشاهَدةِ و فَقدِه الخبرَ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علىٰ مُحصِّلٍ أنّ إثباتَ الأهِلّةِ في طلوعٍ أو أُفولٍ مَبنيٌّ علَى المُشاهَداتِ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وَصفُ الشهورِ العربيّةِ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أن تَكونَ عَدَديّةً؛ لأنّه لَو كانَ الطريقُ إلىٰ إثباتِ الشهورِ العَدَدَ لا رؤيةَ الأهِلّةِ، لَأُضيفَ‌</w:t>
      </w:r>
      <w:r>
        <w:rPr>
          <w:rStyle w:val="FootnoteAnchor"/>
          <w:rtl w:val="true"/>
        </w:rPr>
        <w:footnoteReference w:id="2987"/>
      </w:r>
      <w:r>
        <w:rPr>
          <w:rFonts w:ascii="Amiri" w:hAnsi="Amiri" w:eastAsia="Amiri" w:cs="Amiri"/>
          <w:color w:val="111111"/>
          <w:sz w:val="28"/>
          <w:sz w:val="28"/>
          <w:szCs w:val="28"/>
          <w:rtl w:val="true"/>
          <w:lang w:bidi="ar-SA"/>
        </w:rPr>
        <w:t>إلَى العَدَدِ</w:t>
      </w:r>
      <w:r>
        <w:rPr>
          <w:rStyle w:val="FootnoteAnchor"/>
          <w:rtl w:val="true"/>
        </w:rPr>
        <w:footnoteReference w:id="2988"/>
      </w:r>
      <w:r>
        <w:rPr>
          <w:rFonts w:ascii="Amiri" w:hAnsi="Amiri" w:eastAsia="Amiri" w:cs="Amiri"/>
          <w:color w:val="111111"/>
          <w:sz w:val="28"/>
          <w:sz w:val="28"/>
          <w:szCs w:val="28"/>
          <w:rtl w:val="true"/>
          <w:lang w:bidi="ar-SA"/>
        </w:rPr>
        <w:t>، لا إلَى القمرِ؛ و كَيفَ تَكونُ قمريّةً و لا اعتبارَ بالقمرِ فيها، و لا له حَظٌّ في تمييزِها و تعيينِها؟</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مُحالٌ أن تَكونَ الرؤيةُ هي أَولىٰ بالاستدلالِ؛ لِما يَقَعُ فيها مِن الشكِّ و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بيّنّا أنّه لا شَكَّ في ذلكَ و لا إشكالَ، و أنّ التكليفَ صحيحٌ مع القولِ بالرؤيةِ غيرُ مُشتبِهٍ و لا مُتناقِضٍ، و أنّ مَن ظَنَّ خِلافَ ذلكَ فهو قَليلُ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ذَكَرناه كِفايةٌ</w:t>
      </w:r>
      <w:r>
        <w:rPr>
          <w:rFonts w:eastAsia="Amiri" w:cs="Amiri" w:ascii="Amiri" w:hAnsi="Amiri"/>
          <w:color w:val="111111"/>
          <w:sz w:val="28"/>
          <w:szCs w:val="28"/>
          <w:rtl w:val="true"/>
          <w:lang w:bidi="ar-SA"/>
        </w:rPr>
        <w:t>.</w:t>
      </w:r>
    </w:p>
    <w:p>
      <w:pPr>
        <w:pStyle w:val="Heading6"/>
        <w:numPr>
          <w:ilvl w:val="5"/>
          <w:numId w:val="1"/>
        </w:numPr>
        <w:rPr/>
      </w:pPr>
      <w:bookmarkStart w:id="1171" w:name="__RefHeading___Toc8040309_1280447820"/>
      <w:bookmarkStart w:id="1172" w:name="_Toc429"/>
      <w:bookmarkEnd w:id="1171"/>
      <w:r>
        <w:rPr>
          <w:rtl w:val="true"/>
        </w:rPr>
        <w:t>الدليل الثاني</w:t>
      </w:r>
      <w:r>
        <w:rPr>
          <w:rtl w:val="true"/>
        </w:rPr>
        <w:t xml:space="preserve">: </w:t>
      </w:r>
      <w:r>
        <w:rPr>
          <w:rtl w:val="true"/>
        </w:rPr>
        <w:t xml:space="preserve">خبرُ </w:t>
      </w:r>
      <w:r>
        <w:rPr>
          <w:rtl w:val="true"/>
        </w:rPr>
        <w:t>«</w:t>
      </w:r>
      <w:r>
        <w:rPr>
          <w:rtl w:val="true"/>
        </w:rPr>
        <w:t>صوموا لرؤيتِه</w:t>
      </w:r>
      <w:r>
        <w:rPr>
          <w:rtl w:val="true"/>
        </w:rPr>
        <w:t>»</w:t>
      </w:r>
      <w:bookmarkEnd w:id="1172"/>
    </w:p>
    <w:p>
      <w:pPr>
        <w:pStyle w:val="Heading6"/>
        <w:numPr>
          <w:ilvl w:val="5"/>
          <w:numId w:val="1"/>
        </w:numPr>
        <w:rPr/>
      </w:pPr>
      <w:bookmarkStart w:id="1173" w:name="__RefHeading___Toc8040311_1280447820"/>
      <w:bookmarkStart w:id="1174" w:name="_Toc430"/>
      <w:bookmarkEnd w:id="1173"/>
      <w:r>
        <w:rPr>
          <w:rtl w:val="true"/>
        </w:rPr>
        <w:t>اشارة</w:t>
      </w:r>
      <w:bookmarkEnd w:id="1174"/>
    </w:p>
    <w:p>
      <w:pPr>
        <w:pStyle w:val="BookText"/>
        <w:rPr/>
      </w:pPr>
      <w:r>
        <w:rPr>
          <w:rFonts w:ascii="Amiri" w:hAnsi="Amiri" w:eastAsia="Amiri" w:cs="Amiri"/>
          <w:color w:val="111111"/>
          <w:sz w:val="28"/>
          <w:sz w:val="28"/>
          <w:szCs w:val="28"/>
          <w:rtl w:val="true"/>
          <w:lang w:bidi="ar-SA"/>
        </w:rPr>
        <w:t>و 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سَألوا أيضاً عن الخبرِ المَرويِّ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لرؤيتِه، و أفطِروا لرؤيتِه، فإن غُمَّ علَيكم فعُدُّوا ثَلاثينَ</w:t>
      </w:r>
      <w:r>
        <w:rPr>
          <w:rFonts w:eastAsia="Amiri" w:cs="Amiri" w:ascii="Amiri" w:hAnsi="Amiri"/>
          <w:color w:val="111111"/>
          <w:sz w:val="28"/>
          <w:szCs w:val="28"/>
          <w:rtl w:val="true"/>
          <w:lang w:bidi="ar-SA"/>
        </w:rPr>
        <w:t>».</w:t>
      </w:r>
      <w:r>
        <w:rPr>
          <w:rStyle w:val="FootnoteAnchor"/>
          <w:rtl w:val="true"/>
        </w:rPr>
        <w:footnoteReference w:id="2989"/>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تَصنَعونَ في هذا الخبرِ و قد استَفاضَ بَينَ الأُمّةِ و اشتَهَرَ؟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إنّه خبرٌ ذائعٌ لا يَختَلِفُ في صِحّتِه اثنانِ، و مَذهبُنا فيه ما </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كانوا يَصومونَ بصيامِ رسولِ اللّٰهِ صَلَّى اللّٰهُ عليه و آلِه، و يُفطِرونَ بإفطارِه؛ فلمّا أرادَ مُفارَقَتَهم في بعضِ الغَزَواتِ،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w:t>
      </w:r>
      <w:r>
        <w:rPr>
          <w:rFonts w:eastAsia="Amiri" w:cs="Amiri" w:ascii="Amiri" w:hAnsi="Amiri"/>
          <w:color w:val="111111"/>
          <w:sz w:val="28"/>
          <w:szCs w:val="28"/>
          <w:rtl w:val="true"/>
          <w:lang w:bidi="ar-SA"/>
        </w:rPr>
        <w:t>)</w:t>
      </w:r>
      <w:r>
        <w:rPr>
          <w:rStyle w:val="FootnoteAnchor"/>
          <w:rtl w:val="true"/>
        </w:rPr>
        <w:footnoteReference w:id="2990"/>
      </w:r>
      <w:r>
        <w:rPr>
          <w:rFonts w:ascii="Amiri" w:hAnsi="Amiri" w:eastAsia="Amiri" w:cs="Amiri"/>
          <w:color w:val="111111"/>
          <w:sz w:val="28"/>
          <w:sz w:val="28"/>
          <w:szCs w:val="28"/>
          <w:rtl w:val="true"/>
          <w:lang w:bidi="ar-SA"/>
        </w:rPr>
        <w:t>، كُنّا نَصومُ بصيامِكَ و نُفطِرُ بإفطارِكَ، و ها أنتَ ذاهبٌ لوَجهِكَ، فما نَصنَعُ؟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صوموا لرؤيتِه و أفطِروا لرؤيتِه؛ فإن غُمَّ عليكم، فعُدّوا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فخَصَّ بهذا القولِ لهُم تلكَ السنةَ جواباً عن سؤالِهم، فاستَعمَلَه الناسُ علىٰ سَبيلِ الغَلَطِ في سائرِ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أظهَرَ اللّٰهُ تَعالىٰ لهُم الهِلالَ في يَومِ السَّرارِ</w:t>
      </w:r>
      <w:r>
        <w:rPr>
          <w:rStyle w:val="FootnoteAnchor"/>
          <w:rtl w:val="true"/>
        </w:rPr>
        <w:footnoteReference w:id="2991"/>
      </w:r>
      <w:r>
        <w:rPr>
          <w:rFonts w:ascii="Amiri" w:hAnsi="Amiri" w:eastAsia="Amiri" w:cs="Amiri"/>
          <w:color w:val="111111"/>
          <w:sz w:val="28"/>
          <w:sz w:val="28"/>
          <w:szCs w:val="28"/>
          <w:rtl w:val="true"/>
          <w:lang w:bidi="ar-SA"/>
        </w:rPr>
        <w:t>بخِلافِ ما جَرَت به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يَدُلَّ علىٰ تخصيصِ هذا الخبرِ إلّاما قَدَّمناه مِن دلائلِ القُرآنِ و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كانَ خاصّاً، فاستعمالُه علَى العمومِ غيرُ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لرؤيتِه، و أفطِروا لرؤيتِه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في الظاهرِ، فلا يُقبَلُ قولُ مَن خَصَّصَه و عَدَلَ به إلىٰ أنّه في سَنةٍ واحدةٍ إلّابدليلٍ قاهرٍ، و لا دليلَ علىٰ تخصيصِ هذا الخبرِ و 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فكَيفَ يُعلَّقُ الصيامُ في سَنةٍ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سَلَّمنا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بالرؤيةِ، فنَقولُ‌</w:t>
      </w:r>
      <w:r>
        <w:rPr>
          <w:rStyle w:val="FootnoteAnchor"/>
          <w:rtl w:val="true"/>
        </w:rPr>
        <w:footnoteReference w:id="29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لأجلِ رؤيتِه، و أنّ الرؤيةَ عِلّةٌ في الصومِ موجِبةٌ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مَذهبِ أصحابِ العَدَدِ إنّ الرؤيةَ لا حَظَّ لها في الصومِ و لا تؤثِّرُ في وجوبِه؛ و إنّ العَدَدَ هو الموجِبُ للصومِ؟</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اتَّفَقَ ما قاله صاحبُ الكتابِ أن يُظهِرَ اللّٰهُ تَعالىٰ لهُم الهِلالَ، فعَلىٰ هذا </w:t>
      </w:r>
      <w:bookmarkStart w:id="1175" w:name="pg16437_172877"/>
    </w:p>
    <w:p>
      <w:pPr>
        <w:pStyle w:val="BookText"/>
        <w:rPr/>
      </w:pPr>
      <w:bookmarkEnd w:id="1175"/>
      <w:r>
        <w:rPr>
          <w:rFonts w:ascii="Amiri" w:hAnsi="Amiri" w:eastAsia="Amiri" w:cs="Amiri"/>
          <w:color w:val="111111"/>
          <w:sz w:val="28"/>
          <w:sz w:val="28"/>
          <w:szCs w:val="28"/>
          <w:rtl w:val="true"/>
          <w:lang w:bidi="ar-SA"/>
        </w:rPr>
        <w:t>التخريجِ و التعليلِ لَم يَجِبِ الصومُ لأجلِ الرؤيةِ، بَل وَجَبَ لأجلِ العَدَدِ؛ أ لا تَرىٰ أنّه لَو فُقِدَت الرؤيةُ هاهُنا، لَوَجَبَ الصومُ بالعَدَدِ، و لم يؤثِّرْ فَقدُ الرؤيةِ في انتفاءِ وجوبِ الصيامِ؛ و لَو فُقِدَ العَدَدُ و ثَبَتَت الرؤيةُ، لَما وَجَبَ الصومُ؛ فعُلِمَ أنّ العَدَدَ هو المؤثِّرُ دونَ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الخبرِ يَقتَضي أنّ الرؤيةَ مؤثِّرةٌ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أنّه لا مَنفَعةَ لهُم في تخصيصِ الخبرِ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أفطِروا لرؤيتِه؛ فإن غُمَّ عليكم فعُدُّوا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العَدَدَ لا يُصارُ إليه إلّابَعدَ اعتبارِ الرؤيةِ و فَقدِها؛ فمَن جَعَلَه أصلاً يُرجَعُ إليه مِن غيرِ اعتبارٍ بفَقدِ الرؤيةِ، فقَد خالَفَ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أفطِروا لرؤيتِه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أيضاً علىٰ أنّه يَجِبُ الإفطارُ إذا رأَيناه و إن كُنّا قد صُمنا تِسعةً و عِشرينَ يَوماً و لَم يَبلُغِ الثلاثينَ؛ لأنّه لَو كانَ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أفطِروا لرؤيتِه إذا بَلَغَ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كانَ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غُمَّ عليكم فعُدّوا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 إنّما يَصِحُّ الكلامُ إذا كانَ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أفطِروا لرؤيتِه علَى النقصانِ؛ فإن غُمَّ عليكم، فعُدّوا ثَلاثينَ للتمامِ</w:t>
      </w:r>
      <w:r>
        <w:rPr>
          <w:rFonts w:eastAsia="Amiri" w:cs="Amiri" w:ascii="Amiri" w:hAnsi="Amiri"/>
          <w:color w:val="111111"/>
          <w:sz w:val="28"/>
          <w:szCs w:val="28"/>
          <w:rtl w:val="true"/>
          <w:lang w:bidi="ar-SA"/>
        </w:rPr>
        <w:t>».</w:t>
      </w:r>
    </w:p>
    <w:p>
      <w:pPr>
        <w:pStyle w:val="Heading6"/>
        <w:numPr>
          <w:ilvl w:val="5"/>
          <w:numId w:val="1"/>
        </w:numPr>
        <w:rPr/>
      </w:pPr>
      <w:bookmarkStart w:id="1176" w:name="__RefHeading___Toc8040313_1280447820"/>
      <w:bookmarkStart w:id="1177" w:name="_Toc431"/>
      <w:bookmarkEnd w:id="1176"/>
      <w:r>
        <w:rPr>
          <w:rtl w:val="true"/>
        </w:rPr>
        <w:t xml:space="preserve">بطلان الاستدلال بخبر </w:t>
      </w:r>
      <w:r>
        <w:rPr>
          <w:rtl w:val="true"/>
        </w:rPr>
        <w:t>«</w:t>
      </w:r>
      <w:r>
        <w:rPr>
          <w:rtl w:val="true"/>
        </w:rPr>
        <w:t>صوموا لرؤيته</w:t>
      </w:r>
      <w:r>
        <w:rPr>
          <w:rtl w:val="true"/>
        </w:rPr>
        <w:t xml:space="preserve">» </w:t>
      </w:r>
      <w:r>
        <w:rPr>
          <w:rtl w:val="true"/>
        </w:rPr>
        <w:t>علىٰ صحّة القول بالعدد</w:t>
      </w:r>
      <w:bookmarkEnd w:id="1177"/>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أصحابِنا مَن استَدَلَّ بهذا الخبرِ بعَينِه علىٰ صِحّةِ العَدَدِ، فقالَ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لمّا أمَرَهم بالصومِ و الإفطارِ لرؤيةِ الهِلالِ في تلكَ السنةِ، أبانَ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الإغماءِ‌</w:t>
      </w:r>
      <w:r>
        <w:rPr>
          <w:rStyle w:val="FootnoteAnchor"/>
          <w:rtl w:val="true"/>
        </w:rPr>
        <w:footnoteReference w:id="2993"/>
      </w:r>
      <w:r>
        <w:rPr>
          <w:rFonts w:ascii="Amiri" w:hAnsi="Amiri" w:eastAsia="Amiri" w:cs="Amiri"/>
          <w:color w:val="111111"/>
          <w:sz w:val="28"/>
          <w:sz w:val="28"/>
          <w:szCs w:val="28"/>
          <w:rtl w:val="true"/>
          <w:lang w:bidi="ar-SA"/>
        </w:rPr>
        <w:t xml:space="preserve">عليه و دخولِ اللَّبسِ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يُستَدَلُّ به علىٰ أنّ الرؤيةَ </w:t>
      </w:r>
      <w:bookmarkStart w:id="1178" w:name="pg16437_172878"/>
    </w:p>
    <w:p>
      <w:pPr>
        <w:pStyle w:val="BookText"/>
        <w:rPr/>
      </w:pPr>
      <w:bookmarkEnd w:id="1178"/>
      <w:r>
        <w:rPr>
          <w:rFonts w:ascii="Amiri" w:hAnsi="Amiri" w:eastAsia="Amiri" w:cs="Amiri"/>
          <w:color w:val="111111"/>
          <w:sz w:val="28"/>
          <w:sz w:val="28"/>
          <w:szCs w:val="28"/>
          <w:rtl w:val="true"/>
          <w:lang w:bidi="ar-SA"/>
        </w:rPr>
        <w:t>لَيسَت بأصلٍ يَطَّرِدُ استعمالُه في سائرِ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خَصَّهم بها في تلكَ السنةِ؛ للعَجزِ مِن ظهورِ الهِلالِ يَومَ السَّرارِ لهُم، و لِما يَعلَمُ اللّٰهُ تَعالىٰ في ذلكَ الوقتِ مِن مَصلَحتِهم،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غُمَّ عليكم فعُدُّوا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شَهِدَ بالإغماءِ أمَرَ بالرجوعِ عندَ ذلكَ إلَى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عَلِمنا أنّ العَدَدَ هو الأصلُ الذي لا يَعتَرِضُه الإغماءُ و لا اللَّبسُ، و أنّه لَو لَم يَكُن أصلاً لَجازَ الإغماءُ و الإشكالُ عليه، و لكانَ اللَّبسُ و الاختلافُ يَجوزانِ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صَحيحٌ يُقنِعُ العارفَ المُنصِفَ، و الحَمدُ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ذَكَرتَه طَعنٌ علَى النبيِّ صَلَّى اللّٰهُ عليه و آلِه، و شَهادةٌ بأنّه عَوَّلَ بأُمّتِه في عبادةِ الصومِ على ما لا تأثيرَ له و لا طائلَ فيه؛ لأنّ الرؤيةَ إذا كانَ لا اعتبارَ بها في الصومِ و لا حَظَّ لها في الدلالةِ علىٰ دخولِ شَهرِ رمضانَ و خروجِه، فلا معنىٰ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لرؤيتِه، و أفطِروا لرؤيتِه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كانَ يَجِبُ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بالعَدَدِ و أفطِروا بالعَدَدِ؛ و لا يَجعَلَ العَدَدَ مُصاراً إليه عندَ الغُمّةِ و امتناعِ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يَصِحُّ أن يَقولَ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 أنّ العَدَدَ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جَعَلَه النبيُّ صَلَّى اللّٰهُ عليه و آلِه في هذا الخبرِ فَرعاً، و أحالَ عليه عندَ تَعذُّرِ الرؤيةِ؟ و هو علَى الحقيقةِ فَرعٌ، و الأصلُ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Heading6"/>
        <w:numPr>
          <w:ilvl w:val="5"/>
          <w:numId w:val="1"/>
        </w:numPr>
        <w:rPr/>
      </w:pPr>
      <w:bookmarkStart w:id="1179" w:name="__RefHeading___Toc8040315_1280447820"/>
      <w:bookmarkStart w:id="1180" w:name="_Toc432"/>
      <w:bookmarkEnd w:id="1179"/>
      <w:r>
        <w:rPr>
          <w:rtl w:val="true"/>
        </w:rPr>
        <w:t>مقارنة بين الرؤية و العدد، و بين الوضوء و التيمّم</w:t>
      </w:r>
      <w:bookmarkEnd w:id="1180"/>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ظَنَّ قومٌ مِن أهلِ الخِلافِ أنّ ما تَضمَّنَه هذا الخبرُ مِن الرجوعِ إلَى العَدَدِ عندَ وجودِ الالتباسِ يَجري مَجرَى التيمُّمِ بالترابِ عندَ عدمِ الماءِ </w:t>
      </w:r>
    </w:p>
    <w:p>
      <w:pPr>
        <w:pStyle w:val="BookText"/>
        <w:rPr/>
      </w:pPr>
      <w:r>
        <w:rPr>
          <w:rFonts w:ascii="Amiri" w:hAnsi="Amiri" w:eastAsia="Amiri" w:cs="Amiri"/>
          <w:color w:val="111111"/>
          <w:sz w:val="28"/>
          <w:sz w:val="28"/>
          <w:szCs w:val="28"/>
          <w:rtl w:val="true"/>
          <w:lang w:bidi="ar-SA"/>
        </w:rPr>
        <w:t>لاضطرارٍ؛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فكَما أنّه لَيسَ التيمُّمُ أصلاً للوضوءِ، فكذلكَ لَيسَ العَدَدُ أصلاً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قياسٌ بَعيدٌ، و جَمعٌ بَينَ أشياءَ هي أَولىٰ بالتفريقِ؛ و ذلكَ أنّ‌</w:t>
      </w:r>
      <w:r>
        <w:rPr>
          <w:rStyle w:val="FootnoteAnchor"/>
          <w:rtl w:val="true"/>
        </w:rPr>
        <w:footnoteReference w:id="2994"/>
      </w:r>
      <w:r>
        <w:rPr>
          <w:rFonts w:ascii="Amiri" w:hAnsi="Amiri" w:eastAsia="Amiri" w:cs="Amiri"/>
          <w:color w:val="111111"/>
          <w:sz w:val="28"/>
          <w:sz w:val="28"/>
          <w:szCs w:val="28"/>
          <w:rtl w:val="true"/>
          <w:lang w:bidi="ar-SA"/>
        </w:rPr>
        <w:t xml:space="preserve">الوضوءَ 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بَدَلٌ منه عندَ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يُستَباحُ بفِعلِهما أداءُ فَرضٍ آخَرَ لا يُعرَفُ بِهما وقتُ وجوبِه، و لا يَدُلّانِ علىٰ أوّلِه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الرؤيةُ و العَدَدُ قد وَرَدا في هذا الخبرِ مَورِدَ العلامةِ، و قاما مَقامَ الدلالةِ التي يَجِبُ بِهما التديُّنُ و يَلزَمُ الاعتقادُ؛ و لذلكَ جازَ موافَقةُ العَدَدِ للرؤيةِ في بعضِ السنينَ، و لَم يَجُزِ الجَمعُ بَينَ الوضوءِ و التيمُّمِ علىٰ قولِ سائرِ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علىٰ مُحصِّلٍ في أنّ النبيَّ صَلَّى اللّٰهُ عليه و آلِه عَلَّقَ الصومَ بالرؤيةِ تعليقاً يوجِبُ ظاهرُه أنّها سببٌ فيه، و علامةٌ علىٰ دخولِ وقتِه،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لرؤيتِه، و أفطِروا لرؤيتِه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فعَلَّقَ الإفطارَ أيضاً بالرؤيةِ، كَما عَلَّقَ الصومَ بها، و هذا يَقتَضي أنّ الصومَ و الإفطارَ مُتعلِّقانِ بالرؤيةِ، و لا سببَ فيهما غيرُها؛ لأنّه لَو كانَ لهُما سببٌ غيرُ الرؤيةِ مِن عَدَدٍ أو غيرِه</w:t>
      </w:r>
      <w:r>
        <w:rPr>
          <w:rStyle w:val="FootnoteAnchor"/>
          <w:rtl w:val="true"/>
        </w:rPr>
        <w:footnoteReference w:id="2995"/>
      </w:r>
      <w:r>
        <w:rPr>
          <w:rFonts w:ascii="Amiri" w:hAnsi="Amiri" w:eastAsia="Amiri" w:cs="Amiri"/>
          <w:color w:val="111111"/>
          <w:sz w:val="28"/>
          <w:sz w:val="28"/>
          <w:szCs w:val="28"/>
          <w:rtl w:val="true"/>
          <w:lang w:bidi="ar-SA"/>
        </w:rPr>
        <w:t>لَعلَّقَهما به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غُمَّ عليكم، فعُدُّوا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بالرجوعِ إلَى </w:t>
      </w:r>
    </w:p>
    <w:p>
      <w:pPr>
        <w:pStyle w:val="BookText"/>
        <w:rPr/>
      </w:pPr>
      <w:r>
        <w:rPr>
          <w:rFonts w:ascii="Amiri" w:hAnsi="Amiri" w:eastAsia="Amiri" w:cs="Amiri"/>
          <w:color w:val="111111"/>
          <w:sz w:val="28"/>
          <w:sz w:val="28"/>
          <w:szCs w:val="28"/>
          <w:rtl w:val="true"/>
          <w:lang w:bidi="ar-SA"/>
        </w:rPr>
        <w:t>العَدَدِ عندَ عدمِ الرؤيةِ، و أنّه لا حُكمَ للعَدَدِ إلّابَعدَ انتفاءِ الرؤيةِ، و لا يَجِبُ المَصيرُ إليه إلّاعندَ امتناعِها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العَدَدِ عَكَسوا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بالعَدَدِ و الإفطارَ بالعَدَدِ، لا حَظَّ للرؤيةِ في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يَمتَنِعُ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المَصيرَ إلَى العَدَدِ عندَ فَقدِ الرؤيةِ يَجري مَجرَى استعمالِ الترابِ عندَ فَقدِ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تَعاطيهِ الفَرقَ بَينَ الرؤيةِ و العَدَدِ و بَينَ الماءِ و الترابِ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 التيمُّمَ عبادتانِ يُستَباحُ بفِعلِهما أداءُ فَرضٍ آخَرَ لا يُعرَفُ بِهما وقتُ وجوبِه، و لا يَدُلاّنِ علىٰ أوّلِه و آخِرِه، و أنّ الرؤيةَ و العَدَدَ في هذا الخبرِ قد وَرَدا مَورِدَ العلامةِ، و قاما مَقامَ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يُغني شَيئاً؛ لأنّه لا فَرقَ مِن حَيثُ الجَمعِ بَينَ المَوضِعَينِ؛ لأنّ الترابَ لا حُكمَ له مع وجودِ الماءِ، و إنّما يَجِبُ استعمالُه عندَ فَقدِ الماءِ، فجَرىٰ مَجرَى العَدَدِ الذي لا حُكمَ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2996"/>
      </w:r>
      <w:r>
        <w:rPr>
          <w:rFonts w:ascii="Amiri" w:hAnsi="Amiri" w:eastAsia="Amiri" w:cs="Amiri"/>
          <w:color w:val="111111"/>
          <w:sz w:val="28"/>
          <w:sz w:val="28"/>
          <w:szCs w:val="28"/>
          <w:rtl w:val="true"/>
          <w:lang w:bidi="ar-SA"/>
        </w:rPr>
        <w:t>الرؤيةِ و إمكانِها، و إنّما استُعمِلَ العَدَدُ مع فَقدِ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w:t>
      </w:r>
      <w:r>
        <w:rPr>
          <w:rStyle w:val="FootnoteAnchor"/>
          <w:rtl w:val="true"/>
        </w:rPr>
        <w:footnoteReference w:id="2997"/>
      </w:r>
      <w:r>
        <w:rPr>
          <w:rFonts w:ascii="Amiri" w:hAnsi="Amiri" w:eastAsia="Amiri" w:cs="Amiri"/>
          <w:color w:val="111111"/>
          <w:sz w:val="28"/>
          <w:sz w:val="28"/>
          <w:szCs w:val="28"/>
          <w:rtl w:val="true"/>
          <w:lang w:bidi="ar-SA"/>
        </w:rPr>
        <w:t>وجوبٍ للرجوعِ فيما التَبَسَ ظاهرُه مِن الآياتِ المُتَشابِهاتِ إلىٰ أدِلّةِ العقولِ؟ فإن جازَ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العَدَدَ لَيسَ بأصلٍ للرؤيةِ، و إنّما هو بَدَلٌ منها أَلجأَت إليه الحاجةُ، كالتيمُّمِ الذي لَيسَ بأصلٍ للطهارةِ، و إنّما هو بَدَلٌ منها في حالِ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جازَ لآخَرَ أن يَقولَ مِثلَ ذلكَ في </w:t>
      </w:r>
    </w:p>
    <w:p>
      <w:pPr>
        <w:pStyle w:val="BookText"/>
        <w:rPr/>
      </w:pPr>
      <w:r>
        <w:rPr>
          <w:rFonts w:ascii="Amiri" w:hAnsi="Amiri" w:eastAsia="Amiri" w:cs="Amiri"/>
          <w:color w:val="111111"/>
          <w:sz w:val="28"/>
          <w:sz w:val="28"/>
          <w:szCs w:val="28"/>
          <w:rtl w:val="true"/>
          <w:lang w:bidi="ar-SA"/>
        </w:rPr>
        <w:t>الرجوعِ إلَى القُرآنِ عندَ التباسِ الأخبارِ، و الاعتمادِ علىٰ أدِلّةِ العقولِ في مُتَشابِهِ القُرآنِ؛ فلمّا كانَ هذا لا يَجوزُ بإجماعٍ، كانَ العَدَدُ و الرؤيةُ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الذي ظَنَنتَه صَحيحاً في الرؤيةِ و العَدَدِ، و إنّما يُشبِهان ما ذَكرتَه مِن أمرِ النبيِّ صَلَّى اللّٰهُ عليه و آلِه بالرجوعِ إلَى الكتابِ فيما التَبَسَ مِن الأخبارِ و عَرضِها عليه، و فيما التَبَسَ مِن الآياتِ و الرجوعِ فيها إلىٰ أدِلّةِ العقولِ، فيَجِبُ أن نَقولَ مِثلَه في الوضوءِ بالماءِ و التيمُّمِ بالترابِ، و أنّ أمرَه لنا بالرجوعِ إلَى الترابِ عندَ عدمِ الماءِ دَلالةٌ علىٰ أنّ التيمُّمَ هو الأصلُ، كما قُلتَه في الكتابِ و الأخبارِ؛ لأنّ الصومَ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لرؤيتِه، و أفطِروا لرؤيتِه؛ فإن غُمَّ عليكم، فعُدُّوا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 .</w:t>
      </w:r>
      <w:r>
        <w:rPr>
          <w:rStyle w:val="FootnoteAnchor"/>
          <w:rtl w:val="true"/>
        </w:rPr>
        <w:footnoteReference w:id="2998"/>
      </w:r>
    </w:p>
    <w:p>
      <w:pPr>
        <w:pStyle w:val="BookText"/>
        <w:rPr/>
      </w:pPr>
      <w:r>
        <w:rPr>
          <w:rFonts w:ascii="Amiri" w:hAnsi="Amiri" w:eastAsia="Amiri" w:cs="Amiri"/>
          <w:color w:val="111111"/>
          <w:sz w:val="28"/>
          <w:sz w:val="28"/>
          <w:szCs w:val="28"/>
          <w:rtl w:val="true"/>
          <w:lang w:bidi="ar-SA"/>
        </w:rPr>
        <w:t>فكُلُّ شَيءٍ تَعتَمِدُه في أنّه لا شُبهةَ‌</w:t>
      </w:r>
      <w:r>
        <w:rPr>
          <w:rStyle w:val="FootnoteAnchor"/>
          <w:rtl w:val="true"/>
        </w:rPr>
        <w:footnoteReference w:id="2999"/>
      </w:r>
      <w:r>
        <w:rPr>
          <w:rFonts w:ascii="Amiri" w:hAnsi="Amiri" w:eastAsia="Amiri" w:cs="Amiri"/>
          <w:color w:val="111111"/>
          <w:sz w:val="28"/>
          <w:sz w:val="28"/>
          <w:szCs w:val="28"/>
          <w:rtl w:val="true"/>
          <w:lang w:bidi="ar-SA"/>
        </w:rPr>
        <w:t xml:space="preserve">بَينَ الوضوءِ و التيمُّمِ و بَينَ الرجوعِ إلَى الكتابِ و عَرضِ الأخبارِ عليه، فهو بعَينِه يُفرِّقُ بَينَ الرؤيةِ و العَدَدِ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الأخبارِ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ما أُمِرنا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الصومِ للرؤيةِ و الإفطارِ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إلىٰ فائدةٍ في أن نُفرِّقَ بَينَ الأمرَينِ، بأن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الوضوءَ و التيمُّمَ يُستَباحُ بفِعلِهما أداءُ فَرضٍ آخَرَ لا يُعرَفُ بِهما وقتُ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هذا إلّاكمَن فَرَّقَ بَينَهما أنّ هذا وضوءٌ و تلكَ رؤيةٌ، و هذا تَيمُّمٌ و ذاكَ عَدَدٌ؟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المَوضِعَينِ يَتشابَهانِ في كُلِّ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يُفرَّقَ بَينَهما بأنّ صفةَ الوضوءِ و التيمُّمِ لَيسَت للعَدَدِ و الرؤيةِ؟ </w:t>
      </w:r>
      <w:bookmarkStart w:id="1181" w:name="pg16437_172882"/>
    </w:p>
    <w:p>
      <w:pPr>
        <w:pStyle w:val="BookText"/>
        <w:rPr/>
      </w:pPr>
      <w:bookmarkEnd w:id="1181"/>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الرؤيةَ و العَدَدَ يَتَّفِقانِ‌</w:t>
      </w:r>
      <w:r>
        <w:rPr>
          <w:rStyle w:val="FootnoteAnchor"/>
          <w:rtl w:val="true"/>
        </w:rPr>
        <w:footnoteReference w:id="3000"/>
      </w:r>
      <w:r>
        <w:rPr>
          <w:rFonts w:ascii="Amiri" w:hAnsi="Amiri" w:eastAsia="Amiri" w:cs="Amiri"/>
          <w:color w:val="111111"/>
          <w:sz w:val="28"/>
          <w:sz w:val="28"/>
          <w:szCs w:val="28"/>
          <w:rtl w:val="true"/>
          <w:lang w:bidi="ar-SA"/>
        </w:rPr>
        <w:t>، و لا يَتَّفِقُ وجودُ الوضوءِ و التيمُّمِ في مَوضِعٍ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فغَلَطٌ؛ لأنّ الرؤيةَ و العَدَدَ لا يَتَّفِقُ حُكمُهما و تأثيرُهما علَى الاجتماعِ عندَ أحَدٍ؛ لأنّ مَذهبَنا أنّه إذا رأَى الهِلالَ ليلةَ الثلاثينَ، وَجَبَ عليه الإفطارُ و لا حُكمَ للعَدَدِ؛ و إذا لَم يَرَ، يُكمِلُ العِدّةَ ثَلاثينَ؛ و الحُكمُ هاهُنا للعَدَدِ، و لا تأثيرَ للرؤيةِ؛ فكَيفَ يَجتَمِعانِ علىٰ ما ظَنَّه؟</w:t>
      </w:r>
    </w:p>
    <w:p>
      <w:pPr>
        <w:pStyle w:val="BookText"/>
        <w:rPr/>
      </w:pPr>
      <w:r>
        <w:rPr>
          <w:rFonts w:ascii="Amiri" w:hAnsi="Amiri" w:eastAsia="Amiri" w:cs="Amiri"/>
          <w:color w:val="111111"/>
          <w:sz w:val="28"/>
          <w:sz w:val="28"/>
          <w:szCs w:val="28"/>
          <w:rtl w:val="true"/>
          <w:lang w:bidi="ar-SA"/>
        </w:rPr>
        <w:t>و أمّا علىٰ مَذهبِ أصحابِ العَدَدِ، فإنِ اتَّفَقَ علىٰ ما ادَّعاه أن يوافِقَ العَدَدُ للرؤيةِ، فلا حُكمَ هاهُنا عندَهم للرؤيةِ البتّةَ، و إنّما الحُكمُ للعَدَدِ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اتَّفَقَ قَطُّ علىٰ مَذهبٍ اجتماعُ الرؤيةِ و العَدَدِ مؤثِّرَينِ و مُعتَبَرَينِ</w:t>
      </w:r>
      <w:r>
        <w:rPr>
          <w:rFonts w:eastAsia="Amiri" w:cs="Amiri" w:ascii="Amiri" w:hAnsi="Amiri"/>
          <w:color w:val="111111"/>
          <w:sz w:val="28"/>
          <w:szCs w:val="28"/>
          <w:rtl w:val="true"/>
          <w:lang w:bidi="ar-SA"/>
        </w:rPr>
        <w:t>.</w:t>
      </w:r>
    </w:p>
    <w:p>
      <w:pPr>
        <w:pStyle w:val="Heading6"/>
        <w:numPr>
          <w:ilvl w:val="5"/>
          <w:numId w:val="1"/>
        </w:numPr>
        <w:rPr/>
      </w:pPr>
      <w:bookmarkStart w:id="1182" w:name="__RefHeading___Toc8040317_1280447820"/>
      <w:bookmarkStart w:id="1183" w:name="_Toc433"/>
      <w:bookmarkEnd w:id="1182"/>
      <w:r>
        <w:rPr>
          <w:rtl w:val="true"/>
        </w:rPr>
        <w:t>بطلانُ المقارنةِ بين الرجوع إلى القرآنِ و الأخبارِ و بين العددِ و الرؤيةِ‌</w:t>
      </w:r>
      <w:bookmarkEnd w:id="1183"/>
    </w:p>
    <w:p>
      <w:pPr>
        <w:pStyle w:val="BookText"/>
        <w:rPr/>
      </w:pPr>
      <w:r>
        <w:rPr>
          <w:rFonts w:ascii="Amiri" w:hAnsi="Amiri" w:eastAsia="Amiri" w:cs="Amiri"/>
          <w:color w:val="111111"/>
          <w:sz w:val="28"/>
          <w:sz w:val="28"/>
          <w:szCs w:val="28"/>
          <w:rtl w:val="true"/>
          <w:lang w:bidi="ar-SA"/>
        </w:rPr>
        <w:t>ثُمّ 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لا شَيءَ أشبَهُ بالعَدَدِ و الرؤيةِ المذكورَينِ في هذا الخبرِ</w:t>
      </w:r>
      <w:r>
        <w:rPr>
          <w:rStyle w:val="FootnoteAnchor"/>
          <w:rtl w:val="true"/>
        </w:rPr>
        <w:footnoteReference w:id="3001"/>
      </w:r>
      <w:r>
        <w:rPr>
          <w:rFonts w:ascii="Amiri" w:hAnsi="Amiri" w:eastAsia="Amiri" w:cs="Amiri"/>
          <w:color w:val="111111"/>
          <w:sz w:val="28"/>
          <w:sz w:val="28"/>
          <w:szCs w:val="28"/>
          <w:rtl w:val="true"/>
          <w:lang w:bidi="ar-SA"/>
        </w:rPr>
        <w:t>مِن الاستدلالِ في أحكامِ الشرعِ بالقُرآنِ و الأثرِ</w:t>
      </w:r>
      <w:r>
        <w:rPr>
          <w:rStyle w:val="FootnoteAnchor"/>
          <w:rtl w:val="true"/>
        </w:rPr>
        <w:footnoteReference w:id="3002"/>
      </w:r>
      <w:r>
        <w:rPr>
          <w:rFonts w:ascii="Amiri" w:hAnsi="Amiri" w:eastAsia="Amiri" w:cs="Amiri"/>
          <w:color w:val="111111"/>
          <w:sz w:val="28"/>
          <w:sz w:val="28"/>
          <w:szCs w:val="28"/>
          <w:rtl w:val="true"/>
          <w:lang w:bidi="ar-SA"/>
        </w:rPr>
        <w:t>و ذلكَ أنّ الرسولَ عليه السلامُ أمَرَنا بالرجوعِ إلَى الكتابِ عند التباسِ الأخبارِ، و قالَ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ستَكثُرُ علَيَّ الكَذّابةُ مِن بَعدي، فما وَرَدَ عنّي مِن خبرٍ فاعرِضوه علَى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w:t>
      </w:r>
      <w:r>
        <w:rPr>
          <w:rStyle w:val="FootnoteAnchor"/>
          <w:rtl w:val="true"/>
        </w:rPr>
        <w:footnoteReference w:id="3003"/>
      </w:r>
      <w:r>
        <w:rPr>
          <w:rFonts w:ascii="Amiri" w:hAnsi="Amiri" w:eastAsia="Amiri" w:cs="Amiri"/>
          <w:color w:val="111111"/>
          <w:sz w:val="28"/>
          <w:sz w:val="28"/>
          <w:szCs w:val="28"/>
          <w:rtl w:val="true"/>
          <w:lang w:bidi="ar-SA"/>
        </w:rPr>
        <w:t>وجوبُ الرجوعِ‌</w:t>
      </w:r>
      <w:r>
        <w:rPr>
          <w:rStyle w:val="FootnoteAnchor"/>
          <w:rtl w:val="true"/>
        </w:rPr>
        <w:footnoteReference w:id="3004"/>
      </w:r>
      <w:r>
        <w:rPr>
          <w:rFonts w:ascii="Amiri" w:hAnsi="Amiri" w:eastAsia="Amiri" w:cs="Amiri"/>
          <w:color w:val="111111"/>
          <w:sz w:val="28"/>
          <w:sz w:val="28"/>
          <w:szCs w:val="28"/>
          <w:rtl w:val="true"/>
          <w:lang w:bidi="ar-SA"/>
        </w:rPr>
        <w:t>الذي قد تَقدَّمَ، و كذلكَ‌</w:t>
      </w:r>
      <w:r>
        <w:rPr>
          <w:rStyle w:val="FootnoteAnchor"/>
          <w:rtl w:val="true"/>
        </w:rPr>
        <w:footnoteReference w:id="3005"/>
      </w:r>
      <w:r>
        <w:rPr>
          <w:rFonts w:ascii="Amiri" w:hAnsi="Amiri" w:eastAsia="Amiri" w:cs="Amiri"/>
          <w:color w:val="111111"/>
          <w:sz w:val="28"/>
          <w:sz w:val="28"/>
          <w:szCs w:val="28"/>
          <w:rtl w:val="true"/>
          <w:lang w:bidi="ar-SA"/>
        </w:rPr>
        <w:t xml:space="preserve">إذا تَعذَّرَت </w:t>
      </w:r>
    </w:p>
    <w:p>
      <w:pPr>
        <w:pStyle w:val="BookText"/>
        <w:rPr/>
      </w:pPr>
      <w:r>
        <w:rPr>
          <w:rFonts w:ascii="Amiri" w:hAnsi="Amiri" w:eastAsia="Amiri" w:cs="Amiri"/>
          <w:color w:val="111111"/>
          <w:sz w:val="28"/>
          <w:sz w:val="28"/>
          <w:szCs w:val="28"/>
          <w:rtl w:val="true"/>
          <w:lang w:bidi="ar-SA"/>
        </w:rPr>
        <w:t xml:space="preserve">الرؤيةُ،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w:t>
      </w:r>
      <w:r>
        <w:rPr>
          <w:rStyle w:val="FootnoteAnchor"/>
          <w:rtl w:val="true"/>
        </w:rPr>
        <w:footnoteReference w:id="3006"/>
      </w:r>
      <w:r>
        <w:rPr>
          <w:rFonts w:ascii="Amiri" w:hAnsi="Amiri" w:eastAsia="Amiri" w:cs="Amiri"/>
          <w:color w:val="111111"/>
          <w:sz w:val="28"/>
          <w:sz w:val="28"/>
          <w:szCs w:val="28"/>
          <w:rtl w:val="true"/>
          <w:lang w:bidi="ar-SA"/>
        </w:rPr>
        <w:t>بالوضوءِ بالماءِ و إذا فُقِدَ الماءُ‌</w:t>
      </w:r>
      <w:r>
        <w:rPr>
          <w:rStyle w:val="FootnoteAnchor"/>
          <w:rtl w:val="true"/>
        </w:rPr>
        <w:footnoteReference w:id="3007"/>
      </w:r>
      <w:r>
        <w:rPr>
          <w:rFonts w:ascii="Amiri" w:hAnsi="Amiri" w:eastAsia="Amiri" w:cs="Amiri"/>
          <w:color w:val="111111"/>
          <w:sz w:val="28"/>
          <w:sz w:val="28"/>
          <w:szCs w:val="28"/>
          <w:rtl w:val="true"/>
          <w:lang w:bidi="ar-SA"/>
        </w:rPr>
        <w:t>فالتيمُّمُ بالترابِ، مِن</w:t>
      </w:r>
      <w:r>
        <w:rPr>
          <w:rStyle w:val="FootnoteAnchor"/>
          <w:rtl w:val="true"/>
        </w:rPr>
        <w:footnoteReference w:id="3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الأخبارِ علَى الكتابِ و الأخذِ بما يُوافِقُه دونَ 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هذا المَوضِعِ الذي هو الأمرُ بعَرضِ الأخبارِ تنزيلٌ أُمِرنا به، فنَصيرَ إلىٰ حالةٍ بَعدَ حالةٍ، و اعتبارِ أمرٍ مِن الأُمورِ بشَرطِ إمكانِه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بالرجوعِ إلىٰ غيرِه، و إنّما أُمِرنا بعَرضِ الأخبارِ علَى الكتابِ؛ لأنّ الكتابَ أصلٌ و دليلٌ علىٰ كُلِّ حالٍ، و حُجّةٌ في كُلِّ مَوضِعٍ، و الأخبارَ لَيسَت كذلكَ؛ فعَرَضنا ما لَم نَعلَمْ صِحّتَه منها علَى الكتابِ الذي هو الدليلُ و الحُجّةُ علىٰ كُلِّ حالٍ و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العقولُ دَلالةٌ علىٰ جميعِ الأحوالِ غيرُ مُحتَمِلةٍ، فرَدَدنا كُلَّ مُشتَبِهٍ مِن آياتٍ و غيرِها إلىٰ أدِلّة العقولِ؛ لأنّها أصلٌ، فما هاهُنا انتقالٌ مِن مَنزِلةٍ إلىٰ أُخرىٰ، و لا أحوالٌ مُرتَّبةٌ بعضُها علىٰ بعضٍ، كالوضوءِ و التيمُّمِ، و الرؤيةِ و العَدَدِ؛ لأنّ العَدَدَ مُرتَّبٌ علَى الرؤيةِ، و حُكمَ الصيامِ تَعلَّقَ بالرؤيةِ، و حُكمَ الإفطارِ أيضاً تَعلَّقَ بالرؤيةِ، و إنّما أُمِرنا بالمَصيرِ إلَى العَدَدِ عندَ فَوتِ الرؤيةِ، وهذه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 الوضوءِ و التيمُّمِ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مِن هذا شَيءٌ في عَرضِ الأخبارِ علَى الكتابِ و الأخذِ بما يُوافِقُ منها، و لا الرجوعِ إلَى العقولِ في المُتشابِهِ؛ فمَن خَلَطَ بَينَ الأمرَينِ، فهو قليلُ التأمُّلِ</w:t>
      </w:r>
      <w:r>
        <w:rPr>
          <w:rFonts w:eastAsia="Amiri" w:cs="Amiri" w:ascii="Amiri" w:hAnsi="Amiri"/>
          <w:color w:val="111111"/>
          <w:sz w:val="28"/>
          <w:szCs w:val="28"/>
          <w:rtl w:val="true"/>
          <w:lang w:bidi="ar-SA"/>
        </w:rPr>
        <w:t xml:space="preserve">. </w:t>
      </w:r>
      <w:bookmarkStart w:id="1184" w:name="pg16437_172884"/>
    </w:p>
    <w:p>
      <w:pPr>
        <w:pStyle w:val="Heading6"/>
        <w:numPr>
          <w:ilvl w:val="5"/>
          <w:numId w:val="1"/>
        </w:numPr>
        <w:rPr/>
      </w:pPr>
      <w:bookmarkStart w:id="1185" w:name="__RefHeading___Toc8040319_1280447820"/>
      <w:bookmarkStart w:id="1186" w:name="_Toc434"/>
      <w:bookmarkEnd w:id="1184"/>
      <w:bookmarkEnd w:id="1185"/>
      <w:r>
        <w:rPr>
          <w:rtl w:val="true"/>
        </w:rPr>
        <w:t xml:space="preserve">بطلانُ تخصيصِ خبرِ </w:t>
      </w:r>
      <w:r>
        <w:rPr>
          <w:rtl w:val="true"/>
        </w:rPr>
        <w:t>«</w:t>
      </w:r>
      <w:r>
        <w:rPr>
          <w:rtl w:val="true"/>
        </w:rPr>
        <w:t>صوموا لرؤيتهِ</w:t>
      </w:r>
      <w:r>
        <w:rPr>
          <w:rtl w:val="true"/>
        </w:rPr>
        <w:t xml:space="preserve">» </w:t>
      </w:r>
      <w:r>
        <w:rPr>
          <w:rtl w:val="true"/>
        </w:rPr>
        <w:t>في سنةٍ واحدةٍ‌</w:t>
      </w:r>
      <w:bookmarkEnd w:id="1186"/>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نَراكم قد أقرَرتم بأنّ رؤيةَ الأهِلّةِ دَلالةٌ علىٰ أوائلِ الشهورِ، و إن كانَ العَدَدُ عندَكم هو الأصلَ، و قد نَفَيتم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بها و عَوَّلتُم علَى العَدَدِ</w:t>
      </w:r>
      <w:r>
        <w:rPr>
          <w:rStyle w:val="FootnoteAnchor"/>
          <w:rtl w:val="true"/>
        </w:rPr>
        <w:footnoteReference w:id="3009"/>
      </w:r>
      <w:r>
        <w:rPr>
          <w:rFonts w:ascii="Amiri" w:hAnsi="Amiri" w:eastAsia="Amiri" w:cs="Amiri"/>
          <w:color w:val="111111"/>
          <w:sz w:val="28"/>
          <w:sz w:val="28"/>
          <w:szCs w:val="28"/>
          <w:rtl w:val="true"/>
          <w:lang w:bidi="ar-SA"/>
        </w:rPr>
        <w:t>و هَل هذا إلّامُناقَضةٌ منكم لا يَخفىٰ ظهورُها؟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يَلزَمُنا مُناقَضةٌ علىٰ ما ظَنَنتَ، و علَى العَدَدِ نُعوِّلُ في أوائلِ الشهورِ و نَستَدِلُّ، و قد ذَكَرنا بعضَ أدِلّتِنا عليه فيما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سُئلنا عن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لرؤيتِه، و أفطِروا لرؤيتِه؛ فإن غُمَّ عليكم فعُدُّوا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بمَذهبِنا فيه، و أعلَمْنا السائلَ أنّه خاصٌّ لسَنةٍ واحدةٍ أمَرَ الناسَ فيها رسولُ اللّٰهِ صَلَّى اللّٰهُ عليه و آلِه بالاستدلالِ علىٰ أوّلِ الشهرِ بالرؤيةِ، و أوجَبَ عليهم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عَرَضَ لهُم الإغماءُ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العَدَدِ؛ ليُعلِمَهم أنّه الأصلُ الذي لا يَعتَرِضُه اللَّبسُ، فالرؤيةُ قد كانَت دليلاً لتلكَ السنةِ، و كانَ الاستدلالُ فيها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يَلزَمُنا أن يَكونَ دليلاً في كُلِّ شَهرٍ؛ لِما رُويَ عن الصادقِ عليه السلامُ في تخصيصِ الخبرِ</w:t>
      </w:r>
      <w:r>
        <w:rPr>
          <w:rFonts w:eastAsia="Amiri" w:cs="Amiri" w:ascii="Amiri" w:hAnsi="Amiri"/>
          <w:color w:val="111111"/>
          <w:sz w:val="28"/>
          <w:szCs w:val="28"/>
          <w:rtl w:val="true"/>
          <w:lang w:bidi="ar-SA"/>
        </w:rPr>
        <w:t>.</w:t>
      </w:r>
      <w:r>
        <w:rPr>
          <w:rStyle w:val="FootnoteAnchor"/>
          <w:rtl w:val="true"/>
        </w:rPr>
        <w:footnoteReference w:id="3010"/>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الكلامَ عليكَ في تأويلِ ما رُويَ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صوموا </w:t>
      </w:r>
      <w:bookmarkStart w:id="1187" w:name="pg16437_172885"/>
    </w:p>
    <w:p>
      <w:pPr>
        <w:pStyle w:val="BookText"/>
        <w:rPr/>
      </w:pPr>
      <w:bookmarkEnd w:id="1187"/>
      <w:r>
        <w:rPr>
          <w:rFonts w:ascii="Amiri" w:hAnsi="Amiri" w:eastAsia="Amiri" w:cs="Amiri"/>
          <w:color w:val="111111"/>
          <w:sz w:val="28"/>
          <w:sz w:val="28"/>
          <w:szCs w:val="28"/>
          <w:rtl w:val="true"/>
          <w:lang w:bidi="ar-SA"/>
        </w:rPr>
        <w:t>لرؤيتِه، و أفطِروا لرؤيتِه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الذي خَرَّجتَه فيه مِن الخصوصِ لسَنةٍ واحدةٍ تخريجٌ باطلٌ لا حَظَّ له مِن الصوابِ، فلا معنىٰ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الرؤيةُ لَيسَت بدليلٍ علىٰ أوائلِ الشهورِ و أواخِرِها علىٰ ما خَرَّجتَه في الأوقاتِ علَى الاستمرارِ، فلا يَجوزُ أن يَكونَ دليلاً في بعضِ السنينَ حَسَبَ ما ادَّعَيتَه و خَرَّجتَه؛ لأنّ الدليلَ لا يَكونُ في بعضِ المَواضعِ دليلاً و في بعضٍ غيرَ دالٍّ؛ و لأنّ الرؤيةَ في تلكَ السنةِ التي ادَّعَيتَ فيها مُوافَقَتَها للعَدَدِ لَم تَكُن دليلاً في نفسِها و مؤثِّرةً لِما يَرجِعُ إليها، و إنّما المؤثِّرُ عندَكم العَدَدُ، و إنّما طابَقَ العَدَدُ للرؤيةِ علىٰ سَبيلِ الاتّفاقِ</w:t>
      </w:r>
      <w:r>
        <w:rPr>
          <w:rFonts w:eastAsia="Amiri" w:cs="Amiri" w:ascii="Amiri" w:hAnsi="Amiri"/>
          <w:color w:val="111111"/>
          <w:sz w:val="28"/>
          <w:szCs w:val="28"/>
          <w:rtl w:val="true"/>
          <w:lang w:bidi="ar-SA"/>
        </w:rPr>
        <w:t>.</w:t>
      </w:r>
    </w:p>
    <w:p>
      <w:pPr>
        <w:pStyle w:val="Heading6"/>
        <w:numPr>
          <w:ilvl w:val="5"/>
          <w:numId w:val="1"/>
        </w:numPr>
        <w:rPr/>
      </w:pPr>
      <w:bookmarkStart w:id="1188" w:name="__RefHeading___Toc8040321_1280447820"/>
      <w:bookmarkStart w:id="1189" w:name="_Toc435"/>
      <w:bookmarkEnd w:id="1188"/>
      <w:r>
        <w:rPr>
          <w:rtl w:val="true"/>
        </w:rPr>
        <w:t>نكتة لغويّة</w:t>
      </w:r>
      <w:bookmarkEnd w:id="1189"/>
    </w:p>
    <w:p>
      <w:pPr>
        <w:pStyle w:val="BookText"/>
        <w:rPr/>
      </w:pPr>
      <w:r>
        <w:rPr>
          <w:rFonts w:ascii="Amiri" w:hAnsi="Amiri" w:eastAsia="Amiri" w:cs="Amiri"/>
          <w:color w:val="111111"/>
          <w:sz w:val="28"/>
          <w:sz w:val="28"/>
          <w:szCs w:val="28"/>
          <w:rtl w:val="true"/>
          <w:lang w:bidi="ar-SA"/>
        </w:rPr>
        <w:t>فأمّا قولُكَ في أثناءِ كلامِكَ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عَرَضَ لهُم 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أُغمِيَ‌</w:t>
      </w:r>
      <w:r>
        <w:rPr>
          <w:rStyle w:val="FootnoteAnchor"/>
          <w:rtl w:val="true"/>
        </w:rPr>
        <w:footnoteReference w:id="3011"/>
      </w:r>
      <w:r>
        <w:rPr>
          <w:rFonts w:ascii="Amiri" w:hAnsi="Amiri" w:eastAsia="Amiri" w:cs="Amiri"/>
          <w:color w:val="111111"/>
          <w:sz w:val="28"/>
          <w:sz w:val="28"/>
          <w:szCs w:val="28"/>
          <w:rtl w:val="true"/>
          <w:lang w:bidi="ar-SA"/>
        </w:rPr>
        <w:t>علَى المَريضِ إغماءاً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بمَصدرٍ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و استَتَرَ، و إنّما 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 غَمّاً</w:t>
      </w:r>
      <w:r>
        <w:rPr>
          <w:rFonts w:eastAsia="Amiri" w:cs="Amiri" w:ascii="Amiri" w:hAnsi="Amiri"/>
          <w:color w:val="111111"/>
          <w:sz w:val="28"/>
          <w:szCs w:val="28"/>
          <w:rtl w:val="true"/>
          <w:lang w:bidi="ar-SA"/>
        </w:rPr>
        <w:t>».</w:t>
      </w:r>
      <w:r>
        <w:rPr>
          <w:rStyle w:val="FootnoteAnchor"/>
          <w:rtl w:val="true"/>
        </w:rPr>
        <w:footnoteReference w:id="3012"/>
      </w:r>
      <w:r>
        <w:rPr>
          <w:rFonts w:ascii="Amiri" w:hAnsi="Amiri" w:eastAsia="Amiri" w:cs="Amiri"/>
          <w:color w:val="111111"/>
          <w:sz w:val="28"/>
          <w:sz w:val="28"/>
          <w:szCs w:val="28"/>
          <w:rtl w:val="true"/>
          <w:lang w:bidi="ar-SA"/>
        </w:rPr>
        <w:t>و هذا و إن كانَ خارجاً عمّا نَحنُ فيه، فلا بُدَّ مِن بيانِ الصوابِ فيه مِن الخَطإ</w:t>
      </w:r>
      <w:r>
        <w:rPr>
          <w:rFonts w:eastAsia="Amiri" w:cs="Amiri" w:ascii="Amiri" w:hAnsi="Amiri"/>
          <w:color w:val="111111"/>
          <w:sz w:val="28"/>
          <w:szCs w:val="28"/>
          <w:rtl w:val="true"/>
          <w:lang w:bidi="ar-SA"/>
        </w:rPr>
        <w:t>.</w:t>
      </w:r>
    </w:p>
    <w:p>
      <w:pPr>
        <w:pStyle w:val="Heading6"/>
        <w:numPr>
          <w:ilvl w:val="5"/>
          <w:numId w:val="1"/>
        </w:numPr>
        <w:rPr/>
      </w:pPr>
      <w:bookmarkStart w:id="1190" w:name="__RefHeading___Toc8040323_1280447820"/>
      <w:bookmarkStart w:id="1191" w:name="_Toc436"/>
      <w:bookmarkEnd w:id="1190"/>
      <w:r>
        <w:rPr>
          <w:rtl w:val="true"/>
        </w:rPr>
        <w:t>مُناقَشةُ اعتمادِ بعضِ القائلينَ بالرؤيةِ علَى العددِ</w:t>
      </w:r>
      <w:bookmarkEnd w:id="1191"/>
    </w:p>
    <w:p>
      <w:pPr>
        <w:pStyle w:val="BookText"/>
        <w:rPr/>
      </w:pPr>
      <w:r>
        <w:rPr>
          <w:rFonts w:ascii="Amiri" w:hAnsi="Amiri" w:eastAsia="Amiri" w:cs="Amiri"/>
          <w:color w:val="111111"/>
          <w:sz w:val="28"/>
          <w:sz w:val="28"/>
          <w:szCs w:val="28"/>
          <w:rtl w:val="true"/>
          <w:lang w:bidi="ar-SA"/>
        </w:rPr>
        <w:t>ثُمّ قالَ صاحبُ الكتابِ</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آخَرُ، و هو أنّ مِن أصحابِنا مَن يَستَدِلُّ برؤيةِ الهِلالِ في كُلِّ شَهرٍ،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الذي يَظهَرُ في آخِرِه هو أوّلُ المُستَهَلِّ بمُوافَقتِه للعَدَدِ</w:t>
      </w:r>
      <w:r>
        <w:rPr>
          <w:rStyle w:val="FootnoteAnchor"/>
          <w:rtl w:val="true"/>
        </w:rPr>
        <w:footnoteReference w:id="3013"/>
      </w:r>
    </w:p>
    <w:p>
      <w:pPr>
        <w:pStyle w:val="BookText"/>
        <w:rPr/>
      </w:pPr>
      <w:r>
        <w:rPr>
          <w:rFonts w:ascii="Amiri" w:hAnsi="Amiri" w:eastAsia="Amiri" w:cs="Amiri"/>
          <w:color w:val="111111"/>
          <w:sz w:val="28"/>
          <w:sz w:val="28"/>
          <w:szCs w:val="28"/>
          <w:rtl w:val="true"/>
          <w:lang w:bidi="ar-SA"/>
        </w:rPr>
        <w:t>فمتىٰ رأَى الاختلافَ، عادَ إلَى العَدَدِ الذي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يَستَدِلُّ بالرؤيةِ مِن وجهٍ آخَرَ، و هو أن يَرقُبَ ظهورَ الهِلالِ له في المَشرِقِ و قَبلَ طلوعِ الشمسِ، يَفعَلَ ذلكَ يَوماً بَعدَ يَومٍ مِن آخِرِ الشهرِ، إلىٰ أن يَخفىٰ عنه آخِرُه مِن الشمسِ فلا يَظهَرَ؛ فيَعلَمَ حينَئذٍ أنّه آخِرُ يَومٍ في الشهرِ الماضي، وهو يومُ السَّرارِ، و اليومُ الذي يَليه أوّلُ المُستَهَلِّ، فيَستَدِلَّ بذلكَ ما لَم يُخالِفِ العَدَدَ؛ فإذا خالَفَه أو اعتَرَضَ له لَبْسٌ، عادَ</w:t>
      </w:r>
      <w:r>
        <w:rPr>
          <w:rStyle w:val="FootnoteAnchor"/>
          <w:rtl w:val="true"/>
        </w:rPr>
        <w:footnoteReference w:id="3014"/>
      </w:r>
      <w:r>
        <w:rPr>
          <w:rFonts w:ascii="Amiri" w:hAnsi="Amiri" w:eastAsia="Amiri" w:cs="Amiri"/>
          <w:color w:val="111111"/>
          <w:sz w:val="28"/>
          <w:sz w:val="28"/>
          <w:szCs w:val="28"/>
          <w:rtl w:val="true"/>
          <w:lang w:bidi="ar-SA"/>
        </w:rPr>
        <w:t>مُستَمسِكاً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فُصولٌ مُستَمِرّةٌ،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قَدَّمتَه في هذا الفَصلِ فهو غَلَطٌ فاحشٌ؛ لأنّكَ ادَّعَيتَ أنّ اليومَ الذي يَظهَرُ في آخِرِه الهِلالُ هو أوّلُ يَومِ المُستَهَلِّ‌</w:t>
      </w:r>
      <w:r>
        <w:rPr>
          <w:rStyle w:val="FootnoteAnchor"/>
          <w:rtl w:val="true"/>
        </w:rPr>
        <w:footnoteReference w:id="3015"/>
      </w:r>
      <w:r>
        <w:rPr>
          <w:rFonts w:ascii="Amiri" w:hAnsi="Amiri" w:eastAsia="Amiri" w:cs="Amiri"/>
          <w:color w:val="111111"/>
          <w:sz w:val="28"/>
          <w:sz w:val="28"/>
          <w:szCs w:val="28"/>
          <w:rtl w:val="true"/>
          <w:lang w:bidi="ar-SA"/>
        </w:rPr>
        <w:t>، 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مُوافَقتِه للعَدَدِ؛ فإن وَقَعَ اختلافٌ، وَجَبَ الرجوعُ إلَى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فائدةٍ في أن يَعلَمَ المُكلَّفُ إذا رأَى الهِلالَ في آخِرِ يَومٍ أنّ ذلكَ اليومَ مُستَهَلُّ الشهرِ و قد فاتَ و انقَضىٰ، و لا يَتمكَّنُ مِن صيامِه و لا أداءِ العبادةِ فيه؟ و إنّما أمارةُ الشهرِ و دخولِه تجِبُ أن تَكونَ مُتقدِّمةً لنَعلَمَ بها الشهرَ، فنؤدّيَ الفَرضَ فيه؛ فأمّا أن تَكونَ مُتأخِّرةً و قد فاتَ الصومُ فيه، فغَيرُ صَحيحٍ</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مُوافَقتِه للعَدَدِ</w:t>
      </w:r>
      <w:r>
        <w:rPr>
          <w:rStyle w:val="FootnoteAnchor"/>
          <w:rtl w:val="true"/>
        </w:rPr>
        <w:footnoteReference w:id="3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أن يَكونَ برؤيةِ الأهِلّةِ اعتبارٌ و تَكونَ دليلاً في نفسِها؛ لأنّه إذا شَرَطَ أن تُوافِقَ الرؤيةُ العَدَدَ، فلا حَظَّ للرؤيةِ هاهُنا، و لا حُكمَ تؤثِّرُ فيه، و إنّما التأثيرُ للعَدَدِ دونَها؛ فلا معنىٰ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نَستَدِلُّ بالرؤيةِ علىٰ بعضِ الوجوهِ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أصحابِنا مَن يَستَدِلُّ بالرؤيةِ مِن وجهٍ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لأنّه إذا رَقَبَ ظهورَ الهِلالِ في المَشرِقِ إلىٰ آخِرِ الشهرِ، فخَفيَ عنه؛ لقُربِه مِن الشمسِ، علىٰ‌</w:t>
      </w:r>
      <w:r>
        <w:rPr>
          <w:rStyle w:val="FootnoteAnchor"/>
          <w:rtl w:val="true"/>
        </w:rPr>
        <w:footnoteReference w:id="3017"/>
      </w:r>
      <w:r>
        <w:rPr>
          <w:rFonts w:ascii="Amiri" w:hAnsi="Amiri" w:eastAsia="Amiri" w:cs="Amiri"/>
          <w:color w:val="111111"/>
          <w:sz w:val="28"/>
          <w:sz w:val="28"/>
          <w:szCs w:val="28"/>
          <w:rtl w:val="true"/>
          <w:lang w:bidi="ar-SA"/>
        </w:rPr>
        <w:t>أنّه آخِرُ يَومٍ مِن الشهرِ الماضي، فيَعلَمُ أنّه اليومُ الذي أوّلُ المُستَهَلِّ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الترتيبُ الذي رَتَّبَه مِن أينَ له صِحّتُه؟ و أيُّ دليلٍ قامَ عليه؟ فما رأَينا أحَداً مِن المُسلِمينَ راعىٰ في رؤيةِ الهِلالِ هذا الذي ادَّعاه مِن مُراعاةٍ عندَ طلوعِ الشمسِ، و لا رأَيناهم يُراعونَ الأهِلّةَ إلّافي أواخِرِ الأيّامِ و غيابِ الشمسِ، و لا يَبرُزونَ إلَى الأماكِنِ المُصحِرةِ إلّافي أواخِرِ النهار و عندَ مَغيبِ الشمسِ، و ما رأَيناهم قَطُّ اجتَمَعوا قَبلَ طلوعِ الشمسِ، و لا راعَوا طلوعَه في هذا الوقتِ أو خَفاءَه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نَقَضَ الكلامَ كُلَّه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يَستَدِلَّ بذلكَ ما لَم يُخالِفِ العَدَدَ؛ فإذا خالَفَه، كان مُستَمسِكاً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كانَ الأمرُ علىٰ ما ذَكَرَه، فالعَدَدُ هو الدليلُ و هو المؤثِّرُ، و قد تَقدَّمَ هذا؛ لأنّ ظهورَ الهِلالِ أو خَفاءَه في الوقتِ الذي ذَكَرَه إذا كانَ يُصدَّقُ، و يُكذَّبُ، و إنّما يُعوَّلُ عليه</w:t>
      </w:r>
      <w:r>
        <w:rPr>
          <w:rStyle w:val="FootnoteAnchor"/>
          <w:rtl w:val="true"/>
        </w:rPr>
        <w:footnoteReference w:id="3018"/>
      </w:r>
      <w:r>
        <w:rPr>
          <w:rFonts w:ascii="Amiri" w:hAnsi="Amiri" w:eastAsia="Amiri" w:cs="Amiri"/>
          <w:color w:val="111111"/>
          <w:sz w:val="28"/>
          <w:sz w:val="28"/>
          <w:szCs w:val="28"/>
          <w:rtl w:val="true"/>
          <w:lang w:bidi="ar-SA"/>
        </w:rPr>
        <w:t>إذا وافَقَ العَدَدَ، و إذا خالَفَهُ اطُّرِحَ؛ فالعَدَدُ إذَن هو المؤثِّرُ، و به الاعتبارُ دونَ غيرِه، و لا تأثيرَ لرؤيةِ الهِلالِ</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ادَّعىٰ أنّ الرؤيةَ مؤثِّرةٌ، فقَد استَعارَ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هَرَباً مِن الشناعةِ و الخِلافِ، و إشفاقاً لِما رُويَ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لرؤيتِه، و أفطِروا لرؤيتِه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يَصِحُّ له، و لا يَستَقيمُ علىٰ مَذهبِه</w:t>
      </w:r>
      <w:r>
        <w:rPr>
          <w:rFonts w:eastAsia="Amiri" w:cs="Amiri" w:ascii="Amiri" w:hAnsi="Amiri"/>
          <w:color w:val="111111"/>
          <w:sz w:val="28"/>
          <w:szCs w:val="28"/>
          <w:rtl w:val="true"/>
          <w:lang w:bidi="ar-SA"/>
        </w:rPr>
        <w:t xml:space="preserve">. </w:t>
      </w:r>
      <w:bookmarkStart w:id="1192" w:name="pg16437_172888"/>
    </w:p>
    <w:p>
      <w:pPr>
        <w:pStyle w:val="Heading6"/>
        <w:numPr>
          <w:ilvl w:val="5"/>
          <w:numId w:val="1"/>
        </w:numPr>
        <w:rPr/>
      </w:pPr>
      <w:bookmarkStart w:id="1193" w:name="__RefHeading___Toc8040325_1280447820"/>
      <w:bookmarkStart w:id="1194" w:name="_Toc437"/>
      <w:bookmarkEnd w:id="1192"/>
      <w:bookmarkEnd w:id="1193"/>
      <w:r>
        <w:rPr>
          <w:rtl w:val="true"/>
        </w:rPr>
        <w:t>الدليلُ الثالث</w:t>
      </w:r>
      <w:r>
        <w:rPr>
          <w:rtl w:val="true"/>
        </w:rPr>
        <w:t xml:space="preserve">: </w:t>
      </w:r>
      <w:r>
        <w:rPr>
          <w:rtl w:val="true"/>
        </w:rPr>
        <w:t xml:space="preserve">خبرُ </w:t>
      </w:r>
      <w:r>
        <w:rPr>
          <w:rtl w:val="true"/>
        </w:rPr>
        <w:t>«</w:t>
      </w:r>
      <w:r>
        <w:rPr>
          <w:rtl w:val="true"/>
        </w:rPr>
        <w:t>شَهرُ رمضانَ يُصيبُه ما يُصيبُ سائرَ الشهورِ</w:t>
      </w:r>
      <w:r>
        <w:rPr>
          <w:rtl w:val="true"/>
        </w:rPr>
        <w:t>»</w:t>
      </w:r>
      <w:bookmarkEnd w:id="1194"/>
    </w:p>
    <w:p>
      <w:pPr>
        <w:pStyle w:val="Heading6"/>
        <w:numPr>
          <w:ilvl w:val="5"/>
          <w:numId w:val="1"/>
        </w:numPr>
        <w:rPr/>
      </w:pPr>
      <w:bookmarkStart w:id="1195" w:name="__RefHeading___Toc8040327_1280447820"/>
      <w:bookmarkStart w:id="1196" w:name="_Toc438"/>
      <w:bookmarkEnd w:id="1195"/>
      <w:r>
        <w:rPr>
          <w:rtl w:val="true"/>
        </w:rPr>
        <w:t>اشارة</w:t>
      </w:r>
      <w:bookmarkEnd w:id="1196"/>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سَألوا عن الخبرِ المَرويِّ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يُصِيبُه ما يُصيبُ سائرَ الشهورِ مِن الزيادةِ و النقصانِ</w:t>
      </w:r>
      <w:r>
        <w:rPr>
          <w:rFonts w:eastAsia="Amiri" w:cs="Amiri" w:ascii="Amiri" w:hAnsi="Amiri"/>
          <w:color w:val="111111"/>
          <w:sz w:val="28"/>
          <w:szCs w:val="28"/>
          <w:rtl w:val="true"/>
          <w:lang w:bidi="ar-SA"/>
        </w:rPr>
        <w:t>»</w:t>
      </w:r>
      <w:r>
        <w:rPr>
          <w:rStyle w:val="FootnoteAnchor"/>
          <w:rtl w:val="true"/>
        </w:rPr>
        <w:footnoteReference w:id="3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إن كانَ منقولاً علَى الحقيقةِ فيُحتَمَلُ أن يَكونَ مِن أخبارِ التقيّةِ، دَفَعَ به الصادقُ عليه السلامُ عن نفسِه و شيعتِه ما خَشِيَه مِن العَوامِّ و سُلطانِ الزمانِ مِن الأذيّةِ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تَجوزُ التقيّةُ بقَولٍ يُضادُّ أصلَ المَذهبِ، و لَيسَ له معنىً يَخرُجُ به عن حَدِّ الكَذِبِ؟</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يَحتَمِلُ معنىً يُضمِرُه الإمامُ يُوافِقُ الصوابَ، و هو أن يَقصِدَ زيادةَ النهارِ و نُقصانَه في الساعاتِ، فيَكونَ شَهرُ رمضانَ مَرّةً في الصيفِ خَمسَ عَشرةَ ساعةً، و يَصيرَ مَرّةً أُخرىٰ في الشتاءِ تِسعَ ساعاتٍ، فقَد لَحِقَه ما لَحِقَ سائرَ الشهورِ مِن الزيادةِ و النقصانِ باختلافِ الساعاتِ لا في عَدَدِ الأيّامِ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مِن أخبارِ الآحادِ، و أخبارُ الآحادِ عندَنا لا توجِبُ عِلماً و لا عملاً، و لا يَصِحُّ الاستدلالُ بها علىٰ حُكمٍ مِن الأحكامِ، و قد بيّنّا هذا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وُفِّقتَ أيُّها المُتكلِّمُ لَدَفَعتَ الاحتجاجَ عليكَ بهذا الخبرِ بأنّه لا يوجِبُ العِلمَ، و لَكُفيتَ بذلكَ</w:t>
      </w:r>
      <w:r>
        <w:rPr>
          <w:rFonts w:eastAsia="Amiri" w:cs="Amiri" w:ascii="Amiri" w:hAnsi="Amiri"/>
          <w:color w:val="111111"/>
          <w:sz w:val="28"/>
          <w:szCs w:val="28"/>
          <w:rtl w:val="true"/>
          <w:lang w:bidi="ar-SA"/>
        </w:rPr>
        <w:t xml:space="preserve">. </w:t>
      </w:r>
      <w:bookmarkStart w:id="1197" w:name="pg16437_172889"/>
    </w:p>
    <w:p>
      <w:pPr>
        <w:pStyle w:val="BookText"/>
        <w:rPr/>
      </w:pPr>
      <w:bookmarkEnd w:id="1197"/>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أخبارِ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بِلا بُرهانٍ، و ظاهرُ هذه الأخبارِ تَقتَضي أنّها علَى السلامةِ و عدمِ الخَوفِ؛ فمَن ادَّعىٰ خِلافَ ذلكَ،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السؤالُ الذي سَألتَ نفسَكَ عنه، ثُمّ أجَبتَ عنه، فما يَسألُ عن مِثلِه مُحصِّلٌ مِن مُخالِفيكَ؛ لأنّه يَجوزُ أن يُريدَ الإمامُ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يُصيبُه ما يُصيبُ سائرَ الشهورِ مِن الزيادةِ و النقصانِ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شيعيّاً خائفاً علىٰ ما ادَّعَيتَ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يَلحَقُه علىٰ مَذهبِ هذه الطائفةِ التي لاتَرَى العَدَدَ،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xml:space="preserve">» </w:t>
      </w:r>
      <w:r>
        <w:rPr>
          <w:rStyle w:val="FootnoteAnchor"/>
          <w:rtl w:val="true"/>
        </w:rPr>
        <w:footnoteReference w:id="3020"/>
      </w:r>
      <w:r>
        <w:rPr>
          <w:rFonts w:ascii="Amiri" w:hAnsi="Amiri" w:eastAsia="Amiri" w:cs="Amiri"/>
          <w:color w:val="111111"/>
          <w:sz w:val="28"/>
          <w:sz w:val="28"/>
          <w:szCs w:val="28"/>
          <w:rtl w:val="true"/>
          <w:lang w:bidi="ar-SA"/>
        </w:rPr>
        <w:t>أي عندَ قومِكَ و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في ذلكَ إلىٰ ما تأوَّلتَه مِن زيادةِ الساعاتِ و نُقصانِها</w:t>
      </w:r>
      <w:r>
        <w:rPr>
          <w:rFonts w:eastAsia="Amiri" w:cs="Amiri" w:ascii="Amiri" w:hAnsi="Amiri"/>
          <w:color w:val="111111"/>
          <w:sz w:val="28"/>
          <w:szCs w:val="28"/>
          <w:rtl w:val="true"/>
          <w:lang w:bidi="ar-SA"/>
        </w:rPr>
        <w:t>.</w:t>
      </w:r>
    </w:p>
    <w:p>
      <w:pPr>
        <w:pStyle w:val="Heading6"/>
        <w:numPr>
          <w:ilvl w:val="5"/>
          <w:numId w:val="1"/>
        </w:numPr>
        <w:rPr/>
      </w:pPr>
      <w:bookmarkStart w:id="1198" w:name="__RefHeading___Toc8040329_1280447820"/>
      <w:bookmarkStart w:id="1199" w:name="_Toc439"/>
      <w:bookmarkEnd w:id="1198"/>
      <w:r>
        <w:rPr>
          <w:rtl w:val="true"/>
        </w:rPr>
        <w:t>كَيفيّةُ الحَجِّ علَى القَولِ بالعَدَدِ</w:t>
      </w:r>
      <w:bookmarkEnd w:id="1199"/>
    </w:p>
    <w:p>
      <w:pPr>
        <w:pStyle w:val="BookText"/>
        <w:rPr/>
      </w:pPr>
      <w:r>
        <w:rPr>
          <w:rFonts w:ascii="Amiri" w:hAnsi="Amiri" w:eastAsia="Amiri" w:cs="Amiri"/>
          <w:color w:val="111111"/>
          <w:sz w:val="28"/>
          <w:sz w:val="28"/>
          <w:szCs w:val="28"/>
          <w:rtl w:val="true"/>
          <w:lang w:bidi="ar-SA"/>
        </w:rPr>
        <w:t>ثُمّ قالَ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سَألوا عن حَجِّ الناسِ في وقتِنا هذا علَى الرؤيةِ،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أحَدُكم في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علَى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يَقدِرُ أن يَنسُكَ مَناسكَه علَى الرؤيةِ؟</w:t>
      </w:r>
    </w:p>
    <w:p>
      <w:pPr>
        <w:pStyle w:val="BookText"/>
        <w:rPr/>
      </w:pPr>
      <w:r>
        <w:rPr>
          <w:rFonts w:ascii="Amiri" w:hAnsi="Amiri" w:eastAsia="Amiri" w:cs="Amiri"/>
          <w:color w:val="111111"/>
          <w:sz w:val="28"/>
          <w:sz w:val="28"/>
          <w:szCs w:val="28"/>
          <w:rtl w:val="true"/>
          <w:lang w:bidi="ar-SA"/>
        </w:rPr>
        <w:t>ثُمّ أجابَ، فقالَ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سؤالٌ عمّا يَفعَلُه، و لَيسَ فيه دَلالةٌ علىٰ صِحّةِ الرؤيةِ و بُطلانِ ما نَعتَقِدُه؛ لأنّه قد كانَ مِن الجائزِ المُمكِنِ أن يَليَ الحَرَمَينِ سُلطانٌ عَدَديٌّ، فيأخُذَ الناسَ برأيِه، ويَحُجَّ بِهم علىٰ مَذهبِه، فتَكونَ الحالُ بخِلافِ‌</w:t>
      </w:r>
      <w:r>
        <w:rPr>
          <w:rStyle w:val="FootnoteAnchor"/>
          <w:rtl w:val="true"/>
        </w:rPr>
        <w:footnoteReference w:id="3021"/>
      </w:r>
      <w:r>
        <w:rPr>
          <w:rFonts w:ascii="Amiri" w:hAnsi="Amiri" w:eastAsia="Amiri" w:cs="Amiri"/>
          <w:color w:val="111111"/>
          <w:sz w:val="28"/>
          <w:sz w:val="28"/>
          <w:szCs w:val="28"/>
          <w:rtl w:val="true"/>
          <w:lang w:bidi="ar-SA"/>
        </w:rPr>
        <w:t>ما هي عليه الآنَ‌</w:t>
      </w:r>
      <w:r>
        <w:rPr>
          <w:rStyle w:val="FootnoteAnchor"/>
          <w:rtl w:val="true"/>
        </w:rPr>
        <w:footnoteReference w:id="3022"/>
      </w:r>
      <w:r>
        <w:rPr>
          <w:rFonts w:ascii="Amiri" w:hAnsi="Amiri" w:eastAsia="Amiri" w:cs="Amiri"/>
          <w:color w:val="111111"/>
          <w:sz w:val="28"/>
          <w:sz w:val="28"/>
          <w:szCs w:val="28"/>
          <w:rtl w:val="true"/>
          <w:lang w:bidi="ar-SA"/>
        </w:rPr>
        <w:t xml:space="preserve">و معلومٌ أنّ ذلكَ لا يَكونُ دَلالةً علىٰ ما نَذهَبُ إليه مِن العَدَدِ، </w:t>
      </w:r>
    </w:p>
    <w:p>
      <w:pPr>
        <w:pStyle w:val="BookText"/>
        <w:rPr/>
      </w:pPr>
      <w:r>
        <w:rPr>
          <w:rFonts w:ascii="Amiri" w:hAnsi="Amiri" w:eastAsia="Amiri" w:cs="Amiri"/>
          <w:color w:val="111111"/>
          <w:sz w:val="28"/>
          <w:sz w:val="28"/>
          <w:szCs w:val="28"/>
          <w:rtl w:val="true"/>
          <w:lang w:bidi="ar-SA"/>
        </w:rPr>
        <w:t>و كذلكَ حَجُّ الناسِ اليومَ علَى الرؤيةِ، و لا يَصِحُّ به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نَعمَلُه أنّا نَقِفُ مع الناسِ المَوقِفَينِ، و نَفعَلُ المَناسِكَ التي هي أصلُ الحَجِّ، و لا يَجِبُ أن يَكونَ ما نَفعَلُه مِن الحَجِّ علَى الإفرادِ بَعدَ فَوتِ المُتعةِ كُلُّه صحيحاً واقعاً مَوقِعَه مِن المَناسِكِ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w:t>
      </w:r>
      <w:r>
        <w:rPr>
          <w:rStyle w:val="FootnoteAnchor"/>
          <w:rtl w:val="true"/>
        </w:rPr>
        <w:footnoteReference w:id="3023"/>
      </w:r>
      <w:r>
        <w:rPr>
          <w:rFonts w:ascii="Amiri" w:hAnsi="Amiri" w:eastAsia="Amiri" w:cs="Amiri"/>
          <w:color w:val="111111"/>
          <w:sz w:val="28"/>
          <w:sz w:val="28"/>
          <w:szCs w:val="28"/>
          <w:rtl w:val="true"/>
          <w:lang w:bidi="ar-SA"/>
        </w:rPr>
        <w:t xml:space="preserve">كذلكَ ما يَقولُه أصحابُ العَدَدِ؛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علىٰ مَذهبِهم في يَومِ عَرَفاتٍ في غيرِ يَومِ المَوقِفِ فكأنّه ما وَقَفَ، و يأتي مِنىً في غيرِ اليومِ الذي يَجِبُ إتيانُها فيه فكأنّه ما أتاها، و إذا وَقَعَت منه المَناسِكُ في غيرِ 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لمُخالَفتِها العَدَدَ الذي هو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ما صَنَعَ شَيئاً، فلا حَجَّ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نَقِفُ مع الناسِ ونُتابِعُهم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بشَيءٍ يُعتَمَدُ؛ لأنّ السؤالَ عليه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تَكلُّفُ الخروجِ إلَى الحَجِّ و أنتَ تَعلَمُ أنّكَ لا تَتمكَّنُ منه، و لا تَقدِرُ علىٰ أن تؤَدّيَ أفعالَ الحَجِّ في أوقاتِها، و أنّك تُصَدُّ عنها و تُمنَعُ؟ و هَل ذلكَ إلّاعَبَثٌ؟</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الجائزِ أن يَليَ الحَرَمَينِ سُلطانٌ عَدَديٌّ، فيُتمكَّنَ به مِن أداءِ الحَجِّ علىٰ واجبِه و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يَقَعْ هذا الجائزُ الذي يُتمكَّنُ به مِن شَرائطِ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تَتوقَّفَ عن تَكلُّفِه</w:t>
      </w:r>
      <w:r>
        <w:rPr>
          <w:rStyle w:val="FootnoteAnchor"/>
          <w:rtl w:val="true"/>
        </w:rPr>
        <w:footnoteReference w:id="3024"/>
      </w:r>
      <w:r>
        <w:rPr>
          <w:rFonts w:ascii="Amiri" w:hAnsi="Amiri" w:eastAsia="Amiri" w:cs="Amiri"/>
          <w:color w:val="111111"/>
          <w:sz w:val="28"/>
          <w:sz w:val="28"/>
          <w:szCs w:val="28"/>
          <w:rtl w:val="true"/>
          <w:lang w:bidi="ar-SA"/>
        </w:rPr>
        <w:t>و الخروجِ إليه؛ لأنّ ذلكَ منكَ عَبَثٌ</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أتكلَّفُه قَبلَ عِلمي بوقوعِ هذا الجائزِ؛ لتجويزي في طولِ طَريقي </w:t>
      </w:r>
    </w:p>
    <w:p>
      <w:pPr>
        <w:pStyle w:val="BookText"/>
        <w:rPr/>
      </w:pPr>
      <w:r>
        <w:rPr>
          <w:rFonts w:ascii="Amiri" w:hAnsi="Amiri" w:eastAsia="Amiri" w:cs="Amiri"/>
          <w:color w:val="111111"/>
          <w:sz w:val="28"/>
          <w:sz w:val="28"/>
          <w:szCs w:val="28"/>
          <w:rtl w:val="true"/>
          <w:lang w:bidi="ar-SA"/>
        </w:rPr>
        <w:t>إلَى الحَجِّ أن يَليَ الحَرَمَينِ مَن مَذهبُه العَدَدُ، فيُمكِّنّي</w:t>
      </w:r>
      <w:r>
        <w:rPr>
          <w:rStyle w:val="FootnoteAnchor"/>
          <w:rtl w:val="true"/>
        </w:rPr>
        <w:footnoteReference w:id="3025"/>
      </w:r>
      <w:r>
        <w:rPr>
          <w:rFonts w:ascii="Amiri" w:hAnsi="Amiri" w:eastAsia="Amiri" w:cs="Amiri"/>
          <w:color w:val="111111"/>
          <w:sz w:val="28"/>
          <w:sz w:val="28"/>
          <w:szCs w:val="28"/>
          <w:rtl w:val="true"/>
          <w:lang w:bidi="ar-SA"/>
        </w:rPr>
        <w:t>أن يَكونَ حَجّي علىٰ موجَبِ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يَنفَعُكَ مِن تغيُّرِ مَذهبِ مَن يَلي الحَرَمَ</w:t>
      </w:r>
      <w:r>
        <w:rPr>
          <w:rFonts w:eastAsia="Amiri" w:cs="Amiri" w:ascii="Amiri" w:hAnsi="Amiri"/>
          <w:color w:val="111111"/>
          <w:sz w:val="28"/>
          <w:szCs w:val="28"/>
          <w:rtl w:val="true"/>
          <w:lang w:bidi="ar-SA"/>
        </w:rPr>
        <w:t>...</w:t>
      </w:r>
      <w:r>
        <w:rPr>
          <w:rStyle w:val="FootnoteAnchor"/>
          <w:rtl w:val="true"/>
        </w:rPr>
        <w:footnoteReference w:id="3026"/>
      </w:r>
      <w:r>
        <w:rPr>
          <w:rFonts w:ascii="Amiri" w:hAnsi="Amiri" w:eastAsia="Amiri" w:cs="Amiri"/>
          <w:color w:val="111111"/>
          <w:sz w:val="28"/>
          <w:sz w:val="28"/>
          <w:szCs w:val="28"/>
          <w:rtl w:val="true"/>
          <w:lang w:bidi="ar-SA"/>
        </w:rPr>
        <w:t>و تابَعَهم عندَ الضرورةِ و لا يُخالِفُ، جارٍ في ذلكَ مَجرَى الممنوعِ و عن بعض شَرائطِ الحَجِّ مصدودٌ؟ و عندَ الاضطرارِ تُبسَطُ الأعذارُ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نَظيرُ ما أجمَعَت عليه الشيعةُ و خالَفَت فيه العوامَّ مِن وجوبِ التمتُّعِ بالعُمرةِ إلَى الحَجِّ علىٰ مَن لَم يَكُن أهلُه حاضِري المَسجِدِ الحَرامِ، حتّىٰ أكَّدَ أكثَرُهم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الفَرضُ الذي لا يُتقبَّلُ في الحَجِّ غيرُه ممّن نَأَتْ عن مَكّةَ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جوازُ فَوتِه لِمَن سَلَكَ طريقَ الشامِ؛ لجوازِ دخولِه مَكّةَ بَعدَ المَوقِفِ مِن يَومِ الترويةِ، و هو وقتٌ لا يُمكِنُ فيه التمتُّعُ بالعُمرةِ، و إنّ ذلكَ يَفوتُ مَن حَجَّ علىٰ طَريقِ العِراقِ؛ لورودِه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فتُلجئُ الضرورةُ لِمَن يَقولُ هذا الرأيَ إلَى المُقامِ علَى الإحرامِ الذي عَقَدَه بنيّةِ التمتُّعِ بالعُمرةِ، و يَصيرُ إلَى الإفرادِ الذي لَو ابتَدأَ الإحرامَ به لَكانَ مُخطئاً عندَ الشيعةِ علىٰ كُلِّ حالٍ، فجَوَّزَت له الضرورةُ هذا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عِدّةُ نَظائرَ مِن واجباتٍ و سُنَنٍ، الناسُ اليومَ علىٰ خِلافِها غيرُ مُتمكِّنينَ مِن إقامتِها علىٰ شَرائطِها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أيضاً ممّا لا نُسألُ عنه، و لا نُحاجُّ بمِثلِه؛ لأنّه لا حُجّةَ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الفَرقُ بَينَ فَوتِ التمتُّعِ بالعُمرةِ إلَى الحَجِّ لِمَن حَجَّ مع كافّةِ الناسِ و بَينَ‌</w:t>
      </w:r>
      <w:r>
        <w:rPr>
          <w:rStyle w:val="FootnoteAnchor"/>
          <w:rtl w:val="true"/>
        </w:rPr>
        <w:footnoteReference w:id="3027"/>
      </w:r>
      <w:r>
        <w:rPr>
          <w:rFonts w:ascii="Amiri" w:hAnsi="Amiri" w:eastAsia="Amiri" w:cs="Amiri"/>
          <w:color w:val="111111"/>
          <w:sz w:val="28"/>
          <w:sz w:val="28"/>
          <w:szCs w:val="28"/>
          <w:rtl w:val="true"/>
          <w:lang w:bidi="ar-SA"/>
        </w:rPr>
        <w:t>ما يَقولُه أصحابُ العَدَدِ واضحٌ؛ لأنّ فَوتَ التمتُّعِ لا يُبطِلُ العَدَدَ، و هو إذا كانَ ذلكَ‌</w:t>
      </w:r>
      <w:r>
        <w:rPr>
          <w:rStyle w:val="FootnoteAnchor"/>
          <w:rtl w:val="true"/>
        </w:rPr>
        <w:footnoteReference w:id="3028"/>
      </w:r>
      <w:r>
        <w:rPr>
          <w:rFonts w:ascii="Amiri" w:hAnsi="Amiri" w:eastAsia="Amiri" w:cs="Amiri"/>
          <w:color w:val="111111"/>
          <w:sz w:val="28"/>
          <w:sz w:val="28"/>
          <w:szCs w:val="28"/>
          <w:rtl w:val="true"/>
          <w:lang w:bidi="ar-SA"/>
        </w:rPr>
        <w:t>وَقَفَ بعَرَفاتٍ قَبلَ وقوفِ أصحابِ الرؤيةِ، فقَد فاتَ علىٰ كُلِّ حالٍ مَن يَحُجُّ مع جُملةِ الحاجِّ الخارجينَ مِن العراقِ الوقوفُ بعَرَفاتٍ علىٰ مَذهبِ أصحابِ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بنافعٍ له أن يَتغيَّرَ مَذهبُ والي الحَرَمِ، فيَقِفَ بعَرَفاتٍ علىٰ موجَبِ العَدَدِ قَبلَ فَوتِه؛ لأنّ ذلكَ لا يَمنَعُ مِن فَواتِ الحَجِّ لهذا الذي خَرَجَ في جُملةِ الحَجيجِ العاملينَ علَى الرؤيةِ في يَومِ الوقوفِ، و تَعذَّرَ استدراكُ فَرضِه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واضحٌ لِمَن تأمَّلَه بعَينِ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الكتابُ بحَمدِ اللّٰهِ تَعالىٰ و مَنِّه و حُسنِ توفيقِه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صَلَواتُه علىٰ مُحمّدٍ وآلِه الطاهرينَ، و حَسبُنا اللّٰهُ و نِعمَ الوكيلُ</w:t>
      </w:r>
      <w:r>
        <w:rPr>
          <w:rFonts w:eastAsia="Amiri" w:cs="Amiri" w:ascii="Amiri" w:hAnsi="Amiri"/>
          <w:color w:val="111111"/>
          <w:sz w:val="28"/>
          <w:szCs w:val="28"/>
          <w:rtl w:val="true"/>
          <w:lang w:bidi="ar-SA"/>
        </w:rPr>
        <w:t xml:space="preserve">. </w:t>
      </w:r>
      <w:bookmarkStart w:id="1200" w:name="pg16437_172893"/>
    </w:p>
    <w:p>
      <w:pPr>
        <w:pStyle w:val="Heading3"/>
        <w:numPr>
          <w:ilvl w:val="2"/>
          <w:numId w:val="1"/>
        </w:numPr>
        <w:rPr/>
      </w:pPr>
      <w:bookmarkStart w:id="1201" w:name="__RefHeading___Toc8040331_1280447820"/>
      <w:bookmarkStart w:id="1202" w:name="_Toc440"/>
      <w:bookmarkEnd w:id="1200"/>
      <w:bookmarkEnd w:id="1201"/>
      <w:r>
        <w:rPr>
          <w:rtl w:val="true"/>
        </w:rPr>
        <w:t>(</w:t>
      </w:r>
      <w:r>
        <w:rPr/>
        <w:t>87</w:t>
      </w:r>
      <w:r>
        <w:rPr>
          <w:rtl w:val="true"/>
        </w:rPr>
        <w:t xml:space="preserve">) </w:t>
      </w:r>
      <w:r>
        <w:rPr>
          <w:rtl w:val="true"/>
        </w:rPr>
        <w:t>مسألةٌ في استمرارِ الصومِ مع قَصدِ المُنافي له</w:t>
      </w:r>
      <w:bookmarkEnd w:id="1202"/>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3" w:name="__RefHeading___Toc8040333_1280447820"/>
      <w:bookmarkStart w:id="1204" w:name="_Toc441"/>
      <w:bookmarkEnd w:id="1203"/>
      <w:r>
        <w:rPr>
          <w:rtl w:val="true"/>
        </w:rPr>
        <w:t>اشارة</w:t>
      </w:r>
      <w:bookmarkEnd w:id="1204"/>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5" w:name="pg16437_172895"/>
      <w:bookmarkStart w:id="1206" w:name="pg16437_172895"/>
      <w:bookmarkEnd w:id="1206"/>
    </w:p>
    <w:p>
      <w:pPr>
        <w:pStyle w:val="Heading4"/>
        <w:numPr>
          <w:ilvl w:val="3"/>
          <w:numId w:val="1"/>
        </w:numPr>
        <w:rPr/>
      </w:pPr>
      <w:bookmarkStart w:id="1207" w:name="pg16437_172895"/>
      <w:bookmarkStart w:id="1208" w:name="__RefHeading___Toc8040335_1280447820"/>
      <w:bookmarkStart w:id="1209" w:name="_Toc442"/>
      <w:bookmarkEnd w:id="1207"/>
      <w:bookmarkEnd w:id="1208"/>
      <w:r>
        <w:rPr>
          <w:rtl w:val="true"/>
        </w:rPr>
        <w:t>مقدّمة التحقيق</w:t>
      </w:r>
      <w:bookmarkEnd w:id="1209"/>
    </w:p>
    <w:p>
      <w:pPr>
        <w:pStyle w:val="Heading5"/>
        <w:numPr>
          <w:ilvl w:val="4"/>
          <w:numId w:val="1"/>
        </w:numPr>
        <w:rPr/>
      </w:pPr>
      <w:bookmarkStart w:id="1210" w:name="__RefHeading___Toc8040337_1280447820"/>
      <w:bookmarkStart w:id="1211" w:name="_Toc443"/>
      <w:bookmarkEnd w:id="1210"/>
      <w:r>
        <w:rPr>
          <w:rtl w:val="true"/>
        </w:rPr>
        <w:t>اشارة</w:t>
      </w:r>
      <w:bookmarkEnd w:id="1211"/>
    </w:p>
    <w:p>
      <w:pPr>
        <w:pStyle w:val="BookText"/>
        <w:rPr/>
      </w:pPr>
      <w:r>
        <w:rPr>
          <w:rFonts w:ascii="Amiri" w:hAnsi="Amiri" w:eastAsia="Amiri" w:cs="Amiri"/>
          <w:color w:val="111111"/>
          <w:sz w:val="28"/>
          <w:sz w:val="28"/>
          <w:szCs w:val="28"/>
          <w:rtl w:val="true"/>
          <w:lang w:bidi="ar-SA"/>
        </w:rPr>
        <w:t>لقد تمتّع الشريف المرتضى بمرونة فكريّة و قدرة على تغيير رأيه إذا اقتضى الدليلُ ذلك، فقد كان تابعاً للدليل يتوجّه معه أينما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مصاديق ذلك الرسالة التي بين أيدينا، فقد قام فيها بتغيير رأي فقهيّ قديم كان يؤمن به، و قد أودع هذا الرأي في رسالة كان قد أملاها قديماً، ذهب فيها إلى أنّ العزم في أثناء نهار شهر رمضان على ما ينافي الصوم من أكل وشرب وغير ذلك ينقض الصوم؛ ولكنّه بعد ذلك رجع عن هذا الرأي في كتابه المصباح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ذلك في الرسالة التي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إلى أنّ هذا العزم لا ينافي الصوم، بل يبقى صومه صحيحاً، و لا يبطل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أنّه لأهمّيّة هذه المسألة من وجهة نظره قام بتأليف هذه الرسالة المستقلّة التي وصلت إلينا، فيما فُقدت تلك الرسالة القديمة، كما لم يصل إلينا كتاب المصباح</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أيّد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الأخير</w:t>
      </w:r>
      <w:r>
        <w:rPr>
          <w:rStyle w:val="FootnoteAnchor"/>
          <w:rtl w:val="true"/>
        </w:rPr>
        <w:footnoteReference w:id="3029"/>
      </w:r>
      <w:r>
        <w:rPr>
          <w:rFonts w:ascii="Amiri" w:hAnsi="Amiri" w:eastAsia="Amiri" w:cs="Amiri"/>
          <w:color w:val="111111"/>
          <w:sz w:val="28"/>
          <w:sz w:val="28"/>
          <w:szCs w:val="28"/>
          <w:rtl w:val="true"/>
          <w:lang w:bidi="ar-SA"/>
        </w:rPr>
        <w:t xml:space="preserve">، فيما اختار 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القديم</w:t>
      </w:r>
      <w:r>
        <w:rPr>
          <w:rStyle w:val="FootnoteAnchor"/>
          <w:rtl w:val="true"/>
        </w:rPr>
        <w:footnoteReference w:id="3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 الحلبي لم يكن مطّلعاً على الرسالة التي بين أيدينا، و لا على كتاب المصباح، و إلّالو كان قد اطّلع عليهما لكان من المحتمل أن يغيّر رأيه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ليست هذه هي المرّة الأُولى التي يغيّر الشريف المرتضى فيها رأياً من آراءه؛ بل قد حصل ذلك له في 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يذهب سابقاً إلى حرمة الربا بين الأب و الابن</w:t>
      </w:r>
      <w:r>
        <w:rPr>
          <w:rStyle w:val="FootnoteAnchor"/>
          <w:rtl w:val="true"/>
        </w:rPr>
        <w:footnoteReference w:id="3031"/>
      </w:r>
      <w:r>
        <w:rPr>
          <w:rFonts w:ascii="Amiri" w:hAnsi="Amiri" w:eastAsia="Amiri" w:cs="Amiri"/>
          <w:color w:val="111111"/>
          <w:sz w:val="28"/>
          <w:sz w:val="28"/>
          <w:szCs w:val="28"/>
          <w:rtl w:val="true"/>
          <w:lang w:bidi="ar-SA"/>
        </w:rPr>
        <w:t>لكنّه رجع عن هذا الرأي في بعض كتبه</w:t>
      </w:r>
      <w:r>
        <w:rPr>
          <w:rStyle w:val="FootnoteAnchor"/>
          <w:rtl w:val="true"/>
        </w:rPr>
        <w:footnoteReference w:id="3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الجدير بالذكر أنّ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معظم ألفاظ الرسالة محلّ البحث في كتابه مختلف الشيعة مع شيء من التصرّف و الحذف؛ لكنّه لم يقبل بالرأي المطروح فيها، فقام بمناقشته، و اختار الرأي القديم للشريف المرتضى</w:t>
      </w:r>
      <w:r>
        <w:rPr>
          <w:rStyle w:val="FootnoteAnchor"/>
          <w:rtl w:val="true"/>
        </w:rPr>
        <w:footnoteReference w:id="3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استدلّ الشريف المرتضى في هذه الرسالة على رأيه حول أنّ العزم على فعل المفطر لا ينافي الصوم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عزيمة المنافي لا تنافي الصوم، و إنّما الذي ينافيه هو فِعل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عزيمة الصوم و إن لم تنافِ الصوم، إلّاأنّها تنافي نيّة الصوم التي لا يصحّ الصوم بدونها، فإنّ نيّة الصوم عبارة عن العزيمة على الكفّ عن المفطرات، فتكون العزيمة على فعلها منافية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العزيمة على المنافي تنافي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يجب أن تقع في ابتداء الصوم، لكنّها لا تنافي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نية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طول النهار، فمن الواضح أنّ النيّة لا يمكن تحقُّقها بالفعل في طول النهار و في كلّ ساعاته و لحظاته، و إنّما يكفي بقاء حُكمها، و لذلك يمكن وقوع النوم أو الإغماء في أثناء الصوم من دون أن يؤدّي ذلك إلى بطلانه، و ذلك لا لأجل بقاء نيّة الصوم فعلاً، بل لبقاء حُكمها، و لذلك يمكن العزوب عن النيّة و الغفلة عنها من دون أن يؤدّي ذلك إلى بطلان الصوم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العزيمة على المنافي تنافي نيّة الصوم الواقعة في بداية اليوم، و لا تنافي حكم </w:t>
      </w:r>
      <w:bookmarkStart w:id="1212" w:name="pg16437_172897"/>
    </w:p>
    <w:p>
      <w:pPr>
        <w:pStyle w:val="BookText"/>
        <w:rPr/>
      </w:pPr>
      <w:bookmarkEnd w:id="1212"/>
      <w:r>
        <w:rPr>
          <w:rFonts w:ascii="Amiri" w:hAnsi="Amiri" w:eastAsia="Amiri" w:cs="Amiri"/>
          <w:color w:val="111111"/>
          <w:sz w:val="28"/>
          <w:sz w:val="28"/>
          <w:szCs w:val="28"/>
          <w:rtl w:val="true"/>
          <w:lang w:bidi="ar-SA"/>
        </w:rPr>
        <w:t>هذه النيّة الواقع في طول النهار، أي إذا عزم على المنافي في بداية الصوم لم تنعقد نيّته و فسد صومه، لكن إذا عزم على المنافي في طول النهار لم يفسد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تعرّض العلماء لذكر المفطرات، لم يذكروا في ضمنها العزيمة على بعض المفطرات، و هذا يدلّ على أنّ العزيمة ليست من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أشار إلى أنّ ما ورد في هذه الرسالة كاف لنقض ما جاء في رسالته السابقة القديمة التي كتبها لتأييد رأيه السابق، فلا حاجة إلى نقض كلّ مطالب تلك الرسالة، لكنّه مع ذلك تعرّض بصورة مجملة لنقض بعض مطالبها</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8040339_1280447820"/>
      <w:bookmarkStart w:id="1214" w:name="_Toc444"/>
      <w:bookmarkEnd w:id="1213"/>
      <w:r>
        <w:rPr>
          <w:rtl w:val="true"/>
        </w:rPr>
        <w:t>عنوان الرسالة و نسبتها إلى المؤلّف</w:t>
      </w:r>
      <w:bookmarkEnd w:id="1214"/>
    </w:p>
    <w:p>
      <w:pPr>
        <w:pStyle w:val="BookText"/>
        <w:rPr/>
      </w:pPr>
      <w:r>
        <w:rPr>
          <w:rFonts w:ascii="Amiri" w:hAnsi="Amiri" w:eastAsia="Amiri" w:cs="Amiri"/>
          <w:color w:val="111111"/>
          <w:sz w:val="28"/>
          <w:sz w:val="28"/>
          <w:szCs w:val="28"/>
          <w:rtl w:val="true"/>
          <w:lang w:bidi="ar-SA"/>
        </w:rPr>
        <w:t xml:space="preserve">طبعت هذه الرسالة في ضمن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استمرارُ الصوم مع قصد المنافي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طبعت في ضمن مسائل المرتضى،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العزمُ على الإفطار غيرُ 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العنوانين مناسبان، إلّاأنّ الأخير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الأدقّ منهما معاً أن نضيف 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أثناء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العزمُ على الإفطار في أثناء النهار غيرُ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أنّه بحسب رأي الشريف المرتضى أنّ العزم على المفطر في بداية الصوم 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إرجاع الشريف المرتضى إلى كتابه المصباح في هذه الرسالة يعتبر قرينة مهمّة على تصحيح النسبة، كما يمكن اعتبار نسبة العلّامة الحلّي الرسالة إليه قرينة أُخرى جيّدة</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8040341_1280447820"/>
      <w:bookmarkStart w:id="1216" w:name="_Toc445"/>
      <w:bookmarkEnd w:id="1215"/>
      <w:r>
        <w:rPr>
          <w:rtl w:val="true"/>
        </w:rPr>
        <w:t>مخطوطات الرسالة</w:t>
      </w:r>
      <w:bookmarkEnd w:id="1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541/14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10005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السيّد حسن الصدر رحمه اللّٰه، المرقّمة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مختلف الشيعة للعلّامة الحلّي طبعة مركز الإعلام الإسلامي، فقد تقدّم أنّه نقل معظم ألفاظ الرسالة في هذ الكتاب، مع شيء من التصرّف، و لذلك اكتفينا بنقل أهمّ الاختلافات في الهامش</w:t>
      </w:r>
      <w:r>
        <w:rPr>
          <w:rFonts w:eastAsia="Amiri" w:cs="Amiri" w:ascii="Amiri" w:hAnsi="Amiri"/>
          <w:color w:val="111111"/>
          <w:sz w:val="28"/>
          <w:szCs w:val="28"/>
          <w:rtl w:val="true"/>
          <w:lang w:bidi="ar-SA"/>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7" w:name="pg16437_172901"/>
      <w:bookmarkStart w:id="1218" w:name="pg16437_172901"/>
      <w:bookmarkEnd w:id="1218"/>
    </w:p>
    <w:p>
      <w:pPr>
        <w:pStyle w:val="Heading4"/>
        <w:numPr>
          <w:ilvl w:val="3"/>
          <w:numId w:val="1"/>
        </w:numPr>
        <w:rPr/>
      </w:pPr>
      <w:bookmarkStart w:id="1219" w:name="pg16437_172901"/>
      <w:bookmarkStart w:id="1220" w:name="__RefHeading___Toc8040343_1280447820"/>
      <w:bookmarkStart w:id="1221" w:name="_Toc446"/>
      <w:bookmarkEnd w:id="1219"/>
      <w:bookmarkEnd w:id="1220"/>
      <w:r>
        <w:rPr>
          <w:rtl w:val="true"/>
        </w:rPr>
        <w:t>مسألةٌ في استمرارِ الصومِ مع قَصدِ المُنافي له</w:t>
      </w:r>
      <w:bookmarkEnd w:id="1221"/>
    </w:p>
    <w:p>
      <w:pPr>
        <w:pStyle w:val="Heading5"/>
        <w:numPr>
          <w:ilvl w:val="4"/>
          <w:numId w:val="1"/>
        </w:numPr>
        <w:rPr/>
      </w:pPr>
      <w:bookmarkStart w:id="1222" w:name="__RefHeading___Toc8040345_1280447820"/>
      <w:bookmarkStart w:id="1223" w:name="_Toc447"/>
      <w:bookmarkEnd w:id="1222"/>
      <w:r>
        <w:rPr>
          <w:rtl w:val="true"/>
        </w:rPr>
        <w:t>اشارة</w:t>
      </w:r>
      <w:bookmarkEnd w:id="1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8040347_1280447820"/>
      <w:bookmarkStart w:id="1225" w:name="_Toc448"/>
      <w:bookmarkEnd w:id="1224"/>
      <w:r>
        <w:rPr>
          <w:rtl w:val="true"/>
        </w:rPr>
        <w:t>مسألةٌ</w:t>
      </w:r>
      <w:r>
        <w:rPr>
          <w:rtl w:val="true"/>
        </w:rPr>
        <w:t>:</w:t>
      </w:r>
      <w:bookmarkEnd w:id="1225"/>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r>
        <w:rPr>
          <w:rStyle w:val="FootnoteAnchor"/>
          <w:rtl w:val="true"/>
        </w:rPr>
        <w:footnoteReference w:id="3034"/>
      </w:r>
      <w:r>
        <w:rPr>
          <w:rFonts w:ascii="Amiri" w:hAnsi="Amiri" w:eastAsia="Amiri" w:cs="Amiri"/>
          <w:color w:val="111111"/>
          <w:sz w:val="28"/>
          <w:sz w:val="28"/>
          <w:szCs w:val="28"/>
          <w:rtl w:val="true"/>
          <w:lang w:bidi="ar-SA"/>
        </w:rPr>
        <w:t>أملَيتُ قَديماً مسألةً‌</w:t>
      </w:r>
      <w:r>
        <w:rPr>
          <w:rStyle w:val="FootnoteAnchor"/>
          <w:rtl w:val="true"/>
        </w:rPr>
        <w:footnoteReference w:id="3035"/>
      </w:r>
      <w:r>
        <w:rPr>
          <w:rFonts w:ascii="Amiri" w:hAnsi="Amiri" w:eastAsia="Amiri" w:cs="Amiri"/>
          <w:color w:val="111111"/>
          <w:sz w:val="28"/>
          <w:sz w:val="28"/>
          <w:szCs w:val="28"/>
          <w:rtl w:val="true"/>
          <w:lang w:bidi="ar-SA"/>
        </w:rPr>
        <w:t>أنصُرُ فيها</w:t>
      </w:r>
      <w:r>
        <w:rPr>
          <w:rStyle w:val="FootnoteAnchor"/>
          <w:rtl w:val="true"/>
        </w:rPr>
        <w:footnoteReference w:id="3036"/>
      </w:r>
      <w:r>
        <w:rPr>
          <w:rFonts w:ascii="Amiri" w:hAnsi="Amiri" w:eastAsia="Amiri" w:cs="Amiri"/>
          <w:color w:val="111111"/>
          <w:sz w:val="28"/>
          <w:sz w:val="28"/>
          <w:szCs w:val="28"/>
          <w:rtl w:val="true"/>
          <w:lang w:bidi="ar-SA"/>
        </w:rPr>
        <w:t>أنّ مَن عَزَمَ في نَهارِ شَهرِ رمضانَ علىٰ أكلٍ أو شُربٍ‌</w:t>
      </w:r>
      <w:r>
        <w:rPr>
          <w:rStyle w:val="FootnoteAnchor"/>
          <w:rtl w:val="true"/>
        </w:rPr>
        <w:footnoteReference w:id="3037"/>
      </w:r>
      <w:r>
        <w:rPr>
          <w:rFonts w:ascii="Amiri" w:hAnsi="Amiri" w:eastAsia="Amiri" w:cs="Amiri"/>
          <w:color w:val="111111"/>
          <w:sz w:val="28"/>
          <w:sz w:val="28"/>
          <w:szCs w:val="28"/>
          <w:rtl w:val="true"/>
          <w:lang w:bidi="ar-SA"/>
        </w:rPr>
        <w:t>أو جِماعٍ‌</w:t>
      </w:r>
      <w:r>
        <w:rPr>
          <w:rStyle w:val="FootnoteAnchor"/>
          <w:rtl w:val="true"/>
        </w:rPr>
        <w:footnoteReference w:id="3038"/>
      </w:r>
      <w:r>
        <w:rPr>
          <w:rFonts w:ascii="Amiri" w:hAnsi="Amiri" w:eastAsia="Amiri" w:cs="Amiri"/>
          <w:color w:val="111111"/>
          <w:sz w:val="28"/>
          <w:sz w:val="28"/>
          <w:szCs w:val="28"/>
          <w:rtl w:val="true"/>
          <w:lang w:bidi="ar-SA"/>
        </w:rPr>
        <w:t>يَفسُدُ بهذا العَزمِ صَومُه، و نَصَرتُ ذلك</w:t>
      </w:r>
      <w:r>
        <w:rPr>
          <w:rStyle w:val="FootnoteAnchor"/>
          <w:rtl w:val="true"/>
        </w:rPr>
        <w:footnoteReference w:id="3039"/>
      </w:r>
      <w:r>
        <w:rPr>
          <w:rFonts w:ascii="Amiri" w:hAnsi="Amiri" w:eastAsia="Amiri" w:cs="Amiri"/>
          <w:color w:val="111111"/>
          <w:sz w:val="28"/>
          <w:sz w:val="28"/>
          <w:szCs w:val="28"/>
          <w:rtl w:val="true"/>
          <w:lang w:bidi="ar-SA"/>
        </w:rPr>
        <w:t>بغايةِ المُمكِنِ‌</w:t>
      </w:r>
      <w:r>
        <w:rPr>
          <w:rStyle w:val="FootnoteAnchor"/>
          <w:rtl w:val="true"/>
        </w:rPr>
        <w:footnoteReference w:id="3040"/>
      </w:r>
      <w:r>
        <w:rPr>
          <w:rFonts w:ascii="Amiri" w:hAnsi="Amiri" w:eastAsia="Amiri" w:cs="Amiri"/>
          <w:color w:val="111111"/>
          <w:sz w:val="28"/>
          <w:sz w:val="28"/>
          <w:szCs w:val="28"/>
          <w:rtl w:val="true"/>
          <w:lang w:bidi="ar-SA"/>
        </w:rPr>
        <w:t>و قَوَّيتُه؛ ثُمّ رَجَعتُ عنه في كتابِ الصومِ مِن المِصباحِ‌</w:t>
      </w:r>
      <w:r>
        <w:rPr>
          <w:rStyle w:val="FootnoteAnchor"/>
          <w:rtl w:val="true"/>
        </w:rPr>
        <w:footnoteReference w:id="3041"/>
      </w:r>
      <w:r>
        <w:rPr>
          <w:rFonts w:ascii="Amiri" w:hAnsi="Amiri" w:eastAsia="Amiri" w:cs="Amiri"/>
          <w:color w:val="111111"/>
          <w:sz w:val="28"/>
          <w:sz w:val="28"/>
          <w:szCs w:val="28"/>
          <w:rtl w:val="true"/>
          <w:lang w:bidi="ar-SA"/>
        </w:rPr>
        <w:t>، و أَفتَيتُ فيه بأنّ العازِمَ علىٰ شَيءٍ ممّا ذَكَرناه في نَهارِ شَهرِ رمضانَ بَعدَ تَقدُّمِ نيّتِه و انعقادِ صَومِه لا يُفطِرُ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w:t>
      </w:r>
      <w:r>
        <w:rPr>
          <w:rStyle w:val="FootnoteAnchor"/>
          <w:rtl w:val="true"/>
        </w:rPr>
        <w:footnoteReference w:id="3042"/>
      </w:r>
      <w:r>
        <w:rPr>
          <w:rFonts w:ascii="Amiri" w:hAnsi="Amiri" w:eastAsia="Amiri" w:cs="Amiri"/>
          <w:color w:val="111111"/>
          <w:sz w:val="28"/>
          <w:sz w:val="28"/>
          <w:szCs w:val="28"/>
          <w:rtl w:val="true"/>
          <w:lang w:bidi="ar-SA"/>
        </w:rPr>
        <w:t>الذي تَقتَضيهِ الأُصولُ، و هو مَذهبُ جميعِ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 يَدُلُّ‌</w:t>
      </w:r>
      <w:r>
        <w:rPr>
          <w:rStyle w:val="FootnoteAnchor"/>
          <w:rtl w:val="true"/>
        </w:rPr>
        <w:footnoteReference w:id="3043"/>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بَعدَ انعقادِه بحصولِ النيّةِ في ابتدائه إنّما</w:t>
      </w:r>
      <w:r>
        <w:rPr>
          <w:rStyle w:val="FootnoteAnchor"/>
          <w:rtl w:val="true"/>
        </w:rPr>
        <w:footnoteReference w:id="3044"/>
      </w:r>
      <w:r>
        <w:rPr>
          <w:rFonts w:ascii="Amiri" w:hAnsi="Amiri" w:eastAsia="Amiri" w:cs="Amiri"/>
          <w:color w:val="111111"/>
          <w:sz w:val="28"/>
          <w:sz w:val="28"/>
          <w:szCs w:val="28"/>
          <w:rtl w:val="true"/>
          <w:lang w:bidi="ar-SA"/>
        </w:rPr>
        <w:t>يَفسُدُ بما يُنافي الصومَ، مِن أكلٍ أو شُربٍ أو جِماعٍ؛ و لا</w:t>
      </w:r>
      <w:r>
        <w:rPr>
          <w:rStyle w:val="FootnoteAnchor"/>
          <w:rtl w:val="true"/>
        </w:rPr>
        <w:footnoteReference w:id="3045"/>
      </w:r>
      <w:r>
        <w:rPr>
          <w:rFonts w:ascii="Amiri" w:hAnsi="Amiri" w:eastAsia="Amiri" w:cs="Amiri"/>
          <w:color w:val="111111"/>
          <w:sz w:val="28"/>
          <w:sz w:val="28"/>
          <w:szCs w:val="28"/>
          <w:rtl w:val="true"/>
          <w:lang w:bidi="ar-SA"/>
        </w:rPr>
        <w:t>مُنافاةَ بَينَ الصومِ و بَينَ عزيمةِ‌</w:t>
      </w:r>
      <w:r>
        <w:rPr>
          <w:rStyle w:val="FootnoteAnchor"/>
          <w:rtl w:val="true"/>
        </w:rPr>
        <w:footnoteReference w:id="3046"/>
      </w:r>
      <w:r>
        <w:rPr>
          <w:rFonts w:ascii="Amiri" w:hAnsi="Amiri" w:eastAsia="Amiri" w:cs="Amiri"/>
          <w:color w:val="111111"/>
          <w:sz w:val="28"/>
          <w:sz w:val="28"/>
          <w:szCs w:val="28"/>
          <w:rtl w:val="true"/>
          <w:lang w:bidi="ar-SA"/>
        </w:rPr>
        <w:t>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عزيمةُ الأكلِ‌</w:t>
      </w:r>
      <w:r>
        <w:rPr>
          <w:rStyle w:val="FootnoteAnchor"/>
          <w:rtl w:val="true"/>
        </w:rPr>
        <w:footnoteReference w:id="3047"/>
      </w:r>
      <w:r>
        <w:rPr>
          <w:rFonts w:ascii="Amiri" w:hAnsi="Amiri" w:eastAsia="Amiri" w:cs="Amiri"/>
          <w:color w:val="111111"/>
          <w:sz w:val="28"/>
          <w:sz w:val="28"/>
          <w:szCs w:val="28"/>
          <w:rtl w:val="true"/>
          <w:lang w:bidi="ar-SA"/>
        </w:rPr>
        <w:t>و إن لَم تُنافِ الصومَ، فهي</w:t>
      </w:r>
      <w:r>
        <w:rPr>
          <w:rStyle w:val="FootnoteAnchor"/>
          <w:rtl w:val="true"/>
        </w:rPr>
        <w:footnoteReference w:id="3048"/>
      </w:r>
      <w:r>
        <w:rPr>
          <w:rFonts w:ascii="Amiri" w:hAnsi="Amiri" w:eastAsia="Amiri" w:cs="Amiri"/>
          <w:color w:val="111111"/>
          <w:sz w:val="28"/>
          <w:sz w:val="28"/>
          <w:szCs w:val="28"/>
          <w:rtl w:val="true"/>
          <w:lang w:bidi="ar-SA"/>
        </w:rPr>
        <w:t>تُنافي نيّةَ الصومِ‌</w:t>
      </w:r>
      <w:r>
        <w:rPr>
          <w:rStyle w:val="FootnoteAnchor"/>
          <w:rtl w:val="true"/>
        </w:rPr>
        <w:footnoteReference w:id="3049"/>
      </w:r>
      <w:r>
        <w:rPr>
          <w:rFonts w:ascii="Amiri" w:hAnsi="Amiri" w:eastAsia="Amiri" w:cs="Amiri"/>
          <w:color w:val="111111"/>
          <w:sz w:val="28"/>
          <w:sz w:val="28"/>
          <w:szCs w:val="28"/>
          <w:rtl w:val="true"/>
          <w:lang w:bidi="ar-SA"/>
        </w:rPr>
        <w:t>التي لا بُدَّ للصومِ منها و لا يَكونُ صَوماً</w:t>
      </w:r>
      <w:r>
        <w:rPr>
          <w:rStyle w:val="FootnoteAnchor"/>
          <w:rtl w:val="true"/>
        </w:rPr>
        <w:footnoteReference w:id="3050"/>
      </w:r>
      <w:r>
        <w:rPr>
          <w:rFonts w:ascii="Amiri" w:hAnsi="Amiri" w:eastAsia="Amiri" w:cs="Amiri"/>
          <w:color w:val="111111"/>
          <w:sz w:val="28"/>
          <w:sz w:val="28"/>
          <w:szCs w:val="28"/>
          <w:rtl w:val="true"/>
          <w:lang w:bidi="ar-SA"/>
        </w:rPr>
        <w:t xml:space="preserve">إلّابها؛ لأنّ نيّةَ الصومِ إذا كانَت عندَ الفقهاءِ كُلِّهم هي العزيمةَ علَى الكَفِّ عن هذه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w:t>
      </w:r>
      <w:r>
        <w:rPr>
          <w:rStyle w:val="FootnoteAnchor"/>
          <w:rtl w:val="true"/>
        </w:rPr>
        <w:footnoteReference w:id="3051"/>
      </w:r>
      <w:r>
        <w:rPr>
          <w:rFonts w:ascii="Amiri" w:hAnsi="Amiri" w:eastAsia="Amiri" w:cs="Amiri"/>
          <w:color w:val="111111"/>
          <w:sz w:val="28"/>
          <w:sz w:val="28"/>
          <w:szCs w:val="28"/>
          <w:rtl w:val="true"/>
          <w:lang w:bidi="ar-SA"/>
        </w:rPr>
        <w:t xml:space="preserve">ما حَدَدتموه في المِصباحِ هي العزيمةَ علىٰ تَوطينِ النفسِ علَى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r>
        <w:rPr>
          <w:rStyle w:val="FootnoteAnchor"/>
          <w:rtl w:val="true"/>
        </w:rPr>
        <w:footnoteReference w:id="3052"/>
      </w:r>
      <w:r>
        <w:rPr>
          <w:rFonts w:ascii="Amiri" w:hAnsi="Amiri" w:eastAsia="Amiri" w:cs="Amiri"/>
          <w:color w:val="111111"/>
          <w:sz w:val="28"/>
          <w:sz w:val="28"/>
          <w:szCs w:val="28"/>
          <w:rtl w:val="true"/>
          <w:lang w:bidi="ar-SA"/>
        </w:rPr>
        <w:t>صادَفَت هذه العزيمةُ‌</w:t>
      </w:r>
      <w:r>
        <w:rPr>
          <w:rStyle w:val="FootnoteAnchor"/>
          <w:rtl w:val="true"/>
        </w:rPr>
        <w:footnoteReference w:id="3053"/>
      </w:r>
      <w:r>
        <w:rPr>
          <w:rFonts w:ascii="Amiri" w:hAnsi="Amiri" w:eastAsia="Amiri" w:cs="Amiri"/>
          <w:color w:val="111111"/>
          <w:sz w:val="28"/>
          <w:sz w:val="28"/>
          <w:szCs w:val="28"/>
          <w:rtl w:val="true"/>
          <w:lang w:bidi="ar-SA"/>
        </w:rPr>
        <w:t>نيّةَ الصومِ التي لا بُدَّ للصومِ منها أَفسَدَت الصومَ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عزيمةُ الأكلِ لا شُبهةَ في أنّها تُنافي عزيمةَ الكَفِّ عنه</w:t>
      </w:r>
      <w:r>
        <w:rPr>
          <w:rStyle w:val="FootnoteAnchor"/>
          <w:rtl w:val="true"/>
        </w:rPr>
        <w:footnoteReference w:id="3054"/>
      </w:r>
      <w:r>
        <w:rPr>
          <w:rFonts w:ascii="Amiri" w:hAnsi="Amiri" w:eastAsia="Amiri" w:cs="Amiri"/>
          <w:color w:val="111111"/>
          <w:sz w:val="28"/>
          <w:sz w:val="28"/>
          <w:szCs w:val="28"/>
          <w:rtl w:val="true"/>
          <w:lang w:bidi="ar-SA"/>
        </w:rPr>
        <w:t>لكِنّها لا تُنافي حُكمَ عزيمةِ الصومِ و نيّتِه، و حُكمُ النيّةِ غيرُ النيّةِ‌</w:t>
      </w:r>
      <w:r>
        <w:rPr>
          <w:rStyle w:val="FootnoteAnchor"/>
          <w:rtl w:val="true"/>
        </w:rPr>
        <w:footnoteReference w:id="3055"/>
      </w:r>
      <w:r>
        <w:rPr>
          <w:rFonts w:ascii="Amiri" w:hAnsi="Amiri" w:eastAsia="Amiri" w:cs="Amiri"/>
          <w:color w:val="111111"/>
          <w:sz w:val="28"/>
          <w:sz w:val="28"/>
          <w:szCs w:val="28"/>
          <w:rtl w:val="true"/>
          <w:lang w:bidi="ar-SA"/>
        </w:rPr>
        <w:t>نفسِها؛ لأنّ النيّةَ إذا وَقَعَت في ابتداءِ الصومِ استَمَرَّ حُكمُها في باقي اليومِ و إن لَم تَكُن مُقارِنةً لجميعِ أجزائه و أثَّرَت فيه بِطُولِه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عندَنا أنّ هذه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مؤثِّرةٌ في كَونِ جميعِ أيامِ الشهرِ صَوماً و إن لَم تَكُن مُقارِنةً للجميعِ‌</w:t>
      </w:r>
      <w:r>
        <w:rPr>
          <w:rStyle w:val="FootnoteAnchor"/>
          <w:rtl w:val="true"/>
        </w:rPr>
        <w:footnoteReference w:id="3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قُلنا 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استمرارَ حُكمِ النيّةِ في جميعِ زمانِ الصومِ ثابتٌ، و إن لَم تَكُن مُقارِنةً لجميعِ أجزائه؛ و لهذا جَوَّزنا و جَوَّزَ جميعُ الفقهاءِ أن يَعزُبَ‌</w:t>
      </w:r>
      <w:r>
        <w:rPr>
          <w:rStyle w:val="FootnoteAnchor"/>
          <w:rtl w:val="true"/>
        </w:rPr>
        <w:footnoteReference w:id="3057"/>
      </w:r>
      <w:r>
        <w:rPr>
          <w:rFonts w:ascii="Amiri" w:hAnsi="Amiri" w:eastAsia="Amiri" w:cs="Amiri"/>
          <w:color w:val="111111"/>
          <w:sz w:val="28"/>
          <w:sz w:val="28"/>
          <w:szCs w:val="28"/>
          <w:rtl w:val="true"/>
          <w:lang w:bidi="ar-SA"/>
        </w:rPr>
        <w:t>عن النيّةِ و لا يُجدِّدَها و يَكونَ صائماً، و جَعَلناه صائماً</w:t>
      </w:r>
      <w:r>
        <w:rPr>
          <w:rStyle w:val="FootnoteAnchor"/>
          <w:rtl w:val="true"/>
        </w:rPr>
        <w:footnoteReference w:id="3058"/>
      </w:r>
      <w:r>
        <w:rPr>
          <w:rFonts w:ascii="Amiri" w:hAnsi="Amiri" w:eastAsia="Amiri" w:cs="Amiri"/>
          <w:color w:val="111111"/>
          <w:sz w:val="28"/>
          <w:sz w:val="28"/>
          <w:szCs w:val="28"/>
          <w:rtl w:val="true"/>
          <w:lang w:bidi="ar-SA"/>
        </w:rPr>
        <w:t>مع النومِ و الإغماءِ، و نَحنُ نَعلَمُ أنّ مُنافاةَ عُزوبِ النيّةِ لنيّةِ‌</w:t>
      </w:r>
      <w:r>
        <w:rPr>
          <w:rStyle w:val="FootnoteAnchor"/>
          <w:rtl w:val="true"/>
        </w:rPr>
        <w:footnoteReference w:id="3059"/>
      </w:r>
      <w:r>
        <w:rPr>
          <w:rFonts w:ascii="Amiri" w:hAnsi="Amiri" w:eastAsia="Amiri" w:cs="Amiri"/>
          <w:color w:val="111111"/>
          <w:sz w:val="28"/>
          <w:sz w:val="28"/>
          <w:szCs w:val="28"/>
          <w:rtl w:val="true"/>
          <w:lang w:bidi="ar-SA"/>
        </w:rPr>
        <w:t>الصومِ أشَدُّ مِن مُنافاةِ‌</w:t>
      </w:r>
      <w:r>
        <w:rPr>
          <w:rStyle w:val="FootnoteAnchor"/>
          <w:rtl w:val="true"/>
        </w:rPr>
        <w:footnoteReference w:id="3060"/>
      </w:r>
      <w:r>
        <w:rPr>
          <w:rFonts w:ascii="Amiri" w:hAnsi="Amiri" w:eastAsia="Amiri" w:cs="Amiri"/>
          <w:color w:val="111111"/>
          <w:sz w:val="28"/>
          <w:sz w:val="28"/>
          <w:szCs w:val="28"/>
          <w:rtl w:val="true"/>
          <w:lang w:bidi="ar-SA"/>
        </w:rPr>
        <w:t>عزيمةِ الأكلِ لعزيمةِ الكَفِّ، و كذلكَ مُنافاةُ النومِ و الإغماءِ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لا يَجوزُ أن تَكونَ النيّةُ عازِبةً‌</w:t>
      </w:r>
      <w:r>
        <w:rPr>
          <w:rStyle w:val="FootnoteAnchor"/>
          <w:rtl w:val="true"/>
        </w:rPr>
        <w:footnoteReference w:id="3061"/>
      </w:r>
      <w:r>
        <w:rPr>
          <w:rFonts w:ascii="Amiri" w:hAnsi="Amiri" w:eastAsia="Amiri" w:cs="Amiri"/>
          <w:color w:val="111111"/>
          <w:sz w:val="28"/>
          <w:sz w:val="28"/>
          <w:szCs w:val="28"/>
          <w:rtl w:val="true"/>
          <w:lang w:bidi="ar-SA"/>
        </w:rPr>
        <w:t>عنه في ابتداءِ الصومِ و يَكونَ مع ذلكَ صائماً، و كذلكَ‌</w:t>
      </w:r>
      <w:r>
        <w:rPr>
          <w:rStyle w:val="FootnoteAnchor"/>
          <w:rtl w:val="true"/>
        </w:rPr>
        <w:footnoteReference w:id="3062"/>
      </w:r>
      <w:r>
        <w:rPr>
          <w:rFonts w:ascii="Amiri" w:hAnsi="Amiri" w:eastAsia="Amiri" w:cs="Amiri"/>
          <w:color w:val="111111"/>
          <w:sz w:val="28"/>
          <w:sz w:val="28"/>
          <w:szCs w:val="28"/>
          <w:rtl w:val="true"/>
          <w:lang w:bidi="ar-SA"/>
        </w:rPr>
        <w:t>لا يَجوزُ أن يَكونَ في ابتداءِ الدخولِ في الصومِ نائماً أو مُغمىً عليه، و لَم يَجِبْ أن يَنقَطِعَ استمرارُ حُكمِ النيّةِ بتَجدُّدِ عُزوبِ النيّةِ و لا بتَجدُّدِ</w:t>
      </w:r>
      <w:r>
        <w:rPr>
          <w:rStyle w:val="FootnoteAnchor"/>
          <w:rtl w:val="true"/>
        </w:rPr>
        <w:footnoteReference w:id="3063"/>
      </w:r>
      <w:r>
        <w:rPr>
          <w:rFonts w:ascii="Amiri" w:hAnsi="Amiri" w:eastAsia="Amiri" w:cs="Amiri"/>
          <w:color w:val="111111"/>
          <w:sz w:val="28"/>
          <w:sz w:val="28"/>
          <w:szCs w:val="28"/>
          <w:rtl w:val="true"/>
          <w:lang w:bidi="ar-SA"/>
        </w:rPr>
        <w:t>نَومٍ أو إغماءٍ، مع مُنافاةِ ذلكَ لنيّةِ الصومِ لَو تَقدَّمَ‌</w:t>
      </w:r>
      <w:r>
        <w:rPr>
          <w:rStyle w:val="FootnoteAnchor"/>
          <w:rtl w:val="true"/>
        </w:rPr>
        <w:footnoteReference w:id="3064"/>
      </w:r>
      <w:r>
        <w:rPr>
          <w:rFonts w:ascii="Amiri" w:hAnsi="Amiri" w:eastAsia="Amiri" w:cs="Amiri"/>
          <w:color w:val="111111"/>
          <w:sz w:val="28"/>
          <w:sz w:val="28"/>
          <w:szCs w:val="28"/>
          <w:rtl w:val="true"/>
          <w:lang w:bidi="ar-SA"/>
        </w:rPr>
        <w:t>و قارَنَها</w:t>
      </w:r>
      <w:r>
        <w:rPr>
          <w:rStyle w:val="FootnoteAnchor"/>
          <w:rtl w:val="true"/>
        </w:rPr>
        <w:footnoteReference w:id="3065"/>
      </w:r>
      <w:r>
        <w:rPr>
          <w:rFonts w:ascii="IRNazanin" w:hAnsi="IRNazanin" w:eastAsia="IRNazanin"/>
          <w:color w:val="111111"/>
          <w:sz w:val="28"/>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لا يَجِبُ إذا تَقدَّمَ منه الصومُ بالنيّةِ الواقعةِ في ابتدائه ثُمّ عَزَمَ في خِلالِ </w:t>
      </w:r>
    </w:p>
    <w:p>
      <w:pPr>
        <w:pStyle w:val="BookText"/>
        <w:rPr/>
      </w:pPr>
      <w:r>
        <w:rPr>
          <w:rFonts w:ascii="Amiri" w:hAnsi="Amiri" w:eastAsia="Amiri" w:cs="Amiri"/>
          <w:color w:val="111111"/>
          <w:sz w:val="28"/>
          <w:sz w:val="28"/>
          <w:szCs w:val="28"/>
          <w:rtl w:val="true"/>
          <w:lang w:bidi="ar-SA"/>
        </w:rPr>
        <w:t>النهارِ علىٰ أكلٍ أو غيرِه مِن المُفطِراتِ، لا يَجِبُ‌</w:t>
      </w:r>
      <w:r>
        <w:rPr>
          <w:rStyle w:val="FootnoteAnchor"/>
          <w:rtl w:val="true"/>
        </w:rPr>
        <w:footnoteReference w:id="3066"/>
      </w:r>
      <w:r>
        <w:rPr>
          <w:rFonts w:ascii="Amiri" w:hAnsi="Amiri" w:eastAsia="Amiri" w:cs="Amiri"/>
          <w:color w:val="111111"/>
          <w:sz w:val="28"/>
          <w:sz w:val="28"/>
          <w:szCs w:val="28"/>
          <w:rtl w:val="true"/>
          <w:lang w:bidi="ar-SA"/>
        </w:rPr>
        <w:t>أن يَكونَ مُفسِداً لصَومِه؛ لأنّ حُكمَ الصومِ مُستَمِرٌّ</w:t>
      </w:r>
      <w:r>
        <w:rPr>
          <w:rStyle w:val="FootnoteAnchor"/>
          <w:rtl w:val="true"/>
        </w:rPr>
        <w:footnoteReference w:id="3067"/>
      </w:r>
      <w:r>
        <w:rPr>
          <w:rFonts w:ascii="Amiri" w:hAnsi="Amiri" w:eastAsia="Amiri" w:cs="Amiri"/>
          <w:color w:val="111111"/>
          <w:sz w:val="28"/>
          <w:sz w:val="28"/>
          <w:szCs w:val="28"/>
          <w:rtl w:val="true"/>
          <w:lang w:bidi="ar-SA"/>
        </w:rPr>
        <w:t xml:space="preserve">، و هذه العزيمةُ لا تَضادَّ بَينَها و بَينَ استمرارِ حُكمِ الصومِ، و إن كانَت لَو وَقَعَت في الابتداءِ لَخَرَجَت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3068"/>
      </w:r>
      <w:r>
        <w:rPr>
          <w:rFonts w:ascii="Amiri" w:hAnsi="Amiri" w:eastAsia="Amiri" w:cs="Amiri"/>
          <w:color w:val="111111"/>
          <w:sz w:val="28"/>
          <w:sz w:val="28"/>
          <w:szCs w:val="28"/>
          <w:rtl w:val="true"/>
          <w:lang w:bidi="ar-SA"/>
        </w:rPr>
        <w:t>الانعقادِ</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كانَ في هذا المَذهبِ شُبهةٌ لَو وَجَبَ‌</w:t>
      </w:r>
      <w:r>
        <w:rPr>
          <w:rStyle w:val="FootnoteAnchor"/>
          <w:rtl w:val="true"/>
        </w:rPr>
        <w:footnoteReference w:id="3069"/>
      </w:r>
      <w:r>
        <w:rPr>
          <w:rFonts w:ascii="Amiri" w:hAnsi="Amiri" w:eastAsia="Amiri" w:cs="Amiri"/>
          <w:color w:val="111111"/>
          <w:sz w:val="28"/>
          <w:sz w:val="28"/>
          <w:szCs w:val="28"/>
          <w:rtl w:val="true"/>
          <w:lang w:bidi="ar-SA"/>
        </w:rPr>
        <w:t>علَى الصائمِ تجديدُ النيّةِ في جميعِ زمانِ‌</w:t>
      </w:r>
      <w:r>
        <w:rPr>
          <w:rStyle w:val="FootnoteAnchor"/>
          <w:rtl w:val="true"/>
        </w:rPr>
        <w:footnoteReference w:id="3070"/>
      </w:r>
      <w:r>
        <w:rPr>
          <w:rFonts w:ascii="Amiri" w:hAnsi="Amiri" w:eastAsia="Amiri" w:cs="Amiri"/>
          <w:color w:val="111111"/>
          <w:sz w:val="28"/>
          <w:sz w:val="28"/>
          <w:szCs w:val="28"/>
          <w:rtl w:val="true"/>
          <w:lang w:bidi="ar-SA"/>
        </w:rPr>
        <w:t>الصومِ و أجزاءِ الصومِ‌</w:t>
      </w:r>
      <w:r>
        <w:rPr>
          <w:rStyle w:val="FootnoteAnchor"/>
          <w:rtl w:val="true"/>
        </w:rPr>
        <w:footnoteReference w:id="3071"/>
      </w:r>
      <w:r>
        <w:rPr>
          <w:rFonts w:ascii="Amiri" w:hAnsi="Amiri" w:eastAsia="Amiri" w:cs="Amiri"/>
          <w:color w:val="111111"/>
          <w:sz w:val="28"/>
          <w:sz w:val="28"/>
          <w:szCs w:val="28"/>
          <w:rtl w:val="true"/>
          <w:lang w:bidi="ar-SA"/>
        </w:rPr>
        <w:t>و إذا كانَ‌</w:t>
      </w:r>
      <w:r>
        <w:rPr>
          <w:rStyle w:val="FootnoteAnchor"/>
          <w:rtl w:val="true"/>
        </w:rPr>
        <w:footnoteReference w:id="3072"/>
      </w:r>
      <w:r>
        <w:rPr>
          <w:rFonts w:ascii="Amiri" w:hAnsi="Amiri" w:eastAsia="Amiri" w:cs="Amiri"/>
          <w:color w:val="111111"/>
          <w:sz w:val="28"/>
          <w:sz w:val="28"/>
          <w:szCs w:val="28"/>
          <w:rtl w:val="true"/>
          <w:lang w:bidi="ar-SA"/>
        </w:rPr>
        <w:t>لا خِلافَ بَينَ الفقهاءِ‌</w:t>
      </w:r>
      <w:r>
        <w:rPr>
          <w:rStyle w:val="FootnoteAnchor"/>
          <w:rtl w:val="true"/>
        </w:rPr>
        <w:footnoteReference w:id="3073"/>
      </w:r>
      <w:r>
        <w:rPr>
          <w:rFonts w:ascii="Amiri" w:hAnsi="Amiri" w:eastAsia="Amiri" w:cs="Amiri"/>
          <w:color w:val="111111"/>
          <w:sz w:val="28"/>
          <w:sz w:val="28"/>
          <w:szCs w:val="28"/>
          <w:rtl w:val="true"/>
          <w:lang w:bidi="ar-SA"/>
        </w:rPr>
        <w:t>أنّ‌</w:t>
      </w:r>
      <w:r>
        <w:rPr>
          <w:rStyle w:val="FootnoteAnchor"/>
          <w:rtl w:val="true"/>
        </w:rPr>
        <w:footnoteReference w:id="3074"/>
      </w:r>
      <w:r>
        <w:rPr>
          <w:rFonts w:ascii="Amiri" w:hAnsi="Amiri" w:eastAsia="Amiri" w:cs="Amiri"/>
          <w:color w:val="111111"/>
          <w:sz w:val="28"/>
          <w:sz w:val="28"/>
          <w:szCs w:val="28"/>
          <w:rtl w:val="true"/>
          <w:lang w:bidi="ar-SA"/>
        </w:rPr>
        <w:t>تجديدَ هذه النيّةِ غيرُ واجبٍ، لَم تَبقَ شُبهةٌ في أنّ العزيمةَ علَى</w:t>
      </w:r>
      <w:r>
        <w:rPr>
          <w:rStyle w:val="FootnoteAnchor"/>
          <w:rtl w:val="true"/>
        </w:rPr>
        <w:footnoteReference w:id="3075"/>
      </w:r>
      <w:r>
        <w:rPr>
          <w:rFonts w:ascii="Amiri" w:hAnsi="Amiri" w:eastAsia="Amiri" w:cs="Amiri"/>
          <w:color w:val="111111"/>
          <w:sz w:val="28"/>
          <w:sz w:val="28"/>
          <w:szCs w:val="28"/>
          <w:rtl w:val="true"/>
          <w:lang w:bidi="ar-SA"/>
        </w:rPr>
        <w:t>الأكلِ في خِلالِ النهارِ مع انعقادِ الصومِ لا تؤثِّرُ</w:t>
      </w:r>
      <w:r>
        <w:rPr>
          <w:rStyle w:val="FootnoteAnchor"/>
          <w:rtl w:val="true"/>
        </w:rPr>
        <w:footnoteReference w:id="3076"/>
      </w:r>
      <w:r>
        <w:rPr>
          <w:rFonts w:ascii="Amiri" w:hAnsi="Amiri" w:eastAsia="Amiri" w:cs="Amiri"/>
          <w:color w:val="111111"/>
          <w:sz w:val="28"/>
          <w:sz w:val="28"/>
          <w:szCs w:val="28"/>
          <w:rtl w:val="true"/>
          <w:lang w:bidi="ar-SA"/>
        </w:rPr>
        <w:t>في فَسادِ الصومِ؛ إذ لا مُنافاةَ بَينَ هذه العزيمةِ و بَينَ‌</w:t>
      </w:r>
      <w:r>
        <w:rPr>
          <w:rStyle w:val="FootnoteAnchor"/>
          <w:rtl w:val="true"/>
        </w:rPr>
        <w:footnoteReference w:id="3077"/>
      </w:r>
      <w:r>
        <w:rPr>
          <w:rFonts w:ascii="Amiri" w:hAnsi="Amiri" w:eastAsia="Amiri" w:cs="Amiri"/>
          <w:color w:val="111111"/>
          <w:sz w:val="28"/>
          <w:sz w:val="28"/>
          <w:szCs w:val="28"/>
          <w:rtl w:val="true"/>
          <w:lang w:bidi="ar-SA"/>
        </w:rPr>
        <w:t>الصومِ و استمرارِ حُكمِه، و إنّما</w:t>
      </w:r>
      <w:r>
        <w:rPr>
          <w:rStyle w:val="FootnoteAnchor"/>
          <w:rtl w:val="true"/>
        </w:rPr>
        <w:footnoteReference w:id="3078"/>
      </w:r>
      <w:r>
        <w:rPr>
          <w:rFonts w:ascii="Amiri" w:hAnsi="Amiri" w:eastAsia="Amiri" w:cs="Amiri"/>
          <w:color w:val="111111"/>
          <w:sz w:val="28"/>
          <w:sz w:val="28"/>
          <w:szCs w:val="28"/>
          <w:rtl w:val="true"/>
          <w:lang w:bidi="ar-SA"/>
        </w:rPr>
        <w:t>يَفسُدُ الصومُ بَعدَ ثُبوتِه و استمرارِ حُكمِه بما نافاه</w:t>
      </w:r>
      <w:r>
        <w:rPr>
          <w:rStyle w:val="FootnoteAnchor"/>
          <w:rtl w:val="true"/>
        </w:rPr>
        <w:footnoteReference w:id="3079"/>
      </w:r>
      <w:r>
        <w:rPr>
          <w:rFonts w:ascii="Amiri" w:hAnsi="Amiri" w:eastAsia="Amiri" w:cs="Amiri"/>
          <w:color w:val="111111"/>
          <w:sz w:val="28"/>
          <w:sz w:val="28"/>
          <w:szCs w:val="28"/>
          <w:rtl w:val="true"/>
          <w:lang w:bidi="ar-SA"/>
        </w:rPr>
        <w:t>مِن أكلٍ أو شُربٍ أو جِماعٍ أو غيرِ ذلكَ ممّا اختَلَفَ الناسُ فيه</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علىٰ هذا الذي قَرَّرناه لا يَكونُ مَن أحرَمَ إحراماً صَحيحاً بِنيّةٍ حَصَلَت</w:t>
      </w:r>
      <w:r>
        <w:rPr>
          <w:rStyle w:val="FootnoteAnchor"/>
          <w:rtl w:val="true"/>
        </w:rPr>
        <w:footnoteReference w:id="3081"/>
      </w:r>
      <w:r>
        <w:rPr>
          <w:rFonts w:ascii="Amiri" w:hAnsi="Amiri" w:eastAsia="Amiri" w:cs="Amiri"/>
          <w:color w:val="111111"/>
          <w:sz w:val="28"/>
          <w:sz w:val="28"/>
          <w:szCs w:val="28"/>
          <w:rtl w:val="true"/>
          <w:lang w:bidi="ar-SA"/>
        </w:rPr>
        <w:t>في ابتداءِ إحرامِه، ثُمّ‌</w:t>
      </w:r>
      <w:r>
        <w:rPr>
          <w:rStyle w:val="FootnoteAnchor"/>
          <w:rtl w:val="true"/>
        </w:rPr>
        <w:footnoteReference w:id="3082"/>
      </w:r>
      <w:r>
        <w:rPr>
          <w:rFonts w:ascii="Amiri" w:hAnsi="Amiri" w:eastAsia="Amiri" w:cs="Amiri"/>
          <w:color w:val="111111"/>
          <w:sz w:val="28"/>
          <w:sz w:val="28"/>
          <w:szCs w:val="28"/>
          <w:rtl w:val="true"/>
          <w:lang w:bidi="ar-SA"/>
        </w:rPr>
        <w:t xml:space="preserve">عَزَمَ في خِلالِ إحرامِه علىٰ ما يُنافي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جِماعٍ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مُفسِداً لإحرامِه؛ بَل حُكمُ إحرامِه مُستَمِرٌّ لا يُفسِدُه إلّافِعلُ ما نافَى</w:t>
      </w:r>
      <w:r>
        <w:rPr>
          <w:rStyle w:val="FootnoteAnchor"/>
          <w:rtl w:val="true"/>
        </w:rPr>
        <w:footnoteReference w:id="3083"/>
      </w:r>
      <w:r>
        <w:rPr>
          <w:rFonts w:ascii="Amiri" w:hAnsi="Amiri" w:eastAsia="Amiri" w:cs="Amiri"/>
          <w:color w:val="111111"/>
          <w:sz w:val="28"/>
          <w:sz w:val="28"/>
          <w:szCs w:val="28"/>
          <w:rtl w:val="true"/>
          <w:lang w:bidi="ar-SA"/>
        </w:rPr>
        <w:t>الإحرامَ، دونَ العَزمِ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خِلافَ فيه</w:t>
      </w:r>
      <w:r>
        <w:rPr>
          <w:rStyle w:val="FootnoteAnchor"/>
          <w:rtl w:val="true"/>
        </w:rPr>
        <w:footnoteReference w:id="3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w:t>
      </w:r>
      <w:r>
        <w:rPr>
          <w:rStyle w:val="FootnoteAnchor"/>
          <w:rtl w:val="true"/>
        </w:rPr>
        <w:footnoteReference w:id="3085"/>
      </w:r>
      <w:r>
        <w:rPr>
          <w:rFonts w:ascii="Amiri" w:hAnsi="Amiri" w:eastAsia="Amiri" w:cs="Amiri"/>
          <w:color w:val="111111"/>
          <w:sz w:val="28"/>
          <w:sz w:val="28"/>
          <w:szCs w:val="28"/>
          <w:rtl w:val="true"/>
          <w:lang w:bidi="ar-SA"/>
        </w:rPr>
        <w:t>مَن أحرَمَ بالصَّلاةِ، ثُمّ عَزَمَ علىٰ مَشيٍ‌</w:t>
      </w:r>
      <w:r>
        <w:rPr>
          <w:rStyle w:val="FootnoteAnchor"/>
          <w:rtl w:val="true"/>
        </w:rPr>
        <w:footnoteReference w:id="3086"/>
      </w:r>
      <w:r>
        <w:rPr>
          <w:rFonts w:ascii="Amiri" w:hAnsi="Amiri" w:eastAsia="Amiri" w:cs="Amiri"/>
          <w:color w:val="111111"/>
          <w:sz w:val="28"/>
          <w:sz w:val="28"/>
          <w:szCs w:val="28"/>
          <w:rtl w:val="true"/>
          <w:lang w:bidi="ar-SA"/>
        </w:rPr>
        <w:t>أو التفاتٍ أو علىٰ شَيءٍ مِن نَواقضِ الصلاةِ، لَم يُفسِدْها</w:t>
      </w:r>
      <w:r>
        <w:rPr>
          <w:rStyle w:val="FootnoteAnchor"/>
          <w:rtl w:val="true"/>
        </w:rPr>
        <w:footnoteReference w:id="3087"/>
      </w:r>
      <w:r>
        <w:rPr>
          <w:rFonts w:ascii="Amiri" w:hAnsi="Amiri" w:eastAsia="Amiri" w:cs="Amiri"/>
          <w:color w:val="111111"/>
          <w:sz w:val="28"/>
          <w:sz w:val="28"/>
          <w:szCs w:val="28"/>
          <w:rtl w:val="true"/>
          <w:lang w:bidi="ar-SA"/>
        </w:rPr>
        <w:t>للعِلّةِ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يَكونُ العَزمُ مُفسِداً للصومِ‌</w:t>
      </w:r>
      <w:r>
        <w:rPr>
          <w:rStyle w:val="FootnoteAnchor"/>
          <w:rtl w:val="true"/>
        </w:rPr>
        <w:footnoteReference w:id="3088"/>
      </w:r>
      <w:r>
        <w:rPr>
          <w:rFonts w:ascii="Amiri" w:hAnsi="Amiri" w:eastAsia="Amiri" w:cs="Amiri"/>
          <w:color w:val="111111"/>
          <w:sz w:val="28"/>
          <w:sz w:val="28"/>
          <w:szCs w:val="28"/>
          <w:rtl w:val="true"/>
          <w:lang w:bidi="ar-SA"/>
        </w:rPr>
        <w:t>كما يُفسِدُه الفعلُ المعزومُ عليه الشرعيُّ‌</w:t>
      </w:r>
      <w:r>
        <w:rPr>
          <w:rStyle w:val="FootnoteAnchor"/>
          <w:rtl w:val="true"/>
        </w:rPr>
        <w:footnoteReference w:id="3089"/>
      </w:r>
      <w:r>
        <w:rPr>
          <w:rFonts w:ascii="Amiri" w:hAnsi="Amiri" w:eastAsia="Amiri" w:cs="Amiri"/>
          <w:color w:val="111111"/>
          <w:sz w:val="28"/>
          <w:sz w:val="28"/>
          <w:szCs w:val="28"/>
          <w:rtl w:val="true"/>
          <w:lang w:bidi="ar-SA"/>
        </w:rPr>
        <w:t>، و قد عَلِمنا أنّه لَيسَ في الشريعةِ عَزمٌ له مِثلُ حُكمِ المعزومِ عليه الشرعيِّ البَتّةَ؟</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w:t>
      </w:r>
      <w:r>
        <w:rPr>
          <w:rStyle w:val="FootnoteAnchor"/>
          <w:rtl w:val="true"/>
        </w:rPr>
        <w:footnoteReference w:id="3090"/>
      </w:r>
      <w:r>
        <w:rPr>
          <w:rFonts w:ascii="Amiri" w:hAnsi="Amiri" w:eastAsia="Amiri" w:cs="Amiri"/>
          <w:color w:val="111111"/>
          <w:sz w:val="28"/>
          <w:sz w:val="28"/>
          <w:szCs w:val="28"/>
          <w:rtl w:val="true"/>
          <w:lang w:bidi="ar-SA"/>
        </w:rPr>
        <w:t>مَن عَزَمَ علَى الصَّلاةِ لا يَجوزُ أن</w:t>
      </w:r>
      <w:r>
        <w:rPr>
          <w:rStyle w:val="FootnoteAnchor"/>
          <w:rtl w:val="true"/>
        </w:rPr>
        <w:footnoteReference w:id="3091"/>
      </w:r>
      <w:r>
        <w:rPr>
          <w:rFonts w:ascii="Amiri" w:hAnsi="Amiri" w:eastAsia="Amiri" w:cs="Amiri"/>
          <w:color w:val="111111"/>
          <w:sz w:val="28"/>
          <w:sz w:val="28"/>
          <w:szCs w:val="28"/>
          <w:rtl w:val="true"/>
          <w:lang w:bidi="ar-SA"/>
        </w:rPr>
        <w:t>يَكونَ له حَظٌّ</w:t>
      </w:r>
      <w:r>
        <w:rPr>
          <w:rStyle w:val="FootnoteAnchor"/>
          <w:rtl w:val="true"/>
        </w:rPr>
        <w:footnoteReference w:id="3092"/>
      </w:r>
      <w:r>
        <w:rPr>
          <w:rFonts w:ascii="Amiri" w:hAnsi="Amiri" w:eastAsia="Amiri" w:cs="Amiri"/>
          <w:color w:val="111111"/>
          <w:sz w:val="28"/>
          <w:sz w:val="28"/>
          <w:szCs w:val="28"/>
          <w:rtl w:val="true"/>
          <w:lang w:bidi="ar-SA"/>
        </w:rPr>
        <w:t>مِثلُ حُكمِ فعلِ الصلاةِ الشرعيِّ، و كذلكَ مَن عَزَمَ علَى الوضوءِ؟</w:t>
      </w:r>
      <w:r>
        <w:rPr>
          <w:rStyle w:val="FootnoteAnchor"/>
          <w:rtl w:val="true"/>
        </w:rPr>
        <w:footnoteReference w:id="3093"/>
      </w:r>
      <w:r>
        <w:rPr>
          <w:rFonts w:ascii="Amiri" w:hAnsi="Amiri" w:eastAsia="Amiri" w:cs="Amiri"/>
          <w:color w:val="111111"/>
          <w:sz w:val="28"/>
          <w:sz w:val="28"/>
          <w:szCs w:val="28"/>
          <w:rtl w:val="true"/>
          <w:lang w:bidi="ar-SA"/>
        </w:rPr>
        <w:t>و إنّما اشتَرَطنا</w:t>
      </w:r>
      <w:r>
        <w:rPr>
          <w:rStyle w:val="FootnoteAnchor"/>
          <w:rtl w:val="true"/>
        </w:rPr>
        <w:footnoteReference w:id="3094"/>
      </w:r>
      <w:r>
        <w:rPr>
          <w:rFonts w:ascii="Amiri" w:hAnsi="Amiri" w:eastAsia="Amiri" w:cs="Amiri"/>
          <w:color w:val="111111"/>
          <w:sz w:val="28"/>
          <w:sz w:val="28"/>
          <w:szCs w:val="28"/>
          <w:rtl w:val="true"/>
          <w:lang w:bidi="ar-SA"/>
        </w:rPr>
        <w:t xml:space="preserve">الحُكمَ </w:t>
      </w:r>
    </w:p>
    <w:p>
      <w:pPr>
        <w:pStyle w:val="BookText"/>
        <w:rPr/>
      </w:pPr>
      <w:r>
        <w:rPr>
          <w:rFonts w:ascii="Amiri" w:hAnsi="Amiri" w:eastAsia="Amiri" w:cs="Amiri"/>
          <w:color w:val="111111"/>
          <w:sz w:val="28"/>
          <w:sz w:val="28"/>
          <w:szCs w:val="28"/>
          <w:rtl w:val="true"/>
          <w:lang w:bidi="ar-SA"/>
        </w:rPr>
        <w:t>الشرعيَّ لأنَ حُكمَ‌</w:t>
      </w:r>
      <w:r>
        <w:rPr>
          <w:rStyle w:val="FootnoteAnchor"/>
          <w:rtl w:val="true"/>
        </w:rPr>
        <w:footnoteReference w:id="3095"/>
      </w:r>
      <w:r>
        <w:rPr>
          <w:rFonts w:ascii="Amiri" w:hAnsi="Amiri" w:eastAsia="Amiri" w:cs="Amiri"/>
          <w:color w:val="111111"/>
          <w:sz w:val="28"/>
          <w:sz w:val="28"/>
          <w:szCs w:val="28"/>
          <w:rtl w:val="true"/>
          <w:lang w:bidi="ar-SA"/>
        </w:rPr>
        <w:t>العَزمِ في الثوابِ و استحقاقِ المَدحِ حُكمُ المعزومِ عليه، و كذلكَ‌</w:t>
      </w:r>
      <w:r>
        <w:rPr>
          <w:rStyle w:val="FootnoteAnchor"/>
          <w:rtl w:val="true"/>
        </w:rPr>
        <w:footnoteReference w:id="3096"/>
      </w:r>
      <w:r>
        <w:rPr>
          <w:rFonts w:ascii="Amiri" w:hAnsi="Amiri" w:eastAsia="Amiri" w:cs="Amiri"/>
          <w:color w:val="111111"/>
          <w:sz w:val="28"/>
          <w:sz w:val="28"/>
          <w:szCs w:val="28"/>
          <w:rtl w:val="true"/>
          <w:lang w:bidi="ar-SA"/>
        </w:rPr>
        <w:t>العَزمُ علَى القَبيحِ مُستَحَقٌّ‌</w:t>
      </w:r>
      <w:r>
        <w:rPr>
          <w:rStyle w:val="FootnoteAnchor"/>
          <w:rtl w:val="true"/>
        </w:rPr>
        <w:footnoteReference w:id="3097"/>
      </w:r>
      <w:r>
        <w:rPr>
          <w:rFonts w:ascii="Amiri" w:hAnsi="Amiri" w:eastAsia="Amiri" w:cs="Amiri"/>
          <w:color w:val="111111"/>
          <w:sz w:val="28"/>
          <w:sz w:val="28"/>
          <w:szCs w:val="28"/>
          <w:rtl w:val="true"/>
          <w:lang w:bidi="ar-SA"/>
        </w:rPr>
        <w:t>عليه الذمُّ كَما يُستَحَقُّ علىٰ فعلِ‌</w:t>
      </w:r>
      <w:r>
        <w:rPr>
          <w:rStyle w:val="FootnoteAnchor"/>
          <w:rtl w:val="true"/>
        </w:rPr>
        <w:footnoteReference w:id="3098"/>
      </w:r>
      <w:r>
        <w:rPr>
          <w:rFonts w:ascii="Amiri" w:hAnsi="Amiri" w:eastAsia="Amiri" w:cs="Amiri"/>
          <w:color w:val="111111"/>
          <w:sz w:val="28"/>
          <w:sz w:val="28"/>
          <w:szCs w:val="28"/>
          <w:rtl w:val="true"/>
          <w:lang w:bidi="ar-SA"/>
        </w:rPr>
        <w:t>القَبيحِ‌</w:t>
      </w:r>
      <w:r>
        <w:rPr>
          <w:rStyle w:val="FootnoteAnchor"/>
          <w:rtl w:val="true"/>
        </w:rPr>
        <w:footnoteReference w:id="3099"/>
      </w:r>
      <w:r>
        <w:rPr>
          <w:rFonts w:ascii="Amiri" w:hAnsi="Amiri" w:eastAsia="Amiri" w:cs="Amiri"/>
          <w:color w:val="111111"/>
          <w:sz w:val="28"/>
          <w:sz w:val="28"/>
          <w:szCs w:val="28"/>
          <w:rtl w:val="true"/>
          <w:lang w:bidi="ar-SA"/>
        </w:rPr>
        <w:t>، و إن وَقَعَ اختلافٌ في تَساويهِ أو قُصورِ العَزمِ في ذلكَ عن المعزومِ عليه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صِحّةِ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عزيمةُ الأكلِ أو ما</w:t>
      </w:r>
      <w:r>
        <w:rPr>
          <w:rStyle w:val="FootnoteAnchor"/>
          <w:rtl w:val="true"/>
        </w:rPr>
        <w:footnoteReference w:id="3100"/>
      </w:r>
      <w:r>
        <w:rPr>
          <w:rFonts w:ascii="Amiri" w:hAnsi="Amiri" w:eastAsia="Amiri" w:cs="Amiri"/>
          <w:color w:val="111111"/>
          <w:sz w:val="28"/>
          <w:sz w:val="28"/>
          <w:szCs w:val="28"/>
          <w:rtl w:val="true"/>
          <w:lang w:bidi="ar-SA"/>
        </w:rPr>
        <w:t>أشبَهَه</w:t>
      </w:r>
      <w:r>
        <w:rPr>
          <w:rStyle w:val="FootnoteAnchor"/>
          <w:rtl w:val="true"/>
        </w:rPr>
        <w:footnoteReference w:id="3101"/>
      </w:r>
      <w:r>
        <w:rPr>
          <w:rFonts w:ascii="Amiri" w:hAnsi="Amiri" w:eastAsia="Amiri" w:cs="Amiri"/>
          <w:color w:val="111111"/>
          <w:sz w:val="28"/>
          <w:sz w:val="28"/>
          <w:szCs w:val="28"/>
          <w:rtl w:val="true"/>
          <w:lang w:bidi="ar-SA"/>
        </w:rPr>
        <w:t>مِن المُفطِراتِ يُفسِدُ الصومَ‌</w:t>
      </w:r>
      <w:r>
        <w:rPr>
          <w:rStyle w:val="FootnoteAnchor"/>
          <w:rtl w:val="true"/>
        </w:rPr>
        <w:footnoteReference w:id="3102"/>
      </w:r>
      <w:r>
        <w:rPr>
          <w:rFonts w:ascii="Amiri" w:hAnsi="Amiri" w:eastAsia="Amiri" w:cs="Amiri"/>
          <w:color w:val="111111"/>
          <w:sz w:val="28"/>
          <w:sz w:val="28"/>
          <w:szCs w:val="28"/>
          <w:rtl w:val="true"/>
          <w:lang w:bidi="ar-SA"/>
        </w:rPr>
        <w:t>، لَوَجَبَ أن يَذكُرَه</w:t>
      </w:r>
      <w:r>
        <w:rPr>
          <w:rStyle w:val="FootnoteAnchor"/>
          <w:rtl w:val="true"/>
        </w:rPr>
        <w:footnoteReference w:id="3103"/>
      </w:r>
      <w:r>
        <w:rPr>
          <w:rFonts w:ascii="Amiri" w:hAnsi="Amiri" w:eastAsia="Amiri" w:cs="Amiri"/>
          <w:color w:val="111111"/>
          <w:sz w:val="28"/>
          <w:sz w:val="28"/>
          <w:szCs w:val="28"/>
          <w:rtl w:val="true"/>
          <w:lang w:bidi="ar-SA"/>
        </w:rPr>
        <w:t>أصحابُنا في جُملةِ ما عَدَّدوه مِن المُفطِراتِ المُفسِداتِ‌</w:t>
      </w:r>
      <w:r>
        <w:rPr>
          <w:rStyle w:val="FootnoteAnchor"/>
          <w:rtl w:val="true"/>
        </w:rPr>
        <w:footnoteReference w:id="3104"/>
      </w:r>
      <w:r>
        <w:rPr>
          <w:rFonts w:ascii="Amiri" w:hAnsi="Amiri" w:eastAsia="Amiri" w:cs="Amiri"/>
          <w:color w:val="111111"/>
          <w:sz w:val="28"/>
          <w:sz w:val="28"/>
          <w:szCs w:val="28"/>
          <w:rtl w:val="true"/>
          <w:lang w:bidi="ar-SA"/>
        </w:rPr>
        <w:t>للصومِ التي رَوَوها عن أئمّتِهم عليهم السلامُ، و أجمَعوا عليها بتَوقيفِهم، حتّىٰ مَيَّزوا بَينَ‌</w:t>
      </w:r>
      <w:r>
        <w:rPr>
          <w:rStyle w:val="FootnoteAnchor"/>
          <w:rtl w:val="true"/>
        </w:rPr>
        <w:footnoteReference w:id="3105"/>
      </w:r>
      <w:r>
        <w:rPr>
          <w:rFonts w:ascii="Amiri" w:hAnsi="Amiri" w:eastAsia="Amiri" w:cs="Amiri"/>
          <w:color w:val="111111"/>
          <w:sz w:val="28"/>
          <w:sz w:val="28"/>
          <w:szCs w:val="28"/>
          <w:rtl w:val="true"/>
          <w:lang w:bidi="ar-SA"/>
        </w:rPr>
        <w:t xml:space="preserve">ما يُفطِرُ و يوجِبُ الكفّارةَ و بَينَ ما يوجِبُ القَضاءَ مِن غيرِ كَفّارةٍ؛ و لَم يَذكُرْ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تَصانيفِهم و رِواياتِهم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العَزمَ علىٰ بعضِ هذه المُفطِراتِ يُفسِدُ الصومَ، و لا أَوجَبوا فيه قَضاءً و لا كَفّارةً</w:t>
      </w:r>
      <w:r>
        <w:rPr>
          <w:rFonts w:eastAsia="Amiri" w:cs="Amiri" w:ascii="Amiri" w:hAnsi="Amiri"/>
          <w:color w:val="111111"/>
          <w:sz w:val="28"/>
          <w:szCs w:val="28"/>
          <w:rtl w:val="true"/>
          <w:lang w:bidi="ar-SA"/>
        </w:rPr>
        <w:t>.</w:t>
      </w:r>
      <w:r>
        <w:rPr>
          <w:rStyle w:val="FootnoteAnchor"/>
          <w:rtl w:val="true"/>
        </w:rPr>
        <w:footnoteReference w:id="3106"/>
      </w:r>
      <w:r>
        <w:rPr>
          <w:rFonts w:ascii="Amiri" w:hAnsi="Amiri" w:eastAsia="Amiri" w:cs="Amiri"/>
          <w:color w:val="111111"/>
          <w:sz w:val="28"/>
          <w:sz w:val="28"/>
          <w:szCs w:val="28"/>
          <w:rtl w:val="true"/>
          <w:lang w:bidi="ar-SA"/>
        </w:rPr>
        <w:t>و لَو كانَ العَزمُ علَى الجِماعِ جارياً مَجرَى الجِماعِ، لَوَجَبَ أن يَذكُروه في جُملةِ المُفطِراتِ، و يوجِبوا فيه</w:t>
      </w:r>
      <w:r>
        <w:rPr>
          <w:rStyle w:val="FootnoteAnchor"/>
          <w:rtl w:val="true"/>
        </w:rPr>
        <w:footnoteReference w:id="3107"/>
      </w:r>
      <w:r>
        <w:rPr>
          <w:rFonts w:ascii="Amiri" w:hAnsi="Amiri" w:eastAsia="Amiri" w:cs="Amiri"/>
          <w:color w:val="111111"/>
          <w:sz w:val="28"/>
          <w:sz w:val="28"/>
          <w:szCs w:val="28"/>
          <w:rtl w:val="true"/>
          <w:lang w:bidi="ar-SA"/>
        </w:rPr>
        <w:t xml:space="preserve">إذا كانَ مُتعمَّداً القَضاءَ و الكَفّارةَ، كَما أَوجَبوا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مُتَناوَلِه</w:t>
      </w:r>
      <w:r>
        <w:rPr>
          <w:rStyle w:val="FootnoteAnchor"/>
          <w:rtl w:val="true"/>
        </w:rPr>
        <w:footnoteReference w:id="3108"/>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قولُكم فيمَن نَوىٰ عندَ ابتداءِ طَهارتِه بالماءِ‌</w:t>
      </w:r>
      <w:r>
        <w:rPr>
          <w:rStyle w:val="FootnoteAnchor"/>
          <w:rtl w:val="true"/>
        </w:rPr>
        <w:footnoteReference w:id="3109"/>
      </w:r>
      <w:r>
        <w:rPr>
          <w:rFonts w:ascii="Amiri" w:hAnsi="Amiri" w:eastAsia="Amiri" w:cs="Amiri"/>
          <w:color w:val="111111"/>
          <w:sz w:val="28"/>
          <w:sz w:val="28"/>
          <w:szCs w:val="28"/>
          <w:rtl w:val="true"/>
          <w:lang w:bidi="ar-SA"/>
        </w:rPr>
        <w:t>إزالةَ الحَدَثِ، ثُمّ لَمّا</w:t>
      </w:r>
      <w:r>
        <w:rPr>
          <w:rStyle w:val="FootnoteAnchor"/>
          <w:rtl w:val="true"/>
        </w:rPr>
        <w:footnoteReference w:id="3110"/>
      </w:r>
      <w:r>
        <w:rPr>
          <w:rFonts w:ascii="Amiri" w:hAnsi="Amiri" w:eastAsia="Amiri" w:cs="Amiri"/>
          <w:color w:val="111111"/>
          <w:sz w:val="28"/>
          <w:sz w:val="28"/>
          <w:szCs w:val="28"/>
          <w:rtl w:val="true"/>
          <w:lang w:bidi="ar-SA"/>
        </w:rPr>
        <w:t xml:space="preserve">أرادَ أن يُطهِّرَ رأسَه أو رِجلَيه غَيَّرَ هذه النيّةَ، فنَوىٰ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w:t>
      </w:r>
      <w:r>
        <w:rPr>
          <w:rStyle w:val="FootnoteAnchor"/>
          <w:rtl w:val="true"/>
        </w:rPr>
        <w:footnoteReference w:id="3111"/>
      </w:r>
      <w:r>
        <w:rPr>
          <w:rFonts w:ascii="IRNazanin" w:hAnsi="IRNazanin" w:eastAsia="IRNazanin"/>
          <w:color w:val="111111"/>
          <w:sz w:val="28"/>
          <w:sz w:val="28"/>
          <w:szCs w:val="28"/>
          <w:rtl w:val="true"/>
          <w:lang w:bidi="fa-IR"/>
        </w:rPr>
        <w:t>أو ما</w:t>
      </w:r>
      <w:r>
        <w:rPr>
          <w:rStyle w:val="FootnoteAnchor"/>
          <w:rtl w:val="true"/>
        </w:rPr>
        <w:footnoteReference w:id="3112"/>
      </w:r>
      <w:r>
        <w:rPr>
          <w:rFonts w:ascii="Amiri" w:hAnsi="Amiri" w:eastAsia="Amiri" w:cs="Amiri"/>
          <w:color w:val="111111"/>
          <w:sz w:val="28"/>
          <w:sz w:val="28"/>
          <w:szCs w:val="28"/>
          <w:rtl w:val="true"/>
          <w:lang w:bidi="ar-SA"/>
        </w:rPr>
        <w:t>يَجري مَجراها ممّا يُخالِفُ إزالةَ الحَدَثِ؟</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نيّةُ الطهارةِ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النيّةُ‌</w:t>
      </w:r>
      <w:r>
        <w:rPr>
          <w:rStyle w:val="FootnoteAnchor"/>
          <w:rtl w:val="true"/>
        </w:rPr>
        <w:footnoteReference w:id="3113"/>
      </w:r>
      <w:r>
        <w:rPr>
          <w:rFonts w:ascii="Amiri" w:hAnsi="Amiri" w:eastAsia="Amiri" w:cs="Amiri"/>
          <w:color w:val="111111"/>
          <w:sz w:val="28"/>
          <w:sz w:val="28"/>
          <w:szCs w:val="28"/>
          <w:rtl w:val="true"/>
          <w:lang w:bidi="ar-SA"/>
        </w:rPr>
        <w:t xml:space="preserve">في ابتدائها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تُجَدَّدَ حتّىٰ تُقارِنَ‌</w:t>
      </w:r>
      <w:r>
        <w:rPr>
          <w:rStyle w:val="FootnoteAnchor"/>
          <w:rtl w:val="true"/>
        </w:rPr>
        <w:footnoteReference w:id="3114"/>
      </w:r>
      <w:r>
        <w:rPr>
          <w:rFonts w:ascii="Amiri" w:hAnsi="Amiri" w:eastAsia="Amiri" w:cs="Amiri"/>
          <w:color w:val="111111"/>
          <w:sz w:val="28"/>
          <w:sz w:val="28"/>
          <w:szCs w:val="28"/>
          <w:rtl w:val="true"/>
          <w:lang w:bidi="ar-SA"/>
        </w:rPr>
        <w:t>جميعَ أجزائها؛ بَل كانَ وقوعُها في الابتداءِ يَقتَضي كَونَ الغَسلِ و المَسحِ طَهارةً، فالواجبُ أن نَقولَ‌</w:t>
      </w:r>
      <w:r>
        <w:rPr>
          <w:rStyle w:val="FootnoteAnchor"/>
          <w:rtl w:val="true"/>
        </w:rPr>
        <w:footnoteReference w:id="3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Style w:val="FootnoteAnchor"/>
          <w:rtl w:val="true"/>
        </w:rPr>
        <w:footnoteReference w:id="3116"/>
      </w:r>
      <w:r>
        <w:rPr>
          <w:rFonts w:ascii="Amiri" w:hAnsi="Amiri" w:eastAsia="Amiri" w:cs="Amiri"/>
          <w:color w:val="111111"/>
          <w:sz w:val="28"/>
          <w:sz w:val="28"/>
          <w:szCs w:val="28"/>
          <w:rtl w:val="true"/>
          <w:lang w:bidi="ar-SA"/>
        </w:rPr>
        <w:t>متىٰ غَيَّرَ نيّتَه</w:t>
      </w:r>
      <w:r>
        <w:rPr>
          <w:rStyle w:val="FootnoteAnchor"/>
          <w:rtl w:val="true"/>
        </w:rPr>
        <w:footnoteReference w:id="3117"/>
      </w:r>
      <w:r>
        <w:rPr>
          <w:rFonts w:ascii="Amiri" w:hAnsi="Amiri" w:eastAsia="Amiri" w:cs="Amiri"/>
          <w:color w:val="111111"/>
          <w:sz w:val="28"/>
          <w:sz w:val="28"/>
          <w:szCs w:val="28"/>
          <w:rtl w:val="true"/>
          <w:lang w:bidi="ar-SA"/>
        </w:rPr>
        <w:t>لَم يؤثِّرْ هذا التغييرُ في استمرارِ حُكمِ النيّةِ الأُولىٰ؛ كَما أنّه لَو عَزَمَ عَلىٰ أن</w:t>
      </w:r>
      <w:r>
        <w:rPr>
          <w:rStyle w:val="FootnoteAnchor"/>
          <w:rtl w:val="true"/>
        </w:rPr>
        <w:footnoteReference w:id="3118"/>
      </w:r>
      <w:r>
        <w:rPr>
          <w:rFonts w:ascii="Amiri" w:hAnsi="Amiri" w:eastAsia="Amiri" w:cs="Amiri"/>
          <w:color w:val="111111"/>
          <w:sz w:val="28"/>
          <w:sz w:val="28"/>
          <w:szCs w:val="28"/>
          <w:rtl w:val="true"/>
          <w:lang w:bidi="ar-SA"/>
        </w:rPr>
        <w:t>يُحدِثَ حَدَثاً يَنقُضُ الوضوءَ‌</w:t>
      </w:r>
      <w:r>
        <w:rPr>
          <w:rStyle w:val="FootnoteAnchor"/>
          <w:rtl w:val="true"/>
        </w:rPr>
        <w:footnoteReference w:id="3119"/>
      </w:r>
      <w:r>
        <w:rPr>
          <w:rFonts w:ascii="Amiri" w:hAnsi="Amiri" w:eastAsia="Amiri" w:cs="Amiri"/>
          <w:color w:val="111111"/>
          <w:sz w:val="28"/>
          <w:sz w:val="28"/>
          <w:szCs w:val="28"/>
          <w:rtl w:val="true"/>
          <w:lang w:bidi="ar-SA"/>
        </w:rPr>
        <w:t>و لَم يَفعَلْه، لا يَجِبُ أن يَكونَ ناقضاً لحُكمِ الطهارةِ، و لَم يَجرِ العَزمُ علَى الحَدَثِ في الطهارةِ مَجرَى المعزومِ‌</w:t>
      </w:r>
      <w:r>
        <w:rPr>
          <w:rStyle w:val="FootnoteAnchor"/>
          <w:rtl w:val="true"/>
        </w:rPr>
        <w:footnoteReference w:id="3120"/>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الذي يُشبِهُ‌</w:t>
      </w:r>
      <w:r>
        <w:rPr>
          <w:rStyle w:val="FootnoteAnchor"/>
          <w:rtl w:val="true"/>
        </w:rPr>
        <w:footnoteReference w:id="3121"/>
      </w:r>
      <w:r>
        <w:rPr>
          <w:rFonts w:ascii="Amiri" w:hAnsi="Amiri" w:eastAsia="Amiri" w:cs="Amiri"/>
          <w:color w:val="111111"/>
          <w:sz w:val="28"/>
          <w:sz w:val="28"/>
          <w:szCs w:val="28"/>
          <w:rtl w:val="true"/>
          <w:lang w:bidi="ar-SA"/>
        </w:rPr>
        <w:t>مسألةَ الصومِ؛ فإنّا</w:t>
      </w:r>
      <w:r>
        <w:rPr>
          <w:rStyle w:val="FootnoteAnchor"/>
          <w:rtl w:val="true"/>
        </w:rPr>
        <w:footnoteReference w:id="3122"/>
      </w:r>
      <w:r>
        <w:rPr>
          <w:rFonts w:ascii="Amiri" w:hAnsi="Amiri" w:eastAsia="Amiri" w:cs="Amiri"/>
          <w:color w:val="111111"/>
          <w:sz w:val="28"/>
          <w:sz w:val="28"/>
          <w:szCs w:val="28"/>
          <w:rtl w:val="true"/>
          <w:lang w:bidi="ar-SA"/>
        </w:rPr>
        <w:t>فَرَضنا مَن عَزَمَ علَى الفِطرِ في خِلالِ النهارِ،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بهذا</w:t>
      </w:r>
      <w:r>
        <w:rPr>
          <w:rStyle w:val="FootnoteAnchor"/>
          <w:rtl w:val="true"/>
        </w:rPr>
        <w:footnoteReference w:id="3123"/>
      </w:r>
      <w:r>
        <w:rPr>
          <w:rFonts w:ascii="Amiri" w:hAnsi="Amiri" w:eastAsia="Amiri" w:cs="Amiri"/>
          <w:color w:val="111111"/>
          <w:sz w:val="28"/>
          <w:sz w:val="28"/>
          <w:szCs w:val="28"/>
          <w:rtl w:val="true"/>
          <w:lang w:bidi="ar-SA"/>
        </w:rPr>
        <w:t>العَزمِ لا يَفسُدُ صَومُه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فإنّه يُمكِنُ أن</w:t>
      </w:r>
      <w:r>
        <w:rPr>
          <w:rStyle w:val="FootnoteAnchor"/>
          <w:rtl w:val="true"/>
        </w:rPr>
        <w:footnoteReference w:id="3124"/>
      </w:r>
      <w:r>
        <w:rPr>
          <w:rFonts w:ascii="Amiri" w:hAnsi="Amiri" w:eastAsia="Amiri" w:cs="Amiri"/>
          <w:color w:val="111111"/>
          <w:sz w:val="28"/>
          <w:sz w:val="28"/>
          <w:szCs w:val="28"/>
          <w:rtl w:val="true"/>
          <w:lang w:bidi="ar-SA"/>
        </w:rPr>
        <w:t>يُفصَلَ بَينَ الوضوءِ و بَينَ الصومِ بأنّ الصومَ لا يَتبعَّضُ‌</w:t>
      </w:r>
      <w:r>
        <w:rPr>
          <w:rStyle w:val="FootnoteAnchor"/>
          <w:rtl w:val="true"/>
        </w:rPr>
        <w:footnoteReference w:id="3125"/>
      </w:r>
      <w:r>
        <w:rPr>
          <w:rFonts w:ascii="Amiri" w:hAnsi="Amiri" w:eastAsia="Amiri" w:cs="Amiri"/>
          <w:color w:val="111111"/>
          <w:sz w:val="28"/>
          <w:sz w:val="28"/>
          <w:szCs w:val="28"/>
          <w:rtl w:val="true"/>
          <w:lang w:bidi="ar-SA"/>
        </w:rPr>
        <w:t>، و لا يَكونُ بعضُ النهارِ صَوماً و بعضُه غيرَ صَومٍ، و ما</w:t>
      </w:r>
      <w:r>
        <w:rPr>
          <w:rStyle w:val="FootnoteAnchor"/>
          <w:rtl w:val="true"/>
        </w:rPr>
        <w:footnoteReference w:id="3126"/>
      </w:r>
      <w:r>
        <w:rPr>
          <w:rFonts w:ascii="Amiri" w:hAnsi="Amiri" w:eastAsia="Amiri" w:cs="Amiri"/>
          <w:color w:val="111111"/>
          <w:sz w:val="28"/>
          <w:sz w:val="28"/>
          <w:szCs w:val="28"/>
          <w:rtl w:val="true"/>
          <w:lang w:bidi="ar-SA"/>
        </w:rPr>
        <w:t xml:space="preserve">أفسَدَ شَيئاً منه أفسَدَ جميعَه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القولُ في الإحرامِ بالحَجِّ، و الدخولِ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الوضوءُ يُمكِنُ فيه التبعيضُ، و أن يَكونَ بعضُه صَحيحاً و بعضُه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نَوىٰ إزالةَ الحَدَثِ و غَسَلَ وجهَه ثُمّ بَدا له فنَوَى النَّظافةَ بما يَفعَلُه مِن غَسلِ يدَيه أو غَسلِ بدنِه، تَكونُ هذه النيّةُ للنَّظافةِ، لا لإزالةِ الحَدَثِ،</w:t>
      </w:r>
      <w:r>
        <w:rPr>
          <w:rStyle w:val="FootnoteAnchor"/>
          <w:rtl w:val="true"/>
        </w:rPr>
        <w:footnoteReference w:id="3127"/>
      </w:r>
      <w:r>
        <w:rPr>
          <w:rFonts w:ascii="Amiri" w:hAnsi="Amiri" w:eastAsia="Amiri" w:cs="Amiri"/>
          <w:color w:val="111111"/>
          <w:sz w:val="28"/>
          <w:sz w:val="28"/>
          <w:szCs w:val="28"/>
          <w:rtl w:val="true"/>
          <w:lang w:bidi="ar-SA"/>
        </w:rPr>
        <w:t>و لا تَعمَلُ فيه النيّةُ‌</w:t>
      </w:r>
      <w:r>
        <w:rPr>
          <w:rStyle w:val="FootnoteAnchor"/>
          <w:rtl w:val="true"/>
        </w:rPr>
        <w:footnoteReference w:id="3128"/>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و لكِنّا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غَسلَ يدَيكَ ناوياً للطهارةِ و إزالةِ الحَدَثِ؛</w:t>
      </w:r>
      <w:r>
        <w:rPr>
          <w:rStyle w:val="FootnoteAnchor"/>
          <w:rtl w:val="true"/>
        </w:rPr>
        <w:footnoteReference w:id="3129"/>
      </w:r>
      <w:r>
        <w:rPr>
          <w:rFonts w:ascii="Amiri" w:hAnsi="Amiri" w:eastAsia="Amiri" w:cs="Amiri"/>
          <w:color w:val="111111"/>
          <w:sz w:val="28"/>
          <w:sz w:val="28"/>
          <w:szCs w:val="28"/>
          <w:rtl w:val="true"/>
          <w:lang w:bidi="ar-SA"/>
        </w:rPr>
        <w:t>و لا نأمُرُه بإعادةِ تطهيرِ وجهِه، بَل بالبناءِ‌</w:t>
      </w:r>
      <w:r>
        <w:rPr>
          <w:rStyle w:val="FootnoteAnchor"/>
          <w:rtl w:val="true"/>
        </w:rPr>
        <w:footnoteReference w:id="3130"/>
      </w:r>
      <w:r>
        <w:rPr>
          <w:rFonts w:ascii="Amiri" w:hAnsi="Amiri" w:eastAsia="Amiri" w:cs="Amiri"/>
          <w:color w:val="111111"/>
          <w:sz w:val="28"/>
          <w:sz w:val="28"/>
          <w:szCs w:val="28"/>
          <w:rtl w:val="true"/>
          <w:lang w:bidi="ar-SA"/>
        </w:rPr>
        <w:t>عليه، و هذا لا يُمكِنُ مِثلُه في الصومِ و لا في الإحرامِ و لا في الصلاةِ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ما</w:t>
      </w:r>
      <w:r>
        <w:rPr>
          <w:rStyle w:val="FootnoteAnchor"/>
          <w:rtl w:val="true"/>
        </w:rPr>
        <w:footnoteReference w:id="3131"/>
      </w:r>
      <w:r>
        <w:rPr>
          <w:rFonts w:ascii="Amiri" w:hAnsi="Amiri" w:eastAsia="Amiri" w:cs="Amiri"/>
          <w:color w:val="111111"/>
          <w:sz w:val="28"/>
          <w:sz w:val="28"/>
          <w:szCs w:val="28"/>
          <w:rtl w:val="true"/>
          <w:lang w:bidi="ar-SA"/>
        </w:rPr>
        <w:t>يَقتَضيهِ‌</w:t>
      </w:r>
      <w:r>
        <w:rPr>
          <w:rStyle w:val="FootnoteAnchor"/>
          <w:rtl w:val="true"/>
        </w:rPr>
        <w:footnoteReference w:id="3132"/>
      </w:r>
      <w:r>
        <w:rPr>
          <w:rFonts w:ascii="Amiri" w:hAnsi="Amiri" w:eastAsia="Amiri" w:cs="Amiri"/>
          <w:color w:val="111111"/>
          <w:sz w:val="28"/>
          <w:sz w:val="28"/>
          <w:szCs w:val="28"/>
          <w:rtl w:val="true"/>
          <w:lang w:bidi="ar-SA"/>
        </w:rPr>
        <w:t xml:space="preserve">ما بَيَّنتموه أن يَكونَ الصومُ جائزاً بقاءُ حُكمِه مع نيّةِ </w:t>
      </w:r>
    </w:p>
    <w:p>
      <w:pPr>
        <w:pStyle w:val="BookText"/>
        <w:rPr/>
      </w:pPr>
      <w:r>
        <w:rPr>
          <w:rFonts w:ascii="Amiri" w:hAnsi="Amiri" w:eastAsia="Amiri" w:cs="Amiri"/>
          <w:color w:val="111111"/>
          <w:sz w:val="28"/>
          <w:sz w:val="28"/>
          <w:szCs w:val="28"/>
          <w:rtl w:val="true"/>
          <w:lang w:bidi="ar-SA"/>
        </w:rPr>
        <w:t>الفِطرِ</w:t>
      </w:r>
      <w:r>
        <w:rPr>
          <w:rStyle w:val="FootnoteAnchor"/>
          <w:rtl w:val="true"/>
        </w:rPr>
        <w:footnoteReference w:id="3133"/>
      </w:r>
      <w:r>
        <w:rPr>
          <w:rFonts w:ascii="Amiri" w:hAnsi="Amiri" w:eastAsia="Amiri" w:cs="Amiri"/>
          <w:color w:val="111111"/>
          <w:sz w:val="28"/>
          <w:sz w:val="28"/>
          <w:szCs w:val="28"/>
          <w:rtl w:val="true"/>
          <w:lang w:bidi="ar-SA"/>
        </w:rPr>
        <w:t>في خِلالِ النهارِ؛ فمِن أينَ لكم القَطعُ علىٰ أنّ هذه النيّةَ‌</w:t>
      </w:r>
      <w:r>
        <w:rPr>
          <w:rStyle w:val="FootnoteAnchor"/>
          <w:rtl w:val="true"/>
        </w:rPr>
        <w:footnoteReference w:id="3134"/>
      </w:r>
      <w:r>
        <w:rPr>
          <w:rFonts w:ascii="Amiri" w:hAnsi="Amiri" w:eastAsia="Amiri" w:cs="Amiri"/>
          <w:color w:val="111111"/>
          <w:sz w:val="28"/>
          <w:sz w:val="28"/>
          <w:szCs w:val="28"/>
          <w:rtl w:val="true"/>
          <w:lang w:bidi="ar-SA"/>
        </w:rPr>
        <w:t>غيرُ مُفسِدةٍ علىٰ كُلِّ حالٍ؟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كلامُنا الذي بيّنّاه و أَوضَحناه يَقتَضي</w:t>
      </w:r>
      <w:r>
        <w:rPr>
          <w:rStyle w:val="FootnoteAnchor"/>
          <w:rtl w:val="true"/>
        </w:rPr>
        <w:footnoteReference w:id="3135"/>
      </w:r>
      <w:r>
        <w:rPr>
          <w:rFonts w:ascii="Amiri" w:hAnsi="Amiri" w:eastAsia="Amiri" w:cs="Amiri"/>
          <w:color w:val="111111"/>
          <w:sz w:val="28"/>
          <w:sz w:val="28"/>
          <w:szCs w:val="28"/>
          <w:rtl w:val="true"/>
          <w:lang w:bidi="ar-SA"/>
        </w:rPr>
        <w:t>وجوبَ بقاءِ حُكمِ الصومِ طولَ النهارِ إذا</w:t>
      </w:r>
      <w:r>
        <w:rPr>
          <w:rStyle w:val="FootnoteAnchor"/>
          <w:rtl w:val="true"/>
        </w:rPr>
        <w:footnoteReference w:id="3136"/>
      </w:r>
      <w:r>
        <w:rPr>
          <w:rFonts w:ascii="Amiri" w:hAnsi="Amiri" w:eastAsia="Amiri" w:cs="Amiri"/>
          <w:color w:val="111111"/>
          <w:sz w:val="28"/>
          <w:sz w:val="28"/>
          <w:szCs w:val="28"/>
          <w:rtl w:val="true"/>
          <w:lang w:bidi="ar-SA"/>
        </w:rPr>
        <w:t>وقَعَت النيّةُ‌</w:t>
      </w:r>
      <w:r>
        <w:rPr>
          <w:rStyle w:val="FootnoteAnchor"/>
          <w:rtl w:val="true"/>
        </w:rPr>
        <w:footnoteReference w:id="3137"/>
      </w:r>
      <w:r>
        <w:rPr>
          <w:rFonts w:ascii="Amiri" w:hAnsi="Amiri" w:eastAsia="Amiri" w:cs="Amiri"/>
          <w:color w:val="111111"/>
          <w:sz w:val="28"/>
          <w:sz w:val="28"/>
          <w:szCs w:val="28"/>
          <w:rtl w:val="true"/>
          <w:lang w:bidi="ar-SA"/>
        </w:rPr>
        <w:t>في ابتدائه، و نيّةُ الأكلِ غيرُ مُنافيةٍ لحُكمِ الصومِ، و إنّما هي مُنافيةٌ لابتداءِ نيّةِ الصومِ، كَما قُلناه</w:t>
      </w:r>
      <w:r>
        <w:rPr>
          <w:rStyle w:val="FootnoteAnchor"/>
          <w:rtl w:val="true"/>
        </w:rPr>
        <w:footnoteReference w:id="3138"/>
      </w:r>
      <w:r>
        <w:rPr>
          <w:rFonts w:ascii="Amiri" w:hAnsi="Amiri" w:eastAsia="Amiri" w:cs="Amiri"/>
          <w:color w:val="111111"/>
          <w:sz w:val="28"/>
          <w:sz w:val="28"/>
          <w:szCs w:val="28"/>
          <w:rtl w:val="true"/>
          <w:lang w:bidi="ar-SA"/>
        </w:rPr>
        <w:t>في عُزوبِ النيّةِ و الجُنونِ و 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حُكمُ نيّةِ الصومِ مُستَمِرّاً، و العَزمُ علَى الأكلِ لا يُنافي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قَطَعنا علىٰ أنّه غيرُ مُفطِرٍ؛ لأنّ القَطعَ علَى الفِطرِ</w:t>
      </w:r>
      <w:r>
        <w:rPr>
          <w:rStyle w:val="FootnoteAnchor"/>
          <w:rtl w:val="true"/>
        </w:rPr>
        <w:footnoteReference w:id="3139"/>
      </w:r>
      <w:r>
        <w:rPr>
          <w:rFonts w:ascii="Amiri" w:hAnsi="Amiri" w:eastAsia="Amiri" w:cs="Amiri"/>
          <w:color w:val="111111"/>
          <w:sz w:val="28"/>
          <w:sz w:val="28"/>
          <w:szCs w:val="28"/>
          <w:rtl w:val="true"/>
          <w:lang w:bidi="ar-SA"/>
        </w:rPr>
        <w:t xml:space="preserve">إنّما يَكونُ بما هو مُنافٍ للصومِ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أو شُربٍ، أو 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العزيمةُ خارجةٌ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تأمَّلتَ‌</w:t>
      </w:r>
      <w:r>
        <w:rPr>
          <w:rStyle w:val="FootnoteAnchor"/>
          <w:rtl w:val="true"/>
        </w:rPr>
        <w:footnoteReference w:id="3140"/>
      </w:r>
      <w:r>
        <w:rPr>
          <w:rFonts w:ascii="Amiri" w:hAnsi="Amiri" w:eastAsia="Amiri" w:cs="Amiri"/>
          <w:color w:val="111111"/>
          <w:sz w:val="28"/>
          <w:sz w:val="28"/>
          <w:szCs w:val="28"/>
          <w:rtl w:val="true"/>
          <w:lang w:bidi="ar-SA"/>
        </w:rPr>
        <w:t>كلامَنا هذا، عَرَفتَ فيه حَلَّ كُلِّ شُبهةٍ تَضمَّنَتها تلكَ المسألةُ‌</w:t>
      </w:r>
      <w:r>
        <w:rPr>
          <w:rStyle w:val="FootnoteAnchor"/>
          <w:rtl w:val="true"/>
        </w:rPr>
        <w:footnoteReference w:id="3141"/>
      </w:r>
      <w:r>
        <w:rPr>
          <w:rFonts w:ascii="Amiri" w:hAnsi="Amiri" w:eastAsia="Amiri" w:cs="Amiri"/>
          <w:color w:val="111111"/>
          <w:sz w:val="28"/>
          <w:sz w:val="28"/>
          <w:szCs w:val="28"/>
          <w:rtl w:val="true"/>
          <w:lang w:bidi="ar-SA"/>
        </w:rPr>
        <w:t>التي كُنّا أملَيناها و نَصَرنا فيها أنّ العَزمَ مُفطِرٌ؛ فلا معنىٰ لإفرادِها بالنقضِ</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w:t>
      </w:r>
      <w:r>
        <w:rPr>
          <w:rStyle w:val="FootnoteAnchor"/>
          <w:rtl w:val="true"/>
        </w:rPr>
        <w:footnoteReference w:id="3142"/>
      </w:r>
      <w:r>
        <w:rPr>
          <w:rFonts w:ascii="Amiri" w:hAnsi="Amiri" w:eastAsia="Amiri" w:cs="Amiri"/>
          <w:color w:val="111111"/>
          <w:sz w:val="28"/>
          <w:sz w:val="28"/>
          <w:szCs w:val="28"/>
          <w:rtl w:val="true"/>
          <w:lang w:bidi="ar-SA"/>
        </w:rPr>
        <w:t>مضىٰ في تلكَ المسألةِ الفَرقُ بَينَ‌</w:t>
      </w:r>
      <w:r>
        <w:rPr>
          <w:rStyle w:val="FootnoteAnchor"/>
          <w:rtl w:val="true"/>
        </w:rPr>
        <w:footnoteReference w:id="3143"/>
      </w:r>
      <w:r>
        <w:rPr>
          <w:rFonts w:ascii="Amiri" w:hAnsi="Amiri" w:eastAsia="Amiri" w:cs="Amiri"/>
          <w:color w:val="111111"/>
          <w:sz w:val="28"/>
          <w:sz w:val="28"/>
          <w:szCs w:val="28"/>
          <w:rtl w:val="true"/>
          <w:lang w:bidi="ar-SA"/>
        </w:rPr>
        <w:t>الصلاةِ و بَينَ الإحرامِ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الجميعِ؛ فمَن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العَزمَ علىٰ ما يُفسِدُ الصومَ يُبطِلُ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w:t>
      </w:r>
    </w:p>
    <w:p>
      <w:pPr>
        <w:pStyle w:val="BookText"/>
        <w:rPr/>
      </w:pPr>
      <w:r>
        <w:rPr>
          <w:rFonts w:ascii="Amiri" w:hAnsi="Amiri" w:eastAsia="Amiri" w:cs="Amiri"/>
          <w:color w:val="111111"/>
          <w:sz w:val="28"/>
          <w:sz w:val="28"/>
          <w:szCs w:val="28"/>
          <w:rtl w:val="true"/>
          <w:lang w:bidi="ar-SA"/>
        </w:rPr>
        <w:t xml:space="preserve">مِثلُ ذلكَ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أن يَقولَ مِثلَ ذلكَ في الصلاةِ و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قَرَنَ‌</w:t>
      </w:r>
      <w:r>
        <w:rPr>
          <w:rStyle w:val="FootnoteAnchor"/>
          <w:rtl w:val="true"/>
        </w:rPr>
        <w:footnoteReference w:id="3144"/>
      </w:r>
      <w:r>
        <w:rPr>
          <w:rFonts w:ascii="Amiri" w:hAnsi="Amiri" w:eastAsia="Amiri" w:cs="Amiri"/>
          <w:color w:val="111111"/>
          <w:sz w:val="28"/>
          <w:sz w:val="28"/>
          <w:szCs w:val="28"/>
          <w:rtl w:val="true"/>
          <w:lang w:bidi="ar-SA"/>
        </w:rPr>
        <w:t>بِنيّةِ دخولِه في الصلاةِ العَزمَ علَى المَشيِ أو الكلامِ فيها، تَنعَقِدُ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صَحيحٍ؛ لأنّ معنَى</w:t>
      </w:r>
      <w:r>
        <w:rPr>
          <w:rStyle w:val="FootnoteAnchor"/>
          <w:rtl w:val="true"/>
        </w:rPr>
        <w:footnoteReference w:id="3145"/>
      </w:r>
      <w:r>
        <w:rPr>
          <w:rFonts w:ascii="Amiri" w:hAnsi="Amiri" w:eastAsia="Amiri" w:cs="Amiri"/>
          <w:color w:val="111111"/>
          <w:sz w:val="28"/>
          <w:sz w:val="28"/>
          <w:szCs w:val="28"/>
          <w:rtl w:val="true"/>
          <w:lang w:bidi="ar-SA"/>
        </w:rPr>
        <w:t>الصلاةِ في الشريعةِ يَتضمَّنُ‌</w:t>
      </w:r>
      <w:r>
        <w:rPr>
          <w:rStyle w:val="FootnoteAnchor"/>
          <w:rtl w:val="true"/>
        </w:rPr>
        <w:footnoteReference w:id="3146"/>
      </w:r>
      <w:r>
        <w:rPr>
          <w:rFonts w:ascii="Amiri" w:hAnsi="Amiri" w:eastAsia="Amiri" w:cs="Amiri"/>
          <w:color w:val="111111"/>
          <w:sz w:val="28"/>
          <w:sz w:val="28"/>
          <w:szCs w:val="28"/>
          <w:rtl w:val="true"/>
          <w:lang w:bidi="ar-SA"/>
        </w:rPr>
        <w:t>أفعالاً و تُروكاً، و الأفعالُ‌</w:t>
      </w:r>
      <w:r>
        <w:rPr>
          <w:rStyle w:val="FootnoteAnchor"/>
          <w:rtl w:val="true"/>
        </w:rPr>
        <w:footnoteReference w:id="3147"/>
      </w:r>
      <w:r>
        <w:rPr>
          <w:rFonts w:ascii="Amiri" w:hAnsi="Amiri" w:eastAsia="Amiri" w:cs="Amiri"/>
          <w:color w:val="111111"/>
          <w:sz w:val="28"/>
          <w:sz w:val="28"/>
          <w:szCs w:val="28"/>
          <w:rtl w:val="true"/>
          <w:lang w:bidi="ar-SA"/>
        </w:rPr>
        <w:t>كالركوعِ و السجودِ و القِراءةِ، و التُّروكُ كالكَفِّ عن الكلامِ و الالتفاتِ و المَشيِ و ما أشبَهَ ذلكَ؛ فكَيفَ يَجوزُ أن يَكونَ عازِماً في ابتداءِ الصلاةِ علىٰ أن يَتكلَّمَ أو يَمشيَ و تَنعَقِدَ صَلاتُه، و مِن جُملةِ مَعاني الصلاةِ أن لا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جازَ هذا، جازَ أن تَنَعقِدَ صَلاتُه مع عَزمِه في افتتاحِها علىٰ أن لا يَركَعَ و لا يَسجُدَ</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يَجوزُ انعقادُ الصلاةِ مع مُقارَنةِ النيّةِ الواقعةِ في افتتاحِها</w:t>
      </w:r>
      <w:r>
        <w:rPr>
          <w:rStyle w:val="FootnoteAnchor"/>
          <w:rtl w:val="true"/>
        </w:rPr>
        <w:footnoteReference w:id="3148"/>
      </w:r>
      <w:r>
        <w:rPr>
          <w:rFonts w:ascii="Amiri" w:hAnsi="Amiri" w:eastAsia="Amiri" w:cs="Amiri"/>
          <w:color w:val="111111"/>
          <w:sz w:val="28"/>
          <w:sz w:val="28"/>
          <w:szCs w:val="28"/>
          <w:rtl w:val="true"/>
          <w:lang w:bidi="ar-SA"/>
        </w:rPr>
        <w:t>العزيمةَ‌</w:t>
      </w:r>
      <w:r>
        <w:rPr>
          <w:rStyle w:val="FootnoteAnchor"/>
          <w:rtl w:val="true"/>
        </w:rPr>
        <w:footnoteReference w:id="3149"/>
      </w:r>
      <w:r>
        <w:rPr>
          <w:rFonts w:ascii="Amiri" w:hAnsi="Amiri" w:eastAsia="Amiri" w:cs="Amiri"/>
          <w:color w:val="111111"/>
          <w:sz w:val="28"/>
          <w:sz w:val="28"/>
          <w:szCs w:val="28"/>
          <w:rtl w:val="true"/>
          <w:lang w:bidi="ar-SA"/>
        </w:rPr>
        <w:t>علىٰ حَدَثٍ مِن بَولٍ أو غيرِه؛ لأنّ الحَدَثَ و إن أبطَلَ الصلاةَ فالعزيمةُ عليه لا تُبطِلُها؛ لأنّه لا مُنافاةَ بَينَه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عَزمِه علَى المَشيِ مُنافاةٌ لنيّةِ الصلاةِ؛ مِن الوجهِ الذي ذَكَرناه</w:t>
      </w:r>
      <w:r>
        <w:rPr>
          <w:rFonts w:eastAsia="Amiri" w:cs="Amiri" w:ascii="Amiri" w:hAnsi="Amiri"/>
          <w:color w:val="111111"/>
          <w:sz w:val="28"/>
          <w:szCs w:val="28"/>
          <w:rtl w:val="true"/>
          <w:lang w:bidi="ar-SA"/>
        </w:rPr>
        <w:t xml:space="preserve">. </w:t>
      </w:r>
      <w:bookmarkStart w:id="1226" w:name="pg16437_172911"/>
    </w:p>
    <w:p>
      <w:pPr>
        <w:pStyle w:val="Heading3"/>
        <w:numPr>
          <w:ilvl w:val="2"/>
          <w:numId w:val="1"/>
        </w:numPr>
        <w:rPr/>
      </w:pPr>
      <w:bookmarkStart w:id="1227" w:name="__RefHeading___Toc8040349_1280447820"/>
      <w:bookmarkStart w:id="1228" w:name="_Toc449"/>
      <w:bookmarkEnd w:id="1226"/>
      <w:bookmarkEnd w:id="1227"/>
      <w:r>
        <w:rPr>
          <w:rtl w:val="true"/>
        </w:rPr>
        <w:t>(</w:t>
      </w:r>
      <w:r>
        <w:rPr/>
        <w:t>88</w:t>
      </w:r>
      <w:r>
        <w:rPr>
          <w:rtl w:val="true"/>
        </w:rPr>
        <w:t xml:space="preserve">) </w:t>
      </w:r>
      <w:r>
        <w:rPr>
          <w:rtl w:val="true"/>
        </w:rPr>
        <w:t>مَسألةٌ في استلامِ الحَجَرِ و التلبيةِ‌</w:t>
      </w:r>
      <w:bookmarkEnd w:id="1228"/>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9" w:name="__RefHeading___Toc8040351_1280447820"/>
      <w:bookmarkStart w:id="1230" w:name="_Toc450"/>
      <w:bookmarkEnd w:id="1229"/>
      <w:r>
        <w:rPr>
          <w:rtl w:val="true"/>
        </w:rPr>
        <w:t>اشارة</w:t>
      </w:r>
      <w:bookmarkEnd w:id="1230"/>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1" w:name="pg16437_172913"/>
      <w:bookmarkStart w:id="1232" w:name="pg16437_172913"/>
      <w:bookmarkEnd w:id="1232"/>
    </w:p>
    <w:p>
      <w:pPr>
        <w:pStyle w:val="Heading4"/>
        <w:numPr>
          <w:ilvl w:val="3"/>
          <w:numId w:val="1"/>
        </w:numPr>
        <w:rPr/>
      </w:pPr>
      <w:bookmarkStart w:id="1233" w:name="pg16437_172913"/>
      <w:bookmarkStart w:id="1234" w:name="__RefHeading___Toc8040353_1280447820"/>
      <w:bookmarkStart w:id="1235" w:name="_Toc451"/>
      <w:bookmarkEnd w:id="1233"/>
      <w:bookmarkEnd w:id="1234"/>
      <w:r>
        <w:rPr>
          <w:rtl w:val="true"/>
        </w:rPr>
        <w:t>مقدّمة التحقيق</w:t>
      </w:r>
      <w:bookmarkEnd w:id="1235"/>
    </w:p>
    <w:p>
      <w:pPr>
        <w:pStyle w:val="Heading5"/>
        <w:numPr>
          <w:ilvl w:val="4"/>
          <w:numId w:val="1"/>
        </w:numPr>
        <w:rPr/>
      </w:pPr>
      <w:bookmarkStart w:id="1236" w:name="__RefHeading___Toc8040355_1280447820"/>
      <w:bookmarkStart w:id="1237" w:name="_Toc452"/>
      <w:bookmarkEnd w:id="1236"/>
      <w:r>
        <w:rPr>
          <w:rtl w:val="true"/>
        </w:rPr>
        <w:t>اشارة</w:t>
      </w:r>
      <w:bookmarkEnd w:id="1237"/>
    </w:p>
    <w:p>
      <w:pPr>
        <w:pStyle w:val="BookText"/>
        <w:rPr/>
      </w:pPr>
      <w:r>
        <w:rPr>
          <w:rFonts w:ascii="Amiri" w:hAnsi="Amiri" w:eastAsia="Amiri" w:cs="Amiri"/>
          <w:color w:val="111111"/>
          <w:sz w:val="28"/>
          <w:sz w:val="28"/>
          <w:szCs w:val="28"/>
          <w:rtl w:val="true"/>
          <w:lang w:bidi="ar-SA"/>
        </w:rPr>
        <w:t>يدور البحث في هذه الرسالة حول 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متعلّقة باستلام الحجر الأسود، و الأُخرى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المسألة الأُولى، فهي سؤال عن معنى ما يقال عند الوصول إلى الحجر الأسود و استلامه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أمانتي أدّيتُها، و ميثاقي تعاهدتُه، لتشهد لي بالموافاة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أثارت هذه التعابير ذهن السائل، فأخذ يتساءَل عن المخاطَب، من هو؟ و من المُستمِع؟ فإنّ هذا الخطاب يقتضي وجود مُستمع عاقل رائي و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الشريف المرتضى عن السؤال، فقدّم مقدّمة ذكر فيها معنى الاستلام في اللغة، ثمّ أشار إلى الغرض من استلام الحجر، و هو أداء العبادة، و امتثال أمر الرسول صلّى اللّٰهُ عليه و آلِه، و التأسّي بسيرته، ثمّ تعرّض إلى علّة هذه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نعرف علّتها بالتفصيل، و لكن يمكن القول إجمالاً أنّ فيها مصلحة للمكلّفين، و تقوية لهم على الواجبات و 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هذه المقدّمة تعرّض للإجابة عن السؤال، فذكر أنّ المخاطَب في الخطاب المذكور هو اللّٰه تعالى لا الحجر، و إنّما أُضيف الخطاب إلى الحجر لأنّه عملٌ عنده، و عبادة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لتشهد لي بالموافاة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عملي عندك شاهداً عند اللّٰه تعالى بموافاتي</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الختام أشار الشريف المرتضى إلى وجود روايات حول معنى استلام </w:t>
      </w:r>
      <w:bookmarkStart w:id="1238" w:name="pg16437_172914"/>
    </w:p>
    <w:p>
      <w:pPr>
        <w:pStyle w:val="BookText"/>
        <w:rPr/>
      </w:pPr>
      <w:bookmarkEnd w:id="1238"/>
      <w:r>
        <w:rPr>
          <w:rFonts w:ascii="Amiri" w:hAnsi="Amiri" w:eastAsia="Amiri" w:cs="Amiri"/>
          <w:color w:val="111111"/>
          <w:sz w:val="28"/>
          <w:sz w:val="28"/>
          <w:szCs w:val="28"/>
          <w:rtl w:val="true"/>
          <w:lang w:bidi="ar-SA"/>
        </w:rPr>
        <w:t>الحجر و خطابه، من الأفضل تركها؛ لأنّها خارجة عن العقول، و يحتاج تأويلها إلى تكلّف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برزت عقلانيّة الشريف المرتضى مرّة أُخرى بوضوح في هذا الجواب، هذه العقلانيّة التي برزت في آراء أُخرى كثيرة له، و منعته هنا من الاعتقاد بأنّ الحجر الأسود يَسمع و يَرى و يَشهد، لذلك قام بتأويل الخطاب المذكور الذي يقال عند استلامه، بحيث يكون المخاطَب هو اللّٰه تعالى لا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المسألة الثانية، فهي سؤال عن أنّ التلبية في الحجّ، هل هي جواب لنداء إبراهيم عليه السلامُ حين أذّن بالحجّ؟</w:t>
      </w:r>
    </w:p>
    <w:p>
      <w:pPr>
        <w:pStyle w:val="BookText"/>
        <w:rPr/>
      </w:pPr>
      <w:r>
        <w:rPr>
          <w:rFonts w:ascii="Amiri" w:hAnsi="Amiri" w:eastAsia="Amiri" w:cs="Amiri"/>
          <w:color w:val="111111"/>
          <w:sz w:val="28"/>
          <w:sz w:val="28"/>
          <w:szCs w:val="28"/>
          <w:rtl w:val="true"/>
          <w:lang w:bidi="ar-SA"/>
        </w:rPr>
        <w:t xml:space="preserve">فأجاب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المعنى اللغوي للتلبية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التلبية بالحجّ جوابٌ لمن دعا إلى الحجّ و أمَرَ به، و هو اللّٰه تعالى؛ و أمّا إبراهيم عليه السلامُ فهو غير مبعوث لأمة محمّد صلّى اللّٰهُ عليه و آلِه، فلا يكون نداءُ إبراهيم عليه السلامُ موجّهاً إليهم، كي يجيبوه، فلم يبق إلّاأن تكون التلبية إجابة لدعاء اللّٰه تعالى و أمْرِهِ بالحجّ</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8040357_1280447820"/>
      <w:bookmarkStart w:id="1240" w:name="_Toc453"/>
      <w:bookmarkEnd w:id="1239"/>
      <w:r>
        <w:rPr>
          <w:rtl w:val="true"/>
        </w:rPr>
        <w:t xml:space="preserve">علاقة هذه الرسالة ب </w:t>
      </w:r>
      <w:r>
        <w:rPr>
          <w:rtl w:val="true"/>
        </w:rPr>
        <w:t>«</w:t>
      </w:r>
      <w:r>
        <w:rPr>
          <w:rtl w:val="true"/>
        </w:rPr>
        <w:t>المسائل المحمّديّات</w:t>
      </w:r>
      <w:r>
        <w:rPr>
          <w:rtl w:val="true"/>
        </w:rPr>
        <w:t>».</w:t>
      </w:r>
      <w:bookmarkEnd w:id="1240"/>
    </w:p>
    <w:p>
      <w:pPr>
        <w:pStyle w:val="BookText"/>
        <w:rPr/>
      </w:pPr>
      <w:r>
        <w:rPr>
          <w:rFonts w:ascii="Amiri" w:hAnsi="Amiri" w:eastAsia="Amiri" w:cs="Amiri"/>
          <w:color w:val="111111"/>
          <w:sz w:val="28"/>
          <w:sz w:val="28"/>
          <w:szCs w:val="28"/>
          <w:rtl w:val="true"/>
          <w:lang w:bidi="ar-SA"/>
        </w:rPr>
        <w:t xml:space="preserve">ممّا ينبغي الإشارة إليه أنّ هذه الرسالة ليست في الحقيقة رسالة مستقلّة؛ بل هي جزء من مجموعة مسائل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المحمّديّات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عند مراجعة فهرس البُصروي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مجموعة مسائل أجاب عنها الشريف المرتضى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المحمّديّات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 البُصروي فهرس هذه المسائل، و هي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معنى ما يقال عند استلام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أمانتي أدّيتها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الكلام؟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القلوب أجناد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Style w:val="FootnoteAnchor"/>
          <w:rtl w:val="true"/>
        </w:rPr>
        <w:footnoteReference w:id="3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153"/>
      </w:r>
    </w:p>
    <w:p>
      <w:pPr>
        <w:pStyle w:val="BookText"/>
        <w:rPr/>
      </w:pPr>
      <w:r>
        <w:rPr>
          <w:rFonts w:ascii="Amiri" w:hAnsi="Amiri" w:eastAsia="Amiri" w:cs="Amiri"/>
          <w:color w:val="111111"/>
          <w:sz w:val="28"/>
          <w:sz w:val="28"/>
          <w:szCs w:val="28"/>
          <w:rtl w:val="true"/>
          <w:lang w:bidi="ar-SA"/>
        </w:rPr>
        <w:t>عند ملاحظة هذه القائمة نجد بوضوح أنّ مسألة استلام الحجر تشكّل المسألة الثانية منها، و أنّها ليست مسألة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 المسألة الأُولى و الرابعة و الخامسة منها موجودة أيضاً، و هي مطبوعة في ضمن المسائل القرآنيّة من رسائل الشريف المرتضى، و هذا يعني أنّ المتبقّي من المسائل المحمّديّات هي أربع مسائل من مجموع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كون مسألة استلام الحجر هي واحدة من المسائل المحمّديّات أنّ الشريف المرتضى قال في خاتمة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أنّ نداء إبراهيم عليه السلامُ لا يجوز أن يتعلّق جملةً بأُمّة محمّد صلّى اللّٰهُ عليه و آلِه؛ لأنّه غير مبعوث إليهم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هنا يشير إلى أنّه قد بيّن هذا المطلب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رجعنا إلى المسألة الأُولى من المحمّديّات، و هي مسألة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التي تقدّمت الإشارة إليها، لوجدنا أنّه قد بيّن فيها هذا المطلب، حيث تحدّث عن أذان إبراهيم عليه السلامُ، و أنّه لا يمكن أن يشمل أُمّة محمّد صلّى اللّٰهُ عليه و آلِه؛ لأنّه لا تلزمهم شريعته، فكيف يدعوهم إلى الحجّ و هو غير مرسل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وجود ارتباط بين هذه المسائل، و أنّها كلّها أجزاء من المسائل المحمّديّات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هذا كلّه يصحّح نسبة الرسالة محلّ البحث إلى الشريف المرتضى</w:t>
      </w:r>
      <w:r>
        <w:rPr>
          <w:rFonts w:eastAsia="Amiri" w:cs="Amiri" w:ascii="Amiri" w:hAnsi="Amiri"/>
          <w:color w:val="111111"/>
          <w:sz w:val="28"/>
          <w:szCs w:val="28"/>
          <w:rtl w:val="true"/>
          <w:lang w:bidi="ar-SA"/>
        </w:rPr>
        <w:t xml:space="preserve">. </w:t>
      </w:r>
      <w:bookmarkStart w:id="1241" w:name="pg16437_172916"/>
    </w:p>
    <w:p>
      <w:pPr>
        <w:pStyle w:val="BookText"/>
        <w:rPr/>
      </w:pPr>
      <w:bookmarkEnd w:id="1241"/>
      <w:r>
        <w:rPr>
          <w:rFonts w:ascii="Amiri" w:hAnsi="Amiri" w:eastAsia="Amiri" w:cs="Amiri"/>
          <w:color w:val="111111"/>
          <w:sz w:val="28"/>
          <w:sz w:val="28"/>
          <w:szCs w:val="28"/>
          <w:rtl w:val="true"/>
          <w:lang w:bidi="ar-SA"/>
        </w:rPr>
        <w:t xml:space="preserve">هذا، و قد كانت هذه الرسالة قد طبعت مستقلّة في ضمن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8040359_1280447820"/>
      <w:bookmarkStart w:id="1243" w:name="_Toc454"/>
      <w:bookmarkEnd w:id="1242"/>
      <w:r>
        <w:rPr>
          <w:rtl w:val="true"/>
        </w:rPr>
        <w:t>مخطوطات الرسالة</w:t>
      </w:r>
      <w:bookmarkEnd w:id="1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1244" w:name="pg16437_172917"/>
    </w:p>
    <w:p>
      <w:pPr>
        <w:pStyle w:val="Heading4"/>
        <w:numPr>
          <w:ilvl w:val="3"/>
          <w:numId w:val="1"/>
        </w:numPr>
        <w:rPr/>
      </w:pPr>
      <w:bookmarkStart w:id="1245" w:name="__RefHeading___Toc8040361_1280447820"/>
      <w:bookmarkStart w:id="1246" w:name="_Toc455"/>
      <w:bookmarkEnd w:id="1244"/>
      <w:bookmarkEnd w:id="1245"/>
      <w:r>
        <w:rPr>
          <w:rtl w:val="true"/>
        </w:rPr>
        <w:t>مَسألةٌ في استلامِ الحَجَرِ و التلبيةِ‌</w:t>
      </w:r>
      <w:bookmarkEnd w:id="1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عن مَعنَى</w:t>
      </w:r>
      <w:r>
        <w:rPr>
          <w:rStyle w:val="FootnoteAnchor"/>
          <w:rtl w:val="true"/>
        </w:rPr>
        <w:footnoteReference w:id="3154"/>
      </w:r>
      <w:r>
        <w:rPr>
          <w:rFonts w:ascii="Amiri" w:hAnsi="Amiri" w:eastAsia="Amiri" w:cs="Amiri"/>
          <w:color w:val="111111"/>
          <w:sz w:val="28"/>
          <w:sz w:val="28"/>
          <w:szCs w:val="28"/>
          <w:rtl w:val="true"/>
          <w:lang w:bidi="ar-SA"/>
        </w:rPr>
        <w:t>استلامِ الحَجَرِ، و</w:t>
      </w:r>
      <w:r>
        <w:rPr>
          <w:rStyle w:val="FootnoteAnchor"/>
          <w:rtl w:val="true"/>
        </w:rPr>
        <w:footnoteReference w:id="3155"/>
      </w:r>
      <w:r>
        <w:rPr>
          <w:rFonts w:ascii="Amiri" w:hAnsi="Amiri" w:eastAsia="Amiri" w:cs="Amiri"/>
          <w:color w:val="111111"/>
          <w:sz w:val="28"/>
          <w:sz w:val="28"/>
          <w:szCs w:val="28"/>
          <w:rtl w:val="true"/>
          <w:lang w:bidi="ar-SA"/>
        </w:rPr>
        <w:t>قولِهم عندَ استلامِهم له</w:t>
      </w:r>
      <w:r>
        <w:rPr>
          <w:rStyle w:val="FootnoteAnchor"/>
          <w:rtl w:val="true"/>
        </w:rPr>
        <w:footnoteReference w:id="3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أمانَتي أدَّيتُها، و ميثاقي تَعاهَدتُه؛ لِتَشهَدَ لي بالمُوافاةِ غَداً</w:t>
      </w:r>
      <w:r>
        <w:rPr>
          <w:rFonts w:eastAsia="Amiri" w:cs="Amiri" w:ascii="Amiri" w:hAnsi="Amiri"/>
          <w:color w:val="111111"/>
          <w:sz w:val="28"/>
          <w:szCs w:val="28"/>
          <w:rtl w:val="true"/>
          <w:lang w:bidi="ar-SA"/>
        </w:rPr>
        <w:t>»</w:t>
      </w:r>
      <w:r>
        <w:rPr>
          <w:rStyle w:val="FootnoteAnchor"/>
          <w:rtl w:val="true"/>
        </w:rPr>
        <w:footnoteReference w:id="3157"/>
      </w:r>
      <w:r>
        <w:rPr>
          <w:rFonts w:ascii="Amiri" w:hAnsi="Amiri" w:eastAsia="Amiri" w:cs="Amiri"/>
          <w:color w:val="111111"/>
          <w:sz w:val="28"/>
          <w:sz w:val="28"/>
          <w:szCs w:val="28"/>
          <w:rtl w:val="true"/>
          <w:lang w:bidi="ar-SA"/>
        </w:rPr>
        <w:t>مَن المُخاطَبُ به؟ و مَن المُستَمِعُ له؟ فإنّ هذا يَقتَضي أن يَكونَ المُخاطَبُ بهذه المُخاطَبةِ سامعاً واعياً</w:t>
      </w:r>
      <w:r>
        <w:rPr>
          <w:rStyle w:val="FootnoteAnchor"/>
          <w:rtl w:val="true"/>
        </w:rPr>
        <w:footnoteReference w:id="3158"/>
      </w:r>
      <w:r>
        <w:rPr>
          <w:rFonts w:ascii="Amiri" w:hAnsi="Amiri" w:eastAsia="Amiri" w:cs="Amiri"/>
          <w:color w:val="111111"/>
          <w:sz w:val="28"/>
          <w:sz w:val="28"/>
          <w:szCs w:val="28"/>
          <w:rtl w:val="true"/>
          <w:lang w:bidi="ar-SA"/>
        </w:rPr>
        <w:t>شاهداً مُبلِّغاً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أهو جوابٌ منهم لنِداءِ إبراهيمَ عليه السلامُ حينَ أمَرَه اللّٰهُ تَعالىٰ أن يؤذِّنَ بالحَجِّ؟ كَيفَ هو؟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فهو غيرُ مهموزٍ</w:t>
      </w:r>
      <w:r>
        <w:rPr>
          <w:rStyle w:val="FootnoteAnchor"/>
          <w:rtl w:val="true"/>
        </w:rPr>
        <w:footnoteReference w:id="3159"/>
      </w:r>
      <w:r>
        <w:rPr>
          <w:rFonts w:ascii="Amiri" w:hAnsi="Amiri" w:eastAsia="Amiri" w:cs="Amiri"/>
          <w:color w:val="111111"/>
          <w:sz w:val="28"/>
          <w:sz w:val="28"/>
          <w:szCs w:val="28"/>
          <w:rtl w:val="true"/>
          <w:lang w:bidi="ar-SA"/>
        </w:rPr>
        <w:t xml:space="preserve">لأنّه افتعالٌ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Style w:val="FootnoteAnchor"/>
          <w:rtl w:val="true"/>
        </w:rPr>
        <w:footnoteReference w:id="3160"/>
      </w:r>
      <w:r>
        <w:rPr>
          <w:rFonts w:ascii="Amiri" w:hAnsi="Amiri" w:eastAsia="Amiri" w:cs="Amiri"/>
          <w:color w:val="111111"/>
          <w:sz w:val="28"/>
          <w:sz w:val="28"/>
          <w:szCs w:val="28"/>
          <w:rtl w:val="true"/>
          <w:lang w:bidi="ar-SA"/>
        </w:rPr>
        <w:t xml:space="preserve">التي هي </w:t>
      </w:r>
    </w:p>
    <w:p>
      <w:pPr>
        <w:pStyle w:val="BookText"/>
        <w:rPr/>
      </w:pPr>
      <w:r>
        <w:rPr>
          <w:rFonts w:ascii="Amiri" w:hAnsi="Amiri" w:eastAsia="Amiri" w:cs="Amiri"/>
          <w:color w:val="111111"/>
          <w:sz w:val="28"/>
          <w:sz w:val="28"/>
          <w:szCs w:val="28"/>
          <w:rtl w:val="true"/>
          <w:lang w:bidi="ar-SA"/>
        </w:rPr>
        <w:t>الحِجارةُ، و استلامُه إنّما</w:t>
      </w:r>
      <w:r>
        <w:rPr>
          <w:rStyle w:val="FootnoteAnchor"/>
          <w:rtl w:val="true"/>
        </w:rPr>
        <w:footnoteReference w:id="3161"/>
      </w:r>
      <w:r>
        <w:rPr>
          <w:rFonts w:ascii="Amiri" w:hAnsi="Amiri" w:eastAsia="Amiri" w:cs="Amiri"/>
          <w:color w:val="111111"/>
          <w:sz w:val="28"/>
          <w:sz w:val="28"/>
          <w:szCs w:val="28"/>
          <w:rtl w:val="true"/>
          <w:lang w:bidi="ar-SA"/>
        </w:rPr>
        <w:t>هو مُباشَرتُه و تقبيلُه و التمسُّحُ به</w:t>
      </w:r>
      <w:r>
        <w:rPr>
          <w:rStyle w:val="FootnoteAnchor"/>
          <w:rtl w:val="true"/>
        </w:rPr>
        <w:footnoteReference w:id="3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ثَعلَبٌ‌</w:t>
      </w:r>
      <w:r>
        <w:rPr>
          <w:rStyle w:val="FootnoteAnchor"/>
          <w:rtl w:val="true"/>
        </w:rPr>
        <w:footnoteReference w:id="3163"/>
      </w:r>
      <w:r>
        <w:rPr>
          <w:rFonts w:ascii="Amiri" w:hAnsi="Amiri" w:eastAsia="Amiri" w:cs="Amiri"/>
          <w:color w:val="111111"/>
          <w:sz w:val="28"/>
          <w:sz w:val="28"/>
          <w:szCs w:val="28"/>
          <w:rtl w:val="true"/>
          <w:lang w:bidi="ar-SA"/>
        </w:rPr>
        <w:t>وَحدَه في هذه اللفظةِ الهَمزةَ‌</w:t>
      </w:r>
      <w:r>
        <w:rPr>
          <w:rStyle w:val="FootnoteAnchor"/>
          <w:rtl w:val="true"/>
        </w:rPr>
        <w:footnoteReference w:id="3164"/>
      </w:r>
      <w:r>
        <w:rPr>
          <w:rFonts w:ascii="Amiri" w:hAnsi="Amiri" w:eastAsia="Amiri" w:cs="Amiri"/>
          <w:color w:val="111111"/>
          <w:sz w:val="28"/>
          <w:sz w:val="28"/>
          <w:szCs w:val="28"/>
          <w:rtl w:val="true"/>
          <w:lang w:bidi="ar-SA"/>
        </w:rPr>
        <w:t>، و جَعَلَه وجهاً نافياً</w:t>
      </w:r>
      <w:r>
        <w:rPr>
          <w:rStyle w:val="FootnoteAnchor"/>
          <w:rtl w:val="true"/>
        </w:rPr>
        <w:footnoteReference w:id="3165"/>
      </w:r>
      <w:r>
        <w:rPr>
          <w:rFonts w:ascii="Amiri" w:hAnsi="Amiri" w:eastAsia="Amiri" w:cs="Amiri"/>
          <w:color w:val="111111"/>
          <w:sz w:val="28"/>
          <w:sz w:val="28"/>
          <w:szCs w:val="28"/>
          <w:rtl w:val="true"/>
          <w:lang w:bidi="ar-SA"/>
        </w:rPr>
        <w:t>لِتَركِ‌</w:t>
      </w:r>
      <w:r>
        <w:rPr>
          <w:rStyle w:val="FootnoteAnchor"/>
          <w:rtl w:val="true"/>
        </w:rPr>
        <w:footnoteReference w:id="3166"/>
      </w:r>
      <w:r>
        <w:rPr>
          <w:rFonts w:ascii="Amiri" w:hAnsi="Amiri" w:eastAsia="Amiri" w:cs="Amiri"/>
          <w:color w:val="111111"/>
          <w:sz w:val="28"/>
          <w:sz w:val="28"/>
          <w:szCs w:val="28"/>
          <w:rtl w:val="true"/>
          <w:lang w:bidi="ar-SA"/>
        </w:rPr>
        <w:t>الهَمزِ، و فَسَّرَه</w:t>
      </w:r>
      <w:r>
        <w:rPr>
          <w:rStyle w:val="FootnoteAnchor"/>
          <w:rtl w:val="true"/>
        </w:rPr>
        <w:footnoteReference w:id="3167"/>
      </w:r>
      <w:r>
        <w:rPr>
          <w:rFonts w:ascii="Amiri" w:hAnsi="Amiri" w:eastAsia="Amiri" w:cs="Amiri"/>
          <w:color w:val="111111"/>
          <w:sz w:val="28"/>
          <w:sz w:val="28"/>
          <w:szCs w:val="28"/>
          <w:rtl w:val="true"/>
          <w:lang w:bidi="ar-SA"/>
        </w:rPr>
        <w:t>بما اتُّخِذَ</w:t>
      </w:r>
      <w:r>
        <w:rPr>
          <w:rStyle w:val="FootnoteAnchor"/>
          <w:rtl w:val="true"/>
        </w:rPr>
        <w:footnoteReference w:id="3168"/>
      </w:r>
      <w:r>
        <w:rPr>
          <w:rFonts w:ascii="Amiri" w:hAnsi="Amiri" w:eastAsia="Amiri" w:cs="Amiri"/>
          <w:color w:val="111111"/>
          <w:sz w:val="28"/>
          <w:sz w:val="28"/>
          <w:szCs w:val="28"/>
          <w:rtl w:val="true"/>
          <w:lang w:bidi="ar-SA"/>
        </w:rPr>
        <w:t xml:space="preserve">جُنّةً و سِلاحاً،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اللَّأْمةِ</w:t>
      </w:r>
      <w:r>
        <w:rPr>
          <w:rFonts w:eastAsia="Amiri" w:cs="Amiri" w:ascii="Amiri" w:hAnsi="Amiri"/>
          <w:color w:val="111111"/>
          <w:sz w:val="28"/>
          <w:szCs w:val="28"/>
          <w:rtl w:val="true"/>
          <w:lang w:bidi="ar-SA"/>
        </w:rPr>
        <w:t>»</w:t>
      </w:r>
      <w:r>
        <w:rPr>
          <w:rStyle w:val="FootnoteAnchor"/>
          <w:rtl w:val="true"/>
        </w:rPr>
        <w:footnoteReference w:id="3169"/>
      </w:r>
      <w:r>
        <w:rPr>
          <w:rFonts w:ascii="Amiri" w:hAnsi="Amiri" w:eastAsia="Amiri" w:cs="Amiri"/>
          <w:color w:val="111111"/>
          <w:sz w:val="28"/>
          <w:sz w:val="28"/>
          <w:szCs w:val="28"/>
          <w:rtl w:val="true"/>
          <w:lang w:bidi="ar-SA"/>
        </w:rPr>
        <w:t>و هي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الوجهُ الذي حَكاه ثَعلَبٌ‌</w:t>
      </w:r>
      <w:r>
        <w:rPr>
          <w:rStyle w:val="FootnoteAnchor"/>
          <w:rtl w:val="true"/>
        </w:rPr>
        <w:footnoteReference w:id="3170"/>
      </w:r>
      <w:r>
        <w:rPr>
          <w:rFonts w:ascii="Amiri" w:hAnsi="Amiri" w:eastAsia="Amiri" w:cs="Amiri"/>
          <w:color w:val="111111"/>
          <w:sz w:val="28"/>
          <w:sz w:val="28"/>
          <w:szCs w:val="28"/>
          <w:rtl w:val="true"/>
          <w:lang w:bidi="ar-SA"/>
        </w:rPr>
        <w:t>في هذه اللفظةِ إلّامَليحاً، إذا كانَ مسموعاً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الغَرَضُ في استلامِ الحَجَرِ، فهو أداءُ العبادةِ، و امتثالُ أمرِ الرسولِ صَلَّى اللّٰهُ عليه و آلِه، و التأسّي بفِعلِه؛ لأنّه أمَرَ عليه السلامُ باستلامةِ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حَجَّ عليه السلامُ رُئيَ مُستَلِماً له، و قد أمَرَ عليه السلامُ بالتأسّي بأفعالِه في العباداتِ، كما أمَرَ بالتأسّي بأقوالِه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العِلّةُ في هذه العبادةِ علىٰ سَبيلِ الجُملةِ هي</w:t>
      </w:r>
      <w:r>
        <w:rPr>
          <w:rStyle w:val="FootnoteAnchor"/>
          <w:rtl w:val="true"/>
        </w:rPr>
        <w:footnoteReference w:id="3171"/>
      </w:r>
      <w:r>
        <w:rPr>
          <w:rFonts w:ascii="Amiri" w:hAnsi="Amiri" w:eastAsia="Amiri" w:cs="Amiri"/>
          <w:color w:val="111111"/>
          <w:sz w:val="28"/>
          <w:sz w:val="28"/>
          <w:szCs w:val="28"/>
          <w:rtl w:val="true"/>
          <w:lang w:bidi="ar-SA"/>
        </w:rPr>
        <w:t>مَصلَحةٌ للمُكلَّفينَ، و تَقريبُهم</w:t>
      </w:r>
      <w:r>
        <w:rPr>
          <w:rStyle w:val="FootnoteAnchor"/>
          <w:rtl w:val="true"/>
        </w:rPr>
        <w:footnoteReference w:id="3172"/>
      </w:r>
    </w:p>
    <w:p>
      <w:pPr>
        <w:pStyle w:val="BookText"/>
        <w:rPr/>
      </w:pPr>
      <w:r>
        <w:rPr>
          <w:rFonts w:ascii="Amiri" w:hAnsi="Amiri" w:eastAsia="Amiri" w:cs="Amiri"/>
          <w:color w:val="111111"/>
          <w:sz w:val="28"/>
          <w:sz w:val="28"/>
          <w:szCs w:val="28"/>
          <w:rtl w:val="true"/>
          <w:lang w:bidi="ar-SA"/>
        </w:rPr>
        <w:t>مِن الواجِبِ‌</w:t>
      </w:r>
      <w:r>
        <w:rPr>
          <w:rStyle w:val="FootnoteAnchor"/>
          <w:rtl w:val="true"/>
        </w:rPr>
        <w:footnoteReference w:id="3173"/>
      </w:r>
      <w:r>
        <w:rPr>
          <w:rFonts w:ascii="Amiri" w:hAnsi="Amiri" w:eastAsia="Amiri" w:cs="Amiri"/>
          <w:color w:val="111111"/>
          <w:sz w:val="28"/>
          <w:sz w:val="28"/>
          <w:szCs w:val="28"/>
          <w:rtl w:val="true"/>
          <w:lang w:bidi="ar-SA"/>
        </w:rPr>
        <w:t>و تَركِ القَبيحِ، و إن كُنّا لا نَعلَمُ الوجهَ علىٰ سَبيلِ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السؤالُ عن معنىٰ ذلكَ إلّاكالسؤالِ عن مَعنَى الطوافِ، و كَونِه سَبعةَ أشواطٍ، و رَميِ الجِمارِ، و السعيِ بَينَ الصَّفا و المَروَةِ، و الوقوفِ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رُويَ مِن القولِ الذي يُقالُ عندَ استلامِ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أمانَتي أدَّيتُها، و ميثاقي تَعاهَدتُه؛ لتَشهَدَ لي بالمُوافاةِ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المُخاطَبُ به، و المُستَمِعُ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ذلكَ بَيِّنٌ؛ لأنّ ذلكَ هو دعاءُ اللّٰهِ تَعالىٰ و خِطابٌ‌</w:t>
      </w:r>
      <w:r>
        <w:rPr>
          <w:rStyle w:val="FootnoteAnchor"/>
          <w:rtl w:val="true"/>
        </w:rPr>
        <w:footnoteReference w:id="3174"/>
      </w:r>
      <w:r>
        <w:rPr>
          <w:rFonts w:ascii="Amiri" w:hAnsi="Amiri" w:eastAsia="Amiri" w:cs="Amiri"/>
          <w:color w:val="111111"/>
          <w:sz w:val="28"/>
          <w:sz w:val="28"/>
          <w:szCs w:val="28"/>
          <w:rtl w:val="true"/>
          <w:lang w:bidi="ar-SA"/>
        </w:rPr>
        <w:t>له، و هو المُستَمِعُ له و المُجازي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عَلَّقَه بالحَجَرِ و أضافَه إليه لأنّه عَمَلٌ عندَه، و عبادةٌ فيه، و قُربةٌ إلَى اللّٰهِ تَعالىٰ بِه</w:t>
      </w:r>
      <w:r>
        <w:rPr>
          <w:rStyle w:val="FootnoteAnchor"/>
          <w:rtl w:val="true"/>
        </w:rPr>
        <w:footnoteReference w:id="3175"/>
      </w:r>
      <w:r>
        <w:rPr>
          <w:rFonts w:ascii="Amiri" w:hAnsi="Amiri" w:eastAsia="Amiri" w:cs="Amiri"/>
          <w:color w:val="111111"/>
          <w:sz w:val="28"/>
          <w:sz w:val="28"/>
          <w:szCs w:val="28"/>
          <w:rtl w:val="true"/>
          <w:lang w:bidi="ar-SA"/>
        </w:rPr>
        <w:t>،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 في استلامِكَ‌</w:t>
      </w:r>
      <w:r>
        <w:rPr>
          <w:rStyle w:val="FootnoteAnchor"/>
          <w:rtl w:val="true"/>
        </w:rPr>
        <w:footnoteReference w:id="3176"/>
      </w:r>
      <w:r>
        <w:rPr>
          <w:rFonts w:ascii="Amiri" w:hAnsi="Amiri" w:eastAsia="Amiri" w:cs="Amiri"/>
          <w:color w:val="111111"/>
          <w:sz w:val="28"/>
          <w:sz w:val="28"/>
          <w:szCs w:val="28"/>
          <w:rtl w:val="true"/>
          <w:lang w:bidi="ar-SA"/>
        </w:rPr>
        <w:t>أدَّيتُها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لِتَشهَدَ لي بالموافاةِ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عملي عندَكَ شاهداً عندَ اللّٰهِ تَعالىٰ، بموافاتي بما نُدِبتُ إليه، مِن العبادةِ المُتعلِّقةِ بكَ، المفعولةِ فيكَ</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في معنَى استلامِ الحَجَرِ و خِطابِه</w:t>
      </w:r>
      <w:r>
        <w:rPr>
          <w:rStyle w:val="FootnoteAnchor"/>
          <w:rtl w:val="true"/>
        </w:rPr>
        <w:footnoteReference w:id="3177"/>
      </w:r>
      <w:r>
        <w:rPr>
          <w:rFonts w:ascii="Amiri" w:hAnsi="Amiri" w:eastAsia="Amiri" w:cs="Amiri"/>
          <w:color w:val="111111"/>
          <w:sz w:val="28"/>
          <w:sz w:val="28"/>
          <w:szCs w:val="28"/>
          <w:rtl w:val="true"/>
          <w:lang w:bidi="ar-SA"/>
        </w:rPr>
        <w:t>و في عِلَلِ كَثيرٍ مِن العباداتِ أشياءُ يُرغَبُ عن ذِكرِها؛ لأنّها مُستَقبَحةٌ‌</w:t>
      </w:r>
      <w:r>
        <w:rPr>
          <w:rStyle w:val="FootnoteAnchor"/>
          <w:rtl w:val="true"/>
        </w:rPr>
        <w:footnoteReference w:id="3178"/>
      </w:r>
      <w:r>
        <w:rPr>
          <w:rFonts w:ascii="Amiri" w:hAnsi="Amiri" w:eastAsia="Amiri" w:cs="Amiri"/>
          <w:color w:val="111111"/>
          <w:sz w:val="28"/>
          <w:sz w:val="28"/>
          <w:szCs w:val="28"/>
          <w:rtl w:val="true"/>
          <w:lang w:bidi="ar-SA"/>
        </w:rPr>
        <w:t>خارجةٌ عن العقولِ، و تحميلُ‌</w:t>
      </w:r>
      <w:r>
        <w:rPr>
          <w:rStyle w:val="FootnoteAnchor"/>
          <w:rtl w:val="true"/>
        </w:rPr>
        <w:footnoteReference w:id="3179"/>
      </w:r>
      <w:r>
        <w:rPr>
          <w:rFonts w:ascii="Amiri" w:hAnsi="Amiri" w:eastAsia="Amiri" w:cs="Amiri"/>
          <w:color w:val="111111"/>
          <w:sz w:val="28"/>
          <w:sz w:val="28"/>
          <w:szCs w:val="28"/>
          <w:rtl w:val="true"/>
          <w:lang w:bidi="ar-SA"/>
        </w:rPr>
        <w:t xml:space="preserve">التأويلِ و التخريجِ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الوجوهِ الصحيحةِ فعَلىٰ بُعدٍ و تَعسُّفٍ و تَكلُّفٍ؛ و قد أغنَى اللّٰهُ تَعالىٰ بالظواهرِ الصحيحةِ عن البَواطِنِ السقيمةِ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التلبيةُ، فمأخوذةٌ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 بالمكانِ إلباباً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w:t>
      </w:r>
      <w:r>
        <w:rPr>
          <w:rStyle w:val="FootnoteAnchor"/>
          <w:rtl w:val="true"/>
        </w:rPr>
        <w:footnoteReference w:id="3180"/>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مُقيمٌ‌</w:t>
      </w:r>
      <w:r>
        <w:rPr>
          <w:rStyle w:val="FootnoteAnchor"/>
          <w:rtl w:val="true"/>
        </w:rPr>
        <w:footnoteReference w:id="3181"/>
      </w:r>
      <w:r>
        <w:rPr>
          <w:rFonts w:ascii="Amiri" w:hAnsi="Amiri" w:eastAsia="Amiri" w:cs="Amiri"/>
          <w:color w:val="111111"/>
          <w:sz w:val="28"/>
          <w:sz w:val="28"/>
          <w:szCs w:val="28"/>
          <w:rtl w:val="true"/>
          <w:lang w:bidi="ar-SA"/>
        </w:rPr>
        <w:t>علىٰ إجابتِكَ و طاعتِكَ</w:t>
      </w:r>
      <w:r>
        <w:rPr>
          <w:rFonts w:eastAsia="Amiri" w:cs="Amiri" w:ascii="Amiri" w:hAnsi="Amiri"/>
          <w:color w:val="111111"/>
          <w:sz w:val="28"/>
          <w:szCs w:val="28"/>
          <w:rtl w:val="true"/>
          <w:lang w:bidi="ar-SA"/>
        </w:rPr>
        <w:t>.</w:t>
      </w:r>
      <w:r>
        <w:rPr>
          <w:rStyle w:val="FootnoteAnchor"/>
          <w:rtl w:val="true"/>
        </w:rPr>
        <w:footnoteReference w:id="3182"/>
      </w:r>
    </w:p>
    <w:p>
      <w:pPr>
        <w:pStyle w:val="BookText"/>
        <w:rPr/>
      </w:pPr>
      <w:r>
        <w:rPr>
          <w:rFonts w:ascii="Amiri" w:hAnsi="Amiri" w:eastAsia="Amiri" w:cs="Amiri"/>
          <w:color w:val="111111"/>
          <w:sz w:val="28"/>
          <w:sz w:val="28"/>
          <w:szCs w:val="28"/>
          <w:rtl w:val="true"/>
          <w:lang w:bidi="ar-SA"/>
        </w:rPr>
        <w:t>فأمّا السؤالُ عن هذه الإجابةِ‌</w:t>
      </w:r>
      <w:r>
        <w:rPr>
          <w:rStyle w:val="FootnoteAnchor"/>
          <w:rtl w:val="true"/>
        </w:rPr>
        <w:footnoteReference w:id="3183"/>
      </w:r>
      <w:r>
        <w:rPr>
          <w:rFonts w:ascii="Amiri" w:hAnsi="Amiri" w:eastAsia="Amiri" w:cs="Amiri"/>
          <w:color w:val="111111"/>
          <w:sz w:val="28"/>
          <w:sz w:val="28"/>
          <w:szCs w:val="28"/>
          <w:rtl w:val="true"/>
          <w:lang w:bidi="ar-SA"/>
        </w:rPr>
        <w:t>في تلبيةِ الحَجِّ، و هل هي جوابٌ لنِداءِ إبراهيمَ عليه السلامُ أم لغَيرِه؟</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التلبيةَ بالحَجِّ إجابةٌ لدُعاءِ مَن دَعا إليه و أمَرَ به، و هو اللّٰهُ تَعالىٰ؛ ألا تَرىٰ 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إنّ الحَمدَ و النِّعمةَ لكَ و المُلكَ،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يُتبِعونَ ذلكَ ألفاظاً لا يَليقُ‌</w:t>
      </w:r>
      <w:r>
        <w:rPr>
          <w:rStyle w:val="FootnoteAnchor"/>
          <w:rtl w:val="true"/>
        </w:rPr>
        <w:footnoteReference w:id="3184"/>
      </w:r>
      <w:r>
        <w:rPr>
          <w:rFonts w:ascii="Amiri" w:hAnsi="Amiri" w:eastAsia="Amiri" w:cs="Amiri"/>
          <w:color w:val="111111"/>
          <w:sz w:val="28"/>
          <w:sz w:val="28"/>
          <w:szCs w:val="28"/>
          <w:rtl w:val="true"/>
          <w:lang w:bidi="ar-SA"/>
        </w:rPr>
        <w:t>إلّابه تَعالىٰ؟ فالإجابةُ له تَعالىٰ؛ لأنّه الآمِرُ بالحَجِّ، و نَبيُّنا</w:t>
      </w:r>
      <w:r>
        <w:rPr>
          <w:rStyle w:val="FootnoteAnchor"/>
          <w:rtl w:val="true"/>
        </w:rPr>
        <w:footnoteReference w:id="3185"/>
      </w:r>
      <w:r>
        <w:rPr>
          <w:rFonts w:ascii="Amiri" w:hAnsi="Amiri" w:eastAsia="Amiri" w:cs="Amiri"/>
          <w:color w:val="111111"/>
          <w:sz w:val="28"/>
          <w:sz w:val="28"/>
          <w:szCs w:val="28"/>
          <w:rtl w:val="true"/>
          <w:lang w:bidi="ar-SA"/>
        </w:rPr>
        <w:t>صَلَّى اللّٰهُ عليه و آلِه إنّما يُبلِّغُ‌</w:t>
      </w:r>
      <w:r>
        <w:rPr>
          <w:rStyle w:val="FootnoteAnchor"/>
          <w:rtl w:val="true"/>
        </w:rPr>
        <w:footnoteReference w:id="3186"/>
      </w:r>
      <w:r>
        <w:rPr>
          <w:rFonts w:ascii="Amiri" w:hAnsi="Amiri" w:eastAsia="Amiri" w:cs="Amiri"/>
          <w:color w:val="111111"/>
          <w:sz w:val="28"/>
          <w:sz w:val="28"/>
          <w:szCs w:val="28"/>
          <w:rtl w:val="true"/>
          <w:lang w:bidi="ar-SA"/>
        </w:rPr>
        <w:t>أمرَه به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w:t>
      </w:r>
      <w:r>
        <w:rPr>
          <w:rStyle w:val="FootnoteAnchor"/>
          <w:rtl w:val="true"/>
        </w:rPr>
        <w:footnoteReference w:id="3187"/>
      </w:r>
      <w:r>
        <w:rPr>
          <w:rFonts w:ascii="Amiri" w:hAnsi="Amiri" w:eastAsia="Amiri" w:cs="Amiri"/>
          <w:color w:val="111111"/>
          <w:sz w:val="28"/>
          <w:sz w:val="28"/>
          <w:szCs w:val="28"/>
          <w:rtl w:val="true"/>
          <w:lang w:bidi="ar-SA"/>
        </w:rPr>
        <w:t>أنّ نِداءَ إبراهيمَ عليه السلامُ لا يَجوزُ أن يَتعلَّقَ جُملةً‌</w:t>
      </w:r>
      <w:r>
        <w:rPr>
          <w:rStyle w:val="FootnoteAnchor"/>
          <w:rtl w:val="true"/>
        </w:rPr>
        <w:footnoteReference w:id="3188"/>
      </w:r>
      <w:r>
        <w:rPr>
          <w:rFonts w:ascii="Amiri" w:hAnsi="Amiri" w:eastAsia="Amiri" w:cs="Amiri"/>
          <w:color w:val="111111"/>
          <w:sz w:val="28"/>
          <w:sz w:val="28"/>
          <w:szCs w:val="28"/>
          <w:rtl w:val="true"/>
          <w:lang w:bidi="ar-SA"/>
        </w:rPr>
        <w:t xml:space="preserve">بأُمّةِ مُحمّدٍ </w:t>
      </w:r>
    </w:p>
    <w:p>
      <w:pPr>
        <w:pStyle w:val="BookText"/>
        <w:rPr/>
      </w:pPr>
      <w:r>
        <w:rPr>
          <w:rFonts w:ascii="Amiri" w:hAnsi="Amiri" w:eastAsia="Amiri" w:cs="Amiri"/>
          <w:color w:val="111111"/>
          <w:sz w:val="28"/>
          <w:sz w:val="28"/>
          <w:szCs w:val="28"/>
          <w:rtl w:val="true"/>
          <w:lang w:bidi="ar-SA"/>
        </w:rPr>
        <w:t>صَلَّى اللّٰهُ عليه و آلِه؛ لأنّه غيرُ مبعوثٍ إليهم، و لا مؤَدٍّ للشريعةِ التي تَلزَمُهم، فلَم يَبقَ إلّاأن تَكونَ‌</w:t>
      </w:r>
      <w:r>
        <w:rPr>
          <w:rStyle w:val="FootnoteAnchor"/>
          <w:rtl w:val="true"/>
        </w:rPr>
        <w:footnoteReference w:id="3189"/>
      </w:r>
      <w:r>
        <w:rPr>
          <w:rFonts w:ascii="Amiri" w:hAnsi="Amiri" w:eastAsia="Amiri" w:cs="Amiri"/>
          <w:color w:val="111111"/>
          <w:sz w:val="28"/>
          <w:sz w:val="28"/>
          <w:szCs w:val="28"/>
          <w:rtl w:val="true"/>
          <w:lang w:bidi="ar-SA"/>
        </w:rPr>
        <w:t>تَلبيةُ المُسلِمينَ بالحَجِّ إنّما هي إجابةٌ لدُعاءِ اللّٰهِ تَعالىٰ إليه</w:t>
      </w:r>
      <w:r>
        <w:rPr>
          <w:rStyle w:val="FootnoteAnchor"/>
          <w:rtl w:val="true"/>
        </w:rPr>
        <w:footnoteReference w:id="3190"/>
      </w:r>
      <w:r>
        <w:rPr>
          <w:rFonts w:ascii="Amiri" w:hAnsi="Amiri" w:eastAsia="Amiri" w:cs="Amiri"/>
          <w:color w:val="111111"/>
          <w:sz w:val="28"/>
          <w:sz w:val="28"/>
          <w:szCs w:val="28"/>
          <w:rtl w:val="true"/>
          <w:lang w:bidi="ar-SA"/>
        </w:rPr>
        <w:t>، الذي بَلَّغَه و أدّاه إلينا الرسولُ مُحمّدٌ صَلَّى اللّٰهُ عليه و آلِه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واضحٌ لِمَن تأمَّلَه</w:t>
      </w:r>
      <w:r>
        <w:rPr>
          <w:rFonts w:eastAsia="Amiri" w:cs="Amiri" w:ascii="Amiri" w:hAnsi="Amiri"/>
          <w:color w:val="111111"/>
          <w:sz w:val="28"/>
          <w:szCs w:val="28"/>
          <w:rtl w:val="true"/>
          <w:lang w:bidi="ar-SA"/>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7" w:name="pg16437_172923"/>
      <w:bookmarkStart w:id="1248" w:name="pg16437_172923"/>
      <w:bookmarkEnd w:id="1248"/>
    </w:p>
    <w:p>
      <w:pPr>
        <w:pStyle w:val="Heading3"/>
        <w:numPr>
          <w:ilvl w:val="2"/>
          <w:numId w:val="1"/>
        </w:numPr>
        <w:rPr/>
      </w:pPr>
      <w:bookmarkStart w:id="1249" w:name="pg16437_172923"/>
      <w:bookmarkStart w:id="1250" w:name="__RefHeading___Toc8040363_1280447820"/>
      <w:bookmarkStart w:id="1251" w:name="_Toc456"/>
      <w:bookmarkEnd w:id="1249"/>
      <w:bookmarkEnd w:id="1250"/>
      <w:r>
        <w:rPr>
          <w:rtl w:val="true"/>
        </w:rPr>
        <w:t>(</w:t>
      </w:r>
      <w:r>
        <w:rPr/>
        <w:t>89</w:t>
      </w:r>
      <w:r>
        <w:rPr>
          <w:rtl w:val="true"/>
        </w:rPr>
        <w:t xml:space="preserve">) </w:t>
      </w:r>
      <w:r>
        <w:rPr>
          <w:rtl w:val="true"/>
        </w:rPr>
        <w:t>مسألةٌ في جوازِ تَزكيةِ مالٍ مِن مالٍ آخَرَ</w:t>
      </w:r>
      <w:bookmarkEnd w:id="1251"/>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2" w:name="__RefHeading___Toc8040365_1280447820"/>
      <w:bookmarkStart w:id="1253" w:name="_Toc457"/>
      <w:bookmarkEnd w:id="1252"/>
      <w:r>
        <w:rPr>
          <w:rtl w:val="true"/>
        </w:rPr>
        <w:t>اشارة</w:t>
      </w:r>
      <w:bookmarkEnd w:id="1253"/>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4" w:name="pg16437_172925"/>
      <w:bookmarkStart w:id="1255" w:name="pg16437_172925"/>
      <w:bookmarkEnd w:id="1255"/>
    </w:p>
    <w:p>
      <w:pPr>
        <w:pStyle w:val="Heading4"/>
        <w:numPr>
          <w:ilvl w:val="3"/>
          <w:numId w:val="1"/>
        </w:numPr>
        <w:rPr/>
      </w:pPr>
      <w:bookmarkStart w:id="1256" w:name="pg16437_172925"/>
      <w:bookmarkStart w:id="1257" w:name="__RefHeading___Toc8040367_1280447820"/>
      <w:bookmarkStart w:id="1258" w:name="_Toc458"/>
      <w:bookmarkEnd w:id="1256"/>
      <w:bookmarkEnd w:id="1257"/>
      <w:r>
        <w:rPr>
          <w:rtl w:val="true"/>
        </w:rPr>
        <w:t>مقدّمة التحقيق</w:t>
      </w:r>
      <w:bookmarkEnd w:id="1258"/>
    </w:p>
    <w:p>
      <w:pPr>
        <w:pStyle w:val="Heading5"/>
        <w:numPr>
          <w:ilvl w:val="4"/>
          <w:numId w:val="1"/>
        </w:numPr>
        <w:rPr/>
      </w:pPr>
      <w:bookmarkStart w:id="1259" w:name="__RefHeading___Toc8040369_1280447820"/>
      <w:bookmarkStart w:id="1260" w:name="_Toc459"/>
      <w:bookmarkEnd w:id="1259"/>
      <w:r>
        <w:rPr>
          <w:rtl w:val="true"/>
        </w:rPr>
        <w:t>اشارة</w:t>
      </w:r>
      <w:bookmarkEnd w:id="1260"/>
    </w:p>
    <w:p>
      <w:pPr>
        <w:pStyle w:val="BookText"/>
        <w:rPr/>
      </w:pPr>
      <w:r>
        <w:rPr>
          <w:rFonts w:ascii="Amiri" w:hAnsi="Amiri" w:eastAsia="Amiri" w:cs="Amiri"/>
          <w:color w:val="111111"/>
          <w:sz w:val="28"/>
          <w:sz w:val="28"/>
          <w:szCs w:val="28"/>
          <w:rtl w:val="true"/>
          <w:lang w:bidi="ar-SA"/>
        </w:rPr>
        <w:t>سُئل الشريف المرتضى سؤالاً مختصراً حول جواز أن يدفع المكلّف زكاة مال من مال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بجواب مختصر أيضاً، و هو جواز ذلك بشرط أن يكون المزكّي مالكاً للمالين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مسائل تحمل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متفرّقة من الحديث و غيره</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8040371_1280447820"/>
      <w:bookmarkStart w:id="1262" w:name="_Toc460"/>
      <w:bookmarkEnd w:id="1261"/>
      <w:r>
        <w:rPr>
          <w:rtl w:val="true"/>
        </w:rPr>
        <w:t>مخطوطات الرسالة</w:t>
      </w:r>
      <w:bookmarkEnd w:id="1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المحقّق البروجردي رحمه اللّٰه،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3" w:name="pg16437_172927"/>
      <w:bookmarkStart w:id="1264" w:name="pg16437_172927"/>
      <w:bookmarkEnd w:id="1264"/>
    </w:p>
    <w:p>
      <w:pPr>
        <w:pStyle w:val="Heading4"/>
        <w:numPr>
          <w:ilvl w:val="3"/>
          <w:numId w:val="1"/>
        </w:numPr>
        <w:rPr/>
      </w:pPr>
      <w:bookmarkStart w:id="1265" w:name="pg16437_172927"/>
      <w:bookmarkStart w:id="1266" w:name="__RefHeading___Toc8040373_1280447820"/>
      <w:bookmarkStart w:id="1267" w:name="_Toc461"/>
      <w:bookmarkEnd w:id="1265"/>
      <w:bookmarkEnd w:id="1266"/>
      <w:r>
        <w:rPr>
          <w:rtl w:val="true"/>
        </w:rPr>
        <w:t>مسألةٌ في جوازِ تَزكيةِ مالٍ مِن مالٍ آخَرَ</w:t>
      </w:r>
      <w:bookmarkEnd w:id="1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يُزكّيَ الرجُلُ مالاً له مِن مالٍ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جائزٌ إذا كانَ مالكاً لكُلِّ واحدٍ مِن المالَينِ، و لَيسَ يُمنَعُ‌</w:t>
      </w:r>
      <w:r>
        <w:rPr>
          <w:rStyle w:val="FootnoteAnchor"/>
          <w:rtl w:val="true"/>
        </w:rPr>
        <w:footnoteReference w:id="3191"/>
      </w:r>
      <w:r>
        <w:rPr>
          <w:rFonts w:ascii="Amiri" w:hAnsi="Amiri" w:eastAsia="Amiri" w:cs="Amiri"/>
          <w:color w:val="111111"/>
          <w:sz w:val="28"/>
          <w:sz w:val="28"/>
          <w:szCs w:val="28"/>
          <w:rtl w:val="true"/>
          <w:lang w:bidi="ar-SA"/>
        </w:rPr>
        <w:t>مِن إخراجِ زَكاةِ كُلِّ مالٍ مِن جُملتِه، و لا بعضٍ مِن أبعاضِه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8" w:name="pg16437_172929"/>
      <w:bookmarkStart w:id="1269" w:name="pg16437_172929"/>
      <w:bookmarkEnd w:id="1269"/>
    </w:p>
    <w:p>
      <w:pPr>
        <w:pStyle w:val="Heading3"/>
        <w:numPr>
          <w:ilvl w:val="2"/>
          <w:numId w:val="1"/>
        </w:numPr>
        <w:rPr/>
      </w:pPr>
      <w:bookmarkStart w:id="1270" w:name="pg16437_172929"/>
      <w:bookmarkStart w:id="1271" w:name="__RefHeading___Toc8040375_1280447820"/>
      <w:bookmarkStart w:id="1272" w:name="_Toc462"/>
      <w:bookmarkEnd w:id="1270"/>
      <w:bookmarkEnd w:id="1271"/>
      <w:r>
        <w:rPr>
          <w:rtl w:val="true"/>
        </w:rPr>
        <w:t>(</w:t>
      </w:r>
      <w:r>
        <w:rPr/>
        <w:t>90</w:t>
      </w:r>
      <w:r>
        <w:rPr>
          <w:rtl w:val="true"/>
        </w:rPr>
        <w:t xml:space="preserve">) </w:t>
      </w:r>
      <w:r>
        <w:rPr>
          <w:rtl w:val="true"/>
        </w:rPr>
        <w:t>مسألةٌ في نفيِ دلالةِ صيغةِ الأمرِ على القبولِ‌</w:t>
      </w:r>
      <w:bookmarkEnd w:id="1272"/>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3" w:name="__RefHeading___Toc8040377_1280447820"/>
      <w:bookmarkStart w:id="1274" w:name="_Toc463"/>
      <w:bookmarkEnd w:id="1273"/>
      <w:r>
        <w:rPr>
          <w:rtl w:val="true"/>
        </w:rPr>
        <w:t>اشارة</w:t>
      </w:r>
      <w:bookmarkEnd w:id="1274"/>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5" w:name="pg16437_172931"/>
      <w:bookmarkStart w:id="1276" w:name="pg16437_172931"/>
      <w:bookmarkEnd w:id="1276"/>
    </w:p>
    <w:p>
      <w:pPr>
        <w:pStyle w:val="Heading4"/>
        <w:numPr>
          <w:ilvl w:val="3"/>
          <w:numId w:val="1"/>
        </w:numPr>
        <w:rPr/>
      </w:pPr>
      <w:bookmarkStart w:id="1277" w:name="pg16437_172931"/>
      <w:bookmarkStart w:id="1278" w:name="__RefHeading___Toc8040379_1280447820"/>
      <w:bookmarkStart w:id="1279" w:name="_Toc464"/>
      <w:bookmarkEnd w:id="1277"/>
      <w:bookmarkEnd w:id="1278"/>
      <w:r>
        <w:rPr>
          <w:rtl w:val="true"/>
        </w:rPr>
        <w:t>مقدّمة التحقيق</w:t>
      </w:r>
      <w:bookmarkEnd w:id="1279"/>
    </w:p>
    <w:p>
      <w:pPr>
        <w:pStyle w:val="Heading5"/>
        <w:numPr>
          <w:ilvl w:val="4"/>
          <w:numId w:val="1"/>
        </w:numPr>
        <w:rPr/>
      </w:pPr>
      <w:bookmarkStart w:id="1280" w:name="__RefHeading___Toc8040381_1280447820"/>
      <w:bookmarkStart w:id="1281" w:name="_Toc465"/>
      <w:bookmarkEnd w:id="1280"/>
      <w:r>
        <w:rPr>
          <w:rtl w:val="true"/>
        </w:rPr>
        <w:t>اشارة</w:t>
      </w:r>
      <w:bookmarkEnd w:id="1281"/>
    </w:p>
    <w:p>
      <w:pPr>
        <w:pStyle w:val="BookText"/>
        <w:rPr/>
      </w:pPr>
      <w:r>
        <w:rPr>
          <w:rFonts w:ascii="Amiri" w:hAnsi="Amiri" w:eastAsia="Amiri" w:cs="Amiri"/>
          <w:color w:val="111111"/>
          <w:sz w:val="28"/>
          <w:sz w:val="28"/>
          <w:szCs w:val="28"/>
          <w:rtl w:val="true"/>
          <w:lang w:bidi="ar-SA"/>
        </w:rPr>
        <w:t>لقد أولى الشارع لتوثيق العقود و ضبطها و إيضاح كلّ شيء فيها أهمّيّة خاصّة؛ فإن كان العقد بيعاً اهتمّ الشارع بتعيين الثمن و المثمن، بحيث لا يكون فيهما أيّ غموض؛ و إن كان نكاحاً، اهتمّ أيضاً بتعيين المهر 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الأمر في مختلف العقود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 الشارع على وضوح صيغ العقود، فينبغي أن تكون بصيغة إيجاب و قبول صريحة، فلا يصحّ مثلاً إيجاب العقد بالاستفهام؛ لأنّه غير صريح بالإيجاب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الفقهاء في بعض الصيغ هل هي دالّة على الإيجاب و القبول، أو لا؟</w:t>
      </w:r>
    </w:p>
    <w:p>
      <w:pPr>
        <w:pStyle w:val="BookText"/>
        <w:rPr/>
      </w:pPr>
      <w:r>
        <w:rPr>
          <w:rFonts w:ascii="Amiri" w:hAnsi="Amiri" w:eastAsia="Amiri" w:cs="Amiri"/>
          <w:color w:val="111111"/>
          <w:sz w:val="28"/>
          <w:sz w:val="28"/>
          <w:szCs w:val="28"/>
          <w:rtl w:val="true"/>
          <w:lang w:bidi="ar-SA"/>
        </w:rPr>
        <w:t>فذهب الشافعي إلى أنّه إذا قال المشتري للبائع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انعقد البيع، و لا حاجة إلى أن يقول المشتري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منه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جوّز الشافعي ذلك في النكاح، بأن يقول الخاطِب لوليّ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 النكاح، و لا حاجة إلى أن يقول الخاطِب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Style w:val="FootnoteAnchor"/>
          <w:rtl w:val="true"/>
        </w:rPr>
        <w:footnoteReference w:id="3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أبا حنيفة فصّل في ذلك بين النكاح و البيع، فقبله في النكاح، و منعه في البيع، و اشترط أن يقول المشتري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r>
        <w:rPr>
          <w:rStyle w:val="FootnoteAnchor"/>
          <w:rtl w:val="true"/>
        </w:rPr>
        <w:footnoteReference w:id="3193"/>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الشريف المرتضى فرفض ما ذكره الشافعي في البيع و النكاح معاً، و لم </w:t>
      </w:r>
      <w:bookmarkStart w:id="1282" w:name="pg16437_172932"/>
    </w:p>
    <w:p>
      <w:pPr>
        <w:pStyle w:val="BookText"/>
        <w:rPr/>
      </w:pPr>
      <w:bookmarkEnd w:id="1282"/>
      <w:r>
        <w:rPr>
          <w:rFonts w:ascii="Amiri" w:hAnsi="Amiri" w:eastAsia="Amiri" w:cs="Amiri"/>
          <w:color w:val="111111"/>
          <w:sz w:val="28"/>
          <w:sz w:val="28"/>
          <w:szCs w:val="28"/>
          <w:rtl w:val="true"/>
          <w:lang w:bidi="ar-SA"/>
        </w:rPr>
        <w:t>يفصّل؛ و ذلك لأنّ البيع و النكاح يحتاجان معاً إلى القبول الصريح، فقول المشتري، أو الخاطِب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القبول؛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دافع شخص عن أبي حنيفة بأنّ العادة جارية على السَّوم في البيع، فقول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القبول؛ بل قد يكون سَوماً؛ بينما لم تجرِ العادة على السَّوم في النكاح؛ و لذلك أجزأ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الشريف المرتضى بأنّ الخطبة في النكاح كالسَّوم في البيع، فقد جرت العادة بأن يعرض الرجل نفسه في عقد النكاح؛ و حينئذٍ سوف لن يكون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قبولاً صريحاً؛ بل يحتمل أن يكون من باب الخطبة و عرض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على ما ذهب إليه في هذه الرسالة من عدم دلالة الأمر على القبول، بعدم دلالته على الإيجاب أيضاً؛ فإنّ البائع لو قال للمشتري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 منّي هذا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هذا القول إيجاباً؛ لأنّ الإيجاب لا يُفهم من الأمر، فكذلك القبول</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8040383_1280447820"/>
      <w:bookmarkStart w:id="1284" w:name="_Toc466"/>
      <w:bookmarkEnd w:id="1283"/>
      <w:r>
        <w:rPr>
          <w:rtl w:val="true"/>
        </w:rPr>
        <w:t>عنوان الرسالة</w:t>
      </w:r>
      <w:bookmarkEnd w:id="1284"/>
    </w:p>
    <w:p>
      <w:pPr>
        <w:pStyle w:val="BookText"/>
        <w:rPr/>
      </w:pPr>
      <w:r>
        <w:rPr>
          <w:rFonts w:ascii="Amiri" w:hAnsi="Amiri" w:eastAsia="Amiri" w:cs="Amiri"/>
          <w:color w:val="111111"/>
          <w:sz w:val="28"/>
          <w:sz w:val="28"/>
          <w:szCs w:val="28"/>
          <w:rtl w:val="true"/>
          <w:lang w:bidi="ar-SA"/>
        </w:rPr>
        <w:t xml:space="preserve">طبعت هذه الرسالة في ضمن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صيغة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عنوان غير دقيق؛ لأنّ البحث ليس عن صيغة البيع فقط؛ بل عنها و عن صيغة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طبعت في ضمن مسائل المرتضى،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الإيجاب و القبول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غير دقيق؛ فإنّ الكلام عن القبول فقط، و إنّما ذكر الإيجاب في نهاية الرسالة للاستشهاد فقط</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أُعطيت الرسالة في بعض النسخ العنوان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القبول في النكاح و البيع</w:t>
      </w:r>
      <w:r>
        <w:rPr>
          <w:rFonts w:eastAsia="Amiri" w:cs="Amiri" w:ascii="Amiri" w:hAnsi="Amiri"/>
          <w:color w:val="111111"/>
          <w:sz w:val="28"/>
          <w:szCs w:val="28"/>
          <w:rtl w:val="true"/>
          <w:lang w:bidi="ar-SA"/>
        </w:rPr>
        <w:t>».</w:t>
      </w:r>
      <w:r>
        <w:rPr>
          <w:rStyle w:val="FootnoteAnchor"/>
          <w:rtl w:val="true"/>
        </w:rPr>
        <w:footnoteReference w:id="3194"/>
      </w:r>
      <w:r>
        <w:rPr>
          <w:rFonts w:ascii="IRNazanin" w:hAnsi="IRNazanin" w:eastAsia="IRNazanin"/>
          <w:color w:val="111111"/>
          <w:sz w:val="28"/>
          <w:sz w:val="28"/>
          <w:szCs w:val="28"/>
          <w:rtl w:val="true"/>
          <w:lang w:bidi="fa-IR"/>
        </w:rPr>
        <w:t xml:space="preserve">و </w:t>
      </w:r>
      <w:bookmarkStart w:id="1285" w:name="pg16437_172933"/>
    </w:p>
    <w:p>
      <w:pPr>
        <w:pStyle w:val="BookText"/>
        <w:rPr/>
      </w:pPr>
      <w:bookmarkEnd w:id="1285"/>
      <w:r>
        <w:rPr>
          <w:rFonts w:ascii="Amiri" w:hAnsi="Amiri" w:eastAsia="Amiri" w:cs="Amiri"/>
          <w:color w:val="111111"/>
          <w:sz w:val="28"/>
          <w:sz w:val="28"/>
          <w:szCs w:val="28"/>
          <w:rtl w:val="true"/>
          <w:lang w:bidi="ar-SA"/>
        </w:rPr>
        <w:t>هو أدقّ من سابقَيه؛ لكن من الأفضل التصريح بأنّ البحث يدور حول دلالة الأمر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سمّاها المحقّق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في تقديم القبول بلفظ الأمر في العقود</w:t>
      </w:r>
      <w:r>
        <w:rPr>
          <w:rFonts w:eastAsia="Amiri" w:cs="Amiri" w:ascii="Amiri" w:hAnsi="Amiri"/>
          <w:color w:val="111111"/>
          <w:sz w:val="28"/>
          <w:szCs w:val="28"/>
          <w:rtl w:val="true"/>
          <w:lang w:bidi="ar-SA"/>
        </w:rPr>
        <w:t>».</w:t>
      </w:r>
      <w:r>
        <w:rPr>
          <w:rStyle w:val="FootnoteAnchor"/>
          <w:rtl w:val="true"/>
        </w:rPr>
        <w:footnoteReference w:id="3195"/>
      </w:r>
      <w:r>
        <w:rPr>
          <w:rFonts w:ascii="Amiri" w:hAnsi="Amiri" w:eastAsia="Amiri" w:cs="Amiri"/>
          <w:color w:val="111111"/>
          <w:sz w:val="28"/>
          <w:sz w:val="28"/>
          <w:szCs w:val="28"/>
          <w:rtl w:val="true"/>
          <w:lang w:bidi="ar-SA"/>
        </w:rPr>
        <w:t>و هذا العنوان أدقّ من كلّ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أراد التدقيق بصورة أكثر، فعليه أن يسمّي الرسالة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دلالة صيغة الأمر على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هو موضوع الرسالة بالتحديد</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8040385_1280447820"/>
      <w:bookmarkStart w:id="1287" w:name="_Toc467"/>
      <w:bookmarkEnd w:id="1286"/>
      <w:r>
        <w:rPr>
          <w:rtl w:val="true"/>
        </w:rPr>
        <w:t>تاريخ تأليف الرسالة</w:t>
      </w:r>
      <w:bookmarkEnd w:id="1287"/>
    </w:p>
    <w:p>
      <w:pPr>
        <w:pStyle w:val="BookText"/>
        <w:rPr/>
      </w:pPr>
      <w:r>
        <w:rPr>
          <w:rFonts w:ascii="Amiri" w:hAnsi="Amiri" w:eastAsia="Amiri" w:cs="Amiri"/>
          <w:color w:val="111111"/>
          <w:sz w:val="28"/>
          <w:sz w:val="28"/>
          <w:szCs w:val="28"/>
          <w:rtl w:val="true"/>
          <w:lang w:bidi="ar-SA"/>
        </w:rPr>
        <w:t xml:space="preserve">ثمّ إنّ الشريف المرتضى قد أملى هذه الرسالة في المحرّم من سنة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و هي واحدة من عدّة رسائل خرجت منه في تلك السنة، و تلك الرسائل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نكاح المتعة، خرجت في المحرّم أيضاً من نفس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استحقاق مدح البارئ على الأوصاف، خرجت في صفر من نفس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المنع من العمل بأخبار الآحاد، خرجت في ربيع الأوّل من السنة ذاتها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الجسم لم يكن كائناً بالفاعل، خرجت في ربيع الأوّل أيضاً من تلك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ألفاظ الطلاق، خرجت في ربيع الآخر من نفس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نشاط علميّ كبير، و قدرة فائقة على المناقشة و التأمّل في المسائل العلميّة الدقيقة لرجل تجاوز السبعين من عمره</w:t>
      </w:r>
      <w:r>
        <w:rPr>
          <w:rFonts w:eastAsia="Amiri" w:cs="Amiri" w:ascii="Amiri" w:hAnsi="Amiri"/>
          <w:color w:val="111111"/>
          <w:sz w:val="28"/>
          <w:szCs w:val="28"/>
          <w:rtl w:val="true"/>
          <w:lang w:bidi="ar-SA"/>
        </w:rPr>
        <w:t>.</w:t>
      </w:r>
    </w:p>
    <w:p>
      <w:pPr>
        <w:pStyle w:val="Heading5"/>
        <w:numPr>
          <w:ilvl w:val="4"/>
          <w:numId w:val="1"/>
        </w:numPr>
        <w:rPr/>
      </w:pPr>
      <w:bookmarkStart w:id="1288" w:name="__RefHeading___Toc8040387_1280447820"/>
      <w:bookmarkStart w:id="1289" w:name="_Toc468"/>
      <w:bookmarkEnd w:id="1288"/>
      <w:r>
        <w:rPr>
          <w:rtl w:val="true"/>
        </w:rPr>
        <w:t>مخطوطات الرسالة</w:t>
      </w:r>
      <w:bookmarkEnd w:id="1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541/14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10005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السيّد حسن الصدر رحمه اللّٰه، المرقّمة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0" w:name="pg16437_172937"/>
      <w:bookmarkStart w:id="1291" w:name="pg16437_172937"/>
      <w:bookmarkEnd w:id="1291"/>
    </w:p>
    <w:p>
      <w:pPr>
        <w:pStyle w:val="Heading4"/>
        <w:numPr>
          <w:ilvl w:val="3"/>
          <w:numId w:val="1"/>
        </w:numPr>
        <w:rPr/>
      </w:pPr>
      <w:bookmarkStart w:id="1292" w:name="pg16437_172937"/>
      <w:bookmarkStart w:id="1293" w:name="__RefHeading___Toc8040389_1280447820"/>
      <w:bookmarkStart w:id="1294" w:name="_Toc469"/>
      <w:bookmarkEnd w:id="1292"/>
      <w:bookmarkEnd w:id="1293"/>
      <w:r>
        <w:rPr>
          <w:rtl w:val="true"/>
        </w:rPr>
        <w:t>مسألةٌ في نفيِ دلالةِ صيغةِ الأمرِ على القبولِ‌</w:t>
      </w:r>
      <w:bookmarkEnd w:id="1294"/>
    </w:p>
    <w:p>
      <w:pPr>
        <w:pStyle w:val="BookText"/>
        <w:rPr/>
      </w:pPr>
      <w:r>
        <w:rPr>
          <w:rFonts w:ascii="Amiri" w:hAnsi="Amiri" w:eastAsia="Amiri" w:cs="Amiri"/>
          <w:color w:val="111111"/>
          <w:sz w:val="28"/>
          <w:sz w:val="28"/>
          <w:szCs w:val="28"/>
          <w:rtl w:val="true"/>
          <w:lang w:bidi="ar-SA"/>
        </w:rPr>
        <w:t>مسألةٌ في نفيِ دلالةِ صيغةِ الأمرِ على القبولِ‌</w:t>
      </w:r>
      <w:r>
        <w:rPr>
          <w:rStyle w:val="FootnoteAnchor"/>
          <w:rtl w:val="true"/>
        </w:rPr>
        <w:footnoteReference w:id="319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مسألةٌ خَرَجَت في مُحرَّمٍ سَنةَ سَبعٍ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المُرتَضىٰ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w:t>
      </w:r>
      <w:r>
        <w:rPr>
          <w:rStyle w:val="FootnoteAnchor"/>
          <w:rtl w:val="true"/>
        </w:rPr>
        <w:footnoteReference w:id="3197"/>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w:t>
      </w:r>
      <w:r>
        <w:rPr>
          <w:rStyle w:val="FootnoteAnchor"/>
          <w:rtl w:val="true"/>
        </w:rPr>
        <w:footnoteReference w:id="3198"/>
      </w:r>
      <w:r>
        <w:rPr>
          <w:rFonts w:ascii="Amiri" w:hAnsi="Amiri" w:eastAsia="Amiri" w:cs="Amiri"/>
          <w:color w:val="111111"/>
          <w:sz w:val="28"/>
          <w:sz w:val="28"/>
          <w:szCs w:val="28"/>
          <w:rtl w:val="true"/>
          <w:lang w:bidi="ar-SA"/>
        </w:rPr>
        <w:t>إذا قالَ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ذلكَ إيجاباً و قَبولاً، و انعَقَدَ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النكاحِ بمِثلِ ذلكَ</w:t>
      </w:r>
      <w:r>
        <w:rPr>
          <w:rFonts w:eastAsia="Amiri" w:cs="Amiri" w:ascii="Amiri" w:hAnsi="Amiri"/>
          <w:color w:val="111111"/>
          <w:sz w:val="28"/>
          <w:szCs w:val="28"/>
          <w:rtl w:val="true"/>
          <w:lang w:bidi="ar-SA"/>
        </w:rPr>
        <w:t>.</w:t>
      </w:r>
      <w:r>
        <w:rPr>
          <w:rStyle w:val="FootnoteAnchor"/>
          <w:rtl w:val="true"/>
        </w:rPr>
        <w:footnoteReference w:id="3199"/>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النكاحِ يَكونُ إيجاباً و قَبولاً، و لا يَكونُ في البَيعِ كذلكَ</w:t>
      </w:r>
      <w:r>
        <w:rPr>
          <w:rFonts w:eastAsia="Amiri" w:cs="Amiri" w:ascii="Amiri" w:hAnsi="Amiri"/>
          <w:color w:val="111111"/>
          <w:sz w:val="28"/>
          <w:szCs w:val="28"/>
          <w:rtl w:val="true"/>
          <w:lang w:bidi="ar-SA"/>
        </w:rPr>
        <w:t>.</w:t>
      </w:r>
      <w:r>
        <w:rPr>
          <w:rStyle w:val="FootnoteAnchor"/>
          <w:rtl w:val="true"/>
        </w:rPr>
        <w:footnoteReference w:id="3200"/>
      </w:r>
      <w:r>
        <w:rPr>
          <w:rFonts w:ascii="Amiri" w:hAnsi="Amiri" w:eastAsia="Amiri" w:cs="Amiri"/>
          <w:color w:val="111111"/>
          <w:sz w:val="28"/>
          <w:sz w:val="28"/>
          <w:szCs w:val="28"/>
          <w:rtl w:val="true"/>
          <w:lang w:bidi="ar-SA"/>
        </w:rPr>
        <w:t>و يُحتاجُ عندَه في البَيعِ إذا قالَ‌</w:t>
      </w:r>
      <w:r>
        <w:rPr>
          <w:rStyle w:val="FootnoteAnchor"/>
          <w:rtl w:val="true"/>
        </w:rPr>
        <w:footnoteReference w:id="32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يَقولَ‌</w:t>
      </w:r>
      <w:r>
        <w:rPr>
          <w:rStyle w:val="FootnoteAnchor"/>
          <w:rtl w:val="true"/>
        </w:rPr>
        <w:footnoteReference w:id="32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يَكونَ قَبولاً صَحيحاً</w:t>
      </w:r>
      <w:r>
        <w:rPr>
          <w:rFonts w:eastAsia="Amiri" w:cs="Amiri" w:ascii="Amiri" w:hAnsi="Amiri"/>
          <w:color w:val="111111"/>
          <w:sz w:val="28"/>
          <w:szCs w:val="28"/>
          <w:rtl w:val="true"/>
          <w:lang w:bidi="ar-SA"/>
        </w:rPr>
        <w:t>.</w:t>
      </w:r>
      <w:r>
        <w:rPr>
          <w:rStyle w:val="FootnoteAnchor"/>
          <w:rtl w:val="true"/>
        </w:rPr>
        <w:footnoteReference w:id="3203"/>
      </w:r>
    </w:p>
    <w:p>
      <w:pPr>
        <w:pStyle w:val="BookText"/>
        <w:rPr/>
      </w:pPr>
      <w:r>
        <w:rPr>
          <w:rFonts w:ascii="Amiri" w:hAnsi="Amiri" w:eastAsia="Amiri" w:cs="Amiri"/>
          <w:color w:val="111111"/>
          <w:sz w:val="28"/>
          <w:sz w:val="28"/>
          <w:szCs w:val="28"/>
          <w:rtl w:val="true"/>
          <w:lang w:bidi="ar-SA"/>
        </w:rPr>
        <w:t>و الذي يَقوىٰ‌</w:t>
      </w:r>
      <w:r>
        <w:rPr>
          <w:rStyle w:val="FootnoteAnchor"/>
          <w:rtl w:val="true"/>
        </w:rPr>
        <w:footnoteReference w:id="3204"/>
      </w:r>
      <w:r>
        <w:rPr>
          <w:rFonts w:ascii="Amiri" w:hAnsi="Amiri" w:eastAsia="Amiri" w:cs="Amiri"/>
          <w:color w:val="111111"/>
          <w:sz w:val="28"/>
          <w:sz w:val="28"/>
          <w:szCs w:val="28"/>
          <w:rtl w:val="true"/>
          <w:lang w:bidi="ar-SA"/>
        </w:rPr>
        <w:t>في نَفسي</w:t>
      </w:r>
      <w:r>
        <w:rPr>
          <w:rStyle w:val="FootnoteAnchor"/>
          <w:rtl w:val="true"/>
        </w:rPr>
        <w:footnoteReference w:id="3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كالبَيعِ في افتقارِه إلىٰ صَريحِ القَبولِ‌</w:t>
      </w:r>
      <w:r>
        <w:rPr>
          <w:rStyle w:val="FootnoteAnchor"/>
          <w:rtl w:val="true"/>
        </w:rPr>
        <w:footnoteReference w:id="3206"/>
      </w:r>
      <w:r>
        <w:rPr>
          <w:rFonts w:ascii="Amiri" w:hAnsi="Amiri" w:eastAsia="Amiri" w:cs="Amiri"/>
          <w:color w:val="111111"/>
          <w:sz w:val="28"/>
          <w:sz w:val="28"/>
          <w:szCs w:val="28"/>
          <w:rtl w:val="true"/>
          <w:lang w:bidi="ar-SA"/>
        </w:rPr>
        <w:t>فإذا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Style w:val="FootnoteAnchor"/>
          <w:rtl w:val="true"/>
        </w:rPr>
        <w:footnoteReference w:id="3207"/>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بُدَّ مِن</w:t>
      </w:r>
      <w:r>
        <w:rPr>
          <w:rStyle w:val="FootnoteAnchor"/>
          <w:rtl w:val="true"/>
        </w:rPr>
        <w:footnoteReference w:id="3208"/>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هذا</w:t>
      </w:r>
      <w:r>
        <w:rPr>
          <w:rStyle w:val="FootnoteAnchor"/>
          <w:rtl w:val="true"/>
        </w:rPr>
        <w:footnoteReference w:id="3209"/>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قالَ له في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بِعتُكَ</w:t>
      </w:r>
      <w:r>
        <w:rPr>
          <w:rFonts w:eastAsia="Amiri" w:cs="Amiri" w:ascii="Amiri" w:hAnsi="Amiri"/>
          <w:color w:val="111111"/>
          <w:sz w:val="28"/>
          <w:szCs w:val="28"/>
          <w:rtl w:val="true"/>
          <w:lang w:bidi="ar-SA"/>
        </w:rPr>
        <w:t>»</w:t>
      </w:r>
      <w:r>
        <w:rPr>
          <w:rStyle w:val="FootnoteAnchor"/>
          <w:rtl w:val="true"/>
        </w:rPr>
        <w:footnoteReference w:id="3210"/>
      </w:r>
      <w:r>
        <w:rPr>
          <w:rFonts w:ascii="Amiri" w:hAnsi="Amiri" w:eastAsia="Amiri" w:cs="Amiri"/>
          <w:color w:val="111111"/>
          <w:sz w:val="28"/>
          <w:sz w:val="28"/>
          <w:szCs w:val="28"/>
          <w:rtl w:val="true"/>
          <w:lang w:bidi="ar-SA"/>
        </w:rPr>
        <w:t>، لا بُدَّ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اشتَرَيتُ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يَكونَ قَبولاً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صِحّةِ ما ذَهَبنا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 سؤالٌ علىٰ حَسَبِ الحالِ في رُتبةِ القائلِ و المَقولِ له، فإذا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بُدَّ</w:t>
      </w:r>
      <w:r>
        <w:rPr>
          <w:rStyle w:val="FootnoteAnchor"/>
          <w:rtl w:val="true"/>
        </w:rPr>
        <w:footnoteReference w:id="3211"/>
      </w:r>
      <w:r>
        <w:rPr>
          <w:rFonts w:ascii="Amiri" w:hAnsi="Amiri" w:eastAsia="Amiri" w:cs="Amiri"/>
          <w:color w:val="111111"/>
          <w:sz w:val="28"/>
          <w:sz w:val="28"/>
          <w:szCs w:val="28"/>
          <w:rtl w:val="true"/>
          <w:lang w:bidi="ar-SA"/>
        </w:rPr>
        <w:t>مِن قَبولٍ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يُنبئُ عن القَبولِ‌</w:t>
      </w:r>
      <w:r>
        <w:rPr>
          <w:rStyle w:val="FootnoteAnchor"/>
          <w:rtl w:val="true"/>
        </w:rPr>
        <w:footnoteReference w:id="3212"/>
      </w:r>
      <w:r>
        <w:rPr>
          <w:rFonts w:ascii="Amiri" w:hAnsi="Amiri" w:eastAsia="Amiri" w:cs="Amiri"/>
          <w:color w:val="111111"/>
          <w:sz w:val="28"/>
          <w:sz w:val="28"/>
          <w:szCs w:val="28"/>
          <w:rtl w:val="true"/>
          <w:lang w:bidi="ar-SA"/>
        </w:rPr>
        <w:t>لأنّ الأمرَ لا يُفهَمُ منه ذلكَ؛ ألا تَرىٰ أنّه لَو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تَبيعُني؟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Style w:val="FootnoteAnchor"/>
          <w:rtl w:val="true"/>
        </w:rPr>
        <w:footnoteReference w:id="32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تُزوِّجُني؟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قالَ‌</w:t>
      </w:r>
      <w:r>
        <w:rPr>
          <w:rStyle w:val="FootnoteAnchor"/>
          <w:rtl w:val="true"/>
        </w:rPr>
        <w:footnoteReference w:id="3214"/>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15"/>
      </w:r>
      <w:r>
        <w:rPr>
          <w:rFonts w:ascii="Amiri" w:hAnsi="Amiri" w:eastAsia="Amiri" w:cs="Amiri"/>
          <w:color w:val="111111"/>
          <w:sz w:val="28"/>
          <w:sz w:val="28"/>
          <w:szCs w:val="28"/>
          <w:rtl w:val="true"/>
          <w:lang w:bidi="ar-SA"/>
        </w:rPr>
        <w:t>فإنّ أحَداً لا يَقولُ أنّ ذلكَ يُغني عن القَبولِ؟ فكذلكَ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w:t>
      </w:r>
      <w:r>
        <w:rPr>
          <w:rStyle w:val="FootnoteAnchor"/>
          <w:rtl w:val="true"/>
        </w:rPr>
        <w:footnoteReference w:id="3216"/>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يُغنِ‌</w:t>
      </w:r>
      <w:r>
        <w:rPr>
          <w:rStyle w:val="FootnoteAnchor"/>
          <w:rtl w:val="true"/>
        </w:rPr>
        <w:footnoteReference w:id="32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تَبيعُني؟</w:t>
      </w:r>
      <w:r>
        <w:rPr>
          <w:rFonts w:eastAsia="Amiri" w:cs="Amiri" w:ascii="Amiri" w:hAnsi="Amiri"/>
          <w:color w:val="111111"/>
          <w:sz w:val="28"/>
          <w:szCs w:val="28"/>
          <w:rtl w:val="true"/>
          <w:lang w:bidi="ar-SA"/>
        </w:rPr>
        <w:t>»</w:t>
      </w:r>
      <w:r>
        <w:rPr>
          <w:rStyle w:val="FootnoteAnchor"/>
          <w:rtl w:val="true"/>
        </w:rPr>
        <w:footnoteReference w:id="3218"/>
      </w:r>
      <w:r>
        <w:rPr>
          <w:rFonts w:ascii="Amiri" w:hAnsi="Amiri" w:eastAsia="Amiri" w:cs="Amiri"/>
          <w:color w:val="111111"/>
          <w:sz w:val="28"/>
          <w:sz w:val="28"/>
          <w:szCs w:val="28"/>
          <w:rtl w:val="true"/>
          <w:lang w:bidi="ar-SA"/>
        </w:rPr>
        <w:t>عن القَبولِ لأنّه استفهامٌ لا يَدُلُّ علىٰ إرادةِ المُستَفهِمِ المُستَفهَمَ عنه، و</w:t>
      </w:r>
      <w:r>
        <w:rPr>
          <w:rStyle w:val="FootnoteAnchor"/>
          <w:rtl w:val="true"/>
        </w:rPr>
        <w:footnoteReference w:id="3219"/>
      </w:r>
      <w:r>
        <w:rPr>
          <w:rFonts w:ascii="Amiri" w:hAnsi="Amiri" w:eastAsia="Amiri" w:cs="Amiri"/>
          <w:color w:val="111111"/>
          <w:sz w:val="28"/>
          <w:sz w:val="28"/>
          <w:szCs w:val="28"/>
          <w:rtl w:val="true"/>
          <w:lang w:bidi="ar-SA"/>
        </w:rPr>
        <w:t>الأمرُ يَدُلُّ علىٰ إرادةِ الآمِرِ</w:t>
      </w:r>
      <w:r>
        <w:rPr>
          <w:rStyle w:val="FootnoteAnchor"/>
          <w:rtl w:val="true"/>
        </w:rPr>
        <w:footnoteReference w:id="3220"/>
      </w:r>
      <w:r>
        <w:rPr>
          <w:rFonts w:ascii="Amiri" w:hAnsi="Amiri" w:eastAsia="Amiri" w:cs="Amiri"/>
          <w:color w:val="111111"/>
          <w:sz w:val="28"/>
          <w:sz w:val="28"/>
          <w:szCs w:val="28"/>
          <w:rtl w:val="true"/>
          <w:lang w:bidi="ar-SA"/>
        </w:rPr>
        <w:t>للمأمورِ به، فقامَ مَقامَ القَبولِ دونَ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إن دَلَّ علَى الإرادةِ و لَم يَدُلَّ الاستفهامُ عليها، فلَيسَ بقَبولٍ صَريحٍ؛ ألا تَرىٰ أنّه لَو قالَ مُصرِّحاً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مُريدٌ للنكاحِ أو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قَبولاً؟ فإذا</w:t>
      </w:r>
      <w:r>
        <w:rPr>
          <w:rStyle w:val="FootnoteAnchor"/>
          <w:rtl w:val="true"/>
        </w:rPr>
        <w:footnoteReference w:id="3221"/>
      </w:r>
      <w:r>
        <w:rPr>
          <w:rFonts w:ascii="Amiri" w:hAnsi="Amiri" w:eastAsia="Amiri" w:cs="Amiri"/>
          <w:color w:val="111111"/>
          <w:sz w:val="28"/>
          <w:sz w:val="28"/>
          <w:szCs w:val="28"/>
          <w:rtl w:val="true"/>
          <w:lang w:bidi="ar-SA"/>
        </w:rPr>
        <w:t xml:space="preserve">كانَ التصريحُ بكَونِه مُريداً لا يُغني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فأجدَرُ أن لا يُغنيَ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يَدُلُّ علَى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ضاقَ الكلامُ علىٰ أبي حَنيفةَ في هذه المسألةِ مع الشافعيِّ؛ لأنّ الشافعيَّ يَحمِلُ البَيعَ علَى النكاحِ، و لَم يَختَلِفا في النكاحِ، و نَحنُ نُسَوّي بَينَ الأمرَينِ في أنّه لا بُدَّ مِن قَبولٍ صَريحٍ فيهما؛ فلَيسَ يَتوَجَّهُ كلامُ الشافعيِّ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الناصرُ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العادةَ بالسَّومِ‌</w:t>
      </w:r>
      <w:r>
        <w:rPr>
          <w:rStyle w:val="FootnoteAnchor"/>
          <w:rtl w:val="true"/>
        </w:rPr>
        <w:footnoteReference w:id="3222"/>
      </w:r>
      <w:r>
        <w:rPr>
          <w:rFonts w:ascii="Amiri" w:hAnsi="Amiri" w:eastAsia="Amiri" w:cs="Amiri"/>
          <w:color w:val="111111"/>
          <w:sz w:val="28"/>
          <w:sz w:val="28"/>
          <w:szCs w:val="28"/>
          <w:rtl w:val="true"/>
          <w:lang w:bidi="ar-SA"/>
        </w:rPr>
        <w:t>في البَيعِ جاريةٌ، فإذا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w:t>
      </w:r>
      <w:r>
        <w:rPr>
          <w:rStyle w:val="FootnoteAnchor"/>
          <w:rtl w:val="true"/>
        </w:rPr>
        <w:footnoteReference w:id="3223"/>
      </w:r>
      <w:r>
        <w:rPr>
          <w:rFonts w:ascii="Amiri" w:hAnsi="Amiri" w:eastAsia="Amiri" w:cs="Amiri"/>
          <w:color w:val="111111"/>
          <w:sz w:val="28"/>
          <w:sz w:val="28"/>
          <w:szCs w:val="28"/>
          <w:rtl w:val="true"/>
          <w:lang w:bidi="ar-SA"/>
        </w:rPr>
        <w:t>هو مُستامٌ،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يَحتاجُ إلىٰ قَبولٍ مُجدَّدٍ</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كذلكَ النكاحُ؛ لأنّ العادةَ لَم تَجرِ فيه بالمُساوَمةِ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Style w:val="FootnoteAnchor"/>
          <w:rtl w:val="true"/>
        </w:rPr>
        <w:footnoteReference w:id="3224"/>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يَقولَ‌</w:t>
      </w:r>
      <w:r>
        <w:rPr>
          <w:rStyle w:val="FootnoteAnchor"/>
          <w:rtl w:val="true"/>
        </w:rPr>
        <w:footnoteReference w:id="32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w:t>
      </w:r>
      <w:r>
        <w:rPr>
          <w:rStyle w:val="FootnoteAnchor"/>
          <w:rtl w:val="true"/>
        </w:rPr>
        <w:footnoteReference w:id="3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في النكاحِ كالسَّومِ في البَيعِ، و قد جَرَت العادةُ بأن يَخطُبَ الرجُلُ و يَعرِضَ نفسَه في عَقدِ</w:t>
      </w:r>
      <w:r>
        <w:rPr>
          <w:rStyle w:val="FootnoteAnchor"/>
          <w:rtl w:val="true"/>
        </w:rPr>
        <w:footnoteReference w:id="3227"/>
      </w:r>
      <w:r>
        <w:rPr>
          <w:rFonts w:ascii="Amiri" w:hAnsi="Amiri" w:eastAsia="Amiri" w:cs="Amiri"/>
          <w:color w:val="111111"/>
          <w:sz w:val="28"/>
          <w:sz w:val="28"/>
          <w:szCs w:val="28"/>
          <w:rtl w:val="true"/>
          <w:lang w:bidi="ar-SA"/>
        </w:rPr>
        <w:t>النكاحِ علىٰ غيرِه، كَما جَرىٰ في البَيعِ بالمُساوَمةِ؛ فلا يَجِبُ أن يُجعَلَ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منه القَبولُ في المَوضِعَينِ، و لا بُدَّ مِن قَبولٍ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يَكشِفُ عن صِحّةِ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قالَ له</w:t>
      </w:r>
      <w:r>
        <w:rPr>
          <w:rStyle w:val="FootnoteAnchor"/>
          <w:rtl w:val="true"/>
        </w:rPr>
        <w:footnoteReference w:id="32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 مِنّي هذا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ابتَعتُه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إيجاباً حتّىٰ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لا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قَبولاً حتّىٰ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Style w:val="FootnoteAnchor"/>
          <w:rtl w:val="true"/>
        </w:rPr>
        <w:footnoteReference w:id="3229"/>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 النكاحِ</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العِلّةُ الجامعةُ بَينَ الأمرَينِ أنّ الإيجابَ غيرُ مفهومٍ مِن لفظِ الأمرِ</w:t>
      </w:r>
      <w:r>
        <w:rPr>
          <w:rStyle w:val="FootnoteAnchor"/>
          <w:rtl w:val="true"/>
        </w:rPr>
        <w:footnoteReference w:id="3230"/>
      </w:r>
      <w:r>
        <w:rPr>
          <w:rFonts w:ascii="Amiri" w:hAnsi="Amiri" w:eastAsia="Amiri" w:cs="Amiri"/>
          <w:color w:val="111111"/>
          <w:sz w:val="28"/>
          <w:sz w:val="28"/>
          <w:szCs w:val="28"/>
          <w:rtl w:val="true"/>
          <w:lang w:bidi="ar-SA"/>
        </w:rPr>
        <w:t>، و كذلكَ القَبولُ لا يُفهَمُ مِن لفظِ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Style w:val="FootnoteAnchor"/>
          <w:rtl w:val="true"/>
        </w:rPr>
        <w:footnoteReference w:id="3231"/>
      </w:r>
      <w:r>
        <w:rPr>
          <w:rFonts w:ascii="Amiri" w:hAnsi="Amiri" w:eastAsia="Amiri" w:cs="Amiri"/>
          <w:color w:val="111111"/>
          <w:sz w:val="28"/>
          <w:sz w:val="28"/>
          <w:szCs w:val="28"/>
          <w:rtl w:val="true"/>
          <w:lang w:bidi="ar-SA"/>
        </w:rPr>
        <w:t>اعتَبَروا الإرادةَ، 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الإرادةِ، لَزِمَهم في الإيجابِ مِثلُه؛ لأنّه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Style w:val="FootnoteAnchor"/>
          <w:rtl w:val="true"/>
        </w:rPr>
        <w:footnoteReference w:id="3232"/>
      </w:r>
      <w:r>
        <w:rPr>
          <w:rFonts w:ascii="Amiri" w:hAnsi="Amiri" w:eastAsia="Amiri" w:cs="Amiri"/>
          <w:color w:val="111111"/>
          <w:sz w:val="28"/>
          <w:sz w:val="28"/>
          <w:szCs w:val="28"/>
          <w:rtl w:val="true"/>
          <w:lang w:bidi="ar-SA"/>
        </w:rPr>
        <w:t>يَدُلُّ علَى الإرادةِ، و مع</w:t>
      </w:r>
      <w:r>
        <w:rPr>
          <w:rStyle w:val="FootnoteAnchor"/>
          <w:rtl w:val="true"/>
        </w:rPr>
        <w:footnoteReference w:id="3233"/>
      </w:r>
      <w:r>
        <w:rPr>
          <w:rFonts w:ascii="Amiri" w:hAnsi="Amiri" w:eastAsia="Amiri" w:cs="Amiri"/>
          <w:color w:val="111111"/>
          <w:sz w:val="28"/>
          <w:sz w:val="28"/>
          <w:szCs w:val="28"/>
          <w:rtl w:val="true"/>
          <w:lang w:bidi="ar-SA"/>
        </w:rPr>
        <w:t>هذا فلَم يُغنِ ذلكَ عن لفظِ الإيجابِ الصريحِ</w:t>
      </w:r>
      <w:r>
        <w:rPr>
          <w:rFonts w:eastAsia="Amiri" w:cs="Amiri" w:ascii="Amiri" w:hAnsi="Amiri"/>
          <w:color w:val="111111"/>
          <w:sz w:val="28"/>
          <w:szCs w:val="28"/>
          <w:rtl w:val="true"/>
          <w:lang w:bidi="ar-SA"/>
        </w:rPr>
        <w:t xml:space="preserve">. </w:t>
      </w:r>
      <w:bookmarkStart w:id="1295" w:name="pg16437_172941"/>
    </w:p>
    <w:p>
      <w:pPr>
        <w:pStyle w:val="Heading3"/>
        <w:numPr>
          <w:ilvl w:val="2"/>
          <w:numId w:val="1"/>
        </w:numPr>
        <w:rPr/>
      </w:pPr>
      <w:bookmarkStart w:id="1296" w:name="__RefHeading___Toc8040391_1280447820"/>
      <w:bookmarkStart w:id="1297" w:name="_Toc470"/>
      <w:bookmarkEnd w:id="1295"/>
      <w:bookmarkEnd w:id="1296"/>
      <w:r>
        <w:rPr>
          <w:rtl w:val="true"/>
        </w:rPr>
        <w:t>(</w:t>
      </w:r>
      <w:r>
        <w:rPr/>
        <w:t>91</w:t>
      </w:r>
      <w:r>
        <w:rPr>
          <w:rtl w:val="true"/>
        </w:rPr>
        <w:t xml:space="preserve">) </w:t>
      </w:r>
      <w:r>
        <w:rPr>
          <w:rtl w:val="true"/>
        </w:rPr>
        <w:t>مَسألةٌ في نِكاحِ المُتعةِ‌</w:t>
      </w:r>
      <w:bookmarkEnd w:id="1297"/>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8" w:name="__RefHeading___Toc8040393_1280447820"/>
      <w:bookmarkStart w:id="1299" w:name="_Toc471"/>
      <w:bookmarkEnd w:id="1298"/>
      <w:r>
        <w:rPr>
          <w:rtl w:val="true"/>
        </w:rPr>
        <w:t>اشارة</w:t>
      </w:r>
      <w:bookmarkEnd w:id="1299"/>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0" w:name="pg16437_172943"/>
      <w:bookmarkStart w:id="1301" w:name="pg16437_172943"/>
      <w:bookmarkEnd w:id="1301"/>
    </w:p>
    <w:p>
      <w:pPr>
        <w:pStyle w:val="Heading4"/>
        <w:numPr>
          <w:ilvl w:val="3"/>
          <w:numId w:val="1"/>
        </w:numPr>
        <w:rPr/>
      </w:pPr>
      <w:bookmarkStart w:id="1302" w:name="pg16437_172943"/>
      <w:bookmarkStart w:id="1303" w:name="__RefHeading___Toc8040395_1280447820"/>
      <w:bookmarkStart w:id="1304" w:name="_Toc472"/>
      <w:bookmarkEnd w:id="1302"/>
      <w:bookmarkEnd w:id="1303"/>
      <w:r>
        <w:rPr>
          <w:rtl w:val="true"/>
        </w:rPr>
        <w:t>مقدّمة التحقيق</w:t>
      </w:r>
      <w:bookmarkEnd w:id="1304"/>
    </w:p>
    <w:p>
      <w:pPr>
        <w:pStyle w:val="Heading5"/>
        <w:numPr>
          <w:ilvl w:val="4"/>
          <w:numId w:val="1"/>
        </w:numPr>
        <w:rPr/>
      </w:pPr>
      <w:bookmarkStart w:id="1305" w:name="__RefHeading___Toc8040397_1280447820"/>
      <w:bookmarkStart w:id="1306" w:name="_Toc473"/>
      <w:bookmarkEnd w:id="1305"/>
      <w:r>
        <w:rPr>
          <w:rtl w:val="true"/>
        </w:rPr>
        <w:t>اشارة</w:t>
      </w:r>
      <w:bookmarkEnd w:id="1306"/>
    </w:p>
    <w:p>
      <w:pPr>
        <w:pStyle w:val="BookText"/>
        <w:rPr/>
      </w:pPr>
      <w:r>
        <w:rPr>
          <w:rFonts w:ascii="Amiri" w:hAnsi="Amiri" w:eastAsia="Amiri" w:cs="Amiri"/>
          <w:color w:val="111111"/>
          <w:sz w:val="28"/>
          <w:sz w:val="28"/>
          <w:szCs w:val="28"/>
          <w:rtl w:val="true"/>
          <w:lang w:bidi="ar-SA"/>
        </w:rPr>
        <w:t>يعتبر نكاح المتعة من المسائل الفقهيّة الخلافيّة التي دار حولها نزاع قديم بين المسلمين، و قد استمرّ هذا النزاع إلى يومنا هذا بين مَن ذهب إلى مشروعيّته، و بين مَن ذهب إلى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تبنّى الشيعة الإماميّة تبعاً لأئمّتهم عليهم السلام الموقفَ الأوّل، و أصرّوا دائماً على مشروعيّة هذا النوع من النكاح، فيما انحاز أتباع المذاهب الإسلاميّة الأُخرى بصورة عامّة إلى الموقف الثاني، و أصرّوا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أُلّفت في هذا المجال كتب و رسائل عديدة</w:t>
      </w:r>
      <w:r>
        <w:rPr>
          <w:rStyle w:val="FootnoteAnchor"/>
          <w:rtl w:val="true"/>
        </w:rPr>
        <w:footnoteReference w:id="3234"/>
      </w:r>
      <w:r>
        <w:rPr>
          <w:rFonts w:ascii="Amiri" w:hAnsi="Amiri" w:eastAsia="Amiri" w:cs="Amiri"/>
          <w:color w:val="111111"/>
          <w:sz w:val="28"/>
          <w:sz w:val="28"/>
          <w:szCs w:val="28"/>
          <w:rtl w:val="true"/>
          <w:lang w:bidi="ar-SA"/>
        </w:rPr>
        <w:t>، و منها الرسالة محلّ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نسب كلٌّ من البُصروي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حول المتعة إلى الشريف المرتضى، لعلّها تكون نفس الرسالة التي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أُلّفت هذه الرسالة في فترة متأخّرة من حياة الشريف المرتضى، و ذلك في المحرّم من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جاءت الإشارة إلى ذلك في مقدّمتها</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8040399_1280447820"/>
      <w:bookmarkStart w:id="1308" w:name="_Toc474"/>
      <w:bookmarkEnd w:id="1307"/>
      <w:r>
        <w:rPr>
          <w:rtl w:val="true"/>
        </w:rPr>
        <w:t>محتوى الرسالة</w:t>
      </w:r>
      <w:bookmarkEnd w:id="1308"/>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تنوّعت الإشكالات التي وجّهها أتباع المذاهب المختلفة إلى نكاح المتعة؛ منها أنّ من خصوصيّات كلّ نكاح مشروع صحّة دخول الطلاق فيه، و بما أنّ نكاح </w:t>
      </w:r>
    </w:p>
    <w:p>
      <w:pPr>
        <w:pStyle w:val="BookText"/>
        <w:rPr/>
      </w:pPr>
      <w:r>
        <w:rPr>
          <w:rFonts w:ascii="Amiri" w:hAnsi="Amiri" w:eastAsia="Amiri" w:cs="Amiri"/>
          <w:color w:val="111111"/>
          <w:sz w:val="28"/>
          <w:sz w:val="28"/>
          <w:szCs w:val="28"/>
          <w:rtl w:val="true"/>
          <w:lang w:bidi="ar-SA"/>
        </w:rPr>
        <w:t>المتعة ليس فيه طلاق، فيُحكم بفساده من باب القياس على الأنكحة الفاسدة التي لا طلاق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انبرىٰ الشريف المرتضى في هذه الرسالة للإجابة على هذا الإشكال، أو القياس، أو الاستدلال، ما شئتَ فعبِّر، و لم يتعرّض إلى بحث آخر حول المتعة، فالرسالة كلّها مكرّسة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أشكل على هذا القياس، أو الاستدلال بعدة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أساس هذا الاستدلال مبني على قياس نكاح المتعة على الأنكحة الفاسدة، و من المعلوم من موقف الشريف المرتضى و سائر الإماميّة بطلان الاستدلال بالقياس، و أنّه ليس بحجّة في الشريعة؛ فيكون الاستدلال باطلاً من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بعد ذلك تنزّل الشريف المرتضى، و سلّم جدلاً بصحّة الاستدلال بالقياس، و لذلك انتقل إلى الإشكال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الشريف المرتضى إشكاله إلى علّة الحكم</w:t>
      </w:r>
      <w:r>
        <w:rPr>
          <w:rStyle w:val="FootnoteAnchor"/>
          <w:rtl w:val="true"/>
        </w:rPr>
        <w:footnoteReference w:id="3235"/>
      </w:r>
      <w:r>
        <w:rPr>
          <w:rFonts w:ascii="Amiri" w:hAnsi="Amiri" w:eastAsia="Amiri" w:cs="Amiri"/>
          <w:color w:val="111111"/>
          <w:sz w:val="28"/>
          <w:sz w:val="28"/>
          <w:szCs w:val="28"/>
          <w:rtl w:val="true"/>
          <w:lang w:bidi="ar-SA"/>
        </w:rPr>
        <w:t>، و أشكل عليها بعدّة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دليل صحّة هذه العلّة؟ فإنّه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نكاح لا يدخل الطلاق فيه، فهو نكاح فاسد؟</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يمكنهم أن يتهرّبوا من إثبات صحّة العلّة من باب أنّه لا يُبحث عن صحّة العلّة في القياس؛ و ذلك لأنّ المحصّلين من أصحاب القياس لا يمتنعون من المطالبة بصحّة العلّة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يمكنهم أن يستدلّوا على صحّة العلّة من خلال الاطّراد و الانعكاس، بمعنى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استقرأنا، فوجدنا كلّ نكاحٍ صحيحٍ لا يخلو من صحّة دخول الطلاق فيه و أنّه إذا خلا منها كان نكاحاً فاسداً؛ فإنّ هذه الطريقة في الاستدلال باطلة، و لا يعتمدها المحصّلون من أصحاب القياس؛ لأنّ الطرد و الانعكاس لا يدلّان على صحّة العلّة، و إنّما الذي يدلّ على ذلك هو بيان تأثير العلّة في الحكم الذي تعلّقت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بَيّن عدم وجود دليل على صحّة علّة القياس المتقدّم، قام بإثبات أنّ تلك العلّة المدّعاة لا تصلح أن تكون علّة لفساد النكاح، و ذلك من خلال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إمكان الطلاق حكمٌ من أحكام النكاح، كما أنّ التوارث بين الزوجين حكمٌ آخر من أحكامه، فإذا تعذّر التوارث بين الزوجين أحياناً، لا يُحكم بفساد النكاح، و ذلك كما في حالة نكاح الذمّية، فإنّ هذا النكاح صحيح، لكن لا يثبت فيه التوارث، فإنّ الذمّية لا ترث المسلم، فعلى الرغم من سقوط حكم من أحكام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يحكموا بفساد النكاح، و هكذا إذا سقط إمكان الطلاق من قسم من أقسام النكاح لم يُحكم ببطلان ذلك القسم أيضاً</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أثبت أنّ علّة القياس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اشتراط إمكان الطلاق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علّة و دليلاً على بطلان النكاح، قام بتوجيه هذه العلّة و بيان حكمتها، بالنسبة إلىٰ بعض أنواع الأنكحة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فهمنا طبيعة نكاح المتعة، فسوف يتبيّن لنا بكلّ وضوح سبب عدم إمكان دخول الطلاق فيه، فإنّ طبيعة نكاح المتعة هو أنّه نكاح مؤجّل إلى وقت معيّن، و بذلك لم يحتج إلى طلاق؛ لأنّ انقضاء المدّة يقع موقع الطلاق في ارتفاع هذا النكاح، و إنّما احتاج النكاح الدائم إلى طلاق؛ لأنّه نكاح مستمرّ في جميع الأوقات، فتطلّب وجود ما يقطع استمراره، خلافاً للمتعة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إمكان الطلاق ليس حكماً عامّاً لكلّ نكاح، بل هو حكم خاصّ بالنكاح الدائم</w:t>
      </w:r>
      <w:r>
        <w:rPr>
          <w:rFonts w:eastAsia="Amiri" w:cs="Amiri" w:ascii="Amiri" w:hAnsi="Amiri"/>
          <w:color w:val="111111"/>
          <w:sz w:val="28"/>
          <w:szCs w:val="28"/>
          <w:rtl w:val="true"/>
          <w:lang w:bidi="ar-SA"/>
        </w:rPr>
        <w:t xml:space="preserve">. </w:t>
      </w:r>
      <w:bookmarkStart w:id="1309" w:name="pg16437_172946"/>
    </w:p>
    <w:p>
      <w:pPr>
        <w:pStyle w:val="BookText"/>
        <w:rPr/>
      </w:pPr>
      <w:bookmarkEnd w:id="1309"/>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أشكل الشريف المرتضى إشكالاً عامّاً على القياس المتقدّم، و هو أنّ هذا القياس اقتضى فساد نوع من أنواع النكاح لعدم دخول شروط باقي أنواع النكاح فيه، و هذا القياس غير صحيح؛ فإنّه إذا راجعنا أنواع البيوع لوجدنا أنّ لكلّ نوع شروطاً غير موجودة في النوع الآخر، إلّاأنّ هذا الأمر لم يؤدّ إلى فساد بعض أنواع البيوع لفقدانها شروط الأنواع الأُخرى، و هكذا الأنكحة المختلفة، فإنّ عدم وجود شرط بعض الأنواع في أنواع أُخرى لا يؤدّي إلى بطلان تلك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الختام أشار إلى مفارقة سوف يقع فيها مَن يستدلّ بهذا القياس، و هي أنّه لو صحّت تلك العلّة المدّعاة في القياس، و هي أنّ عدم دخول الطلاق في النكاح مستلزم لفساده، فسوف تتنافى مع ما هو معلوم بلا خلاف من أنّ نكاح المتعة كان مشرّعاً و مباحاً في صدر الإسلام، و إنّما تمّ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فكيف تجتمع علّة البطلان و الحظر مع الإباحة، فإنّ هذه العلّة كانت موجودة أيضاً في صدر الإسلام، عندما كانت المتعة مباحة، و هذا كلّه يدلّ على بطلان العلّة، و إذا بطلت العلّة بطل القياس المتقدّم الذي أقيم لإبطال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كانت هذه الرسالة قد طبعت في ضمن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كما طبعت في ضمن مسائل المرتضى،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8040401_1280447820"/>
      <w:bookmarkStart w:id="1311" w:name="_Toc475"/>
      <w:bookmarkEnd w:id="1310"/>
      <w:r>
        <w:rPr>
          <w:rtl w:val="true"/>
        </w:rPr>
        <w:t>مخطوطات الرسالة</w:t>
      </w:r>
      <w:bookmarkEnd w:id="1311"/>
    </w:p>
    <w:p>
      <w:pPr>
        <w:pStyle w:val="Heading6"/>
        <w:numPr>
          <w:ilvl w:val="5"/>
          <w:numId w:val="1"/>
        </w:numPr>
        <w:rPr/>
      </w:pPr>
      <w:bookmarkStart w:id="1312" w:name="__RefHeading___Toc8040403_1280447820"/>
      <w:bookmarkStart w:id="1313" w:name="_Toc476"/>
      <w:bookmarkEnd w:id="1312"/>
      <w:r>
        <w:rPr>
          <w:rtl w:val="true"/>
        </w:rPr>
        <w:t>ألف</w:t>
      </w:r>
      <w:r>
        <w:rPr>
          <w:rtl w:val="true"/>
        </w:rPr>
        <w:t xml:space="preserve">) </w:t>
      </w:r>
      <w:r>
        <w:rPr>
          <w:rtl w:val="true"/>
        </w:rPr>
        <w:t>النسخ المعتمدة</w:t>
      </w:r>
      <w:r>
        <w:rPr>
          <w:rtl w:val="true"/>
        </w:rPr>
        <w:t>:</w:t>
      </w:r>
      <w:bookmarkEnd w:id="1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1314" w:name="pg16437_172947"/>
    </w:p>
    <w:p>
      <w:pPr>
        <w:pStyle w:val="BookText"/>
        <w:rPr/>
      </w:pPr>
      <w:bookmarkEnd w:id="131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541/14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6"/>
        <w:numPr>
          <w:ilvl w:val="5"/>
          <w:numId w:val="1"/>
        </w:numPr>
        <w:rPr/>
      </w:pPr>
      <w:bookmarkStart w:id="1315" w:name="__RefHeading___Toc8040405_1280447820"/>
      <w:bookmarkStart w:id="1316" w:name="_Toc477"/>
      <w:bookmarkEnd w:id="1315"/>
      <w:r>
        <w:rPr>
          <w:rtl w:val="true"/>
        </w:rPr>
        <w:t>ب</w:t>
      </w:r>
      <w:r>
        <w:rPr>
          <w:rtl w:val="true"/>
        </w:rPr>
        <w:t xml:space="preserve">) </w:t>
      </w:r>
      <w:r>
        <w:rPr>
          <w:rtl w:val="true"/>
        </w:rPr>
        <w:t>سائر النسخ</w:t>
      </w:r>
      <w:r>
        <w:rPr>
          <w:rtl w:val="true"/>
        </w:rPr>
        <w:t>:</w:t>
      </w:r>
      <w:bookmarkEnd w:id="1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 و الرسالة ناقصة من أوّلها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10005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السيّد حسن الصدر رحمه اللّٰه، المرقّمة </w:t>
      </w:r>
      <w:r>
        <w:rPr>
          <w:rFonts w:eastAsia="Amiri" w:cs="Amiri" w:ascii="Amiri" w:hAnsi="Amiri"/>
          <w:color w:val="111111"/>
          <w:sz w:val="28"/>
          <w:szCs w:val="28"/>
          <w:lang w:bidi="ar-SA"/>
        </w:rPr>
        <w:t>587/7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bookmarkStart w:id="1317" w:name="pg16437_172949"/>
    </w:p>
    <w:p>
      <w:pPr>
        <w:pStyle w:val="Heading4"/>
        <w:numPr>
          <w:ilvl w:val="3"/>
          <w:numId w:val="1"/>
        </w:numPr>
        <w:rPr/>
      </w:pPr>
      <w:bookmarkStart w:id="1318" w:name="__RefHeading___Toc8040407_1280447820"/>
      <w:bookmarkStart w:id="1319" w:name="_Toc478"/>
      <w:bookmarkEnd w:id="1317"/>
      <w:bookmarkEnd w:id="1318"/>
      <w:r>
        <w:rPr>
          <w:rtl w:val="true"/>
        </w:rPr>
        <w:t>مَسألةٌ في نِكاحِ المُتعةِ‌</w:t>
      </w:r>
      <w:bookmarkEnd w:id="1319"/>
    </w:p>
    <w:p>
      <w:pPr>
        <w:pStyle w:val="Heading5"/>
        <w:numPr>
          <w:ilvl w:val="4"/>
          <w:numId w:val="1"/>
        </w:numPr>
        <w:rPr/>
      </w:pPr>
      <w:bookmarkStart w:id="1320" w:name="__RefHeading___Toc8040409_1280447820"/>
      <w:bookmarkStart w:id="1321" w:name="_Toc479"/>
      <w:bookmarkEnd w:id="1320"/>
      <w:r>
        <w:rPr>
          <w:rtl w:val="true"/>
        </w:rPr>
        <w:t>اشارة</w:t>
      </w:r>
      <w:bookmarkEnd w:id="1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خَرَجَت في مُحرَّمٍ سَنةَ سَبعٍ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Style w:val="FootnoteAnchor"/>
          <w:rtl w:val="true"/>
        </w:rPr>
        <w:footnoteReference w:id="3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2" w:name="__RefHeading___Toc8040411_1280447820"/>
      <w:bookmarkStart w:id="1323" w:name="_Toc480"/>
      <w:bookmarkEnd w:id="1322"/>
      <w:r>
        <w:rPr>
          <w:rtl w:val="true"/>
        </w:rPr>
        <w:t>بطلانُ الاستدلالِ علىٰ فسادِ نكاحِ المتعةِ بعدمِ دخولِ الطلاقِ فيه</w:t>
      </w:r>
      <w:bookmarkEnd w:id="1323"/>
    </w:p>
    <w:p>
      <w:pPr>
        <w:pStyle w:val="BookText"/>
        <w:rPr/>
      </w:pPr>
      <w:r>
        <w:rPr>
          <w:rFonts w:ascii="Amiri" w:hAnsi="Amiri" w:eastAsia="Amiri" w:cs="Amiri"/>
          <w:color w:val="111111"/>
          <w:sz w:val="28"/>
          <w:sz w:val="28"/>
          <w:szCs w:val="28"/>
          <w:rtl w:val="true"/>
          <w:lang w:bidi="ar-SA"/>
        </w:rPr>
        <w:t xml:space="preserve">استَدَلَّ بعضُهم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نِكاحٌ لا يَصِحُّ دخولُ الطلاقِ فيه، فوَجَبَ الحُكمُ بفَسادِه؛ قياساً علىٰ كُلِّ الأنكِحةِ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للمُستَدِلِّ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طريقةٌ قياسيّةٌ، و قد دَلَّلنا في مَواضِعَ مِن كُتُبِنا علىٰ أنّ القياسَ في أحكامِ الشريعةِ غيرُ صحيحٍ</w:t>
      </w:r>
      <w:r>
        <w:rPr>
          <w:rFonts w:eastAsia="Amiri" w:cs="Amiri" w:ascii="Amiri" w:hAnsi="Amiri"/>
          <w:color w:val="111111"/>
          <w:sz w:val="28"/>
          <w:szCs w:val="28"/>
          <w:rtl w:val="true"/>
          <w:lang w:bidi="ar-SA"/>
        </w:rPr>
        <w:t>.</w:t>
      </w:r>
      <w:r>
        <w:rPr>
          <w:rStyle w:val="FootnoteAnchor"/>
          <w:rtl w:val="true"/>
        </w:rPr>
        <w:footnoteReference w:id="3237"/>
      </w:r>
    </w:p>
    <w:p>
      <w:pPr>
        <w:pStyle w:val="BookText"/>
        <w:rPr/>
      </w:pPr>
      <w:r>
        <w:rPr>
          <w:rFonts w:ascii="Amiri" w:hAnsi="Amiri" w:eastAsia="Amiri" w:cs="Amiri"/>
          <w:color w:val="111111"/>
          <w:sz w:val="28"/>
          <w:sz w:val="28"/>
          <w:szCs w:val="28"/>
          <w:rtl w:val="true"/>
          <w:lang w:bidi="ar-SA"/>
        </w:rPr>
        <w:t>و إذا سُلِّمَ استظهاراً صِحّةُ القياسِ، جازَ أن يُقالَ لِمَن تَعلَّقَ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صِحّةِ هذه العِلّةِ‌</w:t>
      </w:r>
      <w:r>
        <w:rPr>
          <w:rStyle w:val="FootnoteAnchor"/>
          <w:rtl w:val="true"/>
        </w:rPr>
        <w:footnoteReference w:id="3238"/>
      </w:r>
      <w:r>
        <w:rPr>
          <w:rFonts w:ascii="Amiri" w:hAnsi="Amiri" w:eastAsia="Amiri" w:cs="Amiri"/>
          <w:color w:val="111111"/>
          <w:sz w:val="28"/>
          <w:sz w:val="28"/>
          <w:szCs w:val="28"/>
          <w:rtl w:val="true"/>
          <w:lang w:bidi="ar-SA"/>
        </w:rPr>
        <w:t>، و أنّ الحُكمَ في الأصلِ تَعلَّقَ‌</w:t>
      </w:r>
      <w:r>
        <w:rPr>
          <w:rStyle w:val="FootnoteAnchor"/>
          <w:rtl w:val="true"/>
        </w:rPr>
        <w:footnoteReference w:id="3239"/>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اعتادَ الفقهاءُ المطالَبةَ بذلكَ، و إنّما تَقَعُ‌</w:t>
      </w:r>
      <w:r>
        <w:rPr>
          <w:rStyle w:val="FootnoteAnchor"/>
          <w:rtl w:val="true"/>
        </w:rPr>
        <w:footnoteReference w:id="3240"/>
      </w:r>
      <w:r>
        <w:rPr>
          <w:rFonts w:ascii="Amiri" w:hAnsi="Amiri" w:eastAsia="Amiri" w:cs="Amiri"/>
          <w:color w:val="111111"/>
          <w:sz w:val="28"/>
          <w:sz w:val="28"/>
          <w:szCs w:val="28"/>
          <w:rtl w:val="true"/>
          <w:lang w:bidi="ar-SA"/>
        </w:rPr>
        <w:t>الدَّلالةُ علىٰ صِحّةِ عِلّةِ الأصلِ عندَ المُعارَضةِ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امتَنَعَ مُحصِّلٌ مِن أصحابِ القياسِ مِن المُطالَبةِ بصِحّةِ‌</w:t>
      </w:r>
      <w:r>
        <w:rPr>
          <w:rStyle w:val="FootnoteAnchor"/>
          <w:rtl w:val="true"/>
        </w:rPr>
        <w:footnoteReference w:id="3241"/>
      </w:r>
      <w:r>
        <w:rPr>
          <w:rFonts w:ascii="Amiri" w:hAnsi="Amiri" w:eastAsia="Amiri" w:cs="Amiri"/>
          <w:color w:val="111111"/>
          <w:sz w:val="28"/>
          <w:sz w:val="28"/>
          <w:szCs w:val="28"/>
          <w:rtl w:val="true"/>
          <w:lang w:bidi="ar-SA"/>
        </w:rPr>
        <w:t>العِلّةِ في الأصلِ، و إنّما لَجَئوا إلَى المُناقَضةِ إذا أمكَنَت أو المُعارَضةِ‌</w:t>
      </w:r>
      <w:r>
        <w:rPr>
          <w:rStyle w:val="FootnoteAnchor"/>
          <w:rtl w:val="true"/>
        </w:rPr>
        <w:footnoteReference w:id="3242"/>
      </w:r>
      <w:r>
        <w:rPr>
          <w:rFonts w:ascii="Amiri" w:hAnsi="Amiri" w:eastAsia="Amiri" w:cs="Amiri"/>
          <w:color w:val="111111"/>
          <w:sz w:val="28"/>
          <w:sz w:val="28"/>
          <w:szCs w:val="28"/>
          <w:rtl w:val="true"/>
          <w:lang w:bidi="ar-SA"/>
        </w:rPr>
        <w:t>لأنّ بالمُعارَضةِ يَخرُجُ‌</w:t>
      </w:r>
      <w:r>
        <w:rPr>
          <w:rStyle w:val="FootnoteAnchor"/>
          <w:rtl w:val="true"/>
        </w:rPr>
        <w:footnoteReference w:id="3243"/>
      </w:r>
      <w:r>
        <w:rPr>
          <w:rFonts w:ascii="Amiri" w:hAnsi="Amiri" w:eastAsia="Amiri" w:cs="Amiri"/>
          <w:color w:val="111111"/>
          <w:sz w:val="28"/>
          <w:sz w:val="28"/>
          <w:szCs w:val="28"/>
          <w:rtl w:val="true"/>
          <w:lang w:bidi="ar-SA"/>
        </w:rPr>
        <w:t>الكلامُ في صِحّةِ العِلّةِ و بأيِّ شَيءٍ تَعلَّقَ حُكمُ الأصلِ، و إلّافلَو طولِبَ المُحتَجُّ بالطريقةِ القياسيّةِ بأن يَدُلَّ علىٰ صِحّةِ عِلّتِه، لَما قَدَرَ علىٰ دَفعِ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استَدَلَّ علىٰ صِحّتِها بالِاطِّرادِ و الانعكاسِ؛ فليسَ ذلكَ بحُجّةٍ في صِحّتِها، و قد نَصَّ مُحصِّلو أصحابِ القياسِ علىٰ أنّ الطَّردَ و العَكسَ لا يَدُلُّ علىٰ صِحّةِ العِلّةِ، و إنّما يَدُلُّ علىٰ صِحّتِها بيانُ تأثيرِها في الحُكمِ الذي عُلِّقَت به</w:t>
      </w:r>
      <w:r>
        <w:rPr>
          <w:rStyle w:val="FootnoteAnchor"/>
          <w:rtl w:val="true"/>
        </w:rPr>
        <w:footnoteReference w:id="3244"/>
      </w:r>
      <w:r>
        <w:rPr>
          <w:rFonts w:ascii="Amiri" w:hAnsi="Amiri" w:eastAsia="Amiri" w:cs="Amiri"/>
          <w:color w:val="111111"/>
          <w:sz w:val="28"/>
          <w:sz w:val="28"/>
          <w:szCs w:val="28"/>
          <w:rtl w:val="true"/>
          <w:lang w:bidi="ar-SA"/>
        </w:rPr>
        <w:t>و هَيهاتَ أن يُبيِّنَ صاحبُ هذه الطريقةِ تأثيرَ إمكانِ الطلاقِ في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الطلاقِ حُكمٌ مِن أحكامِ النكاحِ، كما أنّ التوارُثَ بَينَ‌</w:t>
      </w:r>
      <w:r>
        <w:rPr>
          <w:rStyle w:val="FootnoteAnchor"/>
          <w:rtl w:val="true"/>
        </w:rPr>
        <w:footnoteReference w:id="3245"/>
      </w:r>
      <w:r>
        <w:rPr>
          <w:rFonts w:ascii="Amiri" w:hAnsi="Amiri" w:eastAsia="Amiri" w:cs="Amiri"/>
          <w:color w:val="111111"/>
          <w:sz w:val="28"/>
          <w:sz w:val="28"/>
          <w:szCs w:val="28"/>
          <w:rtl w:val="true"/>
          <w:lang w:bidi="ar-SA"/>
        </w:rPr>
        <w:t>الزوجَينِ حُكمٌ مِن أحكامِه، و لَيسَ يَجِبُ إذا تَعذَّرَ في بعضِ الأنكِحةِ بعضُ‌</w:t>
      </w:r>
      <w:r>
        <w:rPr>
          <w:rStyle w:val="FootnoteAnchor"/>
          <w:rtl w:val="true"/>
        </w:rPr>
        <w:footnoteReference w:id="3246"/>
      </w:r>
      <w:r>
        <w:rPr>
          <w:rFonts w:ascii="Amiri" w:hAnsi="Amiri" w:eastAsia="Amiri" w:cs="Amiri"/>
          <w:color w:val="111111"/>
          <w:sz w:val="28"/>
          <w:sz w:val="28"/>
          <w:szCs w:val="28"/>
          <w:rtl w:val="true"/>
          <w:lang w:bidi="ar-SA"/>
        </w:rPr>
        <w:t>أحكامِ النكاحِ أن يُحكَمَ بفَسادِ العَقدِ؛ ألا تَرىٰ أنّ نِكاحَ الذمّيّةِ عندَكم صحيحٌ، و التوارُثُ لا يَثبُتُ فيه، و هو حُكمٌ مِن أحكامِ النكاحِ، و لَيسَ يَجِبُ أن يُقضىٰ‌</w:t>
      </w:r>
      <w:r>
        <w:rPr>
          <w:rStyle w:val="FootnoteAnchor"/>
          <w:rtl w:val="true"/>
        </w:rPr>
        <w:footnoteReference w:id="3247"/>
      </w:r>
      <w:r>
        <w:rPr>
          <w:rFonts w:ascii="Amiri" w:hAnsi="Amiri" w:eastAsia="Amiri" w:cs="Amiri"/>
          <w:color w:val="111111"/>
          <w:sz w:val="28"/>
          <w:sz w:val="28"/>
          <w:szCs w:val="28"/>
          <w:rtl w:val="true"/>
          <w:lang w:bidi="ar-SA"/>
        </w:rPr>
        <w:t>بفَسادِ هذا العَقدِ مِن حَيثُ تَعذَّرَ فيه هذا الحُكمُ المخصوصُ؟</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استَدَلَّ مُستَدِلٌّ علىٰ أنّ نِكاحَ الذمّيّةِ فاسدٌ بأنّه لا تَوارُثَ فيه، و قاسَه</w:t>
      </w:r>
      <w:r>
        <w:rPr>
          <w:rStyle w:val="FootnoteAnchor"/>
          <w:rtl w:val="true"/>
        </w:rPr>
        <w:footnoteReference w:id="3248"/>
      </w:r>
      <w:r>
        <w:rPr>
          <w:rFonts w:ascii="Amiri" w:hAnsi="Amiri" w:eastAsia="Amiri" w:cs="Amiri"/>
          <w:color w:val="111111"/>
          <w:sz w:val="28"/>
          <w:sz w:val="28"/>
          <w:szCs w:val="28"/>
          <w:rtl w:val="true"/>
          <w:lang w:bidi="ar-SA"/>
        </w:rPr>
        <w:t xml:space="preserve">علَى الأنكِحةِ الفاسدةِ؛ ألَستم إنّما كنتم تَفزَعونَ إلىٰ مِثلِ ما ذَكَرناه، مِن أنّه غيرُ مُمتَنِعٍ أن </w:t>
      </w:r>
    </w:p>
    <w:p>
      <w:pPr>
        <w:pStyle w:val="BookText"/>
        <w:rPr/>
      </w:pPr>
      <w:r>
        <w:rPr>
          <w:rFonts w:ascii="Amiri" w:hAnsi="Amiri" w:eastAsia="Amiri" w:cs="Amiri"/>
          <w:color w:val="111111"/>
          <w:sz w:val="28"/>
          <w:sz w:val="28"/>
          <w:szCs w:val="28"/>
          <w:rtl w:val="true"/>
          <w:lang w:bidi="ar-SA"/>
        </w:rPr>
        <w:t>يَعرِضَ في بعضِ الأنكِحةِ ما يَمنَعُ مِن حُكمٍ ثابتٍ فيه</w:t>
      </w:r>
      <w:r>
        <w:rPr>
          <w:rStyle w:val="FootnoteAnchor"/>
          <w:rtl w:val="true"/>
        </w:rPr>
        <w:footnoteReference w:id="3249"/>
      </w:r>
      <w:r>
        <w:rPr>
          <w:rFonts w:ascii="Amiri" w:hAnsi="Amiri" w:eastAsia="Amiri" w:cs="Amiri"/>
          <w:color w:val="111111"/>
          <w:sz w:val="28"/>
          <w:sz w:val="28"/>
          <w:szCs w:val="28"/>
          <w:rtl w:val="true"/>
          <w:lang w:bidi="ar-SA"/>
        </w:rPr>
        <w:t>و في</w:t>
      </w:r>
      <w:r>
        <w:rPr>
          <w:rStyle w:val="FootnoteAnchor"/>
          <w:rtl w:val="true"/>
        </w:rPr>
        <w:footnoteReference w:id="3250"/>
      </w:r>
      <w:r>
        <w:rPr>
          <w:rFonts w:ascii="Amiri" w:hAnsi="Amiri" w:eastAsia="Amiri" w:cs="Amiri"/>
          <w:color w:val="111111"/>
          <w:sz w:val="28"/>
          <w:sz w:val="28"/>
          <w:szCs w:val="28"/>
          <w:rtl w:val="true"/>
          <w:lang w:bidi="ar-SA"/>
        </w:rPr>
        <w:t>غيرِه؟</w:t>
      </w:r>
    </w:p>
    <w:p>
      <w:pPr>
        <w:pStyle w:val="BookText"/>
        <w:rPr/>
      </w:pPr>
      <w:r>
        <w:rPr>
          <w:rFonts w:ascii="Amiri" w:hAnsi="Amiri" w:eastAsia="Amiri" w:cs="Amiri"/>
          <w:color w:val="111111"/>
          <w:sz w:val="28"/>
          <w:sz w:val="28"/>
          <w:szCs w:val="28"/>
          <w:rtl w:val="true"/>
          <w:lang w:bidi="ar-SA"/>
        </w:rPr>
        <w:t>فإذا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عَرَضَ في نِكاحِ الذمّيّةِ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التوارُثِ معقولٌ؛ و هو اختلافُ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المانعُ مِن التوارُثِ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أحكامِ النكاحِ كالطلاقِ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Style w:val="FootnoteAnchor"/>
          <w:rtl w:val="true"/>
        </w:rPr>
        <w:footnoteReference w:id="3251"/>
      </w:r>
      <w:r>
        <w:rPr>
          <w:rFonts w:ascii="Amiri" w:hAnsi="Amiri" w:eastAsia="Amiri" w:cs="Amiri"/>
          <w:color w:val="111111"/>
          <w:sz w:val="28"/>
          <w:sz w:val="28"/>
          <w:szCs w:val="28"/>
          <w:rtl w:val="true"/>
          <w:lang w:bidi="ar-SA"/>
        </w:rPr>
        <w:t>يَمنَعْ مِن صِحّةِ هذا النكاحِ؟</w:t>
      </w:r>
    </w:p>
    <w:p>
      <w:pPr>
        <w:pStyle w:val="BookText"/>
        <w:rPr/>
      </w:pPr>
      <w:r>
        <w:rPr>
          <w:rFonts w:ascii="Amiri" w:hAnsi="Amiri" w:eastAsia="Amiri" w:cs="Amiri"/>
          <w:color w:val="111111"/>
          <w:sz w:val="28"/>
          <w:sz w:val="28"/>
          <w:szCs w:val="28"/>
          <w:rtl w:val="true"/>
          <w:lang w:bidi="ar-SA"/>
        </w:rPr>
        <w:t>و بَعدُ، فالمانعُ مِن دخولِ الطلاقِ في نِكاحِ المُتعةِ أيضاً مفهومٌ، و هو أنّه نِكاحٌ مؤجَّلٌ إلىٰ وقتٍ بعَينِه، فلَم يَحتَجْ إلىٰ طلاقٍ؛ لأنّ انقضاءَ المُدّةِ في ارتفاعِ هذا النكاحِ يَجري مَجرَى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الطلاقُ‌</w:t>
      </w:r>
      <w:r>
        <w:rPr>
          <w:rStyle w:val="FootnoteAnchor"/>
          <w:rtl w:val="true"/>
        </w:rPr>
        <w:footnoteReference w:id="3252"/>
      </w:r>
      <w:r>
        <w:rPr>
          <w:rFonts w:ascii="Amiri" w:hAnsi="Amiri" w:eastAsia="Amiri" w:cs="Amiri"/>
          <w:color w:val="111111"/>
          <w:sz w:val="28"/>
          <w:sz w:val="28"/>
          <w:szCs w:val="28"/>
          <w:rtl w:val="true"/>
          <w:lang w:bidi="ar-SA"/>
        </w:rPr>
        <w:t>إنّما دَخَلَ في النكاحِ المؤبَّدِ لأنّه مُستَمِرٌّ علَى الأوقاتِ، فيَحتاجُ إلىٰ ما يَقطَعُ استمرارَه و يوجِبُ الفُرقةَ، و لَيسَ كذلكَ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الأنكحةِ علَى الإطلاقِ، بَل هو مِن</w:t>
      </w:r>
      <w:r>
        <w:rPr>
          <w:rStyle w:val="FootnoteAnchor"/>
          <w:rtl w:val="true"/>
        </w:rPr>
        <w:footnoteReference w:id="3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مُتَّفِقي</w:t>
      </w:r>
      <w:r>
        <w:rPr>
          <w:rStyle w:val="FootnoteAnchor"/>
          <w:rtl w:val="true"/>
        </w:rPr>
        <w:footnoteReference w:id="3254"/>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نُسلِّمُ نَحنُ أنّ إمكانَ الطلاقِ مِن حُكمِ كُلِّ نِكاحٍ؛ بَل هو مِن أحكامِ النكاحِ المؤبَّدِ</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أن يَكونَ المعنىٰ في</w:t>
      </w:r>
      <w:r>
        <w:rPr>
          <w:rStyle w:val="FootnoteAnchor"/>
          <w:rtl w:val="true"/>
        </w:rPr>
        <w:footnoteReference w:id="3255"/>
      </w:r>
      <w:r>
        <w:rPr>
          <w:rFonts w:ascii="Amiri" w:hAnsi="Amiri" w:eastAsia="Amiri" w:cs="Amiri"/>
          <w:color w:val="111111"/>
          <w:sz w:val="28"/>
          <w:sz w:val="28"/>
          <w:szCs w:val="28"/>
          <w:rtl w:val="true"/>
          <w:lang w:bidi="ar-SA"/>
        </w:rPr>
        <w:t>الأنكِحةِ الفاسدةِ أنّ الطلاقَ لا يَدخُلُها و لا ما يَقومُ مَقامَه في الفُرقةِ؟ و لَيسَ كذلكَ نِكاحُ المُتعةِ؛ لأنّه لمّا لَم</w:t>
      </w:r>
      <w:r>
        <w:rPr>
          <w:rStyle w:val="FootnoteAnchor"/>
          <w:rtl w:val="true"/>
        </w:rPr>
        <w:footnoteReference w:id="3256"/>
      </w:r>
    </w:p>
    <w:p>
      <w:pPr>
        <w:pStyle w:val="BookText"/>
        <w:rPr/>
      </w:pPr>
      <w:r>
        <w:rPr>
          <w:rFonts w:ascii="Amiri" w:hAnsi="Amiri" w:eastAsia="Amiri" w:cs="Amiri"/>
          <w:color w:val="111111"/>
          <w:sz w:val="28"/>
          <w:sz w:val="28"/>
          <w:szCs w:val="28"/>
          <w:rtl w:val="true"/>
          <w:lang w:bidi="ar-SA"/>
        </w:rPr>
        <w:t>يَدخُلْه الطلاقُ‌</w:t>
      </w:r>
      <w:r>
        <w:rPr>
          <w:rStyle w:val="FootnoteAnchor"/>
          <w:rtl w:val="true"/>
        </w:rPr>
        <w:footnoteReference w:id="3257"/>
      </w:r>
      <w:r>
        <w:rPr>
          <w:rFonts w:ascii="Amiri" w:hAnsi="Amiri" w:eastAsia="Amiri" w:cs="Amiri"/>
          <w:color w:val="111111"/>
          <w:sz w:val="28"/>
          <w:sz w:val="28"/>
          <w:szCs w:val="28"/>
          <w:rtl w:val="true"/>
          <w:lang w:bidi="ar-SA"/>
        </w:rPr>
        <w:t>، فإنّ فيه ما يَقومُ مَقامَه في وقوعِ الفُرقةِ، و هو انقضاءُ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موضوعَ‌</w:t>
      </w:r>
      <w:r>
        <w:rPr>
          <w:rStyle w:val="FootnoteAnchor"/>
          <w:rtl w:val="true"/>
        </w:rPr>
        <w:footnoteReference w:id="3258"/>
      </w:r>
      <w:r>
        <w:rPr>
          <w:rFonts w:ascii="Amiri" w:hAnsi="Amiri" w:eastAsia="Amiri" w:cs="Amiri"/>
          <w:color w:val="111111"/>
          <w:sz w:val="28"/>
          <w:sz w:val="28"/>
          <w:szCs w:val="28"/>
          <w:rtl w:val="true"/>
          <w:lang w:bidi="ar-SA"/>
        </w:rPr>
        <w:t>هذا القياسِ فاسدٌ؛ لأنّه يَقتَضي فَسادَ نَوعٍ مِن أنواعِ النكاحِ مِن حَيثُ لَم يَدخُلْ‌</w:t>
      </w:r>
      <w:r>
        <w:rPr>
          <w:rStyle w:val="FootnoteAnchor"/>
          <w:rtl w:val="true"/>
        </w:rPr>
        <w:footnoteReference w:id="3259"/>
      </w:r>
      <w:r>
        <w:rPr>
          <w:rFonts w:ascii="Amiri" w:hAnsi="Amiri" w:eastAsia="Amiri" w:cs="Amiri"/>
          <w:color w:val="111111"/>
          <w:sz w:val="28"/>
          <w:sz w:val="28"/>
          <w:szCs w:val="28"/>
          <w:rtl w:val="true"/>
          <w:lang w:bidi="ar-SA"/>
        </w:rPr>
        <w:t>فيه شُروطُ باقي أنواعِه، و قد عَلِمنا أنّ البَيعَ بَيعُ موجودٍ حاضرٍ، و بَيعٌ علىٰ جِهةِ السَّلَمِ؛ و لَيسَ نَجِدُ شُروطَ السَّلَمِ في بَيعِ الموجودِ، و لا شُروطَ الموجودِ في</w:t>
      </w:r>
      <w:r>
        <w:rPr>
          <w:rStyle w:val="FootnoteAnchor"/>
          <w:rtl w:val="true"/>
        </w:rPr>
        <w:footnoteReference w:id="3260"/>
      </w:r>
      <w:r>
        <w:rPr>
          <w:rFonts w:ascii="Amiri" w:hAnsi="Amiri" w:eastAsia="Amiri" w:cs="Amiri"/>
          <w:color w:val="111111"/>
          <w:sz w:val="28"/>
          <w:sz w:val="28"/>
          <w:szCs w:val="28"/>
          <w:rtl w:val="true"/>
          <w:lang w:bidi="ar-SA"/>
        </w:rPr>
        <w:t>السَّلَمِ، و لَم يوجِبْ ذلكَ فَسادَ البُيوعِ المختلفةِ، فكذلكَ الأنكِحةُ المُختَلِفةُ غيرُ مُمتَنِعٍ اختلافُ شُروطِها، و إن عَمَّ الجميعَ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العِلّةَ لَو كانَت صَحيحةً لَما اجتَمَعَ‌</w:t>
      </w:r>
      <w:r>
        <w:rPr>
          <w:rStyle w:val="FootnoteAnchor"/>
          <w:rtl w:val="true"/>
        </w:rPr>
        <w:footnoteReference w:id="3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دخولِ الطلاقِ</w:t>
      </w:r>
      <w:r>
        <w:rPr>
          <w:rFonts w:eastAsia="Amiri" w:cs="Amiri" w:ascii="Amiri" w:hAnsi="Amiri"/>
          <w:color w:val="111111"/>
          <w:sz w:val="28"/>
          <w:szCs w:val="28"/>
          <w:rtl w:val="true"/>
          <w:lang w:bidi="ar-SA"/>
        </w:rPr>
        <w:t>]</w:t>
      </w:r>
      <w:r>
        <w:rPr>
          <w:rStyle w:val="FootnoteAnchor"/>
          <w:rtl w:val="true"/>
        </w:rPr>
        <w:footnoteReference w:id="3262"/>
      </w:r>
      <w:r>
        <w:rPr>
          <w:rFonts w:ascii="Amiri" w:hAnsi="Amiri" w:eastAsia="Amiri" w:cs="Amiri"/>
          <w:color w:val="111111"/>
          <w:sz w:val="28"/>
          <w:sz w:val="28"/>
          <w:szCs w:val="28"/>
          <w:rtl w:val="true"/>
          <w:lang w:bidi="ar-SA"/>
        </w:rPr>
        <w:t>مع إباحةِ نِكاحِ المُتعةِ، و قد عَلِمنا بلا خِلافٍ أنّ نِكاحَ المُتعةِ كانَ في صَدرِ الإسلامِ مُباحاً، و إنّما ادَّعىٰ قَومٌ أنه حُظِرَ بَعدَ ذلكَ و نُسِخَت إباحتُه؛ فكَيفَ تَجتَمِعُ‌</w:t>
      </w:r>
      <w:r>
        <w:rPr>
          <w:rStyle w:val="FootnoteAnchor"/>
          <w:rtl w:val="true"/>
        </w:rPr>
        <w:footnoteReference w:id="3263"/>
      </w:r>
      <w:r>
        <w:rPr>
          <w:rFonts w:ascii="Amiri" w:hAnsi="Amiri" w:eastAsia="Amiri" w:cs="Amiri"/>
          <w:color w:val="111111"/>
          <w:sz w:val="28"/>
          <w:sz w:val="28"/>
          <w:szCs w:val="28"/>
          <w:rtl w:val="true"/>
          <w:lang w:bidi="ar-SA"/>
        </w:rPr>
        <w:t>عِلّةُ الحَظرِ مع الإباحةِ؟</w:t>
      </w:r>
    </w:p>
    <w:p>
      <w:pPr>
        <w:pStyle w:val="BookText"/>
        <w:rPr/>
      </w:pPr>
      <w:r>
        <w:rPr>
          <w:rFonts w:ascii="Amiri" w:hAnsi="Amiri" w:eastAsia="Amiri" w:cs="Amiri"/>
          <w:color w:val="111111"/>
          <w:sz w:val="28"/>
          <w:sz w:val="28"/>
          <w:szCs w:val="28"/>
          <w:rtl w:val="true"/>
          <w:lang w:bidi="ar-SA"/>
        </w:rPr>
        <w:t>و إذا كانَت عِلّةُ حَظرِ هذا النكاحِ أنّ الطلاقَ لا يَدخُلُ فيه، و كَونُه</w:t>
      </w:r>
      <w:r>
        <w:rPr>
          <w:rStyle w:val="FootnoteAnchor"/>
          <w:rtl w:val="true"/>
        </w:rPr>
        <w:footnoteReference w:id="3264"/>
      </w:r>
      <w:r>
        <w:rPr>
          <w:rFonts w:ascii="Amiri" w:hAnsi="Amiri" w:eastAsia="Amiri" w:cs="Amiri"/>
          <w:color w:val="111111"/>
          <w:sz w:val="28"/>
          <w:sz w:val="28"/>
          <w:szCs w:val="28"/>
          <w:rtl w:val="true"/>
          <w:lang w:bidi="ar-SA"/>
        </w:rPr>
        <w:t>مِمّا لا يَدخُلُه الطلاقُ قد كانَ حاصلاً مع الإباحةِ المُتقدِّمةِ بِلا خِلافٍ، و ذلكَ دليلٌ واضحٌ علىٰ فَسادِ هذه العِلّةِ</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يَفسُدُ به هذا القياسُ كَثيرٌ، و في هذا القَدرِ كِفايةٌ</w:t>
      </w:r>
      <w:r>
        <w:rPr>
          <w:rFonts w:eastAsia="Amiri" w:cs="Amiri" w:ascii="Amiri" w:hAnsi="Amiri"/>
          <w:color w:val="111111"/>
          <w:sz w:val="28"/>
          <w:szCs w:val="28"/>
          <w:rtl w:val="true"/>
          <w:lang w:bidi="ar-SA"/>
        </w:rPr>
        <w:t xml:space="preserve">. </w:t>
      </w:r>
      <w:bookmarkStart w:id="1324" w:name="pg16437_172953"/>
    </w:p>
    <w:p>
      <w:pPr>
        <w:pStyle w:val="Heading3"/>
        <w:numPr>
          <w:ilvl w:val="2"/>
          <w:numId w:val="1"/>
        </w:numPr>
        <w:rPr/>
      </w:pPr>
      <w:bookmarkStart w:id="1325" w:name="__RefHeading___Toc8040413_1280447820"/>
      <w:bookmarkStart w:id="1326" w:name="_Toc481"/>
      <w:bookmarkEnd w:id="1324"/>
      <w:bookmarkEnd w:id="1325"/>
      <w:r>
        <w:rPr>
          <w:rtl w:val="true"/>
        </w:rPr>
        <w:t>(</w:t>
      </w:r>
      <w:r>
        <w:rPr/>
        <w:t>92</w:t>
      </w:r>
      <w:r>
        <w:rPr>
          <w:rtl w:val="true"/>
        </w:rPr>
        <w:t xml:space="preserve">) </w:t>
      </w:r>
      <w:r>
        <w:rPr>
          <w:rtl w:val="true"/>
        </w:rPr>
        <w:t>مسألةٌ في حُكمِ الطلاقِ ثلاثاً بلفظٍ واحدٍ</w:t>
      </w:r>
      <w:bookmarkEnd w:id="1326"/>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7" w:name="__RefHeading___Toc8040415_1280447820"/>
      <w:bookmarkStart w:id="1328" w:name="_Toc482"/>
      <w:bookmarkEnd w:id="1327"/>
      <w:r>
        <w:rPr>
          <w:rtl w:val="true"/>
        </w:rPr>
        <w:t>اشارة</w:t>
      </w:r>
      <w:bookmarkEnd w:id="1328"/>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9" w:name="pg16437_172955"/>
      <w:bookmarkStart w:id="1330" w:name="pg16437_172955"/>
      <w:bookmarkEnd w:id="1330"/>
    </w:p>
    <w:p>
      <w:pPr>
        <w:pStyle w:val="Heading4"/>
        <w:numPr>
          <w:ilvl w:val="3"/>
          <w:numId w:val="1"/>
        </w:numPr>
        <w:rPr/>
      </w:pPr>
      <w:bookmarkStart w:id="1331" w:name="pg16437_172955"/>
      <w:bookmarkStart w:id="1332" w:name="__RefHeading___Toc8040417_1280447820"/>
      <w:bookmarkStart w:id="1333" w:name="_Toc483"/>
      <w:bookmarkEnd w:id="1331"/>
      <w:bookmarkEnd w:id="1332"/>
      <w:r>
        <w:rPr>
          <w:rtl w:val="true"/>
        </w:rPr>
        <w:t>مقدّمة التحقيق</w:t>
      </w:r>
      <w:bookmarkEnd w:id="1333"/>
    </w:p>
    <w:p>
      <w:pPr>
        <w:pStyle w:val="Heading5"/>
        <w:numPr>
          <w:ilvl w:val="4"/>
          <w:numId w:val="1"/>
        </w:numPr>
        <w:rPr/>
      </w:pPr>
      <w:bookmarkStart w:id="1334" w:name="__RefHeading___Toc8040419_1280447820"/>
      <w:bookmarkStart w:id="1335" w:name="_Toc484"/>
      <w:bookmarkEnd w:id="1334"/>
      <w:r>
        <w:rPr>
          <w:rtl w:val="true"/>
        </w:rPr>
        <w:t>اشارة</w:t>
      </w:r>
      <w:bookmarkEnd w:id="1335"/>
    </w:p>
    <w:p>
      <w:pPr>
        <w:pStyle w:val="BookText"/>
        <w:rPr/>
      </w:pPr>
      <w:r>
        <w:rPr>
          <w:rFonts w:ascii="Amiri" w:hAnsi="Amiri" w:eastAsia="Amiri" w:cs="Amiri"/>
          <w:color w:val="111111"/>
          <w:sz w:val="28"/>
          <w:sz w:val="28"/>
          <w:szCs w:val="28"/>
          <w:rtl w:val="true"/>
          <w:lang w:bidi="ar-SA"/>
        </w:rPr>
        <w:t>ذهب مشهور الإماميّة إلى أنّه إذا طلّق الرجل زوجته ثلاثاً بلفظ واحد، وقعت تطليقة واحدة</w:t>
      </w:r>
      <w:r>
        <w:rPr>
          <w:rStyle w:val="FootnoteAnchor"/>
          <w:rtl w:val="true"/>
        </w:rPr>
        <w:footnoteReference w:id="3265"/>
      </w:r>
      <w:r>
        <w:rPr>
          <w:rFonts w:ascii="Amiri" w:hAnsi="Amiri" w:eastAsia="Amiri" w:cs="Amiri"/>
          <w:color w:val="111111"/>
          <w:sz w:val="28"/>
          <w:sz w:val="28"/>
          <w:szCs w:val="28"/>
          <w:rtl w:val="true"/>
          <w:lang w:bidi="ar-SA"/>
        </w:rPr>
        <w:t xml:space="preserve">، فيما ذهب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أبي عقيل إلى أنّه لا يقع طلاق أصلاً</w:t>
      </w:r>
      <w:r>
        <w:rPr>
          <w:rStyle w:val="FootnoteAnchor"/>
          <w:rtl w:val="true"/>
        </w:rPr>
        <w:footnoteReference w:id="3266"/>
      </w:r>
      <w:r>
        <w:rPr>
          <w:rFonts w:ascii="Amiri" w:hAnsi="Amiri" w:eastAsia="Amiri" w:cs="Amiri"/>
          <w:color w:val="111111"/>
          <w:sz w:val="28"/>
          <w:sz w:val="28"/>
          <w:szCs w:val="28"/>
          <w:rtl w:val="true"/>
          <w:lang w:bidi="ar-SA"/>
        </w:rPr>
        <w:t xml:space="preserve">، كما اشترط 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الطلاق أن يكون موحَّداً</w:t>
      </w:r>
      <w:r>
        <w:rPr>
          <w:rStyle w:val="FootnoteAnchor"/>
          <w:rtl w:val="true"/>
        </w:rPr>
        <w:footnoteReference w:id="3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القول المشهور ما روي عن 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طلّقها للعدّة أكثر من واحدة، فليس الفضل على الواحدة بطلاق</w:t>
      </w:r>
      <w:r>
        <w:rPr>
          <w:rFonts w:eastAsia="Amiri" w:cs="Amiri" w:ascii="Amiri" w:hAnsi="Amiri"/>
          <w:color w:val="111111"/>
          <w:sz w:val="28"/>
          <w:szCs w:val="28"/>
          <w:rtl w:val="true"/>
          <w:lang w:bidi="ar-SA"/>
        </w:rPr>
        <w:t>»</w:t>
      </w:r>
      <w:r>
        <w:rPr>
          <w:rStyle w:val="FootnoteAnchor"/>
          <w:rtl w:val="true"/>
        </w:rPr>
        <w:footnoteReference w:id="3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اختار الشريف المرتضى رأي المشهور، و في هذه الرسالة استعرض استدلالاً للقائل بعدم وقوع الطلاق، و هو أنّ الطلاق ثلاثاً بدعة مخالفة لسنّة الطلاق؛ فيجب أن لا يقع، كما لا يقع الطلاق في حيضٍ أو طهرٍ فيه 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كامل الشروط، و ليس بدعة، فيقع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أتبع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هذه الإضافة ملغاة، فهو كما لو طلّقها، ثمّ أتبع ذلك بشتمها و لعنها؛ فإنّ الطلاق يقع، و إن كان مُبدِعاً في شتمها و لعنها</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على خلاف الطلاق في الحيض؛ فإنّه بنفسه منهيّ عنه، فلا يقع</w:t>
      </w:r>
      <w:r>
        <w:rPr>
          <w:rFonts w:eastAsia="Amiri" w:cs="Amiri" w:ascii="Amiri" w:hAnsi="Amiri"/>
          <w:color w:val="111111"/>
          <w:sz w:val="28"/>
          <w:szCs w:val="28"/>
          <w:rtl w:val="true"/>
          <w:lang w:bidi="ar-SA"/>
        </w:rPr>
        <w:t xml:space="preserve">. </w:t>
      </w:r>
      <w:bookmarkStart w:id="1336" w:name="pg16437_172956"/>
    </w:p>
    <w:p>
      <w:pPr>
        <w:pStyle w:val="BookText"/>
        <w:rPr/>
      </w:pPr>
      <w:bookmarkEnd w:id="1336"/>
      <w:r>
        <w:rPr>
          <w:rFonts w:ascii="Amiri" w:hAnsi="Amiri" w:eastAsia="Amiri" w:cs="Amiri"/>
          <w:color w:val="111111"/>
          <w:sz w:val="28"/>
          <w:sz w:val="28"/>
          <w:szCs w:val="28"/>
          <w:rtl w:val="true"/>
          <w:lang w:bidi="ar-SA"/>
        </w:rPr>
        <w:t>ثمّ استشهد على كلامه بمسألة أُخرى،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إتباع الطلاق بالطلاق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أتبع ذلك في نفس المجلس أو بعده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لكان مُبدِعاً بقوله الثاني؛ لكنّ الطلاق يقع لا محالة بقوله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إذا أتبع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الطلاق يقع، و إن كان مبدِعاً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خرجت هذه الرسالة في ربيع الأوّل من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في الحقيقة لا يوجد فيها مطلب جديد؛ فإنّه يمكن العثور على مطالبها في كتب الشريف المرتضى الفقهيّة</w:t>
      </w:r>
      <w:r>
        <w:rPr>
          <w:rStyle w:val="FootnoteAnchor"/>
          <w:rtl w:val="true"/>
        </w:rPr>
        <w:footnoteReference w:id="3269"/>
      </w:r>
      <w:r>
        <w:rPr>
          <w:rFonts w:ascii="Amiri" w:hAnsi="Amiri" w:eastAsia="Amiri" w:cs="Amiri"/>
          <w:color w:val="111111"/>
          <w:sz w:val="28"/>
          <w:sz w:val="28"/>
          <w:szCs w:val="28"/>
          <w:rtl w:val="true"/>
          <w:lang w:bidi="ar-SA"/>
        </w:rPr>
        <w:t>، و لعلّ سبب إملائها مع كون معلوماتها مكرّرة يرجع إلى أنّ أحدهم قام بطرح سؤال حول هذه المسألة، فاضطرّ الشريف المرتضى إلى بحثها من جديد؛ أو لأنّه كان يملي بعض المسائل الفقهيّة في الدرس على تلاميذه، فكانت هذه إحداهنّ؛ أو غير ذلك من الأسباب</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8040421_1280447820"/>
      <w:bookmarkStart w:id="1338" w:name="_Toc485"/>
      <w:bookmarkEnd w:id="1337"/>
      <w:r>
        <w:rPr>
          <w:rtl w:val="true"/>
        </w:rPr>
        <w:t>عنوان الرسالة</w:t>
      </w:r>
      <w:bookmarkEnd w:id="1338"/>
    </w:p>
    <w:p>
      <w:pPr>
        <w:pStyle w:val="BookText"/>
        <w:rPr/>
      </w:pPr>
      <w:r>
        <w:rPr>
          <w:rFonts w:ascii="Amiri" w:hAnsi="Amiri" w:eastAsia="Amiri" w:cs="Amiri"/>
          <w:color w:val="111111"/>
          <w:sz w:val="28"/>
          <w:sz w:val="28"/>
          <w:szCs w:val="28"/>
          <w:rtl w:val="true"/>
          <w:lang w:bidi="ar-SA"/>
        </w:rPr>
        <w:t xml:space="preserve">طبعت هذه الرسالة في ضمن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ألفاظ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عنوان عامّ لا يعبّر عن محتوى الرسالة؛ فإنّ البحث لا يدور حول الألفاظ التي يقع بها الطلاق، و إنّما عن لفظ معيّن، و هو 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طبعت الرسالة في ضمن مسائل المرتضى،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الطلاق بلفظ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المقصود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الطلاق ثلاثاً بلفظ واحد</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8040423_1280447820"/>
      <w:bookmarkStart w:id="1340" w:name="_Toc486"/>
      <w:bookmarkEnd w:id="1339"/>
      <w:r>
        <w:rPr>
          <w:rtl w:val="true"/>
        </w:rPr>
        <w:t>مخطوطات الرسالة</w:t>
      </w:r>
      <w:bookmarkEnd w:id="1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541/14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10005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السيّد حسن الصدر رحمه اللّٰه، المرقّمة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bookmarkStart w:id="1341" w:name="pg16437_172959"/>
    </w:p>
    <w:p>
      <w:pPr>
        <w:pStyle w:val="Heading4"/>
        <w:numPr>
          <w:ilvl w:val="3"/>
          <w:numId w:val="1"/>
        </w:numPr>
        <w:rPr/>
      </w:pPr>
      <w:bookmarkStart w:id="1342" w:name="__RefHeading___Toc8040425_1280447820"/>
      <w:bookmarkStart w:id="1343" w:name="_Toc487"/>
      <w:bookmarkEnd w:id="1341"/>
      <w:bookmarkEnd w:id="1342"/>
      <w:r>
        <w:rPr>
          <w:rtl w:val="true"/>
        </w:rPr>
        <w:t>مسألةٌ في حُكمِ الطلاقِ ثلاثاً بلفظٍ واحدٍ</w:t>
      </w:r>
      <w:bookmarkEnd w:id="1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خَرَجت في شَهرِ رَبيعٍ الآخِرِ</w:t>
      </w:r>
      <w:r>
        <w:rPr>
          <w:rStyle w:val="FootnoteAnchor"/>
          <w:rtl w:val="true"/>
        </w:rPr>
        <w:footnoteReference w:id="3270"/>
      </w:r>
      <w:r>
        <w:rPr>
          <w:rFonts w:ascii="Amiri" w:hAnsi="Amiri" w:eastAsia="Amiri" w:cs="Amiri"/>
          <w:color w:val="111111"/>
          <w:sz w:val="28"/>
          <w:sz w:val="28"/>
          <w:szCs w:val="28"/>
          <w:rtl w:val="true"/>
          <w:lang w:bidi="ar-SA"/>
        </w:rPr>
        <w:t>سَنةَ سَبعٍ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Style w:val="FootnoteAnchor"/>
          <w:rtl w:val="true"/>
        </w:rPr>
        <w:footnoteReference w:id="3271"/>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اعتَمَدَ بعضُ أصحابِنا في أنّ الطلاقَ الثلاثَ‌</w:t>
      </w:r>
      <w:r>
        <w:rPr>
          <w:rStyle w:val="FootnoteAnchor"/>
          <w:rtl w:val="true"/>
        </w:rPr>
        <w:footnoteReference w:id="3272"/>
      </w:r>
      <w:r>
        <w:rPr>
          <w:rFonts w:ascii="Amiri" w:hAnsi="Amiri" w:eastAsia="Amiri" w:cs="Amiri"/>
          <w:color w:val="111111"/>
          <w:sz w:val="28"/>
          <w:sz w:val="28"/>
          <w:szCs w:val="28"/>
          <w:rtl w:val="true"/>
          <w:lang w:bidi="ar-SA"/>
        </w:rPr>
        <w:t>بلفظٍ واحدٍ لا يَقَعُ منه واحدةٌ‌</w:t>
      </w:r>
      <w:r>
        <w:rPr>
          <w:rStyle w:val="FootnoteAnchor"/>
          <w:rtl w:val="true"/>
        </w:rPr>
        <w:footnoteReference w:id="3273"/>
      </w:r>
      <w:r>
        <w:rPr>
          <w:rFonts w:ascii="Amiri" w:hAnsi="Amiri" w:eastAsia="Amiri" w:cs="Amiri"/>
          <w:color w:val="111111"/>
          <w:sz w:val="28"/>
          <w:sz w:val="28"/>
          <w:szCs w:val="28"/>
          <w:rtl w:val="true"/>
          <w:lang w:bidi="ar-SA"/>
        </w:rPr>
        <w:t>، علىٰ‌</w:t>
      </w:r>
      <w:r>
        <w:rPr>
          <w:rStyle w:val="FootnoteAnchor"/>
          <w:rtl w:val="true"/>
        </w:rPr>
        <w:footnoteReference w:id="3274"/>
      </w:r>
      <w:r>
        <w:rPr>
          <w:rFonts w:ascii="Amiri" w:hAnsi="Amiri" w:eastAsia="Amiri" w:cs="Amiri"/>
          <w:color w:val="111111"/>
          <w:sz w:val="28"/>
          <w:sz w:val="28"/>
          <w:szCs w:val="28"/>
          <w:rtl w:val="true"/>
          <w:lang w:bidi="ar-SA"/>
        </w:rPr>
        <w:t>أنّ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مُبدِعٌ مُخالِفٌ لسُنّةِ‌</w:t>
      </w:r>
      <w:r>
        <w:rPr>
          <w:rStyle w:val="FootnoteAnchor"/>
          <w:rtl w:val="true"/>
        </w:rPr>
        <w:footnoteReference w:id="3275"/>
      </w:r>
      <w:r>
        <w:rPr>
          <w:rFonts w:ascii="Amiri" w:hAnsi="Amiri" w:eastAsia="Amiri" w:cs="Amiri"/>
          <w:color w:val="111111"/>
          <w:sz w:val="28"/>
          <w:sz w:val="28"/>
          <w:szCs w:val="28"/>
          <w:rtl w:val="true"/>
          <w:lang w:bidi="ar-SA"/>
        </w:rPr>
        <w:t>الطلاقِ، فيَجِبُ أن لا يَقَعَ طلاقُه، كَما لا يَقَعُ طلاقُ البِدعةِ إذا كانَ في حَيضٍ أو طُهرٍ فيه جِماعٌ و ما جَرىٰ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تَلفُّظَه بالطلاقِ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الشروطُ مُتكامِلةٌ، لَيسَ ببِدعةٍ‌</w:t>
      </w:r>
      <w:r>
        <w:rPr>
          <w:rStyle w:val="FootnoteAnchor"/>
          <w:rtl w:val="true"/>
        </w:rPr>
        <w:footnoteReference w:id="3276"/>
      </w:r>
      <w:r>
        <w:rPr>
          <w:rFonts w:ascii="Amiri" w:hAnsi="Amiri" w:eastAsia="Amiri" w:cs="Amiri"/>
          <w:color w:val="111111"/>
          <w:sz w:val="28"/>
          <w:sz w:val="28"/>
          <w:szCs w:val="28"/>
          <w:rtl w:val="true"/>
          <w:lang w:bidi="ar-SA"/>
        </w:rPr>
        <w:t xml:space="preserve">، و إنّما </w:t>
      </w:r>
    </w:p>
    <w:p>
      <w:pPr>
        <w:pStyle w:val="BookText"/>
        <w:rPr/>
      </w:pPr>
      <w:r>
        <w:rPr>
          <w:rFonts w:ascii="Amiri" w:hAnsi="Amiri" w:eastAsia="Amiri" w:cs="Amiri"/>
          <w:color w:val="111111"/>
          <w:sz w:val="28"/>
          <w:sz w:val="28"/>
          <w:szCs w:val="28"/>
          <w:rtl w:val="true"/>
          <w:lang w:bidi="ar-SA"/>
        </w:rPr>
        <w:t>أبدَعَ بأن</w:t>
      </w:r>
      <w:r>
        <w:rPr>
          <w:rStyle w:val="FootnoteAnchor"/>
          <w:rtl w:val="true"/>
        </w:rPr>
        <w:footnoteReference w:id="3277"/>
      </w:r>
      <w:r>
        <w:rPr>
          <w:rFonts w:ascii="Amiri" w:hAnsi="Amiri" w:eastAsia="Amiri" w:cs="Amiri"/>
          <w:color w:val="111111"/>
          <w:sz w:val="28"/>
          <w:sz w:val="28"/>
          <w:szCs w:val="28"/>
          <w:rtl w:val="true"/>
          <w:lang w:bidi="ar-SA"/>
        </w:rPr>
        <w:t>أتبَعَ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مُلغىً لا حُكمَ له، و الطلاقُ واقعٌ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تَكامُلِ الشروطِ؛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شَتَمَها</w:t>
      </w:r>
      <w:r>
        <w:rPr>
          <w:rStyle w:val="FootnoteAnchor"/>
          <w:rtl w:val="true"/>
        </w:rPr>
        <w:footnoteReference w:id="3278"/>
      </w:r>
      <w:r>
        <w:rPr>
          <w:rFonts w:ascii="Amiri" w:hAnsi="Amiri" w:eastAsia="Amiri" w:cs="Amiri"/>
          <w:color w:val="111111"/>
          <w:sz w:val="28"/>
          <w:sz w:val="28"/>
          <w:szCs w:val="28"/>
          <w:rtl w:val="true"/>
          <w:lang w:bidi="ar-SA"/>
        </w:rPr>
        <w:t>و لَعَنَها لَكانَ‌</w:t>
      </w:r>
      <w:r>
        <w:rPr>
          <w:rStyle w:val="FootnoteAnchor"/>
          <w:rtl w:val="true"/>
        </w:rPr>
        <w:footnoteReference w:id="3279"/>
      </w:r>
      <w:r>
        <w:rPr>
          <w:rFonts w:ascii="Amiri" w:hAnsi="Amiri" w:eastAsia="Amiri" w:cs="Amiri"/>
          <w:color w:val="111111"/>
          <w:sz w:val="28"/>
          <w:sz w:val="28"/>
          <w:szCs w:val="28"/>
          <w:rtl w:val="true"/>
          <w:lang w:bidi="ar-SA"/>
        </w:rPr>
        <w:t>مُبدِعاً بذلكَ، و طلاقُه واقعٌ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الطلاقُ في الحَيضِ؛ لأنّه مَنهيٌّ‌</w:t>
      </w:r>
      <w:r>
        <w:rPr>
          <w:rStyle w:val="FootnoteAnchor"/>
          <w:rtl w:val="true"/>
        </w:rPr>
        <w:footnoteReference w:id="3280"/>
      </w:r>
      <w:r>
        <w:rPr>
          <w:rFonts w:ascii="Amiri" w:hAnsi="Amiri" w:eastAsia="Amiri" w:cs="Amiri"/>
          <w:color w:val="111111"/>
          <w:sz w:val="28"/>
          <w:sz w:val="28"/>
          <w:szCs w:val="28"/>
          <w:rtl w:val="true"/>
          <w:lang w:bidi="ar-SA"/>
        </w:rPr>
        <w:t>عن التلفُّظِ بالطلاقِ في وقتِ الحَيضِ، و النهيُ بظاهرِه يَقتَضي الفَسادَ في الشريعةِ، و لا</w:t>
      </w:r>
      <w:r>
        <w:rPr>
          <w:rStyle w:val="FootnoteAnchor"/>
          <w:rtl w:val="true"/>
        </w:rPr>
        <w:footnoteReference w:id="3281"/>
      </w:r>
      <w:r>
        <w:rPr>
          <w:rFonts w:ascii="Amiri" w:hAnsi="Amiri" w:eastAsia="Amiri" w:cs="Amiri"/>
          <w:color w:val="111111"/>
          <w:sz w:val="28"/>
          <w:sz w:val="28"/>
          <w:szCs w:val="28"/>
          <w:rtl w:val="true"/>
          <w:lang w:bidi="ar-SA"/>
        </w:rPr>
        <w:t>تَتعلَّقُ به أحكامُ الصحّةِ</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أتبَعَ ذلكَ في المَجلِسِ أو بَعدَه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عندَنا مُبدِعاً بذلكَ‌</w:t>
      </w:r>
      <w:r>
        <w:rPr>
          <w:rStyle w:val="FootnoteAnchor"/>
          <w:rtl w:val="true"/>
        </w:rPr>
        <w:footnoteReference w:id="3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طلاقُه واقعٌ‌</w:t>
      </w:r>
      <w:r>
        <w:rPr>
          <w:rStyle w:val="FootnoteAnchor"/>
          <w:rtl w:val="true"/>
        </w:rPr>
        <w:footnoteReference w:id="3283"/>
      </w:r>
      <w:r>
        <w:rPr>
          <w:rFonts w:ascii="Amiri" w:hAnsi="Amiri" w:eastAsia="Amiri" w:cs="Amiri"/>
          <w:color w:val="111111"/>
          <w:sz w:val="28"/>
          <w:sz w:val="28"/>
          <w:szCs w:val="28"/>
          <w:rtl w:val="true"/>
          <w:lang w:bidi="ar-SA"/>
        </w:rPr>
        <w:t>لا مَحالةَ‌</w:t>
      </w:r>
      <w:r>
        <w:rPr>
          <w:rStyle w:val="FootnoteAnchor"/>
          <w:rtl w:val="true"/>
        </w:rPr>
        <w:footnoteReference w:id="3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بإدخالِه الطلاقَ علَى الطلاقِ مِن غيرِ مُراجَعةٍ بَينَهما؛ و مع هذا فلا</w:t>
      </w:r>
      <w:r>
        <w:rPr>
          <w:rStyle w:val="FootnoteAnchor"/>
          <w:rtl w:val="true"/>
        </w:rPr>
        <w:footnoteReference w:id="3285"/>
      </w:r>
      <w:r>
        <w:rPr>
          <w:rFonts w:ascii="Amiri" w:hAnsi="Amiri" w:eastAsia="Amiri" w:cs="Amiri"/>
          <w:color w:val="111111"/>
          <w:sz w:val="28"/>
          <w:sz w:val="28"/>
          <w:szCs w:val="28"/>
          <w:rtl w:val="true"/>
          <w:lang w:bidi="ar-SA"/>
        </w:rPr>
        <w:t>يَقدِرُ أحَدٌ مِن أصحابِنا علىٰ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تطليقةً واحدةً ما وَقَعَت بقَولِه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أتبَعَ ذلكَ بما</w:t>
      </w:r>
      <w:r>
        <w:rPr>
          <w:rStyle w:val="FootnoteAnchor"/>
          <w:rtl w:val="true"/>
        </w:rPr>
        <w:footnoteReference w:id="3286"/>
      </w:r>
      <w:r>
        <w:rPr>
          <w:rFonts w:ascii="Amiri" w:hAnsi="Amiri" w:eastAsia="Amiri" w:cs="Amiri"/>
          <w:color w:val="111111"/>
          <w:sz w:val="28"/>
          <w:sz w:val="28"/>
          <w:szCs w:val="28"/>
          <w:rtl w:val="true"/>
          <w:lang w:bidi="ar-SA"/>
        </w:rPr>
        <w:t>هو مُبدِعٌ‌</w:t>
      </w:r>
      <w:r>
        <w:rPr>
          <w:rStyle w:val="FootnoteAnchor"/>
          <w:rtl w:val="true"/>
        </w:rPr>
        <w:footnoteReference w:id="3287"/>
      </w:r>
      <w:r>
        <w:rPr>
          <w:rFonts w:ascii="Amiri" w:hAnsi="Amiri" w:eastAsia="Amiri" w:cs="Amiri"/>
          <w:color w:val="111111"/>
          <w:sz w:val="28"/>
          <w:sz w:val="28"/>
          <w:szCs w:val="28"/>
          <w:rtl w:val="true"/>
          <w:lang w:bidi="ar-SA"/>
        </w:rPr>
        <w:t>فيه مِن التلفُّظِ ثانياً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يَمنَعُ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مُبدِعٌ في</w:t>
      </w:r>
      <w:r>
        <w:rPr>
          <w:rStyle w:val="FootnoteAnchor"/>
          <w:rtl w:val="true"/>
        </w:rPr>
        <w:footnoteReference w:id="3288"/>
      </w:r>
      <w:r>
        <w:rPr>
          <w:rFonts w:ascii="Amiri" w:hAnsi="Amiri" w:eastAsia="Amiri" w:cs="Amiri"/>
          <w:color w:val="111111"/>
          <w:sz w:val="28"/>
          <w:sz w:val="28"/>
          <w:szCs w:val="28"/>
          <w:rtl w:val="true"/>
          <w:lang w:bidi="ar-SA"/>
        </w:rPr>
        <w:t>التلفُّظِ به مِن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لَم يَكُن به</w:t>
      </w:r>
      <w:r>
        <w:rPr>
          <w:rStyle w:val="FootnoteAnchor"/>
          <w:rtl w:val="true"/>
        </w:rPr>
        <w:footnoteReference w:id="3289"/>
      </w:r>
      <w:r>
        <w:rPr>
          <w:rFonts w:ascii="Amiri" w:hAnsi="Amiri" w:eastAsia="Amiri" w:cs="Amiri"/>
          <w:color w:val="111111"/>
          <w:sz w:val="28"/>
          <w:sz w:val="28"/>
          <w:szCs w:val="28"/>
          <w:rtl w:val="true"/>
          <w:lang w:bidi="ar-SA"/>
        </w:rPr>
        <w:t xml:space="preserve">مُبدِعاً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bookmarkStart w:id="1344" w:name="pg16437_172961"/>
    </w:p>
    <w:p>
      <w:pPr>
        <w:pStyle w:val="Heading3"/>
        <w:numPr>
          <w:ilvl w:val="2"/>
          <w:numId w:val="1"/>
        </w:numPr>
        <w:rPr/>
      </w:pPr>
      <w:bookmarkStart w:id="1345" w:name="__RefHeading___Toc8040427_1280447820"/>
      <w:bookmarkStart w:id="1346" w:name="_Toc488"/>
      <w:bookmarkEnd w:id="1344"/>
      <w:bookmarkEnd w:id="1345"/>
      <w:r>
        <w:rPr>
          <w:rtl w:val="true"/>
        </w:rPr>
        <w:t>(</w:t>
      </w:r>
      <w:r>
        <w:rPr/>
        <w:t>93</w:t>
      </w:r>
      <w:r>
        <w:rPr>
          <w:rtl w:val="true"/>
        </w:rPr>
        <w:t xml:space="preserve">) </w:t>
      </w:r>
      <w:r>
        <w:rPr>
          <w:rtl w:val="true"/>
        </w:rPr>
        <w:t>مَسألةٌ في إرثِ الأَولادِ</w:t>
      </w:r>
      <w:bookmarkEnd w:id="1346"/>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7" w:name="__RefHeading___Toc8040429_1280447820"/>
      <w:bookmarkStart w:id="1348" w:name="_Toc489"/>
      <w:bookmarkEnd w:id="1347"/>
      <w:r>
        <w:rPr>
          <w:rtl w:val="true"/>
        </w:rPr>
        <w:t>اشارة</w:t>
      </w:r>
      <w:bookmarkEnd w:id="1348"/>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9" w:name="pg16437_172963"/>
      <w:bookmarkStart w:id="1350" w:name="pg16437_172963"/>
      <w:bookmarkEnd w:id="1350"/>
    </w:p>
    <w:p>
      <w:pPr>
        <w:pStyle w:val="Heading4"/>
        <w:numPr>
          <w:ilvl w:val="3"/>
          <w:numId w:val="1"/>
        </w:numPr>
        <w:rPr/>
      </w:pPr>
      <w:bookmarkStart w:id="1351" w:name="pg16437_172963"/>
      <w:bookmarkStart w:id="1352" w:name="__RefHeading___Toc8040431_1280447820"/>
      <w:bookmarkStart w:id="1353" w:name="_Toc490"/>
      <w:bookmarkEnd w:id="1351"/>
      <w:bookmarkEnd w:id="1352"/>
      <w:r>
        <w:rPr>
          <w:rtl w:val="true"/>
        </w:rPr>
        <w:t>مقدّمة التحقيق</w:t>
      </w:r>
      <w:bookmarkEnd w:id="1353"/>
    </w:p>
    <w:p>
      <w:pPr>
        <w:pStyle w:val="Heading5"/>
        <w:numPr>
          <w:ilvl w:val="4"/>
          <w:numId w:val="1"/>
        </w:numPr>
        <w:rPr/>
      </w:pPr>
      <w:bookmarkStart w:id="1354" w:name="__RefHeading___Toc8040433_1280447820"/>
      <w:bookmarkStart w:id="1355" w:name="_Toc491"/>
      <w:bookmarkEnd w:id="1354"/>
      <w:r>
        <w:rPr>
          <w:rtl w:val="true"/>
        </w:rPr>
        <w:t>اشارة</w:t>
      </w:r>
      <w:bookmarkEnd w:id="1355"/>
    </w:p>
    <w:p>
      <w:pPr>
        <w:pStyle w:val="BookText"/>
        <w:rPr/>
      </w:pPr>
      <w:r>
        <w:rPr>
          <w:rFonts w:ascii="Amiri" w:hAnsi="Amiri" w:eastAsia="Amiri" w:cs="Amiri"/>
          <w:color w:val="111111"/>
          <w:sz w:val="28"/>
          <w:sz w:val="28"/>
          <w:szCs w:val="28"/>
          <w:rtl w:val="true"/>
          <w:lang w:bidi="ar-SA"/>
        </w:rPr>
        <w:t>تعرّض الشريف المرتضى في هذه الرسالة إلى مسألة خلافيّة من مسائل الإرث وقع الخلاف فيها بين فقهاء الإماميّة، و هي أنّ أولاد الأولاد هل يرثون سهم آبائهم و مَن يتقرّبون بهم، بحيث إذا خلّف الميّت ابنة ابن و ابن بنت، فهل يكون للبنت الثلثان سهم أبيها، و للابن الثلث سهم أُمّه؟ أو لا يرثون كذلك؛ بل ابنة الابن هي بنت للميّت حقيقة، فترث سهماً واحداً و هو الثلث؛ و ابن البنت هو ولدٌ ذكر حقيقة، فيرث سهمين و هما الثلثان؟</w:t>
      </w:r>
    </w:p>
    <w:p>
      <w:pPr>
        <w:pStyle w:val="BookText"/>
        <w:rPr/>
      </w:pPr>
      <w:r>
        <w:rPr>
          <w:rFonts w:ascii="Amiri" w:hAnsi="Amiri" w:eastAsia="Amiri" w:cs="Amiri"/>
          <w:color w:val="111111"/>
          <w:sz w:val="28"/>
          <w:sz w:val="28"/>
          <w:szCs w:val="28"/>
          <w:rtl w:val="true"/>
          <w:lang w:bidi="ar-SA"/>
        </w:rPr>
        <w:t>ذهب مشهور الإماميّة إلى الأوّل</w:t>
      </w:r>
      <w:r>
        <w:rPr>
          <w:rStyle w:val="FootnoteAnchor"/>
          <w:rtl w:val="true"/>
        </w:rPr>
        <w:footnoteReference w:id="3290"/>
      </w:r>
      <w:r>
        <w:rPr>
          <w:rFonts w:ascii="Amiri" w:hAnsi="Amiri" w:eastAsia="Amiri" w:cs="Amiri"/>
          <w:color w:val="111111"/>
          <w:sz w:val="28"/>
          <w:sz w:val="28"/>
          <w:szCs w:val="28"/>
          <w:rtl w:val="true"/>
          <w:lang w:bidi="ar-SA"/>
        </w:rPr>
        <w:t>، فيما ذهب الشريف المرتضى إلى الثاني في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إليه أيضاً كلّ من ابن أبي عقيل، و ابن إدريس، و معين الدين المصري، فأعطوا لأولاد الأولاد سهم الأولاد المباشرين، لا سهم آبائهم</w:t>
      </w:r>
      <w:r>
        <w:rPr>
          <w:rStyle w:val="FootnoteAnchor"/>
          <w:rtl w:val="true"/>
        </w:rPr>
        <w:footnoteReference w:id="3291"/>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ركز الشريف المرتضى في الاستدلال على رأيه على النقطة التالية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أولاد الأولاد يصدق عليهم أنّهم أولاد حقيقة؛ و ذلك لإطلاق لفظ الأولاد عليهم، و الاستعمال علامة الحقيقة</w:t>
      </w:r>
      <w:r>
        <w:rPr>
          <w:rStyle w:val="FootnoteAnchor"/>
          <w:rtl w:val="true"/>
        </w:rPr>
        <w:footnoteReference w:id="3292"/>
      </w:r>
      <w:r>
        <w:rPr>
          <w:rFonts w:ascii="Amiri" w:hAnsi="Amiri" w:eastAsia="Amiri" w:cs="Amiri"/>
          <w:color w:val="111111"/>
          <w:sz w:val="28"/>
          <w:sz w:val="28"/>
          <w:szCs w:val="28"/>
          <w:rtl w:val="true"/>
          <w:lang w:bidi="ar-SA"/>
        </w:rPr>
        <w:t>فيكونون كأولاد مباشرين، فيرثون سهمهم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طبق الشريف المرتضى هذه الرؤية التي ترى أنّ أولاد الأولاد هم أولاد حقيقة في موارد فقهيّة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 البنت يحجبون الزوجة من الربع إلى الثمن؛ لوقوع اسم الولد عليهم، فيكونون كولد مباشر</w:t>
      </w:r>
      <w:r>
        <w:rPr>
          <w:rStyle w:val="FootnoteAnchor"/>
          <w:rtl w:val="true"/>
        </w:rPr>
        <w:footnoteReference w:id="3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الواقف لو وقف على ولده شيئاً، فإنّ الوقف سوف يشمل ولد الابن و ولد البنت؛ و ذلك لإطلاق اسم الولد على الصنفين حقيقة</w:t>
      </w:r>
      <w:r>
        <w:rPr>
          <w:rStyle w:val="FootnoteAnchor"/>
          <w:rtl w:val="true"/>
        </w:rPr>
        <w:footnoteReference w:id="3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إليه من أنّه أعطى الخُمس للمنتسِب إلى هاشم من أُمّه، أي إلى ولد البنت؛ لأنّه ولد حقيقة</w:t>
      </w:r>
      <w:r>
        <w:rPr>
          <w:rStyle w:val="FootnoteAnchor"/>
          <w:rtl w:val="true"/>
        </w:rPr>
        <w:footnoteReference w:id="3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جاء في بداية الرسالة محلّ البحث أنّه يَرِدُ على الرأي المشهور سبعة إشكالات؛ لكن عند التدقيق يظهر أنّه لم تُذكر إلّاخمسة إشكالات فقط، فهل سقط من الرسالة شيء؟ يبدو أنّه لم يسقط منها شيء؛ لأنّه طُرح في نهاية الرسالة إشكالان على الفضل بن شاذان الذي كان يذهب إلى رأي المشهور؛ فإذا أضفنا هذين الإشكالين إلى تلك الخمسة، فسوف تتمّ السبعة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الرسالة قد أوردها ابن إدريس بأكملها في كتابه</w:t>
      </w:r>
      <w:r>
        <w:rPr>
          <w:rStyle w:val="FootnoteAnchor"/>
          <w:rtl w:val="true"/>
        </w:rPr>
        <w:footnoteReference w:id="3296"/>
      </w:r>
      <w:r>
        <w:rPr>
          <w:rFonts w:ascii="Amiri" w:hAnsi="Amiri" w:eastAsia="Amiri" w:cs="Amiri"/>
          <w:color w:val="111111"/>
          <w:sz w:val="28"/>
          <w:sz w:val="28"/>
          <w:szCs w:val="28"/>
          <w:rtl w:val="true"/>
          <w:lang w:bidi="ar-SA"/>
        </w:rPr>
        <w:t>، و قال في نهاية كلامه</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كلام السيّد المرتضى رضي اللّٰه عنه</w:t>
      </w:r>
      <w:r>
        <w:rPr>
          <w:rFonts w:eastAsia="Amiri" w:cs="Amiri" w:ascii="Amiri" w:hAnsi="Amiri"/>
          <w:color w:val="111111"/>
          <w:sz w:val="28"/>
          <w:szCs w:val="28"/>
          <w:rtl w:val="true"/>
          <w:lang w:bidi="ar-SA"/>
        </w:rPr>
        <w:t>».</w:t>
      </w:r>
      <w:r>
        <w:rPr>
          <w:rStyle w:val="FootnoteAnchor"/>
          <w:rtl w:val="true"/>
        </w:rPr>
        <w:footnoteReference w:id="3297"/>
      </w:r>
      <w:r>
        <w:rPr>
          <w:rFonts w:ascii="Amiri" w:hAnsi="Amiri" w:eastAsia="Amiri" w:cs="Amiri"/>
          <w:color w:val="111111"/>
          <w:sz w:val="28"/>
          <w:sz w:val="28"/>
          <w:szCs w:val="28"/>
          <w:rtl w:val="true"/>
          <w:lang w:bidi="ar-SA"/>
        </w:rPr>
        <w:t>و هذا يدلّ على أنّه لم يسقط من الرسالة شيء</w:t>
      </w:r>
      <w:r>
        <w:rPr>
          <w:rFonts w:eastAsia="Amiri" w:cs="Amiri" w:ascii="Amiri" w:hAnsi="Amiri"/>
          <w:color w:val="111111"/>
          <w:sz w:val="28"/>
          <w:szCs w:val="28"/>
          <w:rtl w:val="true"/>
          <w:lang w:bidi="ar-SA"/>
        </w:rPr>
        <w:t xml:space="preserve">. </w:t>
      </w:r>
      <w:bookmarkStart w:id="1356" w:name="pg16437_172965"/>
    </w:p>
    <w:p>
      <w:pPr>
        <w:pStyle w:val="BookText"/>
        <w:rPr/>
      </w:pPr>
      <w:bookmarkEnd w:id="1356"/>
      <w:r>
        <w:rPr>
          <w:rFonts w:ascii="Amiri" w:hAnsi="Amiri" w:eastAsia="Amiri" w:cs="Amiri"/>
          <w:color w:val="111111"/>
          <w:sz w:val="28"/>
          <w:sz w:val="28"/>
          <w:szCs w:val="28"/>
          <w:rtl w:val="true"/>
          <w:lang w:bidi="ar-SA"/>
        </w:rPr>
        <w:t>كما أنّ العلّامة الحلّي قد أورد الرسالة كلّها أيضاً مع كلام ابن إدريس</w:t>
      </w:r>
      <w:r>
        <w:rPr>
          <w:rStyle w:val="FootnoteAnchor"/>
          <w:rtl w:val="true"/>
        </w:rPr>
        <w:footnoteReference w:id="3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المحتمل أنّ المصدر الرئيسي لهذه الرسالة هو ابن إدريس، و أنّ كلّ مَن نقل منها شيئاً إنّما نقله من كتاب ابن إدريس</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8040435_1280447820"/>
      <w:bookmarkStart w:id="1358" w:name="_Toc492"/>
      <w:bookmarkEnd w:id="1357"/>
      <w:r>
        <w:rPr>
          <w:rtl w:val="true"/>
        </w:rPr>
        <w:t>نسبتها إلى المؤلف</w:t>
      </w:r>
      <w:bookmarkEnd w:id="1358"/>
    </w:p>
    <w:p>
      <w:pPr>
        <w:pStyle w:val="BookText"/>
        <w:rPr/>
      </w:pPr>
      <w:r>
        <w:rPr>
          <w:rFonts w:ascii="Amiri" w:hAnsi="Amiri" w:eastAsia="Amiri" w:cs="Amiri"/>
          <w:color w:val="111111"/>
          <w:sz w:val="28"/>
          <w:sz w:val="28"/>
          <w:szCs w:val="28"/>
          <w:rtl w:val="true"/>
          <w:lang w:bidi="ar-SA"/>
        </w:rPr>
        <w:t>لقد أشار الشريف المرتضىٰ إلىٰ هذهِ الرسالة في كتابه الانتصار، حيث قال في بحث العول من كتاب الفرائض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بيّنّا في مسألة أمليناها مفردة، و تكلّمنا فيها علىٰ شيء أخطأ فيه الفضل بن شاذان في المواريث، بطلانَ هذهِ الشبهة</w:t>
      </w:r>
      <w:r>
        <w:rPr>
          <w:rFonts w:eastAsia="Amiri" w:cs="Amiri" w:ascii="Amiri" w:hAnsi="Amiri"/>
          <w:color w:val="111111"/>
          <w:sz w:val="28"/>
          <w:szCs w:val="28"/>
          <w:rtl w:val="true"/>
          <w:lang w:bidi="ar-SA"/>
        </w:rPr>
        <w:t>...».</w:t>
      </w:r>
      <w:r>
        <w:rPr>
          <w:rStyle w:val="FootnoteAnchor"/>
          <w:rtl w:val="true"/>
        </w:rPr>
        <w:footnoteReference w:id="3299"/>
      </w:r>
      <w:r>
        <w:rPr>
          <w:rFonts w:ascii="Amiri" w:hAnsi="Amiri" w:eastAsia="Amiri" w:cs="Amiri"/>
          <w:color w:val="111111"/>
          <w:sz w:val="28"/>
          <w:sz w:val="28"/>
          <w:szCs w:val="28"/>
          <w:rtl w:val="true"/>
          <w:lang w:bidi="ar-SA"/>
        </w:rPr>
        <w:t>فهو قد أشار هنا إلى الرسالة محلّ بحثنا، فمن يقارن بين ما جاء في هذا الموضع من الانتصار و بين هذهِ الرسالة يجد مطابقة تامّة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إشارة الشريف المرتضى إلىٰ هذه الرسالة في الانتصار يعتبر قرينة قطعية على تصحيح نسبتها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نسبة ابن إدريس هذه الرسالة إلى الشريف المرتضى مع قرب عهده نسبيّاً، يدلّ على تصحيح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أنّ احتواء الرسالة على رؤية معروفة للشريف المرتضى و مذكورة في كتبه و رسائله و مُطبّقة على مسائل فقهيّة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احتواءُ الرسالة على بعض الآراء الأُصوليّة المعروفة للشريف المرتضى، مثل أنّ الاستعمال علامة الحقيقة</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الرسالة قد حفظت لنا في آخرها نصوصاً من كتاب الفرائض للفضل بن شاذان، و هو كتاب مفقود، و هذا يَرفع من قيمة الرسالة و أهمّيّتها</w:t>
      </w:r>
      <w:r>
        <w:rPr>
          <w:rFonts w:eastAsia="Amiri" w:cs="Amiri" w:ascii="Amiri" w:hAnsi="Amiri"/>
          <w:color w:val="111111"/>
          <w:sz w:val="28"/>
          <w:szCs w:val="28"/>
          <w:rtl w:val="true"/>
          <w:lang w:bidi="ar-SA"/>
        </w:rPr>
        <w:t xml:space="preserve">. </w:t>
      </w:r>
      <w:bookmarkStart w:id="1359" w:name="pg16437_172966"/>
    </w:p>
    <w:p>
      <w:pPr>
        <w:pStyle w:val="Heading5"/>
        <w:numPr>
          <w:ilvl w:val="4"/>
          <w:numId w:val="1"/>
        </w:numPr>
        <w:rPr/>
      </w:pPr>
      <w:bookmarkStart w:id="1360" w:name="__RefHeading___Toc8040437_1280447820"/>
      <w:bookmarkStart w:id="1361" w:name="_Toc493"/>
      <w:bookmarkEnd w:id="1359"/>
      <w:bookmarkEnd w:id="1360"/>
      <w:r>
        <w:rPr>
          <w:rtl w:val="true"/>
        </w:rPr>
        <w:t>محتوى الرسالة</w:t>
      </w:r>
      <w:bookmarkEnd w:id="1361"/>
    </w:p>
    <w:p>
      <w:pPr>
        <w:pStyle w:val="BookText"/>
        <w:rPr/>
      </w:pPr>
      <w:r>
        <w:rPr>
          <w:rFonts w:ascii="Amiri" w:hAnsi="Amiri" w:eastAsia="Amiri" w:cs="Amiri"/>
          <w:color w:val="111111"/>
          <w:sz w:val="28"/>
          <w:sz w:val="28"/>
          <w:szCs w:val="28"/>
          <w:rtl w:val="true"/>
          <w:lang w:bidi="ar-SA"/>
        </w:rPr>
        <w:t>تقدّم أنّ الشريف المرتضى أورد في هذه الرسالة سبعة إشكالات على القول المشهور القائل بأنّ الأولاد يرثون سهم مَن يتقرّبون بهم، و خلاصة هذه الإشكالات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كلام المشهور أن يكون حال البنت في بعض الأحيان أفضل من حال الابن، بل من حال جماعة كثيرة من الأبناء، فلو فرضنا أنّ رجلاً خلّف بنتاً لابن، و عشرين ابناً لبنت أي خلّف حفيدة واحدة من ابنه، و عشرين حفيداً ذكراً من بنته، فسوف يكون للبنت الحفيدة الثلثان نصيب أبيها، و للأبناء الأحفاد الثلث نصيب أُمّهم، فيكون للبنت الواحدة نصيب أكثر بكثير من عشرين 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أيضاً من كلامهم أن يكون نصيب البنت أحياناً مساوياً لنصيب الابن، فبناءً على نظريّة المشهور فإنّ بنت الابن تأخذ كلّ المال بسبب واحد، لأنّها ترث ما يرث أبوها، فلو كان بدل هذه البنت ابنٌ، لورث المال كلّه أيضاً بسبب واحد، فيكون مساوياً لحكم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لدينا في الشريعة أنّ الابن يساوي البنت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أخذ البنت المباشرة لجميع المال إذا انفردت لا يجعلها مساوية للابن الذي يأخذ جميع المال أيضاً إذا انفرد؛ و ذلك لوجود اختلاف بينهما في كيفيّة و سبب أخذ جميع المال؛ فإنّ البنت تأخذ النصف إذا انفردت بالتسمية، و الباقي بالردّ، بينما الابن يأخذ كلّ المال من دون تسمية و لا ردّ، بينما المشهور هنا قد ساوى بينهما في الميراث و السبب معاً</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البنت تأخذ النصف إذا انفردت، و أنّ البنتين تأخذان الثلثين، بينما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يعطون بنت الابن إذا انفردت جميع المال من غير ردّ، مع صدق كونها بنت المتوفّى، كما يعطون بنتي </w:t>
      </w:r>
    </w:p>
    <w:p>
      <w:pPr>
        <w:pStyle w:val="BookText"/>
        <w:rPr/>
      </w:pPr>
      <w:r>
        <w:rPr>
          <w:rFonts w:ascii="Amiri" w:hAnsi="Amiri" w:eastAsia="Amiri" w:cs="Amiri"/>
          <w:color w:val="111111"/>
          <w:sz w:val="28"/>
          <w:sz w:val="28"/>
          <w:szCs w:val="28"/>
          <w:rtl w:val="true"/>
          <w:lang w:bidi="ar-SA"/>
        </w:rPr>
        <w:t>الابن الجميع أيضاً من غير ردّ، و هذا خلاف الكتاب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تعالى للبنت الواحدة النصف مع الوالدَين، فلو ترك الميّتُ بنتَ ابن و والدَين، فإنّه وفقاً لقول المشهور سوف يكون للأبوين السدسان، و الباقي أي الثلثان لبنت الابن، مع أنّه يصدق عليها حقيقة أنّها بنت المتوفى، و بهذا صارت البنت الواحدة ترث أكثر من النصف مع الوالدَين بسبب واحد، فصار حالها حال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شخصاً خلّف أولاد ابن و أولاد بنت من الجنسين، فإنّ مقتضى نظريّة المشهور أن يرث أولاد الابن سهمين يوزع بينهم للذكر مثل حظّ الأُنثيين، و أن يعطى أولاد البنت سهماً واحداً يوزع عليهم كذلك، فأشكل الشريف المرتضى على ذلك بأنّ دليلهم على ذلك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300"/>
      </w:r>
      <w:r>
        <w:rPr>
          <w:rFonts w:ascii="Amiri" w:hAnsi="Amiri" w:eastAsia="Amiri" w:cs="Amiri"/>
          <w:color w:val="111111"/>
          <w:sz w:val="28"/>
          <w:sz w:val="28"/>
          <w:szCs w:val="28"/>
          <w:rtl w:val="true"/>
          <w:lang w:bidi="ar-SA"/>
        </w:rPr>
        <w:t>، فإن كان كذلك، فإنّ أولاد الأولاد يطلق عليهم اسم أولاد، و بذلك يستحقون سهم إرث الأولاد المباشرين، فإن كان كذلك، فينبغي عدم التفريق بين حالة ما لو كان الأولاد أولاد ابن و بنت، أو أولاد ابن واحد، أو بنت واحدة، فإنّه في كلّ الأحوال يسمّون أولاداً، و يجب أن توزع عليهم التركة للذكر مثل حظ الأُنثيين، لا أن يوزع عليهم سهم مَن يتقرّبون به</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أهمّ دليل للشريف المرتضى على نظريّته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إطلاق اسم الأولاد على أولاد الأولاد، فتشملهم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فيرثون سهم الأولاد من الصلب، لا سهم مَن يتقرّبون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استدلّ به المشهور من الرواية الدالّة على أنّ كلّ مَن يتقرّب بغيره، يأخذ سهام مَن يتقرّب به</w:t>
      </w:r>
      <w:r>
        <w:rPr>
          <w:rStyle w:val="FootnoteAnchor"/>
          <w:rtl w:val="true"/>
        </w:rPr>
        <w:footnoteReference w:id="3301"/>
      </w:r>
      <w:r>
        <w:rPr>
          <w:rFonts w:ascii="Amiri" w:hAnsi="Amiri" w:eastAsia="Amiri" w:cs="Amiri"/>
          <w:color w:val="111111"/>
          <w:sz w:val="28"/>
          <w:sz w:val="28"/>
          <w:szCs w:val="28"/>
          <w:rtl w:val="true"/>
          <w:lang w:bidi="ar-SA"/>
        </w:rPr>
        <w:t xml:space="preserve">، فهذه الرواية تشمل أولاد </w:t>
      </w:r>
    </w:p>
    <w:p>
      <w:pPr>
        <w:pStyle w:val="BookText"/>
        <w:rPr/>
      </w:pPr>
      <w:r>
        <w:rPr>
          <w:rFonts w:ascii="Amiri" w:hAnsi="Amiri" w:eastAsia="Amiri" w:cs="Amiri"/>
          <w:color w:val="111111"/>
          <w:sz w:val="28"/>
          <w:sz w:val="28"/>
          <w:szCs w:val="28"/>
          <w:rtl w:val="true"/>
          <w:lang w:bidi="ar-SA"/>
        </w:rPr>
        <w:t>الأعمام و أولاد الأخوال، و غيرهم، فإنّهم يرثون سهم آبائهم و أُمّهاتهم؛ لأنّهم يتقرّبون بهم، بينما الأمر مختلف بالنسبة لأولاد الأولاد، فإنّهم يسمّون أولاداً كآبائهم، بينما أولاد الأعمام مثلاً لا يسمّون أعماماً كآبائهم، و لذلك تقرّب أولاد الأولاد بأنفسهم إلى الميّت، فأخذوا حصّة الأولاد من الصلب، بينما تقرّب أولاد الأعمام بآبائهم، فأخذوا حصّة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رأي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تأكيد الشريف المرتضى على تسمية الأولاد أولاداً جعله يستطرد و يتوجّه نحو العامّة الذين فصّلوا بين ولد الولد و ولد البنت، فسمّوا الأوّل ولداً، و امتنعوا من تسمية الثاني بذلك، فأخذ الشريف المرتضى بمناقشتهم، و إثبات أنّ ولد البنين و البنات يُطلق عليهم اسم الولد على السواء، فاستدلّ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w:t>
      </w:r>
      <w:r>
        <w:rPr>
          <w:rFonts w:eastAsia="Amiri" w:cs="Amiri" w:ascii="Amiri" w:hAnsi="Amiri"/>
          <w:color w:val="111111"/>
          <w:sz w:val="28"/>
          <w:szCs w:val="28"/>
          <w:rtl w:val="true"/>
          <w:lang w:bidi="ar-SA"/>
        </w:rPr>
        <w:t xml:space="preserve">» </w:t>
      </w:r>
      <w:r>
        <w:rPr>
          <w:rStyle w:val="FootnoteAnchor"/>
          <w:rtl w:val="true"/>
        </w:rPr>
        <w:footnoteReference w:id="3302"/>
      </w:r>
      <w:r>
        <w:rPr>
          <w:rFonts w:ascii="Amiri" w:hAnsi="Amiri" w:eastAsia="Amiri" w:cs="Amiri"/>
          <w:color w:val="111111"/>
          <w:sz w:val="28"/>
          <w:sz w:val="28"/>
          <w:szCs w:val="28"/>
          <w:rtl w:val="true"/>
          <w:lang w:bidi="ar-SA"/>
        </w:rPr>
        <w:t xml:space="preserve">، فقد دلّ الإجماع على أنّ ظاهر هذه الآية دلّ على حرمة بنات الأولاد مع أنّهنّ لم يُذكَرن في الآية؛ و ذلك لأنّ إطلاق البنات على بنات الأولاد يَسمح بدخولهنّ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تسمّ بنات الأولاد بنات لَمَا دخلن في الآية، بينما صرّحت الآية بتحريم بنات الأخ و الأُخت؛ و ذلك لعدم دخولهنّ تحت عنوان الأخوات؛ لكن لم تصرّح الآية بتحريم بنات الأولاد، و ذلك لدخولهنّ تحت عنوان البنات</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استشهد الشريف المرتضى لكلامه بأُمور، مثل تسمية الحسن و الحسين عليهما السلامُ بأنّهما أبناء رسول اللّٰه صلّى اللّٰهُ عليه و آلِه، و تسمية الإمام الصادق عليه السلامُ بأنّه ابن أبي بكر، و تسمية عيسى عليه السلامُ بأنّه من بني آدم عليه السلامُ و ولده، مع أنّهم جميعاً ينتمون إلى من نُسبوا إليهم و عُدّوا أولاداً لهم، من جهة الأُمّ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استعرض الإشكال القائل بأنّ إجراء اسم الولد على ولد البنت إنّما هو استعمال مجازي لا حقيقي، و أجاب من خلال مبناه في علم الأُصول القائل بأنّ الاستعمال من علامات الحقيقة؛ فإنّ الظاهر منه هو ذلك، و لا يمكن الخروج عن الحقيقة إلّابقرينة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تناقض في كلام الفضل بن شاذان في كتابه الفرائض،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خلّف بنت ابن و ابن بنت، فإنّ البنت ترث الثلثين سهم أبيها، و الابن يرث الثلث سهم أُمّه، فكلٌ منهما يرث سهم مَن يتقرّب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قال بعد ذلك في نفس الكتاب في بنت ابن و ابن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أبواهما مختلفَين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المال بينهما 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المفروض أنّهما يتقرّبان بأبويهما، فيجب أن يرثا سهم أبويهما بالتساوي، فإنّ سهم أبويهما متساويان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في كتابه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خلّف رجل ابن بنت و ابنة ابن و أبوين، فللأبوين السدسان، و ما بقي فلابنة الابن الثلثان سهم أبيها، و لابن البنت الثلث سهم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علّل ذلك بأنّ ولد الابنة ولد، كما أنّ ولد الابن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الإشكال مبني علىٰ قبول التعليل الأخير، و هو أنّه لو كان ولد البنت ولداً، كما أنّ ولد الابن كذلك، لوجب أن يكون المال بينهما للولد مثل حظّ الأُنثيين؛ لدخولهما 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أعطى الأُنثى ضعف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أشار الشريف المرتضى إلى موافقته لابن شاذان في بعض الصور مع اختلافه معه في التعليل، و ذلك مثل ما لو خلّف الميّت بنت بنت و ابن ابن، فإنّ ابن شاذان يعطي البنت الثلث سهم أُمّها، و الابن الثلثين سهم أبيه، و هو صحيح من وجهة نظر الشريف المرتضى، و لكن لا لأنّهما يرثان سهم أبيهما و أُمّهما، بل لأنّهما بمنزلة بنت و ابن مباشرَين؛ فإنّهما يرثان مثل كلّ ابن و بنت للصلب، للذكر مثل حظّ الأُنثيين، فتأخذ البنت سهماً واحداً و هو الثلث، و الابن يأخذ سهمين و هما الثلثان</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كانت هذه الرسالة قد طبعت في ضمن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bookmarkStart w:id="1362" w:name="pg16437_172970"/>
    </w:p>
    <w:p>
      <w:pPr>
        <w:pStyle w:val="BookText"/>
        <w:rPr/>
      </w:pPr>
      <w:bookmarkEnd w:id="1362"/>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و في ضمن كتاب السرائر،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و كتاب مختلف الشيعة،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فقد تقدّم أنّ ابن إدريس و العلّامة الحلّي قد نقلا نصّ الرسالة في هذين الكتابين</w:t>
      </w:r>
      <w:r>
        <w:rPr>
          <w:rFonts w:eastAsia="Amiri" w:cs="Amiri" w:ascii="Amiri" w:hAnsi="Amiri"/>
          <w:color w:val="111111"/>
          <w:sz w:val="28"/>
          <w:szCs w:val="28"/>
          <w:rtl w:val="true"/>
          <w:lang w:bidi="ar-SA"/>
        </w:rPr>
        <w:t>.</w:t>
      </w:r>
    </w:p>
    <w:p>
      <w:pPr>
        <w:pStyle w:val="Heading5"/>
        <w:numPr>
          <w:ilvl w:val="4"/>
          <w:numId w:val="1"/>
        </w:numPr>
        <w:rPr/>
      </w:pPr>
      <w:bookmarkStart w:id="1363" w:name="__RefHeading___Toc8040439_1280447820"/>
      <w:bookmarkStart w:id="1364" w:name="_Toc494"/>
      <w:bookmarkEnd w:id="1363"/>
      <w:r>
        <w:rPr>
          <w:rtl w:val="true"/>
        </w:rPr>
        <w:t>مخطوطات الرسالة</w:t>
      </w:r>
      <w:bookmarkEnd w:id="13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السرائر، طبعة جماعة المدرّسين، فقد تقدّم آنفاً أنّ ابن إدريس نقل نصّ الرسالة في كتابه، و لذلك قمنا بمقابلة ما جاء فيه مع هذه الرسالة</w:t>
      </w:r>
      <w:r>
        <w:rPr>
          <w:rFonts w:eastAsia="Amiri" w:cs="Amiri" w:ascii="Amiri" w:hAnsi="Amiri"/>
          <w:color w:val="111111"/>
          <w:sz w:val="28"/>
          <w:szCs w:val="28"/>
          <w:rtl w:val="true"/>
          <w:lang w:bidi="ar-SA"/>
        </w:rPr>
        <w:t xml:space="preserve">. </w:t>
      </w:r>
      <w:bookmarkStart w:id="1365" w:name="pg16437_172971"/>
    </w:p>
    <w:p>
      <w:pPr>
        <w:pStyle w:val="Heading4"/>
        <w:numPr>
          <w:ilvl w:val="3"/>
          <w:numId w:val="1"/>
        </w:numPr>
        <w:rPr/>
      </w:pPr>
      <w:bookmarkStart w:id="1366" w:name="__RefHeading___Toc8040441_1280447820"/>
      <w:bookmarkStart w:id="1367" w:name="_Toc495"/>
      <w:bookmarkEnd w:id="1365"/>
      <w:bookmarkEnd w:id="1366"/>
      <w:r>
        <w:rPr>
          <w:rtl w:val="true"/>
        </w:rPr>
        <w:t>مَسألةٌ في إرثِ الأَولادِ</w:t>
      </w:r>
      <w:bookmarkEnd w:id="1367"/>
    </w:p>
    <w:p>
      <w:pPr>
        <w:pStyle w:val="Heading5"/>
        <w:numPr>
          <w:ilvl w:val="4"/>
          <w:numId w:val="1"/>
        </w:numPr>
        <w:rPr/>
      </w:pPr>
      <w:bookmarkStart w:id="1368" w:name="__RefHeading___Toc8040443_1280447820"/>
      <w:bookmarkStart w:id="1369" w:name="_Toc496"/>
      <w:bookmarkEnd w:id="1368"/>
      <w:r>
        <w:rPr>
          <w:rtl w:val="true"/>
        </w:rPr>
        <w:t>اشارة</w:t>
      </w:r>
      <w:bookmarkEnd w:id="1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الأجَلُّ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يَلزَمُ مَن ذَهَبَ مِن أصحابِنا إلىٰ أنّ أولادَ البَنينَ و البَناتِ يَرِثونَ سِهامَ آبائهم مَسائلُ سَبعٌ‌</w:t>
      </w:r>
      <w:r>
        <w:rPr>
          <w:rStyle w:val="FootnoteAnchor"/>
          <w:rtl w:val="true"/>
        </w:rPr>
        <w:footnoteReference w:id="3303"/>
      </w:r>
      <w:r>
        <w:rPr>
          <w:rFonts w:ascii="Amiri" w:hAnsi="Amiri" w:eastAsia="Amiri" w:cs="Amiri"/>
          <w:color w:val="111111"/>
          <w:sz w:val="28"/>
          <w:sz w:val="28"/>
          <w:szCs w:val="28"/>
          <w:rtl w:val="true"/>
          <w:lang w:bidi="ar-SA"/>
        </w:rPr>
        <w:t>لا مَخلَصَ لَهم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Style w:val="FootnoteAnchor"/>
          <w:rtl w:val="true"/>
        </w:rPr>
        <w:footnoteReference w:id="3304"/>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يَلزَمُهم أن يَكونَ حالُ البِنتِ أحسَنَ مِن حالِ الِابنِ؛ بَل أحسَنَ مِن حالِ جماعةٍ كثيرةٍ مِن البَنينَ، كرَجُلٍ خَلَّفَ بِنتَ ابنٍ و عِشرينَ ابناً مِن بِنتٍ‌</w:t>
      </w:r>
      <w:r>
        <w:rPr>
          <w:rStyle w:val="FootnoteAnchor"/>
          <w:rtl w:val="true"/>
        </w:rPr>
        <w:footnoteReference w:id="3305"/>
      </w:r>
      <w:r>
        <w:rPr>
          <w:rFonts w:ascii="Amiri" w:hAnsi="Amiri" w:eastAsia="Amiri" w:cs="Amiri"/>
          <w:color w:val="111111"/>
          <w:sz w:val="28"/>
          <w:sz w:val="28"/>
          <w:szCs w:val="28"/>
          <w:rtl w:val="true"/>
          <w:lang w:bidi="ar-SA"/>
        </w:rPr>
        <w:t>فعندَهم أنّ لبِنتِ الِابنِ نَصيبَ أبيها و هو الثُّلُثانِ، و لبَني البِنتِ نَصيبَ أُمِّهم و هو الثُّلُثُ؛ فالبِنتُ الواحدةُ أوفَرُ نَصيباً مِن عِشرينَ ابناً</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نَصيبُ البِنتِ يُساوي نَصيبَ الِابنِ، حتّىٰ لَو كانَ مكانَها ابنٌ لَوَرِثَ ما تَرِثُه</w:t>
      </w:r>
      <w:r>
        <w:rPr>
          <w:rStyle w:val="FootnoteAnchor"/>
          <w:rtl w:val="true"/>
        </w:rPr>
        <w:footnoteReference w:id="3306"/>
      </w:r>
      <w:r>
        <w:rPr>
          <w:rFonts w:ascii="Amiri" w:hAnsi="Amiri" w:eastAsia="Amiri" w:cs="Amiri"/>
          <w:color w:val="111111"/>
          <w:sz w:val="28"/>
          <w:sz w:val="28"/>
          <w:szCs w:val="28"/>
          <w:rtl w:val="true"/>
          <w:lang w:bidi="ar-SA"/>
        </w:rPr>
        <w:t>هي بعَينِه علىٰ وجهٍ واحدٍ و سببٍ واحدٍ؛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مَذهبَهم أنّ بِنتَ الِابنِ تَأخُذُ</w:t>
      </w:r>
      <w:r>
        <w:rPr>
          <w:rStyle w:val="FootnoteAnchor"/>
          <w:rtl w:val="true"/>
        </w:rPr>
        <w:footnoteReference w:id="3307"/>
      </w:r>
      <w:r>
        <w:rPr>
          <w:rFonts w:ascii="Amiri" w:hAnsi="Amiri" w:eastAsia="Amiri" w:cs="Amiri"/>
          <w:color w:val="111111"/>
          <w:sz w:val="28"/>
          <w:sz w:val="28"/>
          <w:szCs w:val="28"/>
          <w:rtl w:val="true"/>
          <w:lang w:bidi="ar-SA"/>
        </w:rPr>
        <w:t xml:space="preserve">المالَ كُلَّه بسببٍ واحدٍ؛ لأنّ لها عندَهم نَصيبَ أبيها؛ فلَو كانَ مكانَ هذه البنتِ ابنٌ، لَساواها في هذا الحُكمِ، و أخَذَ ما كانَت تأخُذُه البنتُ، علَى الوجهِ </w:t>
      </w:r>
    </w:p>
    <w:p>
      <w:pPr>
        <w:pStyle w:val="BookText"/>
        <w:rPr/>
      </w:pPr>
      <w:r>
        <w:rPr>
          <w:rFonts w:ascii="Amiri" w:hAnsi="Amiri" w:eastAsia="Amiri" w:cs="Amiri"/>
          <w:color w:val="111111"/>
          <w:sz w:val="28"/>
          <w:sz w:val="28"/>
          <w:szCs w:val="28"/>
          <w:rtl w:val="true"/>
          <w:lang w:bidi="ar-SA"/>
        </w:rPr>
        <w:t>الذي كانَت</w:t>
      </w:r>
      <w:r>
        <w:rPr>
          <w:rStyle w:val="FootnoteAnchor"/>
          <w:rtl w:val="true"/>
        </w:rPr>
        <w:footnoteReference w:id="3308"/>
      </w:r>
      <w:r>
        <w:rPr>
          <w:rFonts w:ascii="Amiri" w:hAnsi="Amiri" w:eastAsia="Amiri" w:cs="Amiri"/>
          <w:color w:val="111111"/>
          <w:sz w:val="28"/>
          <w:sz w:val="28"/>
          <w:szCs w:val="28"/>
          <w:rtl w:val="true"/>
          <w:lang w:bidi="ar-SA"/>
        </w:rPr>
        <w:t>تأخُذُه عليه</w:t>
      </w:r>
      <w:r>
        <w:rPr>
          <w:rStyle w:val="FootnoteAnchor"/>
          <w:rtl w:val="true"/>
        </w:rPr>
        <w:footnoteReference w:id="3309"/>
      </w:r>
      <w:r>
        <w:rPr>
          <w:rFonts w:ascii="Amiri" w:hAnsi="Amiri" w:eastAsia="Amiri" w:cs="Amiri"/>
          <w:color w:val="111111"/>
          <w:sz w:val="28"/>
          <w:sz w:val="28"/>
          <w:szCs w:val="28"/>
          <w:rtl w:val="true"/>
          <w:lang w:bidi="ar-SA"/>
        </w:rPr>
        <w:t>و لَيسَ في الشريعةِ أنّ الِابنَ يُساوي البِنتَ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عارَضونا بمَن خَلَّفَ بِنتاً و لَم يُخلِّفْ غيرَها، فإنّها تأخُذُ جميعَ المالِ؛ و لَو</w:t>
      </w:r>
      <w:r>
        <w:rPr>
          <w:rStyle w:val="FootnoteAnchor"/>
          <w:rtl w:val="true"/>
        </w:rPr>
        <w:footnoteReference w:id="3310"/>
      </w:r>
      <w:r>
        <w:rPr>
          <w:rFonts w:ascii="Amiri" w:hAnsi="Amiri" w:eastAsia="Amiri" w:cs="Amiri"/>
          <w:color w:val="111111"/>
          <w:sz w:val="28"/>
          <w:sz w:val="28"/>
          <w:szCs w:val="28"/>
          <w:rtl w:val="true"/>
          <w:lang w:bidi="ar-SA"/>
        </w:rPr>
        <w:t>كانَ مكانَها</w:t>
      </w:r>
      <w:r>
        <w:rPr>
          <w:rStyle w:val="FootnoteAnchor"/>
          <w:rtl w:val="true"/>
        </w:rPr>
        <w:footnoteReference w:id="3311"/>
      </w:r>
      <w:r>
        <w:rPr>
          <w:rFonts w:ascii="Amiri" w:hAnsi="Amiri" w:eastAsia="Amiri" w:cs="Amiri"/>
          <w:color w:val="111111"/>
          <w:sz w:val="28"/>
          <w:sz w:val="28"/>
          <w:szCs w:val="28"/>
          <w:rtl w:val="true"/>
          <w:lang w:bidi="ar-SA"/>
        </w:rPr>
        <w:t>ابنٌ لَجَرىٰ في ذلكَ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الِابنَ لا يَجري عندَنا</w:t>
      </w:r>
      <w:r>
        <w:rPr>
          <w:rStyle w:val="FootnoteAnchor"/>
          <w:rtl w:val="true"/>
        </w:rPr>
        <w:footnoteReference w:id="3312"/>
      </w:r>
      <w:r>
        <w:rPr>
          <w:rFonts w:ascii="Amiri" w:hAnsi="Amiri" w:eastAsia="Amiri" w:cs="Amiri"/>
          <w:color w:val="111111"/>
          <w:sz w:val="28"/>
          <w:sz w:val="28"/>
          <w:szCs w:val="28"/>
          <w:rtl w:val="true"/>
          <w:lang w:bidi="ar-SA"/>
        </w:rPr>
        <w:t>مَجرَى البِنتِ هاهُنا</w:t>
      </w:r>
      <w:r>
        <w:rPr>
          <w:rStyle w:val="FootnoteAnchor"/>
          <w:rtl w:val="true"/>
        </w:rPr>
        <w:footnoteReference w:id="3313"/>
      </w:r>
      <w:r>
        <w:rPr>
          <w:rFonts w:ascii="Amiri" w:hAnsi="Amiri" w:eastAsia="Amiri" w:cs="Amiri"/>
          <w:color w:val="111111"/>
          <w:sz w:val="28"/>
          <w:sz w:val="28"/>
          <w:szCs w:val="28"/>
          <w:rtl w:val="true"/>
          <w:lang w:bidi="ar-SA"/>
        </w:rPr>
        <w:t>لأنّ البِنتَ‌</w:t>
      </w:r>
      <w:r>
        <w:rPr>
          <w:rStyle w:val="FootnoteAnchor"/>
          <w:rtl w:val="true"/>
        </w:rPr>
        <w:footnoteReference w:id="3314"/>
      </w:r>
      <w:r>
        <w:rPr>
          <w:rFonts w:ascii="Amiri" w:hAnsi="Amiri" w:eastAsia="Amiri" w:cs="Amiri"/>
          <w:color w:val="111111"/>
          <w:sz w:val="28"/>
          <w:sz w:val="28"/>
          <w:szCs w:val="28"/>
          <w:rtl w:val="true"/>
          <w:lang w:bidi="ar-SA"/>
        </w:rPr>
        <w:t>تأخُذُ النِّصفَ بالتسميةِ و النِّصفَ الآخَرَ</w:t>
      </w:r>
      <w:r>
        <w:rPr>
          <w:rStyle w:val="FootnoteAnchor"/>
          <w:rtl w:val="true"/>
        </w:rPr>
        <w:footnoteReference w:id="3315"/>
      </w:r>
      <w:r>
        <w:rPr>
          <w:rFonts w:ascii="Amiri" w:hAnsi="Amiri" w:eastAsia="Amiri" w:cs="Amiri"/>
          <w:color w:val="111111"/>
          <w:sz w:val="28"/>
          <w:sz w:val="28"/>
          <w:szCs w:val="28"/>
          <w:rtl w:val="true"/>
          <w:lang w:bidi="ar-SA"/>
        </w:rPr>
        <w:t>بالردِّ، و الِابنَ يأخُذُ المالَ بسَبَبٍ واحدٍ مِن غيرِ تسميةٍ و لا رَدٍّ؛ و أنتم توجِبونَ مُساواةَ الِابنِ للبِنتِ في الميراثِ و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البِنتَ في الشرعِ و بظاهرِ</w:t>
      </w:r>
      <w:r>
        <w:rPr>
          <w:rStyle w:val="FootnoteAnchor"/>
          <w:rtl w:val="true"/>
        </w:rPr>
        <w:footnoteReference w:id="3316"/>
      </w:r>
      <w:r>
        <w:rPr>
          <w:rFonts w:ascii="Amiri" w:hAnsi="Amiri" w:eastAsia="Amiri" w:cs="Amiri"/>
          <w:color w:val="111111"/>
          <w:sz w:val="28"/>
          <w:sz w:val="28"/>
          <w:szCs w:val="28"/>
          <w:rtl w:val="true"/>
          <w:lang w:bidi="ar-SA"/>
        </w:rPr>
        <w:t xml:space="preserve">القُرآنِ لها النِّصفُ إذا انفَرَدَت، و للبِنتَينِ الثُّلُثانِ، و هُم يُعطُونَ بِنتَ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عندَهم بِنتُ المُتوَفّىٰ و مُستَحِقّةٌ لهذه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w:t>
      </w:r>
      <w:r>
        <w:rPr>
          <w:rStyle w:val="FootnoteAnchor"/>
          <w:rtl w:val="true"/>
        </w:rPr>
        <w:footnoteReference w:id="3317"/>
      </w:r>
      <w:r>
        <w:rPr>
          <w:rFonts w:ascii="Amiri" w:hAnsi="Amiri" w:eastAsia="Amiri" w:cs="Amiri"/>
          <w:color w:val="111111"/>
          <w:sz w:val="28"/>
          <w:sz w:val="28"/>
          <w:szCs w:val="28"/>
          <w:rtl w:val="true"/>
          <w:lang w:bidi="ar-SA"/>
        </w:rPr>
        <w:t>و كذلكَ‌</w:t>
      </w:r>
      <w:r>
        <w:rPr>
          <w:rStyle w:val="FootnoteAnchor"/>
          <w:rtl w:val="true"/>
        </w:rPr>
        <w:footnoteReference w:id="3318"/>
      </w:r>
      <w:r>
        <w:rPr>
          <w:rFonts w:ascii="Amiri" w:hAnsi="Amiri" w:eastAsia="Amiri" w:cs="Amiri"/>
          <w:color w:val="111111"/>
          <w:sz w:val="28"/>
          <w:sz w:val="28"/>
          <w:szCs w:val="28"/>
          <w:rtl w:val="true"/>
          <w:lang w:bidi="ar-SA"/>
        </w:rPr>
        <w:t>يَقولونَ في ابنَتَي</w:t>
      </w:r>
      <w:r>
        <w:rPr>
          <w:rStyle w:val="FootnoteAnchor"/>
          <w:rtl w:val="true"/>
        </w:rPr>
        <w:footnoteReference w:id="3319"/>
      </w:r>
      <w:r>
        <w:rPr>
          <w:rFonts w:ascii="Amiri" w:hAnsi="Amiri" w:eastAsia="Amiri" w:cs="Amiri"/>
          <w:color w:val="111111"/>
          <w:sz w:val="28"/>
          <w:sz w:val="28"/>
          <w:szCs w:val="28"/>
          <w:rtl w:val="true"/>
          <w:lang w:bidi="ar-SA"/>
        </w:rPr>
        <w:t>ابنٍ أنّ‌</w:t>
      </w:r>
      <w:r>
        <w:rPr>
          <w:rStyle w:val="FootnoteAnchor"/>
          <w:rtl w:val="true"/>
        </w:rPr>
        <w:footnoteReference w:id="3320"/>
      </w:r>
      <w:r>
        <w:rPr>
          <w:rFonts w:ascii="IRNazanin" w:hAnsi="IRNazanin" w:eastAsia="IRNazanin"/>
          <w:color w:val="111111"/>
          <w:sz w:val="28"/>
          <w:sz w:val="28"/>
          <w:szCs w:val="28"/>
          <w:rtl w:val="true"/>
          <w:lang w:bidi="fa-IR"/>
        </w:rPr>
        <w:t>لهما</w:t>
      </w:r>
      <w:r>
        <w:rPr>
          <w:rStyle w:val="FootnoteAnchor"/>
          <w:rtl w:val="true"/>
        </w:rPr>
        <w:footnoteReference w:id="3321"/>
      </w:r>
      <w:r>
        <w:rPr>
          <w:rFonts w:ascii="Amiri" w:hAnsi="Amiri" w:eastAsia="Amiri" w:cs="Amiri"/>
          <w:color w:val="111111"/>
          <w:sz w:val="28"/>
          <w:sz w:val="28"/>
          <w:szCs w:val="28"/>
          <w:rtl w:val="true"/>
          <w:lang w:bidi="ar-SA"/>
        </w:rPr>
        <w:t>جميعَ المالِ مِن غيرِ رَدٍّ عليهما، و هذا بخِلافِ الكتابِ و الإجماعِ</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تَعالىٰ للبِنتِ الواحدةِ النِّصفَ و للبِنتَينِ الثُّلُثَينِ‌</w:t>
      </w:r>
      <w:r>
        <w:rPr>
          <w:rStyle w:val="FootnoteAnchor"/>
          <w:rtl w:val="true"/>
        </w:rPr>
        <w:footnoteReference w:id="3322"/>
      </w:r>
      <w:r>
        <w:rPr>
          <w:rFonts w:ascii="Amiri" w:hAnsi="Amiri" w:eastAsia="Amiri" w:cs="Amiri"/>
          <w:color w:val="111111"/>
          <w:sz w:val="28"/>
          <w:sz w:val="28"/>
          <w:szCs w:val="28"/>
          <w:rtl w:val="true"/>
          <w:lang w:bidi="ar-SA"/>
        </w:rPr>
        <w:t>في كُلِّ مَوضِعٍ، و إنّما جَعَلَ لَهُنَّ ذلكَ مع الأبَوَينِ خاصّةً، و إذا انفَرَدنَ‌</w:t>
      </w:r>
      <w:r>
        <w:rPr>
          <w:rStyle w:val="FootnoteAnchor"/>
          <w:rtl w:val="true"/>
        </w:rPr>
        <w:footnoteReference w:id="3323"/>
      </w:r>
      <w:r>
        <w:rPr>
          <w:rFonts w:ascii="Amiri" w:hAnsi="Amiri" w:eastAsia="Amiri" w:cs="Amiri"/>
          <w:color w:val="111111"/>
          <w:sz w:val="28"/>
          <w:sz w:val="28"/>
          <w:szCs w:val="28"/>
          <w:rtl w:val="true"/>
          <w:lang w:bidi="ar-SA"/>
        </w:rPr>
        <w:t>عن الأبَوَينِ لَم يَكُن لَهُنَّ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الفَضلُ بنُ شاذانَ‌</w:t>
      </w:r>
      <w:r>
        <w:rPr>
          <w:rStyle w:val="FootnoteAnchor"/>
          <w:rtl w:val="true"/>
        </w:rPr>
        <w:footnoteReference w:id="3324"/>
      </w:r>
      <w:r>
        <w:rPr>
          <w:rFonts w:ascii="Amiri" w:hAnsi="Amiri" w:eastAsia="Amiri" w:cs="Amiri"/>
          <w:color w:val="111111"/>
          <w:sz w:val="28"/>
          <w:sz w:val="28"/>
          <w:szCs w:val="28"/>
          <w:rtl w:val="true"/>
          <w:lang w:bidi="ar-SA"/>
        </w:rPr>
        <w:t>إلىٰ هذا المَذهَبِ و مَن تابَعَه عليه</w:t>
      </w:r>
      <w:r>
        <w:rPr>
          <w:rStyle w:val="FootnoteAnchor"/>
          <w:rtl w:val="true"/>
        </w:rPr>
        <w:footnoteReference w:id="3325"/>
      </w:r>
      <w:r>
        <w:rPr>
          <w:rFonts w:ascii="Amiri" w:hAnsi="Amiri" w:eastAsia="Amiri" w:cs="Amiri"/>
          <w:color w:val="111111"/>
          <w:sz w:val="28"/>
          <w:sz w:val="28"/>
          <w:szCs w:val="28"/>
          <w:rtl w:val="true"/>
          <w:lang w:bidi="ar-SA"/>
        </w:rPr>
        <w:t>فِراراً مِن مَسألةِ العَولِ‌</w:t>
      </w:r>
      <w:r>
        <w:rPr>
          <w:rStyle w:val="FootnoteAnchor"/>
          <w:rtl w:val="true"/>
        </w:rPr>
        <w:footnoteReference w:id="3326"/>
      </w:r>
      <w:r>
        <w:rPr>
          <w:rFonts w:ascii="Amiri" w:hAnsi="Amiri" w:eastAsia="Amiri" w:cs="Amiri"/>
          <w:color w:val="111111"/>
          <w:sz w:val="28"/>
          <w:sz w:val="28"/>
          <w:szCs w:val="28"/>
          <w:rtl w:val="true"/>
          <w:lang w:bidi="ar-SA"/>
        </w:rPr>
        <w:t>و نَحنُ نُبيِّنُ فَسادَ هذه الطريقةِ، بَعدَ أن نُبيِّنَ لُزومَ ما ألزَمناهم إيّاه علىٰ تسليمِ ما اقتَرَحوه، فنَقولُ</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تَعالىٰ للبِنتِ الواحدةِ النِّصفَ مع الوالدَينِ، بِلا خِلافٍ مِنكم؛ فخَبِّرونا عمّن خَلَّفَ ابنةَ ابنٍ و أبَوَينِ‌</w:t>
      </w:r>
      <w:r>
        <w:rPr>
          <w:rStyle w:val="FootnoteAnchor"/>
          <w:rtl w:val="true"/>
        </w:rPr>
        <w:footnoteReference w:id="3327"/>
      </w:r>
      <w:r>
        <w:rPr>
          <w:rFonts w:ascii="Amiri" w:hAnsi="Amiri" w:eastAsia="Amiri" w:cs="Amiri"/>
          <w:color w:val="111111"/>
          <w:sz w:val="28"/>
          <w:sz w:val="28"/>
          <w:szCs w:val="28"/>
          <w:rtl w:val="true"/>
          <w:lang w:bidi="ar-SA"/>
        </w:rPr>
        <w:t>، و مَذهَبُكم</w:t>
      </w:r>
      <w:r>
        <w:rPr>
          <w:rStyle w:val="FootnoteAnchor"/>
          <w:rtl w:val="true"/>
        </w:rPr>
        <w:footnoteReference w:id="3328"/>
      </w:r>
      <w:r>
        <w:rPr>
          <w:rFonts w:ascii="Amiri" w:hAnsi="Amiri" w:eastAsia="Amiri" w:cs="Amiri"/>
          <w:color w:val="111111"/>
          <w:sz w:val="28"/>
          <w:sz w:val="28"/>
          <w:szCs w:val="28"/>
          <w:rtl w:val="true"/>
          <w:lang w:bidi="ar-SA"/>
        </w:rPr>
        <w:t>هذا يَقتَضي أنّ للأ بَوَينِ السُّدُسَينِ‌</w:t>
      </w:r>
      <w:r>
        <w:rPr>
          <w:rStyle w:val="FootnoteAnchor"/>
          <w:rtl w:val="true"/>
        </w:rPr>
        <w:footnoteReference w:id="3329"/>
      </w:r>
      <w:r>
        <w:rPr>
          <w:rFonts w:ascii="Amiri" w:hAnsi="Amiri" w:eastAsia="Amiri" w:cs="Amiri"/>
          <w:color w:val="111111"/>
          <w:sz w:val="28"/>
          <w:sz w:val="28"/>
          <w:szCs w:val="28"/>
          <w:rtl w:val="true"/>
          <w:lang w:bidi="ar-SA"/>
        </w:rPr>
        <w:t>، و ما بَقيَ لبِنتِ الِابنِ‌</w:t>
      </w:r>
      <w:r>
        <w:rPr>
          <w:rStyle w:val="FootnoteAnchor"/>
          <w:rtl w:val="true"/>
        </w:rPr>
        <w:footnoteReference w:id="3330"/>
      </w:r>
      <w:r>
        <w:rPr>
          <w:rFonts w:ascii="Amiri" w:hAnsi="Amiri" w:eastAsia="Amiri" w:cs="Amiri"/>
          <w:color w:val="111111"/>
          <w:sz w:val="28"/>
          <w:sz w:val="28"/>
          <w:szCs w:val="28"/>
          <w:rtl w:val="true"/>
          <w:lang w:bidi="ar-SA"/>
        </w:rPr>
        <w:t>، و هي عندَكم بِنتُ المُتوَفّىٰ علىٰ سَبيلِ الحقيقةِ؛ فقَد صارَت البِنتُ تأخُذُ مع الأبَوَينِ أكثَرَ مِن النِّصفِ بسَبَبٍ واحدٍ، و جَرَت في ذلكَ مَجرَى الِابنِ‌</w:t>
      </w:r>
      <w:r>
        <w:rPr>
          <w:rStyle w:val="FootnoteAnchor"/>
          <w:rtl w:val="true"/>
        </w:rPr>
        <w:footnoteReference w:id="3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فأمّا القولُ‌</w:t>
      </w:r>
      <w:r>
        <w:rPr>
          <w:rStyle w:val="FootnoteAnchor"/>
          <w:rtl w:val="true"/>
        </w:rPr>
        <w:footnoteReference w:id="3332"/>
      </w:r>
      <w:r>
        <w:rPr>
          <w:rFonts w:ascii="Amiri" w:hAnsi="Amiri" w:eastAsia="Amiri" w:cs="Amiri"/>
          <w:color w:val="111111"/>
          <w:sz w:val="28"/>
          <w:sz w:val="28"/>
          <w:szCs w:val="28"/>
          <w:rtl w:val="true"/>
          <w:lang w:bidi="ar-SA"/>
        </w:rPr>
        <w:t>بأنّ للبِنتِ الواحدةِ النِّصفَ و للبِنتَينِ الثُّلُثَينِ، إنّما يَختَصُّ باجتماعِ الأبَوَينِ‌</w:t>
      </w:r>
      <w:r>
        <w:rPr>
          <w:rStyle w:val="FootnoteAnchor"/>
          <w:rtl w:val="true"/>
        </w:rPr>
        <w:footnoteReference w:id="3333"/>
      </w:r>
      <w:r>
        <w:rPr>
          <w:rFonts w:ascii="Amiri" w:hAnsi="Amiri" w:eastAsia="Amiri" w:cs="Amiri"/>
          <w:color w:val="111111"/>
          <w:sz w:val="28"/>
          <w:sz w:val="28"/>
          <w:szCs w:val="28"/>
          <w:rtl w:val="true"/>
          <w:lang w:bidi="ar-SA"/>
        </w:rPr>
        <w:t>معهنَّ؛ فمِن بَعيدِ القولِ عن الصوابِ؛ 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3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 و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Style w:val="FootnoteAnchor"/>
          <w:rtl w:val="true"/>
        </w:rPr>
        <w:footnoteReference w:id="3335"/>
      </w:r>
      <w:r>
        <w:rPr>
          <w:rFonts w:ascii="Amiri" w:hAnsi="Amiri" w:eastAsia="Amiri" w:cs="Amiri"/>
          <w:color w:val="111111"/>
          <w:sz w:val="28"/>
          <w:sz w:val="28"/>
          <w:szCs w:val="28"/>
          <w:rtl w:val="true"/>
          <w:lang w:bidi="ar-SA"/>
        </w:rPr>
        <w:t>، و هذه جُملةٌ مُستَقِلّةٌ بنَفسِها، و ظاهرُ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للذَّكَرِ مِثلَ حَظِّ الأُنثَيَينِ علىٰ كُلِّ حالٍ، و مع وجودِ كُلِّ واحدٍ</w:t>
      </w:r>
      <w:r>
        <w:rPr>
          <w:rStyle w:val="FootnoteAnchor"/>
          <w:rtl w:val="true"/>
        </w:rPr>
        <w:footnoteReference w:id="3336"/>
      </w:r>
      <w:r>
        <w:rPr>
          <w:rFonts w:ascii="Amiri" w:hAnsi="Amiri" w:eastAsia="Amiri" w:cs="Amiri"/>
          <w:color w:val="111111"/>
          <w:sz w:val="28"/>
          <w:sz w:val="28"/>
          <w:szCs w:val="28"/>
          <w:rtl w:val="true"/>
          <w:lang w:bidi="ar-SA"/>
        </w:rPr>
        <w:t>و فَقدِ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عَطَفَ عليها جُملةً أُخرىٰ مُستَقِلّةً أيضاً</w:t>
      </w:r>
      <w:r>
        <w:rPr>
          <w:rStyle w:val="FootnoteAnchor"/>
          <w:rtl w:val="true"/>
        </w:rPr>
        <w:footnoteReference w:id="3337"/>
      </w:r>
      <w:r>
        <w:rPr>
          <w:rFonts w:ascii="Amiri" w:hAnsi="Amiri" w:eastAsia="Amiri" w:cs="Amiri"/>
          <w:color w:val="111111"/>
          <w:sz w:val="28"/>
          <w:sz w:val="28"/>
          <w:szCs w:val="28"/>
          <w:rtl w:val="true"/>
          <w:lang w:bidi="ar-SA"/>
        </w:rPr>
        <w:t>،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 فَلَهُنَّ ثُلُثٰا مٰا تَرَكَ</w:t>
      </w:r>
      <w:r>
        <w:rPr>
          <w:rFonts w:eastAsia="Amiri" w:cs="Amiri" w:ascii="Amiri" w:hAnsi="Amiri"/>
          <w:color w:val="111111"/>
          <w:sz w:val="28"/>
          <w:szCs w:val="28"/>
          <w:rtl w:val="true"/>
          <w:lang w:bidi="ar-SA"/>
        </w:rPr>
        <w:t xml:space="preserve">» </w:t>
      </w:r>
      <w:r>
        <w:rPr>
          <w:rStyle w:val="FootnoteAnchor"/>
          <w:rtl w:val="true"/>
        </w:rPr>
        <w:footnoteReference w:id="3338"/>
      </w:r>
      <w:r>
        <w:rPr>
          <w:rFonts w:ascii="Amiri" w:hAnsi="Amiri" w:eastAsia="Amiri" w:cs="Amiri"/>
          <w:color w:val="111111"/>
          <w:sz w:val="28"/>
          <w:sz w:val="28"/>
          <w:szCs w:val="28"/>
          <w:rtl w:val="true"/>
          <w:lang w:bidi="ar-SA"/>
        </w:rPr>
        <w:t>ظاهرُ هذه الجُملةِ أنّ ذلكَ لهُنَّ علىٰ كُلِّ حالٍ، مع</w:t>
      </w:r>
      <w:r>
        <w:rPr>
          <w:rStyle w:val="FootnoteAnchor"/>
          <w:rtl w:val="true"/>
        </w:rPr>
        <w:footnoteReference w:id="3339"/>
      </w:r>
      <w:r>
        <w:rPr>
          <w:rFonts w:ascii="Amiri" w:hAnsi="Amiri" w:eastAsia="Amiri" w:cs="Amiri"/>
          <w:color w:val="111111"/>
          <w:sz w:val="28"/>
          <w:sz w:val="28"/>
          <w:szCs w:val="28"/>
          <w:rtl w:val="true"/>
          <w:lang w:bidi="ar-SA"/>
        </w:rPr>
        <w:t>فَقدِ كُلِّ أحَدٍ</w:t>
      </w:r>
      <w:r>
        <w:rPr>
          <w:rStyle w:val="FootnoteAnchor"/>
          <w:rtl w:val="true"/>
        </w:rPr>
        <w:footnoteReference w:id="3340"/>
      </w:r>
      <w:r>
        <w:rPr>
          <w:rFonts w:ascii="Amiri" w:hAnsi="Amiri" w:eastAsia="Amiri" w:cs="Amiri"/>
          <w:color w:val="111111"/>
          <w:sz w:val="28"/>
          <w:sz w:val="28"/>
          <w:szCs w:val="28"/>
          <w:rtl w:val="true"/>
          <w:lang w:bidi="ar-SA"/>
        </w:rPr>
        <w:t>و وجودِه</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عَطَفَ تَعالىٰ جُملةً‌</w:t>
      </w:r>
      <w:r>
        <w:rPr>
          <w:rStyle w:val="FootnoteAnchor"/>
          <w:rtl w:val="true"/>
        </w:rPr>
        <w:footnoteReference w:id="3341"/>
      </w:r>
      <w:r>
        <w:rPr>
          <w:rFonts w:ascii="Amiri" w:hAnsi="Amiri" w:eastAsia="Amiri" w:cs="Amiri"/>
          <w:color w:val="111111"/>
          <w:sz w:val="28"/>
          <w:sz w:val="28"/>
          <w:szCs w:val="28"/>
          <w:rtl w:val="true"/>
          <w:lang w:bidi="ar-SA"/>
        </w:rPr>
        <w:t>أُخرىٰ مُستَقِلّةً غيرَ مُتعلِّقةٍ بما يَليها و لا ما تَقدَّمَها</w:t>
      </w:r>
      <w:r>
        <w:rPr>
          <w:rStyle w:val="FootnoteAnchor"/>
          <w:rtl w:val="true"/>
        </w:rPr>
        <w:footnoteReference w:id="3342"/>
      </w:r>
      <w:r>
        <w:rPr>
          <w:rFonts w:ascii="Amiri" w:hAnsi="Amiri" w:eastAsia="Amiri" w:cs="Amiri"/>
          <w:color w:val="111111"/>
          <w:sz w:val="28"/>
          <w:sz w:val="28"/>
          <w:szCs w:val="28"/>
          <w:rtl w:val="true"/>
          <w:lang w:bidi="ar-SA"/>
        </w:rPr>
        <w:t>،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وٰاحِدَةً فَلَهَا اَلنِّصْفُ</w:t>
      </w:r>
      <w:r>
        <w:rPr>
          <w:rFonts w:eastAsia="Amiri" w:cs="Amiri" w:ascii="Amiri" w:hAnsi="Amiri"/>
          <w:color w:val="111111"/>
          <w:sz w:val="28"/>
          <w:szCs w:val="28"/>
          <w:rtl w:val="true"/>
          <w:lang w:bidi="ar-SA"/>
        </w:rPr>
        <w:t xml:space="preserve">» </w:t>
      </w:r>
      <w:r>
        <w:rPr>
          <w:rStyle w:val="FootnoteAnchor"/>
          <w:rtl w:val="true"/>
        </w:rPr>
        <w:footnoteReference w:id="3343"/>
      </w:r>
      <w:r>
        <w:rPr>
          <w:rFonts w:ascii="Amiri" w:hAnsi="Amiri" w:eastAsia="Amiri" w:cs="Amiri"/>
          <w:color w:val="111111"/>
          <w:sz w:val="28"/>
          <w:sz w:val="28"/>
          <w:szCs w:val="28"/>
          <w:rtl w:val="true"/>
          <w:lang w:bidi="ar-SA"/>
        </w:rPr>
        <w:t>، و ما جَرى إلىٰ هاهُنا</w:t>
      </w:r>
      <w:r>
        <w:rPr>
          <w:rStyle w:val="FootnoteAnchor"/>
          <w:rtl w:val="true"/>
        </w:rPr>
        <w:footnoteReference w:id="3344"/>
      </w:r>
      <w:r>
        <w:rPr>
          <w:rFonts w:ascii="Amiri" w:hAnsi="Amiri" w:eastAsia="Amiri" w:cs="Amiri"/>
          <w:color w:val="111111"/>
          <w:sz w:val="28"/>
          <w:sz w:val="28"/>
          <w:szCs w:val="28"/>
          <w:rtl w:val="true"/>
          <w:lang w:bidi="ar-SA"/>
        </w:rPr>
        <w:t xml:space="preserve">للوالدَينِ </w:t>
      </w:r>
    </w:p>
    <w:p>
      <w:pPr>
        <w:pStyle w:val="BookText"/>
        <w:rPr/>
      </w:pPr>
      <w:r>
        <w:rPr>
          <w:rFonts w:ascii="Amiri" w:hAnsi="Amiri" w:eastAsia="Amiri" w:cs="Amiri"/>
          <w:color w:val="111111"/>
          <w:sz w:val="28"/>
          <w:sz w:val="28"/>
          <w:szCs w:val="28"/>
          <w:rtl w:val="true"/>
          <w:lang w:bidi="ar-SA"/>
        </w:rPr>
        <w:t>ذِكرٌ، و ظاهرُ الكلامِ يَقتَضي أنّ للواحدةِ‌</w:t>
      </w:r>
      <w:r>
        <w:rPr>
          <w:rStyle w:val="FootnoteAnchor"/>
          <w:rtl w:val="true"/>
        </w:rPr>
        <w:footnoteReference w:id="3345"/>
      </w:r>
      <w:r>
        <w:rPr>
          <w:rFonts w:ascii="Amiri" w:hAnsi="Amiri" w:eastAsia="Amiri" w:cs="Amiri"/>
          <w:color w:val="111111"/>
          <w:sz w:val="28"/>
          <w:sz w:val="28"/>
          <w:szCs w:val="28"/>
          <w:rtl w:val="true"/>
          <w:lang w:bidi="ar-SA"/>
        </w:rPr>
        <w:t>النِّصفَ مع كُلِّ أحَدٍ، إلّاأن يَمنَعَ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لِأَبَوَيْهِ لِكُلِّ وٰاحِدٍ مِنْهُمَا اَلسُّدُسُ مِمّٰا تَرَكَ إِنْ كٰانَ لَهُ وَلَدٌ فَإِنْ لَمْ يَكُنْ لَهُ وَلَدٌ وَ وَرِثَهُ أَبَوٰاهُ فَلِأُمِّهِ اَلثُّلُثُ</w:t>
      </w:r>
      <w:r>
        <w:rPr>
          <w:rFonts w:eastAsia="Amiri" w:cs="Amiri" w:ascii="Amiri" w:hAnsi="Amiri"/>
          <w:color w:val="111111"/>
          <w:sz w:val="28"/>
          <w:szCs w:val="28"/>
          <w:rtl w:val="true"/>
          <w:lang w:bidi="ar-SA"/>
        </w:rPr>
        <w:t xml:space="preserve">» </w:t>
      </w:r>
      <w:r>
        <w:rPr>
          <w:rStyle w:val="FootnoteAnchor"/>
          <w:rtl w:val="true"/>
        </w:rPr>
        <w:footnoteReference w:id="3346"/>
      </w:r>
      <w:r>
        <w:rPr>
          <w:rFonts w:ascii="Amiri" w:hAnsi="Amiri" w:eastAsia="Amiri" w:cs="Amiri"/>
          <w:color w:val="111111"/>
          <w:sz w:val="28"/>
          <w:sz w:val="28"/>
          <w:szCs w:val="28"/>
          <w:rtl w:val="true"/>
          <w:lang w:bidi="ar-SA"/>
        </w:rPr>
        <w:t xml:space="preserve">، فبَيَّنَ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Style w:val="FootnoteAnchor"/>
          <w:rtl w:val="true"/>
        </w:rPr>
        <w:footnoteReference w:id="3347"/>
      </w:r>
      <w:r>
        <w:rPr>
          <w:rFonts w:ascii="Amiri" w:hAnsi="Amiri" w:eastAsia="Amiri" w:cs="Amiri"/>
          <w:color w:val="111111"/>
          <w:sz w:val="28"/>
          <w:sz w:val="28"/>
          <w:szCs w:val="28"/>
          <w:rtl w:val="true"/>
          <w:lang w:bidi="ar-SA"/>
        </w:rPr>
        <w:t>حُكمَ الوالدَينِ‌</w:t>
      </w:r>
      <w:r>
        <w:rPr>
          <w:rStyle w:val="FootnoteAnchor"/>
          <w:rtl w:val="true"/>
        </w:rPr>
        <w:footnoteReference w:id="3348"/>
      </w:r>
      <w:r>
        <w:rPr>
          <w:rFonts w:ascii="Amiri" w:hAnsi="Amiri" w:eastAsia="Amiri" w:cs="Amiri"/>
          <w:color w:val="111111"/>
          <w:sz w:val="28"/>
          <w:sz w:val="28"/>
          <w:szCs w:val="28"/>
          <w:rtl w:val="true"/>
          <w:lang w:bidi="ar-SA"/>
        </w:rPr>
        <w:t>في الميراثِ، مع وجودِ</w:t>
      </w:r>
      <w:r>
        <w:rPr>
          <w:rStyle w:val="FootnoteAnchor"/>
          <w:rtl w:val="true"/>
        </w:rPr>
        <w:footnoteReference w:id="3349"/>
      </w:r>
      <w:r>
        <w:rPr>
          <w:rFonts w:ascii="Amiri" w:hAnsi="Amiri" w:eastAsia="Amiri" w:cs="Amiri"/>
          <w:color w:val="111111"/>
          <w:sz w:val="28"/>
          <w:sz w:val="28"/>
          <w:szCs w:val="28"/>
          <w:rtl w:val="true"/>
          <w:lang w:bidi="ar-SA"/>
        </w:rPr>
        <w:t>الوَلَدِ و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يَجوزُ أن يُعلَّقَ‌</w:t>
      </w:r>
      <w:r>
        <w:rPr>
          <w:rStyle w:val="FootnoteAnchor"/>
          <w:rtl w:val="true"/>
        </w:rPr>
        <w:footnoteReference w:id="3350"/>
      </w:r>
      <w:r>
        <w:rPr>
          <w:rFonts w:ascii="Amiri" w:hAnsi="Amiri" w:eastAsia="Amiri" w:cs="Amiri"/>
          <w:color w:val="111111"/>
          <w:sz w:val="28"/>
          <w:sz w:val="28"/>
          <w:szCs w:val="28"/>
          <w:rtl w:val="true"/>
          <w:lang w:bidi="ar-SA"/>
        </w:rPr>
        <w:t>إيجابُ النِّصفِ للبِنتِ الواحدةِ و الثُّلُثَينِ للبِنتَينِ بوجودِ الأبَوَينِ، و قد تَقدَّمَ ذِكرُ حُكمِ البَناتِ مُطلَقاً، و بَعدَ الخروجِ عنه أتىٰ ذِكرُ</w:t>
      </w:r>
      <w:r>
        <w:rPr>
          <w:rStyle w:val="FootnoteAnchor"/>
          <w:rtl w:val="true"/>
        </w:rPr>
        <w:footnoteReference w:id="3351"/>
      </w:r>
      <w:r>
        <w:rPr>
          <w:rFonts w:ascii="Amiri" w:hAnsi="Amiri" w:eastAsia="Amiri" w:cs="Amiri"/>
          <w:color w:val="111111"/>
          <w:sz w:val="28"/>
          <w:sz w:val="28"/>
          <w:szCs w:val="28"/>
          <w:rtl w:val="true"/>
          <w:lang w:bidi="ar-SA"/>
        </w:rPr>
        <w:t>الأبَوَينِ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يَتوهَّمُ ذلكَ مُتأمِّلٌ‌</w:t>
      </w:r>
      <w:r>
        <w:rPr>
          <w:rStyle w:val="FootnoteAnchor"/>
          <w:rtl w:val="true"/>
        </w:rPr>
        <w:footnoteReference w:id="3352"/>
      </w:r>
      <w:r>
        <w:rPr>
          <w:rFonts w:ascii="Amiri" w:hAnsi="Amiri" w:eastAsia="Amiri" w:cs="Amiri"/>
          <w:color w:val="111111"/>
          <w:sz w:val="28"/>
          <w:sz w:val="28"/>
          <w:szCs w:val="28"/>
          <w:rtl w:val="true"/>
          <w:lang w:bidi="ar-SA"/>
        </w:rPr>
        <w:t>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فشَرَطَ في ميراثِ الأبَوَينِ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المُرادُ أنّ النِّصفَ للبِنتِ و الثُّلُثَينِ للبِنتَينِ‌</w:t>
      </w:r>
      <w:r>
        <w:rPr>
          <w:rStyle w:val="FootnoteAnchor"/>
          <w:rtl w:val="true"/>
        </w:rPr>
        <w:footnoteReference w:id="3353"/>
      </w:r>
      <w:r>
        <w:rPr>
          <w:rFonts w:ascii="Amiri" w:hAnsi="Amiri" w:eastAsia="Amiri" w:cs="Amiri"/>
          <w:color w:val="111111"/>
          <w:sz w:val="28"/>
          <w:sz w:val="28"/>
          <w:szCs w:val="28"/>
          <w:rtl w:val="true"/>
          <w:lang w:bidi="ar-SA"/>
        </w:rPr>
        <w:t>مع وجودِ الأبَوَينِ لَكانَ اشتراطُ الوَلَدِ لَغواً و اشتراطاً</w:t>
      </w:r>
      <w:r>
        <w:rPr>
          <w:rStyle w:val="FootnoteAnchor"/>
          <w:rtl w:val="true"/>
        </w:rPr>
        <w:footnoteReference w:id="3354"/>
      </w:r>
      <w:r>
        <w:rPr>
          <w:rFonts w:ascii="Amiri" w:hAnsi="Amiri" w:eastAsia="Amiri" w:cs="Amiri"/>
          <w:color w:val="111111"/>
          <w:sz w:val="28"/>
          <w:sz w:val="28"/>
          <w:szCs w:val="28"/>
          <w:rtl w:val="true"/>
          <w:lang w:bidi="ar-SA"/>
        </w:rPr>
        <w:t>لِما هو موجودٌ مذكورٌ</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صَرَّحَ تَعالىٰ بما ذَكَروه لَكانَ الكلامُ قَبيحاً خارجاً عن البَلاغةِ و البَيانِ؛ ألا تَرىٰ أنّه</w:t>
      </w:r>
      <w:r>
        <w:rPr>
          <w:rStyle w:val="FootnoteAnchor"/>
          <w:rtl w:val="true"/>
        </w:rPr>
        <w:footnoteReference w:id="3355"/>
      </w:r>
      <w:r>
        <w:rPr>
          <w:rFonts w:ascii="Amiri" w:hAnsi="Amiri" w:eastAsia="Amiri" w:cs="Amiri"/>
          <w:color w:val="111111"/>
          <w:sz w:val="28"/>
          <w:sz w:val="28"/>
          <w:szCs w:val="28"/>
          <w:rtl w:val="true"/>
          <w:lang w:bidi="ar-SA"/>
        </w:rPr>
        <w:t>لَو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لأبَوَيه مع البِنتِ أو البِنتَينِ لكُلِّ واحدٍ منهما السدُسُ إن كانَ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 ذلكَ و فَحُشَ؟ فكَيفَ نُقدِّرُ</w:t>
      </w:r>
      <w:r>
        <w:rPr>
          <w:rStyle w:val="FootnoteAnchor"/>
          <w:rtl w:val="true"/>
        </w:rPr>
        <w:footnoteReference w:id="3356"/>
      </w:r>
      <w:r>
        <w:rPr>
          <w:rFonts w:ascii="Amiri" w:hAnsi="Amiri" w:eastAsia="Amiri" w:cs="Amiri"/>
          <w:color w:val="111111"/>
          <w:sz w:val="28"/>
          <w:sz w:val="28"/>
          <w:szCs w:val="28"/>
          <w:rtl w:val="true"/>
          <w:lang w:bidi="ar-SA"/>
        </w:rPr>
        <w:t>في الكلامِ ما لَو أظهَرناه لَكانَ غيرَ مُستَقيمٍ؟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أجمَعَ أهلُ العربيّةِ علىٰ أنّ الوقفَ التامَّ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وٰاحِدَةً فَلَهَا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لَو كانَ المُرادُ ما تَوهَّموه مِن أنّ لها النِّصفَ مع الأبَوَينِ لَما كانَ ذلكَ وقفاً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مِن</w:t>
      </w:r>
      <w:r>
        <w:rPr>
          <w:rStyle w:val="FootnoteAnchor"/>
          <w:rtl w:val="true"/>
        </w:rPr>
        <w:footnoteReference w:id="3357"/>
      </w:r>
      <w:r>
        <w:rPr>
          <w:rFonts w:ascii="Amiri" w:hAnsi="Amiri" w:eastAsia="Amiri" w:cs="Amiri"/>
          <w:color w:val="111111"/>
          <w:sz w:val="28"/>
          <w:sz w:val="28"/>
          <w:szCs w:val="28"/>
          <w:rtl w:val="true"/>
          <w:lang w:bidi="ar-SA"/>
        </w:rPr>
        <w:t>أحَدٍ مِن أهلِ العِلمِ البَتّةَ‌</w:t>
      </w:r>
      <w:r>
        <w:rPr>
          <w:rStyle w:val="FootnoteAnchor"/>
          <w:rtl w:val="true"/>
        </w:rPr>
        <w:footnoteReference w:id="3358"/>
      </w:r>
      <w:r>
        <w:rPr>
          <w:rFonts w:ascii="Amiri" w:hAnsi="Amiri" w:eastAsia="Amiri" w:cs="Amiri"/>
          <w:color w:val="111111"/>
          <w:sz w:val="28"/>
          <w:sz w:val="28"/>
          <w:szCs w:val="28"/>
          <w:rtl w:val="true"/>
          <w:lang w:bidi="ar-SA"/>
        </w:rPr>
        <w:t>و المُفسِّرينَ و أصحابِ الأحكامِ في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مُبتدأٌ مُستأنَفٌ، لا تَعلُّقَ له بما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اعتذارُهم عندَ سَماعِ هذا الكلامِ بأنّ اشتراطَ الوَلَدِ إنّما حَسُنَ ليَدخُلَ فيه الذُّكورُ و ما</w:t>
      </w:r>
      <w:r>
        <w:rPr>
          <w:rStyle w:val="FootnoteAnchor"/>
          <w:rtl w:val="true"/>
        </w:rPr>
        <w:footnoteReference w:id="3359"/>
      </w:r>
      <w:r>
        <w:rPr>
          <w:rFonts w:ascii="Amiri" w:hAnsi="Amiri" w:eastAsia="Amiri" w:cs="Amiri"/>
          <w:color w:val="111111"/>
          <w:sz w:val="28"/>
          <w:sz w:val="28"/>
          <w:szCs w:val="28"/>
          <w:rtl w:val="true"/>
          <w:lang w:bidi="ar-SA"/>
        </w:rPr>
        <w:t>زادَ علَى البِنتَينِ؛ لأنّه لَم يَمضِ إلّاذِكرُ البِنتِ الواحدةِ و البِنتَينِ، فعَجيبٌ؛ لأنّه لَو أرادَ ما ذَكَروه</w:t>
      </w:r>
      <w:r>
        <w:rPr>
          <w:rStyle w:val="FootnoteAnchor"/>
          <w:rtl w:val="true"/>
        </w:rPr>
        <w:footnoteReference w:id="3360"/>
      </w:r>
      <w:r>
        <w:rPr>
          <w:rFonts w:ascii="Amiri" w:hAnsi="Amiri" w:eastAsia="Amiri" w:cs="Amiri"/>
          <w:color w:val="111111"/>
          <w:sz w:val="28"/>
          <w:sz w:val="28"/>
          <w:szCs w:val="28"/>
          <w:rtl w:val="true"/>
          <w:lang w:bidi="ar-SA"/>
        </w:rPr>
        <w:t>لَقالَ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 مع الأبَوَينِ؛ فإن كُنَّ نِساءً فَوقَ اثنَتَينِ معهما</w:t>
      </w:r>
      <w:r>
        <w:rPr>
          <w:rStyle w:val="FootnoteAnchor"/>
          <w:rtl w:val="true"/>
        </w:rPr>
        <w:footnoteReference w:id="3361"/>
      </w:r>
      <w:r>
        <w:rPr>
          <w:rFonts w:ascii="Amiri" w:hAnsi="Amiri" w:eastAsia="Amiri" w:cs="Amiri"/>
          <w:color w:val="111111"/>
          <w:sz w:val="28"/>
          <w:sz w:val="28"/>
          <w:szCs w:val="28"/>
          <w:rtl w:val="true"/>
          <w:lang w:bidi="ar-SA"/>
        </w:rPr>
        <w:t>فلهُما ثُلُثا ما تَرَكَ، و إن كانَت واحدةً معهما فلها النِّصفُ</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أرادَ هذا المعنىٰ على الترتيبِ الذي رَتَّبوه، و عَنىٰ بقَولِه أنّ ذلكَ لهُما مع البِنتِ أو البِنتَينِ و ما زادَ عليهما، و أرادَ أن يُبيِّنَ أنّ السُّدُسَ‌</w:t>
      </w:r>
      <w:r>
        <w:rPr>
          <w:rStyle w:val="FootnoteAnchor"/>
          <w:rtl w:val="true"/>
        </w:rPr>
        <w:footnoteReference w:id="3362"/>
      </w:r>
      <w:r>
        <w:rPr>
          <w:rFonts w:ascii="Amiri" w:hAnsi="Amiri" w:eastAsia="Amiri" w:cs="Amiri"/>
          <w:color w:val="111111"/>
          <w:sz w:val="28"/>
          <w:sz w:val="28"/>
          <w:szCs w:val="28"/>
          <w:rtl w:val="true"/>
          <w:lang w:bidi="ar-SA"/>
        </w:rPr>
        <w:t>للأبَوَينِ مع الأولادِ، لَكانَ لا يَحسُنُ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له أيضاً 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قد تَقدَّمَ ذِكرُ البِنتِ الواحدةِ و ما زادَ عليها، فلا معنىٰ لاشتراطِ الوَلَدِ؛ و انفرادُ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الجُملةِ المُتقدِّمةِ لا</w:t>
      </w:r>
      <w:r>
        <w:rPr>
          <w:rStyle w:val="FootnoteAnchor"/>
          <w:rtl w:val="true"/>
        </w:rPr>
        <w:footnoteReference w:id="3363"/>
      </w:r>
      <w:r>
        <w:rPr>
          <w:rFonts w:ascii="Amiri" w:hAnsi="Amiri" w:eastAsia="Amiri" w:cs="Amiri"/>
          <w:color w:val="111111"/>
          <w:sz w:val="28"/>
          <w:sz w:val="28"/>
          <w:szCs w:val="28"/>
          <w:rtl w:val="true"/>
          <w:lang w:bidi="ar-SA"/>
        </w:rPr>
        <w:t>يَذهَبُ علىٰ مُتأمِّلٍ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w:t>
      </w:r>
      <w:r>
        <w:rPr>
          <w:rStyle w:val="FootnoteAnchor"/>
          <w:rtl w:val="true"/>
        </w:rPr>
        <w:footnoteReference w:id="3364"/>
      </w:r>
      <w:r>
        <w:rPr>
          <w:rFonts w:ascii="Amiri" w:hAnsi="Amiri" w:eastAsia="Amiri" w:cs="Amiri"/>
          <w:color w:val="111111"/>
          <w:sz w:val="28"/>
          <w:sz w:val="28"/>
          <w:szCs w:val="28"/>
          <w:rtl w:val="true"/>
          <w:lang w:bidi="ar-SA"/>
        </w:rPr>
        <w:t>فَرّوا</w:t>
      </w:r>
      <w:r>
        <w:rPr>
          <w:rStyle w:val="FootnoteAnchor"/>
          <w:rtl w:val="true"/>
        </w:rPr>
        <w:footnoteReference w:id="3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التقديرِ الذي لا يَتحصَّلُ‌</w:t>
      </w:r>
      <w:r>
        <w:rPr>
          <w:rStyle w:val="FootnoteAnchor"/>
          <w:rtl w:val="true"/>
        </w:rPr>
        <w:footnoteReference w:id="3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نُقصانِ البِنتِ في مَسألةِ العَولِ عن النِّصفِ، فادَّعَوا</w:t>
      </w:r>
      <w:r>
        <w:rPr>
          <w:rStyle w:val="FootnoteAnchor"/>
          <w:rtl w:val="true"/>
        </w:rPr>
        <w:footnoteReference w:id="3367"/>
      </w:r>
      <w:r>
        <w:rPr>
          <w:rFonts w:ascii="Amiri" w:hAnsi="Amiri" w:eastAsia="Amiri" w:cs="Amiri"/>
          <w:color w:val="111111"/>
          <w:sz w:val="28"/>
          <w:sz w:val="28"/>
          <w:szCs w:val="28"/>
          <w:rtl w:val="true"/>
          <w:lang w:bidi="ar-SA"/>
        </w:rPr>
        <w:t>أنّ النِّصفَ جُعِلَ‌</w:t>
      </w:r>
      <w:r>
        <w:rPr>
          <w:rStyle w:val="FootnoteAnchor"/>
          <w:rtl w:val="true"/>
        </w:rPr>
        <w:footnoteReference w:id="3368"/>
      </w:r>
      <w:r>
        <w:rPr>
          <w:rFonts w:ascii="Amiri" w:hAnsi="Amiri" w:eastAsia="Amiri" w:cs="Amiri"/>
          <w:color w:val="111111"/>
          <w:sz w:val="28"/>
          <w:sz w:val="28"/>
          <w:szCs w:val="28"/>
          <w:rtl w:val="true"/>
          <w:lang w:bidi="ar-SA"/>
        </w:rPr>
        <w:t>لها مع الأبَوَينِ، لا في كُلِّ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مِن رُكوبِهم</w:t>
      </w:r>
      <w:r>
        <w:rPr>
          <w:rStyle w:val="FootnoteAnchor"/>
          <w:rtl w:val="true"/>
        </w:rPr>
        <w:footnoteReference w:id="3369"/>
      </w:r>
      <w:r>
        <w:rPr>
          <w:rFonts w:ascii="Amiri" w:hAnsi="Amiri" w:eastAsia="Amiri" w:cs="Amiri"/>
          <w:color w:val="111111"/>
          <w:sz w:val="28"/>
          <w:sz w:val="28"/>
          <w:szCs w:val="28"/>
          <w:rtl w:val="true"/>
          <w:lang w:bidi="ar-SA"/>
        </w:rPr>
        <w:t>هذه المُعضِلةَ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لها النِّصفَ بظاهرِ الكلامِ في كُلِّ مَوضِعٍ، و في مَسألةِ العَولِ قامَ دليلٌ علىٰ أنّ لها دونَ ذلكَ؛ فعَلِمنا أنّ اللّٰهَ تَعالىٰ لَم يَجعَلْ لها النِّصفَ في هذا المَوضِعِ خاصّةً، و إن كانَ لها في سائرِ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أيُّما</w:t>
      </w:r>
      <w:r>
        <w:rPr>
          <w:rStyle w:val="FootnoteAnchor"/>
          <w:rtl w:val="true"/>
        </w:rPr>
        <w:footnoteReference w:id="3370"/>
      </w:r>
      <w:r>
        <w:rPr>
          <w:rFonts w:ascii="Amiri" w:hAnsi="Amiri" w:eastAsia="Amiri" w:cs="Amiri"/>
          <w:color w:val="111111"/>
          <w:sz w:val="28"/>
          <w:sz w:val="28"/>
          <w:szCs w:val="28"/>
          <w:rtl w:val="true"/>
          <w:lang w:bidi="ar-SA"/>
        </w:rPr>
        <w:t>أحسَنُ؛ أن يُخَصَّ‌</w:t>
      </w:r>
      <w:r>
        <w:rPr>
          <w:rStyle w:val="FootnoteAnchor"/>
          <w:rtl w:val="true"/>
        </w:rPr>
        <w:footnoteReference w:id="3371"/>
      </w:r>
      <w:r>
        <w:rPr>
          <w:rFonts w:ascii="Amiri" w:hAnsi="Amiri" w:eastAsia="Amiri" w:cs="Amiri"/>
          <w:color w:val="111111"/>
          <w:sz w:val="28"/>
          <w:sz w:val="28"/>
          <w:szCs w:val="28"/>
          <w:rtl w:val="true"/>
          <w:lang w:bidi="ar-SA"/>
        </w:rPr>
        <w:t>بدليلٍ بعضُ المَواضعِ، أو يَحصُلَ ما هو مطلقٌ مِن القولِ مشروطاً بغَيرِ دليلٍ و لا حُجّةٍ، علىٰ وجهٍ يَسمُجُ‌</w:t>
      </w:r>
      <w:r>
        <w:rPr>
          <w:rStyle w:val="FootnoteAnchor"/>
          <w:rtl w:val="true"/>
        </w:rPr>
        <w:footnoteReference w:id="3372"/>
      </w:r>
      <w:r>
        <w:rPr>
          <w:rFonts w:ascii="Amiri" w:hAnsi="Amiri" w:eastAsia="Amiri" w:cs="Amiri"/>
          <w:color w:val="111111"/>
          <w:sz w:val="28"/>
          <w:sz w:val="28"/>
          <w:szCs w:val="28"/>
          <w:rtl w:val="true"/>
          <w:lang w:bidi="ar-SA"/>
        </w:rPr>
        <w:t>به الكلامُ و يَذهَبُ رَونَقُه، و تَزولُ‌</w:t>
      </w:r>
      <w:r>
        <w:rPr>
          <w:rStyle w:val="FootnoteAnchor"/>
          <w:rtl w:val="true"/>
        </w:rPr>
        <w:footnoteReference w:id="3373"/>
      </w:r>
      <w:r>
        <w:rPr>
          <w:rFonts w:ascii="Amiri" w:hAnsi="Amiri" w:eastAsia="Amiri" w:cs="Amiri"/>
          <w:color w:val="111111"/>
          <w:sz w:val="28"/>
          <w:sz w:val="28"/>
          <w:szCs w:val="28"/>
          <w:rtl w:val="true"/>
          <w:lang w:bidi="ar-SA"/>
        </w:rPr>
        <w:t>فَصاحتُه؟</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خَبِّرونا عمّن خَلَّفَ أولادَ ابنٍ و</w:t>
      </w:r>
      <w:r>
        <w:rPr>
          <w:rStyle w:val="FootnoteAnchor"/>
          <w:rtl w:val="true"/>
        </w:rPr>
        <w:footnoteReference w:id="3374"/>
      </w:r>
      <w:r>
        <w:rPr>
          <w:rFonts w:ascii="Amiri" w:hAnsi="Amiri" w:eastAsia="Amiri" w:cs="Amiri"/>
          <w:color w:val="111111"/>
          <w:sz w:val="28"/>
          <w:sz w:val="28"/>
          <w:szCs w:val="28"/>
          <w:rtl w:val="true"/>
          <w:lang w:bidi="ar-SA"/>
        </w:rPr>
        <w:t xml:space="preserve">أولادَ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و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تَقسِمونَ‌</w:t>
      </w:r>
      <w:r>
        <w:rPr>
          <w:rStyle w:val="FootnoteAnchor"/>
          <w:rtl w:val="true"/>
        </w:rPr>
        <w:footnoteReference w:id="3375"/>
      </w:r>
      <w:r>
        <w:rPr>
          <w:rFonts w:ascii="Amiri" w:hAnsi="Amiri" w:eastAsia="Amiri" w:cs="Amiri"/>
          <w:color w:val="111111"/>
          <w:sz w:val="28"/>
          <w:sz w:val="28"/>
          <w:szCs w:val="28"/>
          <w:rtl w:val="true"/>
          <w:lang w:bidi="ar-SA"/>
        </w:rPr>
        <w:t>الميراثَ بَينَ هؤلاءِ الأولادِ؟</w:t>
      </w:r>
    </w:p>
    <w:p>
      <w:pPr>
        <w:pStyle w:val="BookText"/>
        <w:rPr/>
      </w:pPr>
      <w:r>
        <w:rPr>
          <w:rFonts w:ascii="IRNazanin" w:hAnsi="IRNazanin" w:eastAsia="IRNazanin"/>
          <w:color w:val="111111"/>
          <w:sz w:val="28"/>
          <w:sz w:val="28"/>
          <w:szCs w:val="28"/>
          <w:rtl w:val="true"/>
          <w:lang w:bidi="fa-IR"/>
        </w:rPr>
        <w:t>فإذا</w:t>
      </w:r>
      <w:r>
        <w:rPr>
          <w:rStyle w:val="FootnoteAnchor"/>
          <w:rtl w:val="true"/>
        </w:rPr>
        <w:footnoteReference w:id="337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حُجّةٍ فَعَلتم ذلكَ؟</w:t>
      </w:r>
    </w:p>
    <w:p>
      <w:pPr>
        <w:pStyle w:val="BookText"/>
        <w:rPr/>
      </w:pPr>
      <w:r>
        <w:rPr>
          <w:rFonts w:ascii="Amiri" w:hAnsi="Amiri" w:eastAsia="Amiri" w:cs="Amiri"/>
          <w:color w:val="111111"/>
          <w:sz w:val="28"/>
          <w:sz w:val="28"/>
          <w:szCs w:val="28"/>
          <w:rtl w:val="true"/>
          <w:lang w:bidi="ar-SA"/>
        </w:rPr>
        <w:t>فلا وجهَ لهذه القِسمةِ إلّاقولُه تَعالىٰ‌</w:t>
      </w:r>
      <w:r>
        <w:rPr>
          <w:rStyle w:val="FootnoteAnchor"/>
          <w:rtl w:val="true"/>
        </w:rPr>
        <w:footnoteReference w:id="33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الآيةِ المَفزَعُ‌</w:t>
      </w:r>
      <w:r>
        <w:rPr>
          <w:rStyle w:val="FootnoteAnchor"/>
          <w:rtl w:val="true"/>
        </w:rPr>
        <w:footnoteReference w:id="3378"/>
      </w:r>
      <w:r>
        <w:rPr>
          <w:rFonts w:ascii="Amiri" w:hAnsi="Amiri" w:eastAsia="Amiri" w:cs="Amiri"/>
          <w:color w:val="111111"/>
          <w:sz w:val="28"/>
          <w:sz w:val="28"/>
          <w:szCs w:val="28"/>
          <w:rtl w:val="true"/>
          <w:lang w:bidi="ar-SA"/>
        </w:rPr>
        <w:t>في ذلكَ؛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r>
        <w:rPr>
          <w:rStyle w:val="FootnoteAnchor"/>
          <w:rtl w:val="true"/>
        </w:rPr>
        <w:footnoteReference w:id="3379"/>
      </w:r>
      <w:r>
        <w:rPr>
          <w:rFonts w:ascii="Amiri" w:hAnsi="Amiri" w:eastAsia="Amiri" w:cs="Amiri"/>
          <w:color w:val="111111"/>
          <w:sz w:val="28"/>
          <w:sz w:val="28"/>
          <w:szCs w:val="28"/>
          <w:rtl w:val="true"/>
          <w:lang w:bidi="ar-SA"/>
        </w:rPr>
        <w:t>سَمَّى اللّٰهُ تَعالىٰ أولادَ الأولادِ أولاداً؛ فأيُّ فَرقٍ بَينَ أن يَكونَ الذُّكورُ و الإناثُ أولادَ ابنٍ واحدٍ أو بِنتٍ واحدةٍ و بَينَ أن يَكونَ هؤلاء الذُّكورُ و الإناثُ أولادَ بِنتٍ و أولادَ</w:t>
      </w:r>
      <w:r>
        <w:rPr>
          <w:rStyle w:val="FootnoteAnchor"/>
          <w:rtl w:val="true"/>
        </w:rPr>
        <w:footnoteReference w:id="3380"/>
      </w:r>
      <w:r>
        <w:rPr>
          <w:rFonts w:ascii="Amiri" w:hAnsi="Amiri" w:eastAsia="Amiri" w:cs="Amiri"/>
          <w:color w:val="111111"/>
          <w:sz w:val="28"/>
          <w:sz w:val="28"/>
          <w:szCs w:val="28"/>
          <w:rtl w:val="true"/>
          <w:lang w:bidi="ar-SA"/>
        </w:rPr>
        <w:t>ابنٍ في تَناوُلِ الِاسمِ لهم؟</w:t>
      </w:r>
    </w:p>
    <w:p>
      <w:pPr>
        <w:pStyle w:val="BookText"/>
        <w:rPr/>
      </w:pPr>
      <w:r>
        <w:rPr>
          <w:rFonts w:ascii="IRNazanin" w:hAnsi="IRNazanin" w:eastAsia="IRNazanin"/>
          <w:color w:val="111111"/>
          <w:sz w:val="28"/>
          <w:sz w:val="28"/>
          <w:szCs w:val="28"/>
          <w:rtl w:val="true"/>
          <w:lang w:bidi="fa-IR"/>
        </w:rPr>
        <w:t>و إذا</w:t>
      </w:r>
      <w:r>
        <w:rPr>
          <w:rStyle w:val="FootnoteAnchor"/>
          <w:rtl w:val="true"/>
        </w:rPr>
        <w:footnoteReference w:id="3381"/>
      </w:r>
      <w:r>
        <w:rPr>
          <w:rFonts w:ascii="Amiri" w:hAnsi="Amiri" w:eastAsia="Amiri" w:cs="Amiri"/>
          <w:color w:val="111111"/>
          <w:sz w:val="28"/>
          <w:sz w:val="28"/>
          <w:szCs w:val="28"/>
          <w:rtl w:val="true"/>
          <w:lang w:bidi="ar-SA"/>
        </w:rPr>
        <w:t>كانَ الِاسمُ مُتَناوِلاً لهم في الحالَينِ، فيَجِبُ أن تَكونَ القِسمةُ في الحالَينِ تَتَّفِقُ و لا تَختَلِفُ، و يُعطىٰ أولادُ البَناتِ الذُّكورُ و الإناثُ و أولادُ البَنينَ الذُّكورُ و الإناثُ للذَّكَرِ مِثلُ حَظِّ الأُنثَيَينِ، فلا يُخالَفُ حُكمُ الآيةِ في أحَدِ المَوضِعَينِ، و تَناوَلُ‌</w:t>
      </w:r>
      <w:r>
        <w:rPr>
          <w:rStyle w:val="FootnoteAnchor"/>
          <w:rtl w:val="true"/>
        </w:rPr>
        <w:footnoteReference w:id="3382"/>
      </w:r>
      <w:r>
        <w:rPr>
          <w:rFonts w:ascii="Amiri" w:hAnsi="Amiri" w:eastAsia="Amiri" w:cs="Amiri"/>
          <w:color w:val="111111"/>
          <w:sz w:val="28"/>
          <w:sz w:val="28"/>
          <w:szCs w:val="28"/>
          <w:rtl w:val="true"/>
          <w:lang w:bidi="ar-SA"/>
        </w:rPr>
        <w:t>الآيةُ لهُما تَناوُلاً واحداً</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يَلزَمُكم</w:t>
      </w:r>
      <w:r>
        <w:rPr>
          <w:rStyle w:val="FootnoteAnchor"/>
          <w:rtl w:val="true"/>
        </w:rPr>
        <w:footnoteReference w:id="3383"/>
      </w:r>
      <w:r>
        <w:rPr>
          <w:rFonts w:ascii="Amiri" w:hAnsi="Amiri" w:eastAsia="Amiri" w:cs="Amiri"/>
          <w:color w:val="111111"/>
          <w:sz w:val="28"/>
          <w:sz w:val="28"/>
          <w:szCs w:val="28"/>
          <w:rtl w:val="true"/>
          <w:lang w:bidi="ar-SA"/>
        </w:rPr>
        <w:t>أن تُوَرِّثوا أولادَ الأولادِ مع الأولادِ؛ لتَناوُلِ الِاسمِ للجماعةِ عندَكم</w:t>
      </w:r>
      <w:r>
        <w:rPr>
          <w:rStyle w:val="FootnoteAnchor"/>
          <w:rtl w:val="true"/>
        </w:rPr>
        <w:footnoteReference w:id="3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تُرِكنا و ظاهرَ الآيةِ فَعَلنا ذلكَ؛ لكِنَّ إجماعَ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إجماعَ كُلِّ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ذلكَ؛ فخَصَّصنا</w:t>
      </w:r>
      <w:r>
        <w:rPr>
          <w:rStyle w:val="FootnoteAnchor"/>
          <w:rtl w:val="true"/>
        </w:rPr>
        <w:footnoteReference w:id="3385"/>
      </w:r>
      <w:r>
        <w:rPr>
          <w:rFonts w:ascii="Amiri" w:hAnsi="Amiri" w:eastAsia="Amiri" w:cs="Amiri"/>
          <w:color w:val="111111"/>
          <w:sz w:val="28"/>
          <w:sz w:val="28"/>
          <w:szCs w:val="28"/>
          <w:rtl w:val="true"/>
          <w:lang w:bidi="ar-SA"/>
        </w:rPr>
        <w:t>الظاهرَ، و حَمَلنا الآيةَ علىٰ أنّ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يوصيكمُ اللّٰهُ في أولادِكم بَطناً بَعدَ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أيضاً نُخصِّصُ الظاهرَ، و نَحمِلُ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به أولادُ الصُّلبِ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تَحتاجونَ إلىٰ دليلٍ قاطعٍ علىٰ هذا</w:t>
      </w:r>
      <w:r>
        <w:rPr>
          <w:rStyle w:val="FootnoteAnchor"/>
          <w:rtl w:val="true"/>
        </w:rPr>
        <w:footnoteReference w:id="3386"/>
      </w:r>
      <w:r>
        <w:rPr>
          <w:rFonts w:ascii="Amiri" w:hAnsi="Amiri" w:eastAsia="Amiri" w:cs="Amiri"/>
          <w:color w:val="111111"/>
          <w:sz w:val="28"/>
          <w:sz w:val="28"/>
          <w:szCs w:val="28"/>
          <w:rtl w:val="true"/>
          <w:lang w:bidi="ar-SA"/>
        </w:rPr>
        <w:t>التخصيصِ؛ كما فَعَلنا نَحنُ في ذلكَ، و رَجَعنا فيه إلَى الإجماعِ‌</w:t>
      </w:r>
      <w:r>
        <w:rPr>
          <w:rStyle w:val="FootnoteAnchor"/>
          <w:rtl w:val="true"/>
        </w:rPr>
        <w:footnoteReference w:id="3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الإماميّةُ علىٰ ذلكَ‌</w:t>
      </w:r>
      <w:r>
        <w:rPr>
          <w:rStyle w:val="FootnoteAnchor"/>
          <w:rtl w:val="true"/>
        </w:rPr>
        <w:footnoteReference w:id="3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3389"/>
      </w:r>
      <w:r>
        <w:rPr>
          <w:rFonts w:ascii="Amiri" w:hAnsi="Amiri" w:eastAsia="Amiri" w:cs="Amiri"/>
          <w:color w:val="111111"/>
          <w:sz w:val="28"/>
          <w:sz w:val="28"/>
          <w:szCs w:val="28"/>
          <w:rtl w:val="true"/>
          <w:lang w:bidi="ar-SA"/>
        </w:rPr>
        <w:t>الدليلُ علىٰ ذلكَ؟ فإنّا ما</w:t>
      </w:r>
      <w:r>
        <w:rPr>
          <w:rStyle w:val="FootnoteAnchor"/>
          <w:rtl w:val="true"/>
        </w:rPr>
        <w:footnoteReference w:id="3390"/>
      </w:r>
      <w:r>
        <w:rPr>
          <w:rFonts w:ascii="Amiri" w:hAnsi="Amiri" w:eastAsia="Amiri" w:cs="Amiri"/>
          <w:color w:val="111111"/>
          <w:sz w:val="28"/>
          <w:sz w:val="28"/>
          <w:szCs w:val="28"/>
          <w:rtl w:val="true"/>
          <w:lang w:bidi="ar-SA"/>
        </w:rPr>
        <w:t>نَعرِفُ هذا الإجماعَ، و في المَسألةِ خِلافٌ بَينَهم، و إن كانَ‌</w:t>
      </w:r>
      <w:r>
        <w:rPr>
          <w:rStyle w:val="FootnoteAnchor"/>
          <w:rtl w:val="true"/>
        </w:rPr>
        <w:footnoteReference w:id="3391"/>
      </w:r>
      <w:r>
        <w:rPr>
          <w:rFonts w:ascii="Amiri" w:hAnsi="Amiri" w:eastAsia="Amiri" w:cs="Amiri"/>
          <w:color w:val="111111"/>
          <w:sz w:val="28"/>
          <w:sz w:val="28"/>
          <w:szCs w:val="28"/>
          <w:rtl w:val="true"/>
          <w:lang w:bidi="ar-SA"/>
        </w:rPr>
        <w:t>أكثَرُهم يَقولُ بخِلافِ الصوابِ في هذه المسألةِ‌</w:t>
      </w:r>
      <w:r>
        <w:rPr>
          <w:rStyle w:val="FootnoteAnchor"/>
          <w:rtl w:val="true"/>
        </w:rPr>
        <w:footnoteReference w:id="3392"/>
      </w:r>
      <w:r>
        <w:rPr>
          <w:rFonts w:ascii="Amiri" w:hAnsi="Amiri" w:eastAsia="Amiri" w:cs="Amiri"/>
          <w:color w:val="111111"/>
          <w:sz w:val="28"/>
          <w:sz w:val="28"/>
          <w:szCs w:val="28"/>
          <w:rtl w:val="true"/>
          <w:lang w:bidi="ar-SA"/>
        </w:rPr>
        <w:t>تقليداً و تعويلاً علىٰ رِواياتٍ رَوَوها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تَقرَّبَ‌</w:t>
      </w:r>
      <w:r>
        <w:rPr>
          <w:rStyle w:val="FootnoteAnchor"/>
          <w:rtl w:val="true"/>
        </w:rPr>
        <w:footnoteReference w:id="3393"/>
      </w:r>
      <w:r>
        <w:rPr>
          <w:rFonts w:ascii="Amiri" w:hAnsi="Amiri" w:eastAsia="Amiri" w:cs="Amiri"/>
          <w:color w:val="111111"/>
          <w:sz w:val="28"/>
          <w:sz w:val="28"/>
          <w:szCs w:val="28"/>
          <w:rtl w:val="true"/>
          <w:lang w:bidi="ar-SA"/>
        </w:rPr>
        <w:t>بغَيرِه أخَذَ سِهامَ مَن تَقرَّبَ به</w:t>
      </w:r>
      <w:r>
        <w:rPr>
          <w:rFonts w:eastAsia="Amiri" w:cs="Amiri" w:ascii="Amiri" w:hAnsi="Amiri"/>
          <w:color w:val="111111"/>
          <w:sz w:val="28"/>
          <w:szCs w:val="28"/>
          <w:rtl w:val="true"/>
          <w:lang w:bidi="ar-SA"/>
        </w:rPr>
        <w:t>.</w:t>
      </w:r>
      <w:r>
        <w:rPr>
          <w:rStyle w:val="FootnoteAnchor"/>
          <w:rtl w:val="true"/>
        </w:rPr>
        <w:footnoteReference w:id="3394"/>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الخبرُ إنّما هو في أولادِ الإخوةِ و الأخَواتِ، و الأعمامِ و العَمّاتِ، و </w:t>
      </w:r>
    </w:p>
    <w:p>
      <w:pPr>
        <w:pStyle w:val="BookText"/>
        <w:rPr/>
      </w:pPr>
      <w:r>
        <w:rPr>
          <w:rFonts w:ascii="Amiri" w:hAnsi="Amiri" w:eastAsia="Amiri" w:cs="Amiri"/>
          <w:color w:val="111111"/>
          <w:sz w:val="28"/>
          <w:sz w:val="28"/>
          <w:szCs w:val="28"/>
          <w:rtl w:val="true"/>
          <w:lang w:bidi="ar-SA"/>
        </w:rPr>
        <w:t>الأخوالِ و الخالاتِ، و بَني الأعمامِ و الأخوالِ‌</w:t>
      </w:r>
      <w:r>
        <w:rPr>
          <w:rStyle w:val="FootnoteAnchor"/>
          <w:rtl w:val="true"/>
        </w:rPr>
        <w:footnoteReference w:id="3395"/>
      </w:r>
      <w:r>
        <w:rPr>
          <w:rFonts w:ascii="Amiri" w:hAnsi="Amiri" w:eastAsia="Amiri" w:cs="Amiri"/>
          <w:color w:val="111111"/>
          <w:sz w:val="28"/>
          <w:sz w:val="28"/>
          <w:szCs w:val="28"/>
          <w:rtl w:val="true"/>
          <w:lang w:bidi="ar-SA"/>
        </w:rPr>
        <w:t>لأنّ هؤلاءِ‌</w:t>
      </w:r>
      <w:r>
        <w:rPr>
          <w:rStyle w:val="FootnoteAnchor"/>
          <w:rtl w:val="true"/>
        </w:rPr>
        <w:footnoteReference w:id="3396"/>
      </w:r>
      <w:r>
        <w:rPr>
          <w:rFonts w:ascii="Amiri" w:hAnsi="Amiri" w:eastAsia="Amiri" w:cs="Amiri"/>
          <w:color w:val="111111"/>
          <w:sz w:val="28"/>
          <w:sz w:val="28"/>
          <w:szCs w:val="28"/>
          <w:rtl w:val="true"/>
          <w:lang w:bidi="ar-SA"/>
        </w:rPr>
        <w:t>لا تَسميةَ لهُم في الميراثِ، و إنّما يَتقرَّبونَ بغَيرِهم، فأُعطوا سِهامَ مَن يَتقرَّبونَ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أولادُ الأولادِ؛ لأنّ هؤلاءِ و إن سَفَلوا</w:t>
      </w:r>
      <w:r>
        <w:rPr>
          <w:rStyle w:val="FootnoteAnchor"/>
          <w:rtl w:val="true"/>
        </w:rPr>
        <w:footnoteReference w:id="3397"/>
      </w:r>
      <w:r>
        <w:rPr>
          <w:rFonts w:ascii="Amiri" w:hAnsi="Amiri" w:eastAsia="Amiri" w:cs="Amiri"/>
          <w:color w:val="111111"/>
          <w:sz w:val="28"/>
          <w:sz w:val="28"/>
          <w:szCs w:val="28"/>
          <w:rtl w:val="true"/>
          <w:lang w:bidi="ar-SA"/>
        </w:rPr>
        <w:t>داخِلونَ في اسمِ الوَلَدِ و اسمِ البَنينَ و البَناتِ‌</w:t>
      </w:r>
      <w:r>
        <w:rPr>
          <w:rStyle w:val="FootnoteAnchor"/>
          <w:rtl w:val="true"/>
        </w:rPr>
        <w:footnoteReference w:id="3398"/>
      </w:r>
      <w:r>
        <w:rPr>
          <w:rFonts w:ascii="Amiri" w:hAnsi="Amiri" w:eastAsia="Amiri" w:cs="Amiri"/>
          <w:color w:val="111111"/>
          <w:sz w:val="28"/>
          <w:sz w:val="28"/>
          <w:szCs w:val="28"/>
          <w:rtl w:val="true"/>
          <w:lang w:bidi="ar-SA"/>
        </w:rPr>
        <w:t>علَى الحقيقةِ، ممّن هو مُسَمّىً‌</w:t>
      </w:r>
      <w:r>
        <w:rPr>
          <w:rStyle w:val="FootnoteAnchor"/>
          <w:rtl w:val="true"/>
        </w:rPr>
        <w:footnoteReference w:id="3399"/>
      </w:r>
      <w:r>
        <w:rPr>
          <w:rFonts w:ascii="Amiri" w:hAnsi="Amiri" w:eastAsia="Amiri" w:cs="Amiri"/>
          <w:color w:val="111111"/>
          <w:sz w:val="28"/>
          <w:sz w:val="28"/>
          <w:szCs w:val="28"/>
          <w:rtl w:val="true"/>
          <w:lang w:bidi="ar-SA"/>
        </w:rPr>
        <w:t>في الكتابِ و</w:t>
      </w:r>
      <w:r>
        <w:rPr>
          <w:rStyle w:val="FootnoteAnchor"/>
          <w:rtl w:val="true"/>
        </w:rPr>
        <w:footnoteReference w:id="3400"/>
      </w:r>
      <w:r>
        <w:rPr>
          <w:rFonts w:ascii="Amiri" w:hAnsi="Amiri" w:eastAsia="Amiri" w:cs="Amiri"/>
          <w:color w:val="111111"/>
          <w:sz w:val="28"/>
          <w:sz w:val="28"/>
          <w:szCs w:val="28"/>
          <w:rtl w:val="true"/>
          <w:lang w:bidi="ar-SA"/>
        </w:rPr>
        <w:t>منصوصٌ علىٰ تَوريثِه، فلا</w:t>
      </w:r>
      <w:r>
        <w:rPr>
          <w:rStyle w:val="FootnoteAnchor"/>
          <w:rtl w:val="true"/>
        </w:rPr>
        <w:footnoteReference w:id="3401"/>
      </w:r>
      <w:r>
        <w:rPr>
          <w:rFonts w:ascii="Amiri" w:hAnsi="Amiri" w:eastAsia="Amiri" w:cs="Amiri"/>
          <w:color w:val="111111"/>
          <w:sz w:val="28"/>
          <w:sz w:val="28"/>
          <w:szCs w:val="28"/>
          <w:rtl w:val="true"/>
          <w:lang w:bidi="ar-SA"/>
        </w:rPr>
        <w:t>يُحتاجُ في تَوريثِه إلىٰ ذِكرِ قَرابتِه، و أن نُعطيَه</w:t>
      </w:r>
      <w:r>
        <w:rPr>
          <w:rStyle w:val="FootnoteAnchor"/>
          <w:rtl w:val="true"/>
        </w:rPr>
        <w:footnoteReference w:id="3402"/>
      </w:r>
      <w:r>
        <w:rPr>
          <w:rFonts w:ascii="Amiri" w:hAnsi="Amiri" w:eastAsia="Amiri" w:cs="Amiri"/>
          <w:color w:val="111111"/>
          <w:sz w:val="28"/>
          <w:sz w:val="28"/>
          <w:szCs w:val="28"/>
          <w:rtl w:val="true"/>
          <w:lang w:bidi="ar-SA"/>
        </w:rPr>
        <w:t>نَصيبَ مَن يَتقرَّبُ به، كما لا يُحتاجُ في تَوريثِ أولادِ الصُّلبِ بِلا واسطةٍ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دليلُكم علىٰ صِحّةِ ما ذَهَبتم إليه مِن تَوريثِ أولادِ الأولادِ، و القِسمةِ عليهم للذَّكَرِ مِثلُ حَظِّ الأُنثَيَينِ؟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3403"/>
      </w:r>
      <w:r>
        <w:rPr>
          <w:rFonts w:ascii="Amiri" w:hAnsi="Amiri" w:eastAsia="Amiri" w:cs="Amiri"/>
          <w:color w:val="111111"/>
          <w:sz w:val="28"/>
          <w:sz w:val="28"/>
          <w:szCs w:val="28"/>
          <w:rtl w:val="true"/>
          <w:lang w:bidi="ar-SA"/>
        </w:rPr>
        <w:t>، و لا خِلافَ بَينَ أصحابِنا في أنّ وُلدَ البَنينَ و وُلدَ البَناتِ و إن سَفَلوا تَقَعُ عليهم هذه التسميةُ، و تَتَناوَلُهم علىٰ سَبيلِ الحقيقةِ</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حَجَبوا</w:t>
      </w:r>
      <w:r>
        <w:rPr>
          <w:rStyle w:val="FootnoteAnchor"/>
          <w:rtl w:val="true"/>
        </w:rPr>
        <w:footnoteReference w:id="3404"/>
      </w:r>
      <w:r>
        <w:rPr>
          <w:rFonts w:ascii="Amiri" w:hAnsi="Amiri" w:eastAsia="Amiri" w:cs="Amiri"/>
          <w:color w:val="111111"/>
          <w:sz w:val="28"/>
          <w:sz w:val="28"/>
          <w:szCs w:val="28"/>
          <w:rtl w:val="true"/>
          <w:lang w:bidi="ar-SA"/>
        </w:rPr>
        <w:t>الأبَوَينِ عن ميراثِهما إلَى السُّدُسَينِ بوَلَدِ الوَلَدِ و إن هَبَطَ</w:t>
      </w:r>
      <w:r>
        <w:rPr>
          <w:rStyle w:val="FootnoteAnchor"/>
          <w:rtl w:val="true"/>
        </w:rPr>
        <w:footnoteReference w:id="3405"/>
      </w:r>
      <w:r>
        <w:rPr>
          <w:rFonts w:ascii="IRNazanin" w:hAnsi="IRNazanin" w:eastAsia="IRNazanin"/>
          <w:color w:val="111111"/>
          <w:sz w:val="28"/>
          <w:sz w:val="28"/>
          <w:szCs w:val="28"/>
          <w:rtl w:val="true"/>
          <w:lang w:bidi="fa-IR"/>
        </w:rPr>
        <w:t xml:space="preserve">، و </w:t>
      </w:r>
      <w:bookmarkStart w:id="1370" w:name="pg16437_172981"/>
    </w:p>
    <w:p>
      <w:pPr>
        <w:pStyle w:val="BookText"/>
        <w:rPr/>
      </w:pPr>
      <w:bookmarkEnd w:id="1370"/>
      <w:r>
        <w:rPr>
          <w:rFonts w:ascii="Amiri" w:hAnsi="Amiri" w:eastAsia="Amiri" w:cs="Amiri"/>
          <w:color w:val="111111"/>
          <w:sz w:val="28"/>
          <w:sz w:val="28"/>
          <w:szCs w:val="28"/>
          <w:rtl w:val="true"/>
          <w:lang w:bidi="ar-SA"/>
        </w:rPr>
        <w:t>حَجَبوا</w:t>
      </w:r>
      <w:r>
        <w:rPr>
          <w:rStyle w:val="FootnoteAnchor"/>
          <w:rtl w:val="true"/>
        </w:rPr>
        <w:footnoteReference w:id="3406"/>
      </w:r>
      <w:r>
        <w:rPr>
          <w:rFonts w:ascii="Amiri" w:hAnsi="Amiri" w:eastAsia="Amiri" w:cs="Amiri"/>
          <w:color w:val="111111"/>
          <w:sz w:val="28"/>
          <w:sz w:val="28"/>
          <w:szCs w:val="28"/>
          <w:rtl w:val="true"/>
          <w:lang w:bidi="ar-SA"/>
        </w:rPr>
        <w:t>الزوجَ عن النِّصفِ إلَى الرُّبُعِ، و الزوجةَ عن الرُّبُعِ إلَى الثُّمُنِ بوَلَدِ الوَلَدِ؛ فمَن سَمّاه اللّٰهُ تَعالىٰ وَلَداً في حَجبِ الأبَوَينِ و حَجبِ الزوجَينِ، يَجِبُ أن يَكونَ هو الذي سَمّاه وَلَداً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كَيفَ يُخالَفُ بَينَ حُكمِ الأولادِ و يُعطىٰ بعضُهم للذَّكَرِ مِثلُ حَظِّ الأُنثَيَينِ، و البعضُ الآخَرُ نَصيبَ‌</w:t>
      </w:r>
      <w:r>
        <w:rPr>
          <w:rStyle w:val="FootnoteAnchor"/>
          <w:rtl w:val="true"/>
        </w:rPr>
        <w:footnoteReference w:id="3407"/>
      </w:r>
      <w:r>
        <w:rPr>
          <w:rFonts w:ascii="Amiri" w:hAnsi="Amiri" w:eastAsia="Amiri" w:cs="Amiri"/>
          <w:color w:val="111111"/>
          <w:sz w:val="28"/>
          <w:sz w:val="28"/>
          <w:szCs w:val="28"/>
          <w:rtl w:val="true"/>
          <w:lang w:bidi="ar-SA"/>
        </w:rPr>
        <w:t>آبائهم الذي يَختَلِفُ و يَزيدُ و يَنقُصُ؛ و يَقتَضي</w:t>
      </w:r>
      <w:r>
        <w:rPr>
          <w:rStyle w:val="FootnoteAnchor"/>
          <w:rtl w:val="true"/>
        </w:rPr>
        <w:footnoteReference w:id="3408"/>
      </w:r>
      <w:r>
        <w:rPr>
          <w:rFonts w:ascii="Amiri" w:hAnsi="Amiri" w:eastAsia="Amiri" w:cs="Amiri"/>
          <w:color w:val="111111"/>
          <w:sz w:val="28"/>
          <w:sz w:val="28"/>
          <w:szCs w:val="28"/>
          <w:rtl w:val="true"/>
          <w:lang w:bidi="ar-SA"/>
        </w:rPr>
        <w:t>تارةً تفضيلَ الأُنثىٰ علَى الذَّكَرِ و القليلِ علَى الكَثيرِ، و تارةً المُساواةَ بَينَ‌</w:t>
      </w:r>
      <w:r>
        <w:rPr>
          <w:rStyle w:val="FootnoteAnchor"/>
          <w:rtl w:val="true"/>
        </w:rPr>
        <w:footnoteReference w:id="3409"/>
      </w:r>
      <w:r>
        <w:rPr>
          <w:rFonts w:ascii="Amiri" w:hAnsi="Amiri" w:eastAsia="Amiri" w:cs="Amiri"/>
          <w:color w:val="111111"/>
          <w:sz w:val="28"/>
          <w:sz w:val="28"/>
          <w:szCs w:val="28"/>
          <w:rtl w:val="true"/>
          <w:lang w:bidi="ar-SA"/>
        </w:rPr>
        <w:t>الذَّكَرِ و الأُنثىٰ؟</w:t>
      </w:r>
    </w:p>
    <w:p>
      <w:pPr>
        <w:pStyle w:val="BookText"/>
        <w:rPr/>
      </w:pPr>
      <w:r>
        <w:rPr>
          <w:rFonts w:ascii="Amiri" w:hAnsi="Amiri" w:eastAsia="Amiri" w:cs="Amiri"/>
          <w:color w:val="111111"/>
          <w:sz w:val="28"/>
          <w:sz w:val="28"/>
          <w:szCs w:val="28"/>
          <w:rtl w:val="true"/>
          <w:lang w:bidi="ar-SA"/>
        </w:rPr>
        <w:t>و علىٰ أيِّ شَيءٍ يُعوَّلُ‌</w:t>
      </w:r>
      <w:r>
        <w:rPr>
          <w:rStyle w:val="FootnoteAnchor"/>
          <w:rtl w:val="true"/>
        </w:rPr>
        <w:footnoteReference w:id="3410"/>
      </w:r>
      <w:r>
        <w:rPr>
          <w:rFonts w:ascii="Amiri" w:hAnsi="Amiri" w:eastAsia="Amiri" w:cs="Amiri"/>
          <w:color w:val="111111"/>
          <w:sz w:val="28"/>
          <w:sz w:val="28"/>
          <w:szCs w:val="28"/>
          <w:rtl w:val="true"/>
          <w:lang w:bidi="ar-SA"/>
        </w:rPr>
        <w:t>في الرجوعِ عن ظاهرِ كتابِ اللّٰهِ‌</w:t>
      </w:r>
      <w:r>
        <w:rPr>
          <w:rStyle w:val="FootnoteAnchor"/>
          <w:rtl w:val="true"/>
        </w:rPr>
        <w:footnoteReference w:id="3411"/>
      </w:r>
      <w:r>
        <w:rPr>
          <w:rFonts w:ascii="Amiri" w:hAnsi="Amiri" w:eastAsia="Amiri" w:cs="Amiri"/>
          <w:color w:val="111111"/>
          <w:sz w:val="28"/>
          <w:sz w:val="28"/>
          <w:szCs w:val="28"/>
          <w:rtl w:val="true"/>
          <w:lang w:bidi="ar-SA"/>
        </w:rPr>
        <w:t>تَعالىٰ؟</w:t>
      </w:r>
    </w:p>
    <w:p>
      <w:pPr>
        <w:pStyle w:val="Heading5"/>
        <w:numPr>
          <w:ilvl w:val="4"/>
          <w:numId w:val="1"/>
        </w:numPr>
        <w:rPr/>
      </w:pPr>
      <w:bookmarkStart w:id="1371" w:name="__RefHeading___Toc8040445_1280447820"/>
      <w:bookmarkStart w:id="1372" w:name="_Toc497"/>
      <w:bookmarkEnd w:id="1371"/>
      <w:r>
        <w:rPr>
          <w:rtl w:val="true"/>
        </w:rPr>
        <w:t>في أنّ ولدَ البنت ولدٌ على الحقيقة</w:t>
      </w:r>
      <w:bookmarkEnd w:id="1372"/>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مُخالِفونا مِن العامّةِ، فإنّهم يُخالِفونَنا</w:t>
      </w:r>
      <w:r>
        <w:rPr>
          <w:rStyle w:val="FootnoteAnchor"/>
          <w:rtl w:val="true"/>
        </w:rPr>
        <w:footnoteReference w:id="3412"/>
      </w:r>
      <w:r>
        <w:rPr>
          <w:rFonts w:ascii="Amiri" w:hAnsi="Amiri" w:eastAsia="Amiri" w:cs="Amiri"/>
          <w:color w:val="111111"/>
          <w:sz w:val="28"/>
          <w:sz w:val="28"/>
          <w:szCs w:val="28"/>
          <w:rtl w:val="true"/>
          <w:lang w:bidi="ar-SA"/>
        </w:rPr>
        <w:t>في تَسميةِ وَلَدِ البِنتِ بأنّه وَلَدٌ علَى الحقيقةِ‌</w:t>
      </w:r>
      <w:r>
        <w:rPr>
          <w:rStyle w:val="FootnoteAnchor"/>
          <w:rtl w:val="true"/>
        </w:rPr>
        <w:footnoteReference w:id="3413"/>
      </w:r>
      <w:r>
        <w:rPr>
          <w:rFonts w:ascii="Amiri" w:hAnsi="Amiri" w:eastAsia="Amiri" w:cs="Amiri"/>
          <w:color w:val="111111"/>
          <w:sz w:val="28"/>
          <w:sz w:val="28"/>
          <w:szCs w:val="28"/>
          <w:rtl w:val="true"/>
          <w:lang w:bidi="ar-SA"/>
        </w:rPr>
        <w:t>، و فيهم مَن وافَقَ علىٰ ذلكَ؛ و وافَقَ‌</w:t>
      </w:r>
      <w:r>
        <w:rPr>
          <w:rStyle w:val="FootnoteAnchor"/>
          <w:rtl w:val="true"/>
        </w:rPr>
        <w:footnoteReference w:id="3414"/>
      </w:r>
      <w:r>
        <w:rPr>
          <w:rFonts w:ascii="Amiri" w:hAnsi="Amiri" w:eastAsia="Amiri" w:cs="Amiri"/>
          <w:color w:val="111111"/>
          <w:sz w:val="28"/>
          <w:sz w:val="28"/>
          <w:szCs w:val="28"/>
          <w:rtl w:val="true"/>
          <w:lang w:bidi="ar-SA"/>
        </w:rPr>
        <w:t>جميعُهم علىٰ أنّ وَلَدَ الوَلَدِ</w:t>
      </w:r>
      <w:r>
        <w:rPr>
          <w:rStyle w:val="FootnoteAnchor"/>
          <w:rtl w:val="true"/>
        </w:rPr>
        <w:footnoteReference w:id="3415"/>
      </w:r>
      <w:r>
        <w:rPr>
          <w:rFonts w:ascii="Amiri" w:hAnsi="Amiri" w:eastAsia="Amiri" w:cs="Amiri"/>
          <w:color w:val="111111"/>
          <w:sz w:val="28"/>
          <w:sz w:val="28"/>
          <w:szCs w:val="28"/>
          <w:rtl w:val="true"/>
          <w:lang w:bidi="ar-SA"/>
        </w:rPr>
        <w:t>و إن هَبَطَ يُسمّىٰ وَلَداً علَى الحقيقةِ</w:t>
      </w:r>
      <w:r>
        <w:rPr>
          <w:rFonts w:eastAsia="Amiri" w:cs="Amiri" w:ascii="Amiri" w:hAnsi="Amiri"/>
          <w:color w:val="111111"/>
          <w:sz w:val="28"/>
          <w:szCs w:val="28"/>
          <w:rtl w:val="true"/>
          <w:lang w:bidi="ar-SA"/>
        </w:rPr>
        <w:t>.</w:t>
      </w:r>
      <w:r>
        <w:rPr>
          <w:rStyle w:val="FootnoteAnchor"/>
          <w:rtl w:val="true"/>
        </w:rPr>
        <w:footnoteReference w:id="3416"/>
      </w:r>
    </w:p>
    <w:p>
      <w:pPr>
        <w:pStyle w:val="BookText"/>
        <w:rPr/>
      </w:pPr>
      <w:r>
        <w:rPr>
          <w:rFonts w:ascii="Amiri" w:hAnsi="Amiri" w:eastAsia="Amiri" w:cs="Amiri"/>
          <w:color w:val="111111"/>
          <w:sz w:val="28"/>
          <w:sz w:val="28"/>
          <w:szCs w:val="28"/>
          <w:rtl w:val="true"/>
          <w:lang w:bidi="ar-SA"/>
        </w:rPr>
        <w:t>و قد حُكيَ عن بعضِهم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الوَلَدِ إنّما يُسمَّونَ هذه</w:t>
      </w:r>
      <w:r>
        <w:rPr>
          <w:rStyle w:val="FootnoteAnchor"/>
          <w:rtl w:val="true"/>
        </w:rPr>
        <w:footnoteReference w:id="3417"/>
      </w:r>
      <w:r>
        <w:rPr>
          <w:rFonts w:ascii="Amiri" w:hAnsi="Amiri" w:eastAsia="Amiri" w:cs="Amiri"/>
          <w:color w:val="111111"/>
          <w:sz w:val="28"/>
          <w:sz w:val="28"/>
          <w:szCs w:val="28"/>
          <w:rtl w:val="true"/>
          <w:lang w:bidi="ar-SA"/>
        </w:rPr>
        <w:t>التسميةَ إذا لَم يَحضُرْ أولادُ الصُّلبِ، فإن حَضَروا لَم يَتَناوَلْهم الِاسمُ</w:t>
      </w:r>
      <w:r>
        <w:rPr>
          <w:rFonts w:eastAsia="Amiri" w:cs="Amiri" w:ascii="Amiri" w:hAnsi="Amiri"/>
          <w:color w:val="111111"/>
          <w:sz w:val="28"/>
          <w:szCs w:val="28"/>
          <w:rtl w:val="true"/>
          <w:lang w:bidi="ar-SA"/>
        </w:rPr>
        <w:t>.</w:t>
      </w:r>
      <w:r>
        <w:rPr>
          <w:rStyle w:val="FootnoteAnchor"/>
          <w:rtl w:val="true"/>
        </w:rPr>
        <w:footnoteReference w:id="3418"/>
      </w:r>
    </w:p>
    <w:p>
      <w:pPr>
        <w:pStyle w:val="BookText"/>
        <w:rPr/>
      </w:pPr>
      <w:r>
        <w:rPr>
          <w:rFonts w:ascii="Amiri" w:hAnsi="Amiri" w:eastAsia="Amiri" w:cs="Amiri"/>
          <w:color w:val="111111"/>
          <w:sz w:val="28"/>
          <w:sz w:val="28"/>
          <w:szCs w:val="28"/>
          <w:rtl w:val="true"/>
          <w:lang w:bidi="ar-SA"/>
        </w:rPr>
        <w:t>و هذا طَريفٌ؛ فإنّ الِاسمَ إذا</w:t>
      </w:r>
      <w:r>
        <w:rPr>
          <w:rStyle w:val="FootnoteAnchor"/>
          <w:rtl w:val="true"/>
        </w:rPr>
        <w:footnoteReference w:id="3419"/>
      </w:r>
      <w:r>
        <w:rPr>
          <w:rFonts w:ascii="Amiri" w:hAnsi="Amiri" w:eastAsia="Amiri" w:cs="Amiri"/>
          <w:color w:val="111111"/>
          <w:sz w:val="28"/>
          <w:sz w:val="28"/>
          <w:szCs w:val="28"/>
          <w:rtl w:val="true"/>
          <w:lang w:bidi="ar-SA"/>
        </w:rPr>
        <w:t>تَناوَلَهم لَم يَختَلِفْ ذلكَ، بأن يَحضُرَ غيرُهم أو لا 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راعىٰ أحَدٌ فيما يُجري علَى المُسمَّياتِ مِن الأسماءِ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أحوَجَهم إلىٰ ذلكَ أنّهم وَجَدوا أولادَ الِابنِ لا يأخُذونَ مع حضورِ الِابنِ‌</w:t>
      </w:r>
      <w:r>
        <w:rPr>
          <w:rStyle w:val="FootnoteAnchor"/>
          <w:rtl w:val="true"/>
        </w:rPr>
        <w:footnoteReference w:id="3420"/>
      </w:r>
      <w:r>
        <w:rPr>
          <w:rFonts w:ascii="Amiri" w:hAnsi="Amiri" w:eastAsia="Amiri" w:cs="Amiri"/>
          <w:color w:val="111111"/>
          <w:sz w:val="28"/>
          <w:sz w:val="28"/>
          <w:szCs w:val="28"/>
          <w:rtl w:val="true"/>
          <w:lang w:bidi="ar-SA"/>
        </w:rPr>
        <w:t>شَيئاً، و يأخُذونَ مع فَقدِه، بالآيةِ المُتضمِّنةِ للقِسمةِ علَى الأولادِ؛ فظَنّوا</w:t>
      </w:r>
      <w:r>
        <w:rPr>
          <w:rStyle w:val="FootnoteAnchor"/>
          <w:rtl w:val="true"/>
        </w:rPr>
        <w:footnoteReference w:id="3421"/>
      </w:r>
      <w:r>
        <w:rPr>
          <w:rFonts w:ascii="Amiri" w:hAnsi="Amiri" w:eastAsia="Amiri" w:cs="Amiri"/>
          <w:color w:val="111111"/>
          <w:sz w:val="28"/>
          <w:sz w:val="28"/>
          <w:szCs w:val="28"/>
          <w:rtl w:val="true"/>
          <w:lang w:bidi="ar-SA"/>
        </w:rPr>
        <w:t>أنّ الِاسمَ يَتَناوَلُهم في الحالِ التي يَرِثونَ‌</w:t>
      </w:r>
      <w:r>
        <w:rPr>
          <w:rStyle w:val="FootnoteAnchor"/>
          <w:rtl w:val="true"/>
        </w:rPr>
        <w:footnoteReference w:id="3422"/>
      </w:r>
      <w:r>
        <w:rPr>
          <w:rFonts w:ascii="Amiri" w:hAnsi="Amiri" w:eastAsia="Amiri" w:cs="Amiri"/>
          <w:color w:val="111111"/>
          <w:sz w:val="28"/>
          <w:sz w:val="28"/>
          <w:szCs w:val="28"/>
          <w:rtl w:val="true"/>
          <w:lang w:bidi="ar-SA"/>
        </w:rPr>
        <w:t>فيها، و لا يَتَناوَلُهم في الحالِ التي لا يَرِثونَ فيها</w:t>
      </w:r>
      <w:r>
        <w:rPr>
          <w:rStyle w:val="FootnoteAnchor"/>
          <w:rtl w:val="true"/>
        </w:rPr>
        <w:footnoteReference w:id="3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Style w:val="FootnoteAnchor"/>
          <w:rtl w:val="true"/>
        </w:rPr>
        <w:footnoteReference w:id="3424"/>
      </w:r>
      <w:r>
        <w:rPr>
          <w:rFonts w:ascii="Amiri" w:hAnsi="Amiri" w:eastAsia="Amiri" w:cs="Amiri"/>
          <w:color w:val="111111"/>
          <w:sz w:val="28"/>
          <w:sz w:val="28"/>
          <w:szCs w:val="28"/>
          <w:rtl w:val="true"/>
          <w:lang w:bidi="ar-SA"/>
        </w:rPr>
        <w:t>غَلَطٌ منهم</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أغناهُم اللّٰهُ تَعالىٰ عن هذه البِدعةِ في إجراءِ‌</w:t>
      </w:r>
      <w:r>
        <w:rPr>
          <w:rStyle w:val="FootnoteAnchor"/>
          <w:rtl w:val="true"/>
        </w:rPr>
        <w:footnoteReference w:id="3425"/>
      </w:r>
      <w:r>
        <w:rPr>
          <w:rFonts w:ascii="Amiri" w:hAnsi="Amiri" w:eastAsia="Amiri" w:cs="Amiri"/>
          <w:color w:val="111111"/>
          <w:sz w:val="28"/>
          <w:sz w:val="28"/>
          <w:szCs w:val="28"/>
          <w:rtl w:val="true"/>
          <w:lang w:bidi="ar-SA"/>
        </w:rPr>
        <w:t>الِاسمِ و الخروجِ عن المعهودِ فيها؛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يَقتَضي اشتراكَ الوَلَدِ و وَلَدِ الوَلَدِ في الميراثِ، إلّا</w:t>
      </w:r>
      <w:r>
        <w:rPr>
          <w:rStyle w:val="FootnoteAnchor"/>
          <w:rtl w:val="true"/>
        </w:rPr>
        <w:footnoteReference w:id="3426"/>
      </w:r>
      <w:r>
        <w:rPr>
          <w:rFonts w:ascii="Amiri" w:hAnsi="Amiri" w:eastAsia="Amiri" w:cs="Amiri"/>
          <w:color w:val="111111"/>
          <w:sz w:val="28"/>
          <w:sz w:val="28"/>
          <w:szCs w:val="28"/>
          <w:rtl w:val="true"/>
          <w:lang w:bidi="ar-SA"/>
        </w:rPr>
        <w:t>أنّ‌</w:t>
      </w:r>
      <w:r>
        <w:rPr>
          <w:rStyle w:val="FootnoteAnchor"/>
          <w:rtl w:val="true"/>
        </w:rPr>
        <w:footnoteReference w:id="3427"/>
      </w:r>
      <w:r>
        <w:rPr>
          <w:rFonts w:ascii="Amiri" w:hAnsi="Amiri" w:eastAsia="Amiri" w:cs="Amiri"/>
          <w:color w:val="111111"/>
          <w:sz w:val="28"/>
          <w:sz w:val="28"/>
          <w:szCs w:val="28"/>
          <w:rtl w:val="true"/>
          <w:lang w:bidi="ar-SA"/>
        </w:rPr>
        <w:t>الإجماعَ علىٰ خِلافِ ذلكَ، فيُخَصِّصوا</w:t>
      </w:r>
      <w:r>
        <w:rPr>
          <w:rStyle w:val="FootnoteAnchor"/>
          <w:rtl w:val="true"/>
        </w:rPr>
        <w:footnoteReference w:id="3428"/>
      </w:r>
      <w:r>
        <w:rPr>
          <w:rFonts w:ascii="Amiri" w:hAnsi="Amiri" w:eastAsia="Amiri" w:cs="Amiri"/>
          <w:color w:val="111111"/>
          <w:sz w:val="28"/>
          <w:sz w:val="28"/>
          <w:szCs w:val="28"/>
          <w:rtl w:val="true"/>
          <w:lang w:bidi="ar-SA"/>
        </w:rPr>
        <w:t>بالإجماعِ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يَدُلُّ علىٰ أنّ وُلدَ البَنينَ و البَناتِ يَقَعُ عليهم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w:t>
      </w:r>
      <w:r>
        <w:rPr>
          <w:rFonts w:eastAsia="Amiri" w:cs="Amiri" w:ascii="Amiri" w:hAnsi="Amiri"/>
          <w:color w:val="111111"/>
          <w:sz w:val="28"/>
          <w:szCs w:val="28"/>
          <w:rtl w:val="true"/>
          <w:lang w:bidi="ar-SA"/>
        </w:rPr>
        <w:t xml:space="preserve">» </w:t>
      </w:r>
      <w:r>
        <w:rPr>
          <w:rStyle w:val="FootnoteAnchor"/>
          <w:rtl w:val="true"/>
        </w:rPr>
        <w:footnoteReference w:id="3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تحقيق</w:t>
      </w:r>
      <w:r>
        <w:rPr>
          <w:rFonts w:eastAsia="Amiri" w:cs="Amiri" w:ascii="Amiri" w:hAnsi="Amiri"/>
          <w:color w:val="111111"/>
          <w:sz w:val="28"/>
          <w:szCs w:val="28"/>
          <w:rtl w:val="true"/>
          <w:lang w:bidi="ar-SA"/>
        </w:rPr>
        <w:t>».</w:t>
      </w:r>
      <w:r>
        <w:rPr>
          <w:rStyle w:val="FootnoteAnchor"/>
          <w:rtl w:val="true"/>
        </w:rPr>
        <w:footnoteReference w:id="3430"/>
      </w:r>
      <w:r>
        <w:rPr>
          <w:rFonts w:ascii="Amiri" w:hAnsi="Amiri" w:eastAsia="Amiri" w:cs="Amiri"/>
          <w:color w:val="111111"/>
          <w:sz w:val="28"/>
          <w:sz w:val="28"/>
          <w:szCs w:val="28"/>
          <w:rtl w:val="true"/>
          <w:lang w:bidi="ar-SA"/>
        </w:rPr>
        <w:t>، و لا خِلافَ بَينَ الأُمّةِ في</w:t>
      </w:r>
      <w:r>
        <w:rPr>
          <w:rStyle w:val="FootnoteAnchor"/>
          <w:rtl w:val="true"/>
        </w:rPr>
        <w:footnoteReference w:id="3431"/>
      </w:r>
      <w:r>
        <w:rPr>
          <w:rFonts w:ascii="Amiri" w:hAnsi="Amiri" w:eastAsia="Amiri" w:cs="Amiri"/>
          <w:color w:val="111111"/>
          <w:sz w:val="28"/>
          <w:sz w:val="28"/>
          <w:szCs w:val="28"/>
          <w:rtl w:val="true"/>
          <w:lang w:bidi="ar-SA"/>
        </w:rPr>
        <w:t>أنّ بظاهرِ هذه الآيةِ تَحرُمُ علينا</w:t>
      </w:r>
      <w:r>
        <w:rPr>
          <w:rStyle w:val="FootnoteAnchor"/>
          <w:rtl w:val="true"/>
        </w:rPr>
        <w:footnoteReference w:id="3432"/>
      </w:r>
      <w:r>
        <w:rPr>
          <w:rFonts w:ascii="Amiri" w:hAnsi="Amiri" w:eastAsia="Amiri" w:cs="Amiri"/>
          <w:color w:val="111111"/>
          <w:sz w:val="28"/>
          <w:sz w:val="28"/>
          <w:szCs w:val="28"/>
          <w:rtl w:val="true"/>
          <w:lang w:bidi="ar-SA"/>
        </w:rPr>
        <w:t>بَناتُ أولادِنا، فلَو لَم تَكُن بِنتُ البِنتِ بِنتاً علَى الحقيقةِ لَما دَخَلَت تَحتَ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أَخَوٰاتُكُمْ وَ عَمّٰاتُكُمْ وَ خٰالاٰتُكُمْ وَ بَنٰاتُ اَلْأَخِ وَ بَنٰاتُ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المُحرَّماتِ بَناتِ الأَخِ و بَناتِ الأُختِ؛ لأنّهُنَّ لَم يَدخُلْنَ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دَخَلَ بَناتُ البَناتِ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حَرَّمَهنَّ‌</w:t>
      </w:r>
      <w:r>
        <w:rPr>
          <w:rStyle w:val="FootnoteAnchor"/>
          <w:rtl w:val="true"/>
        </w:rPr>
        <w:footnoteReference w:id="3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بَناتُ 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حُجّةٌ قَويّةٌ فيما قَصَدناه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أَبْنٰائِكُمُ</w:t>
      </w:r>
      <w:r>
        <w:rPr>
          <w:rFonts w:eastAsia="Amiri" w:cs="Amiri" w:ascii="Amiri" w:hAnsi="Amiri"/>
          <w:color w:val="111111"/>
          <w:sz w:val="28"/>
          <w:szCs w:val="28"/>
          <w:rtl w:val="true"/>
          <w:lang w:bidi="ar-SA"/>
        </w:rPr>
        <w:t xml:space="preserve">» </w:t>
      </w:r>
      <w:r>
        <w:rPr>
          <w:rStyle w:val="FootnoteAnchor"/>
          <w:rtl w:val="true"/>
        </w:rPr>
        <w:footnoteReference w:id="3434"/>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Style w:val="FootnoteAnchor"/>
          <w:rtl w:val="true"/>
        </w:rPr>
        <w:footnoteReference w:id="3435"/>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أَبْنٰائِهِنَّ أَوْ أَبْنٰاءِ بُعُولَتِهِنَّ</w:t>
      </w:r>
      <w:r>
        <w:rPr>
          <w:rFonts w:eastAsia="Amiri" w:cs="Amiri" w:ascii="Amiri" w:hAnsi="Amiri"/>
          <w:color w:val="111111"/>
          <w:sz w:val="28"/>
          <w:szCs w:val="28"/>
          <w:rtl w:val="true"/>
          <w:lang w:bidi="ar-SA"/>
        </w:rPr>
        <w:t xml:space="preserve">» </w:t>
      </w:r>
      <w:r>
        <w:rPr>
          <w:rStyle w:val="FootnoteAnchor"/>
          <w:rtl w:val="true"/>
        </w:rPr>
        <w:footnoteReference w:id="3436"/>
      </w:r>
      <w:r>
        <w:rPr>
          <w:rFonts w:ascii="Amiri" w:hAnsi="Amiri" w:eastAsia="Amiri" w:cs="Amiri"/>
          <w:color w:val="111111"/>
          <w:sz w:val="28"/>
          <w:sz w:val="28"/>
          <w:szCs w:val="28"/>
          <w:rtl w:val="true"/>
          <w:lang w:bidi="ar-SA"/>
        </w:rPr>
        <w:t>، لا خِلافَ في عُمومِ الحُكمِ هاهُنا</w:t>
      </w:r>
      <w:r>
        <w:rPr>
          <w:rStyle w:val="FootnoteAnchor"/>
          <w:rtl w:val="true"/>
        </w:rPr>
        <w:footnoteReference w:id="3437"/>
      </w:r>
      <w:r>
        <w:rPr>
          <w:rFonts w:ascii="Amiri" w:hAnsi="Amiri" w:eastAsia="Amiri" w:cs="Amiri"/>
          <w:color w:val="111111"/>
          <w:sz w:val="28"/>
          <w:sz w:val="28"/>
          <w:szCs w:val="28"/>
          <w:rtl w:val="true"/>
          <w:lang w:bidi="ar-SA"/>
        </w:rPr>
        <w:t>لجميعِ‌</w:t>
      </w:r>
      <w:r>
        <w:rPr>
          <w:rStyle w:val="FootnoteAnchor"/>
          <w:rtl w:val="true"/>
        </w:rPr>
        <w:footnoteReference w:id="3438"/>
      </w:r>
      <w:r>
        <w:rPr>
          <w:rFonts w:ascii="Amiri" w:hAnsi="Amiri" w:eastAsia="Amiri" w:cs="Amiri"/>
          <w:color w:val="111111"/>
          <w:sz w:val="28"/>
          <w:sz w:val="28"/>
          <w:szCs w:val="28"/>
          <w:rtl w:val="true"/>
          <w:lang w:bidi="ar-SA"/>
        </w:rPr>
        <w:t>أولادِ الأولادِ مِن ذُكورٍ و إناثٍ</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أيضاً علىٰ أنّ وَلَدَ البِنتِ مُنطَلِقٌ‌</w:t>
      </w:r>
      <w:r>
        <w:rPr>
          <w:rStyle w:val="FootnoteAnchor"/>
          <w:rtl w:val="true"/>
        </w:rPr>
        <w:footnoteReference w:id="3439"/>
      </w:r>
      <w:r>
        <w:rPr>
          <w:rFonts w:ascii="Amiri" w:hAnsi="Amiri" w:eastAsia="Amiri" w:cs="Amiri"/>
          <w:color w:val="111111"/>
          <w:sz w:val="28"/>
          <w:sz w:val="28"/>
          <w:szCs w:val="28"/>
          <w:rtl w:val="true"/>
          <w:lang w:bidi="ar-SA"/>
        </w:rPr>
        <w:t xml:space="preserve">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الحقيقةِ، أنّه لا خِلافَ في</w:t>
      </w:r>
      <w:r>
        <w:rPr>
          <w:rStyle w:val="FootnoteAnchor"/>
          <w:rtl w:val="true"/>
        </w:rPr>
        <w:footnoteReference w:id="3440"/>
      </w:r>
      <w:r>
        <w:rPr>
          <w:rFonts w:ascii="Amiri" w:hAnsi="Amiri" w:eastAsia="Amiri" w:cs="Amiri"/>
          <w:color w:val="111111"/>
          <w:sz w:val="28"/>
          <w:sz w:val="28"/>
          <w:szCs w:val="28"/>
          <w:rtl w:val="true"/>
          <w:lang w:bidi="ar-SA"/>
        </w:rPr>
        <w:t xml:space="preserve">تَسميةِ الحَسَنِ و الحُسَينِ عليهما السلامُ بأنّهما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w:t>
      </w:r>
      <w:r>
        <w:rPr>
          <w:rStyle w:val="FootnoteAnchor"/>
          <w:rtl w:val="true"/>
        </w:rPr>
        <w:footnoteReference w:id="3441"/>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أنّهما يُفضَّلانِ بذلكَ و يُمدَحانِ، و لا فَضيلةَ و لا مَدحَ في وصفٍ مَجازٍ مُستَعارٍ؛ فثَبَتَ أنّه حقيقتُهم</w:t>
      </w:r>
      <w:r>
        <w:rPr>
          <w:rStyle w:val="FootnoteAnchor"/>
          <w:rtl w:val="true"/>
        </w:rPr>
        <w:footnoteReference w:id="3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رَوىٰ أصحابُ السِّيَرِ كُلُّهم 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ابنَه مُحمّدَ بنَ الحَنَفيّةِ، و كانَ صاحبَ رايتِه يَومَ الجَمَلِ في ذلكَ اليَومِ،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الحَربِ إذا لَم تُوقَدِ</w:t>
      </w:r>
      <w:r>
        <w:rPr>
          <w:rStyle w:val="FootnoteAnchor"/>
          <w:rtl w:val="true"/>
        </w:rPr>
        <w:footnoteReference w:id="3443"/>
      </w:r>
    </w:p>
    <w:p>
      <w:pPr>
        <w:pStyle w:val="BookText"/>
        <w:rPr/>
      </w:pPr>
      <w:r>
        <w:rPr>
          <w:rFonts w:ascii="Amiri" w:hAnsi="Amiri" w:eastAsia="Amiri" w:cs="Amiri"/>
          <w:color w:val="111111"/>
          <w:sz w:val="28"/>
          <w:sz w:val="28"/>
          <w:szCs w:val="28"/>
          <w:rtl w:val="true"/>
          <w:lang w:bidi="ar-SA"/>
        </w:rPr>
        <w:t>بالمَشْرَفيِّ‌</w:t>
      </w:r>
      <w:r>
        <w:rPr>
          <w:rStyle w:val="FootnoteAnchor"/>
          <w:rtl w:val="true"/>
        </w:rPr>
        <w:footnoteReference w:id="3444"/>
      </w:r>
      <w:r>
        <w:rPr>
          <w:rFonts w:ascii="Amiri" w:hAnsi="Amiri" w:eastAsia="Amiri" w:cs="Amiri"/>
          <w:color w:val="111111"/>
          <w:sz w:val="28"/>
          <w:sz w:val="28"/>
          <w:szCs w:val="28"/>
          <w:rtl w:val="true"/>
          <w:lang w:bidi="ar-SA"/>
        </w:rPr>
        <w:t>و القَنا</w:t>
      </w:r>
      <w:r>
        <w:rPr>
          <w:rStyle w:val="FootnoteAnchor"/>
          <w:rtl w:val="true"/>
        </w:rPr>
        <w:footnoteReference w:id="3445"/>
      </w:r>
      <w:r>
        <w:rPr>
          <w:rFonts w:ascii="Amiri" w:hAnsi="Amiri" w:eastAsia="Amiri" w:cs="Amiri"/>
          <w:color w:val="111111"/>
          <w:sz w:val="28"/>
          <w:sz w:val="28"/>
          <w:szCs w:val="28"/>
          <w:rtl w:val="true"/>
          <w:lang w:bidi="ar-SA"/>
        </w:rPr>
        <w:t>المُسدَّدِ</w:t>
      </w:r>
    </w:p>
    <w:p>
      <w:pPr>
        <w:pStyle w:val="BookText"/>
        <w:rPr/>
      </w:pPr>
      <w:r>
        <w:rPr>
          <w:rFonts w:ascii="Amiri" w:hAnsi="Amiri" w:eastAsia="Amiri" w:cs="Amiri"/>
          <w:color w:val="111111"/>
          <w:sz w:val="28"/>
          <w:sz w:val="28"/>
          <w:szCs w:val="28"/>
          <w:rtl w:val="true"/>
          <w:lang w:bidi="ar-SA"/>
        </w:rPr>
        <w:t>فحَمَلَ مُحمّدٌ</w:t>
      </w:r>
      <w:r>
        <w:rPr>
          <w:rStyle w:val="FootnoteAnchor"/>
          <w:rtl w:val="true"/>
        </w:rPr>
        <w:footnoteReference w:id="3446"/>
      </w:r>
      <w:r>
        <w:rPr>
          <w:rFonts w:ascii="Amiri" w:hAnsi="Amiri" w:eastAsia="Amiri" w:cs="Amiri"/>
          <w:color w:val="111111"/>
          <w:sz w:val="28"/>
          <w:sz w:val="28"/>
          <w:szCs w:val="28"/>
          <w:rtl w:val="true"/>
          <w:lang w:bidi="ar-SA"/>
        </w:rPr>
        <w:t>رَضيَ اللّٰهُ عنه، فأبلىٰ‌</w:t>
      </w:r>
      <w:r>
        <w:rPr>
          <w:rStyle w:val="FootnoteAnchor"/>
          <w:rtl w:val="true"/>
        </w:rPr>
        <w:footnoteReference w:id="3447"/>
      </w:r>
      <w:r>
        <w:rPr>
          <w:rFonts w:ascii="Amiri" w:hAnsi="Amiri" w:eastAsia="Amiri" w:cs="Amiri"/>
          <w:color w:val="111111"/>
          <w:sz w:val="28"/>
          <w:sz w:val="28"/>
          <w:szCs w:val="28"/>
          <w:rtl w:val="true"/>
          <w:lang w:bidi="ar-SA"/>
        </w:rPr>
        <w:t>جُهدَه، فقالَ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ابني حَقّاً، و هذانِ ابنا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8"/>
      </w:r>
      <w:r>
        <w:rPr>
          <w:rFonts w:ascii="Amiri" w:hAnsi="Amiri" w:eastAsia="Amiri" w:cs="Amiri"/>
          <w:color w:val="111111"/>
          <w:sz w:val="28"/>
          <w:sz w:val="28"/>
          <w:szCs w:val="28"/>
          <w:rtl w:val="true"/>
          <w:lang w:bidi="ar-SA"/>
        </w:rPr>
        <w:t>يَعني الحَسَنَ و الحُسَينَ عليهما السلامُ</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فأجرىٰ عليهما هذه التسميةَ مادحاً لهُما</w:t>
      </w:r>
      <w:r>
        <w:rPr>
          <w:rStyle w:val="FootnoteAnchor"/>
          <w:rtl w:val="true"/>
        </w:rPr>
        <w:footnoteReference w:id="3449"/>
      </w:r>
      <w:r>
        <w:rPr>
          <w:rFonts w:ascii="Amiri" w:hAnsi="Amiri" w:eastAsia="Amiri" w:cs="Amiri"/>
          <w:color w:val="111111"/>
          <w:sz w:val="28"/>
          <w:sz w:val="28"/>
          <w:szCs w:val="28"/>
          <w:rtl w:val="true"/>
          <w:lang w:bidi="ar-SA"/>
        </w:rPr>
        <w:t>و مُفضِّلاً</w:t>
      </w:r>
      <w:r>
        <w:rPr>
          <w:rStyle w:val="FootnoteAnchor"/>
          <w:rtl w:val="true"/>
        </w:rPr>
        <w:footnoteReference w:id="3450"/>
      </w:r>
      <w:r>
        <w:rPr>
          <w:rFonts w:ascii="Amiri" w:hAnsi="Amiri" w:eastAsia="Amiri" w:cs="Amiri"/>
          <w:color w:val="111111"/>
          <w:sz w:val="28"/>
          <w:sz w:val="28"/>
          <w:szCs w:val="28"/>
          <w:rtl w:val="true"/>
          <w:lang w:bidi="ar-SA"/>
        </w:rPr>
        <w:t>، و المَدحُ لا يَكونُ بالمَجازِ و الاستعارةِ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زالَت</w:t>
      </w:r>
      <w:r>
        <w:rPr>
          <w:rStyle w:val="FootnoteAnchor"/>
          <w:rtl w:val="true"/>
        </w:rPr>
        <w:footnoteReference w:id="3451"/>
      </w:r>
      <w:r>
        <w:rPr>
          <w:rFonts w:ascii="Amiri" w:hAnsi="Amiri" w:eastAsia="Amiri" w:cs="Amiri"/>
          <w:color w:val="111111"/>
          <w:sz w:val="28"/>
          <w:sz w:val="28"/>
          <w:szCs w:val="28"/>
          <w:rtl w:val="true"/>
          <w:lang w:bidi="ar-SA"/>
        </w:rPr>
        <w:t>العَرَبُ في الجاهليّةِ تَنسِبُ‌</w:t>
      </w:r>
      <w:r>
        <w:rPr>
          <w:rStyle w:val="FootnoteAnchor"/>
          <w:rtl w:val="true"/>
        </w:rPr>
        <w:footnoteReference w:id="3452"/>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مَوضِعِ مَدحٍ، أو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يَتَناكَرونَ ذلكَ، و لا يَحتَشِمونَ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الصادقُ أبو عبد اللّٰهِ عليه السلامُ يُقالُ له</w:t>
      </w:r>
      <w:r>
        <w:rPr>
          <w:rStyle w:val="FootnoteAnchor"/>
          <w:rtl w:val="true"/>
        </w:rPr>
        <w:footnoteReference w:id="3453"/>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ابنُ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أُمَّه بنتُ القاسِمِ بنِ مُحمّدِ بنِ أبي بَكرٍ</w:t>
      </w:r>
      <w:r>
        <w:rPr>
          <w:rFonts w:eastAsia="Amiri" w:cs="Amiri" w:ascii="Amiri" w:hAnsi="Amiri"/>
          <w:color w:val="111111"/>
          <w:sz w:val="28"/>
          <w:szCs w:val="28"/>
          <w:rtl w:val="true"/>
          <w:lang w:bidi="ar-SA"/>
        </w:rPr>
        <w:t>.</w:t>
      </w:r>
      <w:r>
        <w:rPr>
          <w:rStyle w:val="FootnoteAnchor"/>
          <w:rtl w:val="true"/>
        </w:rPr>
        <w:footnoteReference w:id="3454"/>
      </w:r>
    </w:p>
    <w:p>
      <w:pPr>
        <w:pStyle w:val="BookText"/>
        <w:rPr/>
      </w:pPr>
      <w:r>
        <w:rPr>
          <w:rFonts w:ascii="Amiri" w:hAnsi="Amiri" w:eastAsia="Amiri" w:cs="Amiri"/>
          <w:color w:val="111111"/>
          <w:sz w:val="28"/>
          <w:sz w:val="28"/>
          <w:szCs w:val="28"/>
          <w:rtl w:val="true"/>
          <w:lang w:bidi="ar-SA"/>
        </w:rPr>
        <w:t>و لا خِلافَ بَينَ الأُمّةِ‌</w:t>
      </w:r>
      <w:r>
        <w:rPr>
          <w:rStyle w:val="FootnoteAnchor"/>
          <w:rtl w:val="true"/>
        </w:rPr>
        <w:footnoteReference w:id="3455"/>
      </w:r>
      <w:r>
        <w:rPr>
          <w:rFonts w:ascii="Amiri" w:hAnsi="Amiri" w:eastAsia="Amiri" w:cs="Amiri"/>
          <w:color w:val="111111"/>
          <w:sz w:val="28"/>
          <w:sz w:val="28"/>
          <w:szCs w:val="28"/>
          <w:rtl w:val="true"/>
          <w:lang w:bidi="ar-SA"/>
        </w:rPr>
        <w:t>في</w:t>
      </w:r>
      <w:r>
        <w:rPr>
          <w:rStyle w:val="FootnoteAnchor"/>
          <w:rtl w:val="true"/>
        </w:rPr>
        <w:footnoteReference w:id="3456"/>
      </w:r>
      <w:r>
        <w:rPr>
          <w:rFonts w:ascii="Amiri" w:hAnsi="Amiri" w:eastAsia="Amiri" w:cs="Amiri"/>
          <w:color w:val="111111"/>
          <w:sz w:val="28"/>
          <w:sz w:val="28"/>
          <w:szCs w:val="28"/>
          <w:rtl w:val="true"/>
          <w:lang w:bidi="ar-SA"/>
        </w:rPr>
        <w:t>أنّ عيسىٰ عليه السلامُ مِن بَني آدَمَ و وُلدِه، و إنّما يُنسَبُ‌</w:t>
      </w:r>
      <w:r>
        <w:rPr>
          <w:rStyle w:val="FootnoteAnchor"/>
          <w:rtl w:val="true"/>
        </w:rPr>
        <w:footnoteReference w:id="3457"/>
      </w:r>
      <w:r>
        <w:rPr>
          <w:rFonts w:ascii="Amiri" w:hAnsi="Amiri" w:eastAsia="Amiri" w:cs="Amiri"/>
          <w:color w:val="111111"/>
          <w:sz w:val="28"/>
          <w:sz w:val="28"/>
          <w:szCs w:val="28"/>
          <w:rtl w:val="true"/>
          <w:lang w:bidi="ar-SA"/>
        </w:rPr>
        <w:t>إليه بالأُمومةِ دونَ الأُبوّةِ‌</w:t>
      </w:r>
      <w:r>
        <w:rPr>
          <w:rStyle w:val="FootnoteAnchor"/>
          <w:rtl w:val="true"/>
        </w:rPr>
        <w:footnoteReference w:id="3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 وُلدِ البَناتِ مَجازاً، و لَيسَ كُلُّ شَيءٍ استُعمِلَ في غيرِه يَكونُ حقيقةً له</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الاستعمالِ الحقيقةُ‌</w:t>
      </w:r>
      <w:r>
        <w:rPr>
          <w:rStyle w:val="FootnoteAnchor"/>
          <w:rtl w:val="true"/>
        </w:rPr>
        <w:footnoteReference w:id="3459"/>
      </w:r>
      <w:r>
        <w:rPr>
          <w:rFonts w:ascii="Amiri" w:hAnsi="Amiri" w:eastAsia="Amiri" w:cs="Amiri"/>
          <w:color w:val="111111"/>
          <w:sz w:val="28"/>
          <w:sz w:val="28"/>
          <w:szCs w:val="28"/>
          <w:rtl w:val="true"/>
          <w:lang w:bidi="ar-SA"/>
        </w:rPr>
        <w:t>، و علىٰ مَن ادَّعَى المَجازَ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في غيرِ مَوضِعٍ أنّ الأصلَ الحقيقةُ، و المَجازَ طارٍ داخِلٌ، و</w:t>
      </w:r>
      <w:r>
        <w:rPr>
          <w:rStyle w:val="FootnoteAnchor"/>
          <w:rtl w:val="true"/>
        </w:rPr>
        <w:footnoteReference w:id="3460"/>
      </w:r>
      <w:r>
        <w:rPr>
          <w:rFonts w:ascii="Amiri" w:hAnsi="Amiri" w:eastAsia="Amiri" w:cs="Amiri"/>
          <w:color w:val="111111"/>
          <w:sz w:val="28"/>
          <w:sz w:val="28"/>
          <w:szCs w:val="28"/>
          <w:rtl w:val="true"/>
          <w:lang w:bidi="ar-SA"/>
        </w:rPr>
        <w:t>الاستعمالُ محمولٌ علَى الأُصولِ، إلّاأن يَنقُلَ‌</w:t>
      </w:r>
      <w:r>
        <w:rPr>
          <w:rStyle w:val="FootnoteAnchor"/>
          <w:rtl w:val="true"/>
        </w:rPr>
        <w:footnoteReference w:id="3461"/>
      </w:r>
      <w:r>
        <w:rPr>
          <w:rFonts w:ascii="Amiri" w:hAnsi="Amiri" w:eastAsia="Amiri" w:cs="Amiri"/>
          <w:color w:val="111111"/>
          <w:sz w:val="28"/>
          <w:sz w:val="28"/>
          <w:szCs w:val="28"/>
          <w:rtl w:val="true"/>
          <w:lang w:bidi="ar-SA"/>
        </w:rPr>
        <w:t>دَلالةٌ 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رَجُلٌ بالطلاقِ أو باللّٰهِ تَعالىٰ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وَلَدُ بِنتٍ، لَما كانَ حانِثاً</w:t>
      </w:r>
      <w:r>
        <w:rPr>
          <w:rStyle w:val="FootnoteAnchor"/>
          <w:rtl w:val="true"/>
        </w:rPr>
        <w:footnoteReference w:id="3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عندَنا حانثاً إذا أطلَقَ القولَ، و إنّما لا يَكونُ حانِثاً إذا نَوىٰ ما يُخرِجُه عن الحِنْثِ</w:t>
      </w:r>
      <w:r>
        <w:rPr>
          <w:rFonts w:eastAsia="Amiri" w:cs="Amiri" w:ascii="Amiri" w:hAnsi="Amiri"/>
          <w:color w:val="111111"/>
          <w:sz w:val="28"/>
          <w:szCs w:val="28"/>
          <w:rtl w:val="true"/>
          <w:lang w:bidi="ar-SA"/>
        </w:rPr>
        <w:t>.</w:t>
      </w:r>
      <w:r>
        <w:rPr>
          <w:rStyle w:val="FootnoteAnchor"/>
          <w:rtl w:val="true"/>
        </w:rPr>
        <w:footnoteReference w:id="34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ناقَضَ الفَضلُ بنُ شاذانَ‌</w:t>
      </w:r>
      <w:r>
        <w:rPr>
          <w:rStyle w:val="FootnoteAnchor"/>
          <w:rtl w:val="true"/>
        </w:rPr>
        <w:footnoteReference w:id="3464"/>
      </w:r>
      <w:r>
        <w:rPr>
          <w:rFonts w:ascii="Amiri" w:hAnsi="Amiri" w:eastAsia="Amiri" w:cs="Amiri"/>
          <w:color w:val="111111"/>
          <w:sz w:val="28"/>
          <w:sz w:val="28"/>
          <w:szCs w:val="28"/>
          <w:rtl w:val="true"/>
          <w:lang w:bidi="ar-SA"/>
        </w:rPr>
        <w:t>في مَذهبِه، و قالَ في</w:t>
      </w:r>
      <w:r>
        <w:rPr>
          <w:rStyle w:val="FootnoteAnchor"/>
          <w:rtl w:val="true"/>
        </w:rPr>
        <w:footnoteReference w:id="3465"/>
      </w:r>
      <w:r>
        <w:rPr>
          <w:rFonts w:ascii="Amiri" w:hAnsi="Amiri" w:eastAsia="Amiri" w:cs="Amiri"/>
          <w:color w:val="111111"/>
          <w:sz w:val="28"/>
          <w:sz w:val="28"/>
          <w:szCs w:val="28"/>
          <w:rtl w:val="true"/>
          <w:lang w:bidi="ar-SA"/>
        </w:rPr>
        <w:t>كتابِه في الفَرائضِ‌</w:t>
      </w:r>
      <w:r>
        <w:rPr>
          <w:rStyle w:val="FootnoteAnchor"/>
          <w:rtl w:val="true"/>
        </w:rPr>
        <w:footnoteReference w:id="3466"/>
      </w:r>
      <w:r>
        <w:rPr>
          <w:rFonts w:ascii="Amiri" w:hAnsi="Amiri" w:eastAsia="Amiri" w:cs="Amiri"/>
          <w:color w:val="111111"/>
          <w:sz w:val="28"/>
          <w:sz w:val="28"/>
          <w:szCs w:val="28"/>
          <w:rtl w:val="true"/>
          <w:lang w:bidi="ar-SA"/>
        </w:rPr>
        <w:t>في رَجُلٍ خَلَّفَ بِنتَ ابنٍ و ابنَ بِنتٍ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لبِنتِ الابنِ الثُّلُثَينِ نَصيبَ أبيها، و لِابنِ البِنتِ الثُّلُثَ نَصيبَ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w:t>
      </w:r>
      <w:r>
        <w:rPr>
          <w:rStyle w:val="FootnoteAnchor"/>
          <w:rtl w:val="true"/>
        </w:rPr>
        <w:footnoteReference w:id="3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 نَصيبَ مَن يَتقرَّبُ به و أعطاه ذلكَ</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هذا الكتابِ في بِنتِ ابنٍ و ابنِ 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المالَ بَينَهما</w:t>
      </w:r>
      <w:r>
        <w:rPr>
          <w:rStyle w:val="FootnoteAnchor"/>
          <w:rtl w:val="true"/>
        </w:rPr>
        <w:footnoteReference w:id="3468"/>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Style w:val="FootnoteAnchor"/>
          <w:rtl w:val="true"/>
        </w:rPr>
        <w:footnoteReference w:id="3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هذه مُناقَضةٌ لِما قَرَّره؛ لأنّ بِنتَ الِابنِ تَتقرَّبُ‌</w:t>
      </w:r>
      <w:r>
        <w:rPr>
          <w:rStyle w:val="FootnoteAnchor"/>
          <w:rtl w:val="true"/>
        </w:rPr>
        <w:footnoteReference w:id="3470"/>
      </w:r>
      <w:r>
        <w:rPr>
          <w:rFonts w:ascii="Amiri" w:hAnsi="Amiri" w:eastAsia="Amiri" w:cs="Amiri"/>
          <w:color w:val="111111"/>
          <w:sz w:val="28"/>
          <w:sz w:val="28"/>
          <w:szCs w:val="28"/>
          <w:rtl w:val="true"/>
          <w:lang w:bidi="ar-SA"/>
        </w:rPr>
        <w:t>بأبيها، و ابنَ الِابنِ يَتقرَّبُ أيضاً بأبيه، فيَجِبُ أن يَتَساويا في النَّصيبِ؛ فكَيفَ جَعَلَ هاهُنا للذَّكَرِ مِثلَ حَظِّ الأُنثَيَينِ، مع أنّ كُلَّ واحدٍ يَتقرَّبُ بغَيرِه، فله علىٰ مَذهبِه نَصيبُ مَن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ألّافَعَلَ مِثلَ ذلكَ في بِنتِ ابنٍ و ابنِ بِنتٍ، و جَعَلَ للذَّكَرِ مِثلَ حَظِّ الأُنثَيَينِ؟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أنّه قالَ في كتابِه ما هذه حِكايةُ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بِنتٍ و ابنةَ ابنٍ و أبَوَينِ، فللأبَوَينِ السُّدُسانِ، و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فلِابنةِ الِابنِ حَقُّ أبيها</w:t>
      </w:r>
      <w:r>
        <w:rPr>
          <w:rStyle w:val="FootnoteAnchor"/>
          <w:rtl w:val="true"/>
        </w:rPr>
        <w:footnoteReference w:id="3471"/>
      </w:r>
      <w:r>
        <w:rPr>
          <w:rFonts w:ascii="Amiri" w:hAnsi="Amiri" w:eastAsia="Amiri" w:cs="Amiri"/>
          <w:color w:val="111111"/>
          <w:sz w:val="28"/>
          <w:sz w:val="28"/>
          <w:szCs w:val="28"/>
          <w:rtl w:val="true"/>
          <w:lang w:bidi="ar-SA"/>
        </w:rPr>
        <w:t>الثُّلُثانِ، و لِابنِ البِنتِ حَقُّ أُمِّه الثُّلُثُ؛ لأنّ وَلَدَ الِابنةِ وَلَدٌ، كما أنّ وَلَدَ الِابنِ وَلَدٌ</w:t>
      </w:r>
      <w:r>
        <w:rPr>
          <w:rFonts w:eastAsia="Amiri" w:cs="Amiri" w:ascii="Amiri" w:hAnsi="Amiri"/>
          <w:color w:val="111111"/>
          <w:sz w:val="28"/>
          <w:szCs w:val="28"/>
          <w:rtl w:val="true"/>
          <w:lang w:bidi="ar-SA"/>
        </w:rPr>
        <w:t>.</w:t>
      </w:r>
      <w:r>
        <w:rPr>
          <w:rStyle w:val="FootnoteAnchor"/>
          <w:rtl w:val="true"/>
        </w:rPr>
        <w:footnoteReference w:id="3472"/>
      </w:r>
    </w:p>
    <w:p>
      <w:pPr>
        <w:pStyle w:val="BookText"/>
        <w:rPr/>
      </w:pPr>
      <w:r>
        <w:rPr>
          <w:rFonts w:ascii="Amiri" w:hAnsi="Amiri" w:eastAsia="Amiri" w:cs="Amiri"/>
          <w:color w:val="111111"/>
          <w:sz w:val="28"/>
          <w:sz w:val="28"/>
          <w:szCs w:val="28"/>
          <w:rtl w:val="true"/>
          <w:lang w:bidi="ar-SA"/>
        </w:rPr>
        <w:t>و هذا التعليلُ يَنقُضُ الفَتوىٰ؛ لأنّه إذا كانَ وَلَدُ البِنتِ وَلَداً كما أنّ وَلدَ الِابنِ كذلكَ، فيَجِبُ أن يَكونَ المالُ بَينَهما للذَّكَرِ مِثلُ حَظِّ الأُنثَيَينِ؛ لظاهرِ</w:t>
      </w:r>
      <w:r>
        <w:rPr>
          <w:rStyle w:val="FootnoteAnchor"/>
          <w:rtl w:val="true"/>
        </w:rPr>
        <w:footnoteReference w:id="3473"/>
      </w:r>
      <w:r>
        <w:rPr>
          <w:rFonts w:ascii="Amiri" w:hAnsi="Amiri" w:eastAsia="Amiri" w:cs="Amiri"/>
          <w:color w:val="111111"/>
          <w:sz w:val="28"/>
          <w:sz w:val="28"/>
          <w:szCs w:val="28"/>
          <w:rtl w:val="true"/>
          <w:lang w:bidi="ar-SA"/>
        </w:rPr>
        <w:t>قَولِه تَعالىٰ‌</w:t>
      </w:r>
      <w:r>
        <w:rPr>
          <w:rStyle w:val="FootnoteAnchor"/>
          <w:rtl w:val="true"/>
        </w:rPr>
        <w:footnoteReference w:id="3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w:t>
      </w:r>
      <w:r>
        <w:rPr>
          <w:rStyle w:val="FootnoteAnchor"/>
          <w:rtl w:val="true"/>
        </w:rPr>
        <w:footnoteReference w:id="3475"/>
      </w:r>
      <w:r>
        <w:rPr>
          <w:rFonts w:ascii="Amiri" w:hAnsi="Amiri" w:eastAsia="Amiri" w:cs="Amiri"/>
          <w:color w:val="111111"/>
          <w:sz w:val="28"/>
          <w:sz w:val="28"/>
          <w:szCs w:val="28"/>
          <w:rtl w:val="true"/>
          <w:lang w:bidi="ar-SA"/>
        </w:rPr>
        <w:t>أَعطَى الأُنثىٰ ضِعفَ ما أَعطَى الذَّكَرَ؟</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يُوافِقُ‌</w:t>
      </w:r>
      <w:r>
        <w:rPr>
          <w:rStyle w:val="FootnoteAnchor"/>
          <w:rtl w:val="true"/>
        </w:rPr>
        <w:footnoteReference w:id="3476"/>
      </w:r>
      <w:r>
        <w:rPr>
          <w:rFonts w:ascii="Amiri" w:hAnsi="Amiri" w:eastAsia="Amiri" w:cs="Amiri"/>
          <w:color w:val="111111"/>
          <w:sz w:val="28"/>
          <w:sz w:val="28"/>
          <w:szCs w:val="28"/>
          <w:rtl w:val="true"/>
          <w:lang w:bidi="ar-SA"/>
        </w:rPr>
        <w:t>الحَقَّ مَذهَبُ ابنِ شاذانَ في بعضِ المَسائلِ مِن هذا البابِ، و إن خالَفَ في التعليلِ، مِثلُ مَن خَلَّفَ بِنتَ بِنتٍ و ابنَ ابنٍ؛ فإنّه يُعطي البِنتَ نَصيبَ أُمِّها و هو الثُّلُثُ، و يُعطي الِابنَ نَصيبَ أبيه و هو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نُعطيهما نَحنُ؛ لأنّا </w:t>
      </w:r>
    </w:p>
    <w:p>
      <w:pPr>
        <w:pStyle w:val="BookText"/>
        <w:rPr/>
      </w:pPr>
      <w:r>
        <w:rPr>
          <w:rFonts w:ascii="Amiri" w:hAnsi="Amiri" w:eastAsia="Amiri" w:cs="Amiri"/>
          <w:color w:val="111111"/>
          <w:sz w:val="28"/>
          <w:sz w:val="28"/>
          <w:szCs w:val="28"/>
          <w:rtl w:val="true"/>
          <w:lang w:bidi="ar-SA"/>
        </w:rPr>
        <w:t>نُنزِّلُهما مَنزِلةَ ابنٍ‌</w:t>
      </w:r>
      <w:r>
        <w:rPr>
          <w:rStyle w:val="FootnoteAnchor"/>
          <w:rtl w:val="true"/>
        </w:rPr>
        <w:footnoteReference w:id="3477"/>
      </w:r>
      <w:r>
        <w:rPr>
          <w:rFonts w:ascii="Amiri" w:hAnsi="Amiri" w:eastAsia="Amiri" w:cs="Amiri"/>
          <w:color w:val="111111"/>
          <w:sz w:val="28"/>
          <w:sz w:val="28"/>
          <w:szCs w:val="28"/>
          <w:rtl w:val="true"/>
          <w:lang w:bidi="ar-SA"/>
        </w:rPr>
        <w:t>و بِنتٍ بلا واسطةٍ؛ للذَّكَرِ مِثلُ حَظِّ الأُنثَيَينِ</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المَسألةُ‌</w:t>
      </w:r>
      <w:r>
        <w:rPr>
          <w:rStyle w:val="FootnoteAnchor"/>
          <w:rtl w:val="true"/>
        </w:rPr>
        <w:footnoteReference w:id="3478"/>
      </w:r>
      <w:r>
        <w:rPr>
          <w:rFonts w:eastAsia="Times New Roman" w:cs="Times New Roman" w:ascii="Times New Roman" w:hAnsi="Times New Roman"/>
          <w:color w:val="111111"/>
          <w:sz w:val="28"/>
          <w:szCs w:val="28"/>
          <w:rtl w:val="true"/>
          <w:lang w:val="en-US" w:bidi="en-US"/>
        </w:rPr>
        <w:t xml:space="preserve">. </w:t>
      </w:r>
      <w:bookmarkStart w:id="1373" w:name="pg16437_172989"/>
    </w:p>
    <w:p>
      <w:pPr>
        <w:pStyle w:val="Heading3"/>
        <w:numPr>
          <w:ilvl w:val="2"/>
          <w:numId w:val="1"/>
        </w:numPr>
        <w:rPr/>
      </w:pPr>
      <w:bookmarkStart w:id="1374" w:name="__RefHeading___Toc8040447_1280447820"/>
      <w:bookmarkStart w:id="1375" w:name="_Toc498"/>
      <w:bookmarkEnd w:id="1373"/>
      <w:bookmarkEnd w:id="1374"/>
      <w:r>
        <w:rPr>
          <w:rtl w:val="true"/>
        </w:rPr>
        <w:t>(</w:t>
      </w:r>
      <w:r>
        <w:rPr/>
        <w:t>94</w:t>
      </w:r>
      <w:r>
        <w:rPr>
          <w:rtl w:val="true"/>
        </w:rPr>
        <w:t xml:space="preserve">) </w:t>
      </w:r>
      <w:r>
        <w:rPr>
          <w:rtl w:val="true"/>
        </w:rPr>
        <w:t>مسألةٌ في إضافةِ أولادِ البنتِ إلى جَدِّهم إضافةً حَقيقيّةً‌</w:t>
      </w:r>
      <w:bookmarkEnd w:id="1375"/>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6" w:name="__RefHeading___Toc8040449_1280447820"/>
      <w:bookmarkStart w:id="1377" w:name="_Toc499"/>
      <w:bookmarkEnd w:id="1376"/>
      <w:r>
        <w:rPr>
          <w:rtl w:val="true"/>
        </w:rPr>
        <w:t>اشارة</w:t>
      </w:r>
      <w:bookmarkEnd w:id="1377"/>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8" w:name="pg16437_172991"/>
      <w:bookmarkStart w:id="1379" w:name="pg16437_172991"/>
      <w:bookmarkEnd w:id="1379"/>
    </w:p>
    <w:p>
      <w:pPr>
        <w:pStyle w:val="Heading4"/>
        <w:numPr>
          <w:ilvl w:val="3"/>
          <w:numId w:val="1"/>
        </w:numPr>
        <w:rPr/>
      </w:pPr>
      <w:bookmarkStart w:id="1380" w:name="pg16437_172991"/>
      <w:bookmarkStart w:id="1381" w:name="__RefHeading___Toc8040451_1280447820"/>
      <w:bookmarkStart w:id="1382" w:name="_Toc500"/>
      <w:bookmarkEnd w:id="1380"/>
      <w:bookmarkEnd w:id="1381"/>
      <w:r>
        <w:rPr>
          <w:rtl w:val="true"/>
        </w:rPr>
        <w:t>مقدّمة التحقيق</w:t>
      </w:r>
      <w:bookmarkEnd w:id="1382"/>
    </w:p>
    <w:p>
      <w:pPr>
        <w:pStyle w:val="Heading5"/>
        <w:numPr>
          <w:ilvl w:val="4"/>
          <w:numId w:val="1"/>
        </w:numPr>
        <w:rPr/>
      </w:pPr>
      <w:bookmarkStart w:id="1383" w:name="__RefHeading___Toc8040453_1280447820"/>
      <w:bookmarkStart w:id="1384" w:name="_Toc501"/>
      <w:bookmarkEnd w:id="1383"/>
      <w:r>
        <w:rPr>
          <w:rtl w:val="true"/>
        </w:rPr>
        <w:t>اشارة</w:t>
      </w:r>
      <w:bookmarkEnd w:id="1384"/>
    </w:p>
    <w:p>
      <w:pPr>
        <w:pStyle w:val="BookText"/>
        <w:rPr/>
      </w:pPr>
      <w:r>
        <w:rPr>
          <w:rFonts w:ascii="Amiri" w:hAnsi="Amiri" w:eastAsia="Amiri" w:cs="Amiri"/>
          <w:color w:val="111111"/>
          <w:sz w:val="28"/>
          <w:sz w:val="28"/>
          <w:szCs w:val="28"/>
          <w:rtl w:val="true"/>
          <w:lang w:bidi="ar-SA"/>
        </w:rPr>
        <w:t xml:space="preserve">من الآراء التي ذهب إليها الشريف المرتضى، و استدلّ عليها و رتّب عليها نتائج متعدّدة و منتشرة في أبواب مختلفة من الفقه هي أنّ ولد البنت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فيُعامل معاملة ولد الابن الذكر؛ و ذلك لإطلاق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 البنت، و الاستعمال علامة الحقيقة حسب رأيه المعروف في الأُصول</w:t>
      </w:r>
      <w:r>
        <w:rPr>
          <w:rStyle w:val="FootnoteAnchor"/>
          <w:rtl w:val="true"/>
        </w:rPr>
        <w:footnoteReference w:id="3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نتائج فقهيّة تترتّب على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شخصٌ شيئاً على أولاده، فسوف يَستحقّ أولاد بنته سهماً من ذلك الوقف</w:t>
      </w:r>
      <w:r>
        <w:rPr>
          <w:rStyle w:val="FootnoteAnchor"/>
          <w:rtl w:val="true"/>
        </w:rPr>
        <w:footnoteReference w:id="3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الشريف المرتضى من أنّه أعطى الخُمس لمن يَنتسب إلى هاشم من جهة أُمّه</w:t>
      </w:r>
      <w:r>
        <w:rPr>
          <w:rStyle w:val="FootnoteAnchor"/>
          <w:rtl w:val="true"/>
        </w:rPr>
        <w:footnoteReference w:id="3481"/>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الرسالة محلّ البحث تطبيقٌ آخر لهذا الرأي، حيث ورد سؤال إلى الشريف المرتضى سُئل فيه عن رجل تزوّج من امرأة حسنيّة أو 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علويّة من بنات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 منها ولداً، ثمّ جاءت أموال خاصّة بأولاد فاطمة الزهراء عليها السلامُ؛ فهل يَستحقّ ولد هذه المرأة سهماً من تلك الأموال؟ </w:t>
      </w:r>
      <w:bookmarkStart w:id="1385" w:name="pg16437_172992"/>
    </w:p>
    <w:p>
      <w:pPr>
        <w:pStyle w:val="BookText"/>
        <w:rPr/>
      </w:pPr>
      <w:bookmarkEnd w:id="1385"/>
      <w:r>
        <w:rPr>
          <w:rFonts w:ascii="Amiri" w:hAnsi="Amiri" w:eastAsia="Amiri" w:cs="Amiri"/>
          <w:color w:val="111111"/>
          <w:sz w:val="28"/>
          <w:sz w:val="28"/>
          <w:szCs w:val="28"/>
          <w:rtl w:val="true"/>
          <w:lang w:bidi="ar-SA"/>
        </w:rPr>
        <w:t>و تنبغي الإشارة هنا إلى أنّه قد جاء في بداية السؤال أنّ الرجل الذي تزوّج من تلك المرأة هو رجل من ولد أبي طالب عليه السلامُ، فيجب أن يُحمل ذلك على أنّ الرجل ليس من أولاد فاطمة عليها السلامُ، و إلّالم يبق مجال للسؤال؛ لأنّه لو كان الرجل من ولد فاطمة عليها السلامُ أيضاً، لكان ولده الذي رُزقه من تلك المرأة يَنتسب إلى فاطمة عليها السلامُ من جهة أبيه، و لا إشكال حينئذٍ في استحقاقه لسهمٍ من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تصوير الرجل بأنّه طالبيّ؛ لكنّه ليس من ولد فاطمة عليها السلامُ، فيكون مثلاً من أولاد محمّد بن الحنفيّة، أو العبّاس ابن أمير المؤمنين عليه السلامُ، أو من أولاد عقيل، أو جعفر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الشريف المرتضى على السؤال بما هو متوقَّع من رأيه حول اعتبار ولد البنت ولداً على الحقيقة، فأفتى بأنّ ولد تلك المرأة يستحقّ سهماً من ذلك المال؛ لأنّ أولاد البنت يُضافون إلى جدّهم من أُمّهم إضافة حقيقية</w:t>
      </w:r>
      <w:r>
        <w:rPr>
          <w:rFonts w:eastAsia="Amiri" w:cs="Amiri" w:ascii="Amiri" w:hAnsi="Amiri"/>
          <w:color w:val="111111"/>
          <w:sz w:val="28"/>
          <w:szCs w:val="28"/>
          <w:rtl w:val="true"/>
          <w:lang w:bidi="ar-SA"/>
        </w:rPr>
        <w:t>.</w:t>
      </w:r>
    </w:p>
    <w:p>
      <w:pPr>
        <w:pStyle w:val="Heading5"/>
        <w:numPr>
          <w:ilvl w:val="4"/>
          <w:numId w:val="1"/>
        </w:numPr>
        <w:rPr/>
      </w:pPr>
      <w:bookmarkStart w:id="1386" w:name="__RefHeading___Toc8040455_1280447820"/>
      <w:bookmarkStart w:id="1387" w:name="_Toc502"/>
      <w:bookmarkEnd w:id="1386"/>
      <w:r>
        <w:rPr>
          <w:rtl w:val="true"/>
        </w:rPr>
        <w:t>عنوان الرسالة</w:t>
      </w:r>
      <w:bookmarkEnd w:id="1387"/>
    </w:p>
    <w:p>
      <w:pPr>
        <w:pStyle w:val="BookText"/>
        <w:rPr/>
      </w:pPr>
      <w:r>
        <w:rPr>
          <w:rFonts w:ascii="Amiri" w:hAnsi="Amiri" w:eastAsia="Amiri" w:cs="Amiri"/>
          <w:color w:val="111111"/>
          <w:sz w:val="28"/>
          <w:sz w:val="28"/>
          <w:szCs w:val="28"/>
          <w:rtl w:val="true"/>
          <w:lang w:bidi="ar-SA"/>
        </w:rPr>
        <w:t xml:space="preserve">طبعت هذه الرسالة في ضمن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إضافة الأولاد إلى الجدّ إضافة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العنوان عامّ؛ لأن الرسالة لا تتحدّث عن إضافة كلّ الأولاد إلى جدّهم؛ بل تتحدّث عن إضافة خصوص أولاد البنت إلى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الأفضل تعديل العنوان، و 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فيصير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أولاد البنت إلى جدّهم إضافة حقيقيّة</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طبعت الرسالة في ضمن مسائل المرتضى،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ولد البنت من حيث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تجاوز هذا العنوانُ الإشكالَ السابقَ، ولكن يرد عليه أنّ المسألة محلّ البحث لا تتحدّث عن السيادة، و إن كان قد يكون ذلك من لوازمها، و إنّما تتحدّث عن انتماء أولاد البنت إلى فاطمة عليها السلامُ، و السيادة غير خاصّة بأولاد فاطمة عليها السلامُ، بل هي عامّة لكلّ بني هاشم بأنواعهم</w:t>
      </w:r>
      <w:r>
        <w:rPr>
          <w:rFonts w:eastAsia="Amiri" w:cs="Amiri" w:ascii="Amiri" w:hAnsi="Amiri"/>
          <w:color w:val="111111"/>
          <w:sz w:val="28"/>
          <w:szCs w:val="28"/>
          <w:rtl w:val="true"/>
          <w:lang w:bidi="ar-SA"/>
        </w:rPr>
        <w:t xml:space="preserve">. </w:t>
      </w:r>
      <w:bookmarkStart w:id="1388" w:name="pg16437_172993"/>
    </w:p>
    <w:p>
      <w:pPr>
        <w:pStyle w:val="BookText"/>
        <w:rPr/>
      </w:pPr>
      <w:bookmarkEnd w:id="1388"/>
      <w:r>
        <w:rPr>
          <w:rFonts w:ascii="Amiri" w:hAnsi="Amiri" w:eastAsia="Amiri" w:cs="Amiri"/>
          <w:color w:val="111111"/>
          <w:sz w:val="28"/>
          <w:sz w:val="28"/>
          <w:szCs w:val="28"/>
          <w:rtl w:val="true"/>
          <w:lang w:bidi="ar-SA"/>
        </w:rPr>
        <w:t>فالظاهر أنّ الأَولى تسمية المسألة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شمولُ الوصيّة إلى أولاد فاطمة عليها السلامُ لأولاد بناتها</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8040457_1280447820"/>
      <w:bookmarkStart w:id="1390" w:name="_Toc503"/>
      <w:bookmarkEnd w:id="1389"/>
      <w:r>
        <w:rPr>
          <w:rtl w:val="true"/>
        </w:rPr>
        <w:t>مخطوطات الرسالة</w:t>
      </w:r>
      <w:bookmarkEnd w:id="1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541/14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10005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السيّد حسن الصدر رحمه اللّٰه، المرقّمة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bookmarkStart w:id="1391" w:name="pg16437_172995"/>
    </w:p>
    <w:p>
      <w:pPr>
        <w:pStyle w:val="Heading4"/>
        <w:numPr>
          <w:ilvl w:val="3"/>
          <w:numId w:val="1"/>
        </w:numPr>
        <w:rPr/>
      </w:pPr>
      <w:bookmarkStart w:id="1392" w:name="__RefHeading___Toc8040459_1280447820"/>
      <w:bookmarkStart w:id="1393" w:name="_Toc504"/>
      <w:bookmarkEnd w:id="1391"/>
      <w:bookmarkEnd w:id="1392"/>
      <w:r>
        <w:rPr>
          <w:rtl w:val="true"/>
        </w:rPr>
        <w:t>مسألةٌ في إضافةِ أولادِ البنتِ إلى جَدِّهم إضافةً حَقيقيّةً‌</w:t>
      </w:r>
      <w:bookmarkEnd w:id="1393"/>
    </w:p>
    <w:p>
      <w:pPr>
        <w:pStyle w:val="Heading5"/>
        <w:numPr>
          <w:ilvl w:val="4"/>
          <w:numId w:val="1"/>
        </w:numPr>
        <w:rPr/>
      </w:pPr>
      <w:bookmarkStart w:id="1394" w:name="__RefHeading___Toc8040461_1280447820"/>
      <w:bookmarkStart w:id="1395" w:name="_Toc505"/>
      <w:bookmarkEnd w:id="1394"/>
      <w:r>
        <w:rPr>
          <w:rtl w:val="true"/>
        </w:rPr>
        <w:t>اشارة</w:t>
      </w:r>
      <w:bookmarkEnd w:id="1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8040463_1280447820"/>
      <w:bookmarkStart w:id="1397" w:name="_Toc506"/>
      <w:bookmarkEnd w:id="1396"/>
      <w:r>
        <w:rPr>
          <w:rtl w:val="true"/>
        </w:rPr>
        <w:t>مسألةٌ</w:t>
      </w:r>
      <w:r>
        <w:rPr>
          <w:rtl w:val="true"/>
        </w:rPr>
        <w:t>:</w:t>
      </w:r>
      <w:bookmarkEnd w:id="1397"/>
    </w:p>
    <w:p>
      <w:pPr>
        <w:pStyle w:val="BookText"/>
        <w:rPr/>
      </w:pPr>
      <w:r>
        <w:rPr>
          <w:rFonts w:ascii="Amiri" w:hAnsi="Amiri" w:eastAsia="Amiri" w:cs="Amiri"/>
          <w:color w:val="111111"/>
          <w:sz w:val="28"/>
          <w:sz w:val="28"/>
          <w:szCs w:val="28"/>
          <w:rtl w:val="true"/>
          <w:lang w:bidi="ar-SA"/>
        </w:rPr>
        <w:t>ما تَقولُ‌</w:t>
      </w:r>
      <w:r>
        <w:rPr>
          <w:rStyle w:val="FootnoteAnchor"/>
          <w:rtl w:val="true"/>
        </w:rPr>
        <w:footnoteReference w:id="3482"/>
      </w:r>
      <w:r>
        <w:rPr>
          <w:rFonts w:ascii="Amiri" w:hAnsi="Amiri" w:eastAsia="Amiri" w:cs="Amiri"/>
          <w:color w:val="111111"/>
          <w:sz w:val="28"/>
          <w:sz w:val="28"/>
          <w:szCs w:val="28"/>
          <w:rtl w:val="true"/>
          <w:lang w:bidi="ar-SA"/>
        </w:rPr>
        <w:t>في رجُلٍ مِن وُلدِ أبي طالبٍ تَزوَّجَ امرأةً حَسَنيّةً أو حُسَينيّةً‌</w:t>
      </w:r>
      <w:r>
        <w:rPr>
          <w:rStyle w:val="FootnoteAnchor"/>
          <w:rtl w:val="true"/>
        </w:rPr>
        <w:footnoteReference w:id="3483"/>
      </w:r>
      <w:r>
        <w:rPr>
          <w:rFonts w:ascii="Amiri" w:hAnsi="Amiri" w:eastAsia="Amiri" w:cs="Amiri"/>
          <w:color w:val="111111"/>
          <w:sz w:val="28"/>
          <w:sz w:val="28"/>
          <w:szCs w:val="28"/>
          <w:rtl w:val="true"/>
          <w:lang w:bidi="ar-SA"/>
        </w:rPr>
        <w:t>، فرُزِقا مولوداً، فخَرَجَت قِسمةٌ رُسِمَ مَخرَجُها أن تُفَضَّ‌</w:t>
      </w:r>
      <w:r>
        <w:rPr>
          <w:rStyle w:val="FootnoteAnchor"/>
          <w:rtl w:val="true"/>
        </w:rPr>
        <w:footnoteReference w:id="3484"/>
      </w:r>
      <w:r>
        <w:rPr>
          <w:rFonts w:ascii="Amiri" w:hAnsi="Amiri" w:eastAsia="Amiri" w:cs="Amiri"/>
          <w:color w:val="111111"/>
          <w:sz w:val="28"/>
          <w:sz w:val="28"/>
          <w:szCs w:val="28"/>
          <w:rtl w:val="true"/>
          <w:lang w:bidi="ar-SA"/>
        </w:rPr>
        <w:t>علىٰ ولدِ فاطمةَ عليها السلامُ، هَل يَستَحِقُّ به هذا</w:t>
      </w:r>
      <w:r>
        <w:rPr>
          <w:rStyle w:val="FootnoteAnchor"/>
          <w:rtl w:val="true"/>
        </w:rPr>
        <w:footnoteReference w:id="3485"/>
      </w:r>
      <w:r>
        <w:rPr>
          <w:rFonts w:ascii="Amiri" w:hAnsi="Amiri" w:eastAsia="Amiri" w:cs="Amiri"/>
          <w:color w:val="111111"/>
          <w:sz w:val="28"/>
          <w:sz w:val="28"/>
          <w:szCs w:val="28"/>
          <w:rtl w:val="true"/>
          <w:lang w:bidi="ar-SA"/>
        </w:rPr>
        <w:t>المولودُ مِن الحَسَنيّةِ أو الحُسَينيّةِ سَهماً لوِلادتِه مِن مَولاتِنا فاطمةَ صَلَواتُ اللّٰهِ عليها، بما تَقدَّمَ مِن قيامِ الدلالةِ مِن كِتابِ اللّٰهِ تَعالىٰ أنّ وُلدَ البنتِ وُلدُ الجَدِّ علَى الحَقيقةِ؟ تُفتينا في ذلكَ‌</w:t>
      </w:r>
      <w:r>
        <w:rPr>
          <w:rStyle w:val="FootnoteAnchor"/>
          <w:rtl w:val="true"/>
        </w:rPr>
        <w:footnoteReference w:id="3486"/>
      </w:r>
      <w:r>
        <w:rPr>
          <w:rFonts w:ascii="Amiri" w:hAnsi="Amiri" w:eastAsia="Amiri" w:cs="Amiri"/>
          <w:color w:val="111111"/>
          <w:sz w:val="28"/>
          <w:sz w:val="28"/>
          <w:szCs w:val="28"/>
          <w:rtl w:val="true"/>
          <w:lang w:bidi="ar-SA"/>
        </w:rPr>
        <w:t>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3487"/>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البنتِ يُضافونَ إلىٰ جَدِّهم أبي</w:t>
      </w:r>
      <w:r>
        <w:rPr>
          <w:rStyle w:val="FootnoteAnchor"/>
          <w:rtl w:val="true"/>
        </w:rPr>
        <w:footnoteReference w:id="3488"/>
      </w:r>
      <w:r>
        <w:rPr>
          <w:rFonts w:ascii="Amiri" w:hAnsi="Amiri" w:eastAsia="Amiri" w:cs="Amiri"/>
          <w:color w:val="111111"/>
          <w:sz w:val="28"/>
          <w:sz w:val="28"/>
          <w:szCs w:val="28"/>
          <w:rtl w:val="true"/>
          <w:lang w:bidi="ar-SA"/>
        </w:rPr>
        <w:t xml:space="preserve">أُمِّهم إضافةً حَقيقيّةً، فمَن وَصّىٰ بمالٍ لوُلدِ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عليها السلامُ كانَ‌</w:t>
      </w:r>
      <w:r>
        <w:rPr>
          <w:rStyle w:val="FootnoteAnchor"/>
          <w:rtl w:val="true"/>
        </w:rPr>
        <w:footnoteReference w:id="3489"/>
      </w:r>
      <w:r>
        <w:rPr>
          <w:rFonts w:ascii="Amiri" w:hAnsi="Amiri" w:eastAsia="Amiri" w:cs="Amiri"/>
          <w:color w:val="111111"/>
          <w:sz w:val="28"/>
          <w:sz w:val="28"/>
          <w:szCs w:val="28"/>
          <w:rtl w:val="true"/>
          <w:lang w:bidi="ar-SA"/>
        </w:rPr>
        <w:t>عامّاً في أولادِ بَنيها و أولادِ بَناتِها</w:t>
      </w:r>
      <w:r>
        <w:rPr>
          <w:rStyle w:val="FootnoteAnchor"/>
          <w:rtl w:val="true"/>
        </w:rPr>
        <w:footnoteReference w:id="3490"/>
      </w:r>
      <w:r>
        <w:rPr>
          <w:rFonts w:ascii="Amiri" w:hAnsi="Amiri" w:eastAsia="Amiri" w:cs="Amiri"/>
          <w:color w:val="111111"/>
          <w:sz w:val="28"/>
          <w:sz w:val="28"/>
          <w:szCs w:val="28"/>
          <w:rtl w:val="true"/>
          <w:lang w:bidi="ar-SA"/>
        </w:rPr>
        <w:t>، و الِاسمُ يَتناوَلُ الجميعَ تَناوُلاً حَقيقيّاً</w:t>
      </w:r>
      <w:r>
        <w:rPr>
          <w:rFonts w:eastAsia="Amiri" w:cs="Amiri" w:ascii="Amiri" w:hAnsi="Amiri"/>
          <w:color w:val="111111"/>
          <w:sz w:val="28"/>
          <w:szCs w:val="28"/>
          <w:rtl w:val="true"/>
          <w:lang w:bidi="ar-SA"/>
        </w:rPr>
        <w:t xml:space="preserve">. </w:t>
      </w:r>
      <w:bookmarkStart w:id="1398" w:name="pg16437_172997"/>
    </w:p>
    <w:p>
      <w:pPr>
        <w:pStyle w:val="Heading3"/>
        <w:numPr>
          <w:ilvl w:val="2"/>
          <w:numId w:val="1"/>
        </w:numPr>
        <w:rPr/>
      </w:pPr>
      <w:bookmarkStart w:id="1399" w:name="__RefHeading___Toc8040465_1280447820"/>
      <w:bookmarkStart w:id="1400" w:name="_Toc507"/>
      <w:bookmarkEnd w:id="1398"/>
      <w:bookmarkEnd w:id="1399"/>
      <w:r>
        <w:rPr>
          <w:rtl w:val="true"/>
        </w:rPr>
        <w:t>(</w:t>
      </w:r>
      <w:r>
        <w:rPr/>
        <w:t>95</w:t>
      </w:r>
      <w:r>
        <w:rPr>
          <w:rtl w:val="true"/>
        </w:rPr>
        <w:t xml:space="preserve">) </w:t>
      </w:r>
      <w:r>
        <w:rPr>
          <w:rtl w:val="true"/>
        </w:rPr>
        <w:t>مسألةٌ في شُمولِ الوقفِ على الأولادِ لوُلدِ البنتِ‌</w:t>
      </w:r>
      <w:bookmarkEnd w:id="1400"/>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1" w:name="__RefHeading___Toc8040467_1280447820"/>
      <w:bookmarkStart w:id="1402" w:name="_Toc508"/>
      <w:bookmarkEnd w:id="1401"/>
      <w:r>
        <w:rPr>
          <w:rtl w:val="true"/>
        </w:rPr>
        <w:t>اشارة</w:t>
      </w:r>
      <w:bookmarkEnd w:id="1402"/>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3" w:name="pg16437_172999"/>
      <w:bookmarkStart w:id="1404" w:name="pg16437_172999"/>
      <w:bookmarkEnd w:id="1404"/>
    </w:p>
    <w:p>
      <w:pPr>
        <w:pStyle w:val="Heading4"/>
        <w:numPr>
          <w:ilvl w:val="3"/>
          <w:numId w:val="1"/>
        </w:numPr>
        <w:rPr/>
      </w:pPr>
      <w:bookmarkStart w:id="1405" w:name="pg16437_172999"/>
      <w:bookmarkStart w:id="1406" w:name="__RefHeading___Toc8040469_1280447820"/>
      <w:bookmarkStart w:id="1407" w:name="_Toc509"/>
      <w:bookmarkEnd w:id="1405"/>
      <w:bookmarkEnd w:id="1406"/>
      <w:r>
        <w:rPr>
          <w:rtl w:val="true"/>
        </w:rPr>
        <w:t>مقدّمة التحقيق</w:t>
      </w:r>
      <w:bookmarkEnd w:id="1407"/>
    </w:p>
    <w:p>
      <w:pPr>
        <w:pStyle w:val="Heading5"/>
        <w:numPr>
          <w:ilvl w:val="4"/>
          <w:numId w:val="1"/>
        </w:numPr>
        <w:rPr/>
      </w:pPr>
      <w:bookmarkStart w:id="1408" w:name="__RefHeading___Toc8040471_1280447820"/>
      <w:bookmarkStart w:id="1409" w:name="_Toc510"/>
      <w:bookmarkEnd w:id="1408"/>
      <w:r>
        <w:rPr>
          <w:rtl w:val="true"/>
        </w:rPr>
        <w:t>اشارة</w:t>
      </w:r>
      <w:bookmarkEnd w:id="1409"/>
    </w:p>
    <w:p>
      <w:pPr>
        <w:pStyle w:val="BookText"/>
        <w:rPr/>
      </w:pPr>
      <w:r>
        <w:rPr>
          <w:rFonts w:ascii="Amiri" w:hAnsi="Amiri" w:eastAsia="Amiri" w:cs="Amiri"/>
          <w:color w:val="111111"/>
          <w:sz w:val="28"/>
          <w:sz w:val="28"/>
          <w:szCs w:val="28"/>
          <w:rtl w:val="true"/>
          <w:lang w:bidi="ar-SA"/>
        </w:rPr>
        <w:t xml:space="preserve">هذه مسألة أُخرى يبرز فيها رأي الشريف المرتضى حول تسمية أولاد البنت أولاداً حقيقة، و عدم الفرق من هذه الناحية بينهم و بين أولاد الولد الذكر؛ و ذلك لإطلاق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كلّهم؛ و الاستعمال عند الشريف المرتضى علامة الحقيقة</w:t>
      </w:r>
      <w:r>
        <w:rPr>
          <w:rStyle w:val="FootnoteAnchor"/>
          <w:rtl w:val="true"/>
        </w:rPr>
        <w:footnoteReference w:id="3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المسألة تتحدّث عن سؤال وُجّه إليه حول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هل يشمل أولاد البنت، أم يختصّ بأولاد الولد الذكر؟</w:t>
      </w:r>
    </w:p>
    <w:p>
      <w:pPr>
        <w:pStyle w:val="BookText"/>
        <w:rPr/>
      </w:pPr>
      <w:r>
        <w:rPr>
          <w:rFonts w:ascii="Amiri" w:hAnsi="Amiri" w:eastAsia="Amiri" w:cs="Amiri"/>
          <w:color w:val="111111"/>
          <w:sz w:val="28"/>
          <w:sz w:val="28"/>
          <w:szCs w:val="28"/>
          <w:rtl w:val="true"/>
          <w:lang w:bidi="ar-SA"/>
        </w:rPr>
        <w:t xml:space="preserve">فأجاب وفقاً لرأيه المُشار إليه آنفاً بأنّ ولد البنت يدخلون في الوقف كولد الذكر بلا فرق؛ و ذلك لتناول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إذا أَطلق الواقف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خصَّصه بأولاد أولاده الذكور، فسوف يخرج أولاد بناته بسبب هذا التخصيص</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8040473_1280447820"/>
      <w:bookmarkStart w:id="1411" w:name="_Toc511"/>
      <w:bookmarkEnd w:id="1410"/>
      <w:r>
        <w:rPr>
          <w:rtl w:val="true"/>
        </w:rPr>
        <w:t>عنوان الرسالة</w:t>
      </w:r>
      <w:bookmarkEnd w:id="1411"/>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هذه الرسالة في ضمن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تحديد نسبة الأولاد إلى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عنوان عامّ و غير دقيق؛ فإنّ الكلام عن خصوص أولاد البنات، لا مطلق الأولاد، كما أنّ الكلام عن نسبة أولاد البنات إلى </w:t>
      </w:r>
      <w:bookmarkStart w:id="1412" w:name="pg16437_173000"/>
    </w:p>
    <w:p>
      <w:pPr>
        <w:pStyle w:val="BookText"/>
        <w:rPr/>
      </w:pPr>
      <w:bookmarkEnd w:id="1412"/>
      <w:r>
        <w:rPr>
          <w:rFonts w:ascii="Amiri" w:hAnsi="Amiri" w:eastAsia="Amiri" w:cs="Amiri"/>
          <w:color w:val="111111"/>
          <w:sz w:val="28"/>
          <w:sz w:val="28"/>
          <w:szCs w:val="28"/>
          <w:rtl w:val="true"/>
          <w:lang w:bidi="ar-SA"/>
        </w:rPr>
        <w:t>جدّهم من أُمّهم، لا إلى مطلق الآباء كما يظهر من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طبعت الرسالة في ضمن مسائل المرتضى،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على الأولاد يَشمل ولد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عنوان دقيق و معبِّر عن موضوع المسألة، إلّاأنّ الأفضل صياغته بصورة جملة ناقصة، كما هو المتعارف في صياغة العناوين؛ فيكون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شمول الوقف على الأولاد لولد البنت</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8040475_1280447820"/>
      <w:bookmarkStart w:id="1414" w:name="_Toc512"/>
      <w:bookmarkEnd w:id="1413"/>
      <w:r>
        <w:rPr>
          <w:rtl w:val="true"/>
        </w:rPr>
        <w:t>مخطوطات الرسالة</w:t>
      </w:r>
      <w:bookmarkEnd w:id="1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541/14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10005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السيّد حسن الصدر رحمه اللّٰه، المرقّمة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5" w:name="pg16437_173003"/>
      <w:bookmarkStart w:id="1416" w:name="pg16437_173003"/>
      <w:bookmarkEnd w:id="1416"/>
    </w:p>
    <w:p>
      <w:pPr>
        <w:pStyle w:val="Heading4"/>
        <w:numPr>
          <w:ilvl w:val="3"/>
          <w:numId w:val="1"/>
        </w:numPr>
        <w:rPr/>
      </w:pPr>
      <w:bookmarkStart w:id="1417" w:name="pg16437_173003"/>
      <w:bookmarkStart w:id="1418" w:name="__RefHeading___Toc8040477_1280447820"/>
      <w:bookmarkStart w:id="1419" w:name="_Toc513"/>
      <w:bookmarkEnd w:id="1417"/>
      <w:bookmarkEnd w:id="1418"/>
      <w:r>
        <w:rPr>
          <w:rtl w:val="true"/>
        </w:rPr>
        <w:t>مسألةٌ في شُمولِ الوقفِ على الأولادِ لوُلدِ البنتِ‌</w:t>
      </w:r>
      <w:bookmarkEnd w:id="1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فيمَن وَقَفَ علىٰ وُلدِه و وُلدِ وُلدِه ذُكورِهم و إناثِهم بالسويّةِ بَينَهم أبَداً ما تَناسَلوا، فتَزوَّجَت إحدىٰ بَناتِه برجُلٍ‌</w:t>
      </w:r>
      <w:r>
        <w:rPr>
          <w:rStyle w:val="FootnoteAnchor"/>
          <w:rtl w:val="true"/>
        </w:rPr>
        <w:footnoteReference w:id="3492"/>
      </w:r>
      <w:r>
        <w:rPr>
          <w:rFonts w:ascii="Amiri" w:hAnsi="Amiri" w:eastAsia="Amiri" w:cs="Amiri"/>
          <w:color w:val="111111"/>
          <w:sz w:val="28"/>
          <w:sz w:val="28"/>
          <w:szCs w:val="28"/>
          <w:rtl w:val="true"/>
          <w:lang w:bidi="ar-SA"/>
        </w:rPr>
        <w:t>مِن غيرِ الواقفِ‌</w:t>
      </w:r>
      <w:r>
        <w:rPr>
          <w:rStyle w:val="FootnoteAnchor"/>
          <w:rtl w:val="true"/>
        </w:rPr>
        <w:footnoteReference w:id="3493"/>
      </w:r>
      <w:r>
        <w:rPr>
          <w:rFonts w:ascii="Amiri" w:hAnsi="Amiri" w:eastAsia="Amiri" w:cs="Amiri"/>
          <w:color w:val="111111"/>
          <w:sz w:val="28"/>
          <w:sz w:val="28"/>
          <w:szCs w:val="28"/>
          <w:rtl w:val="true"/>
          <w:lang w:bidi="ar-SA"/>
        </w:rPr>
        <w:t>فرُزِقَ ولداً، هَل</w:t>
      </w:r>
      <w:r>
        <w:rPr>
          <w:rStyle w:val="FootnoteAnchor"/>
          <w:rtl w:val="true"/>
        </w:rPr>
        <w:footnoteReference w:id="3494"/>
      </w:r>
      <w:r>
        <w:rPr>
          <w:rFonts w:ascii="Amiri" w:hAnsi="Amiri" w:eastAsia="Amiri" w:cs="Amiri"/>
          <w:color w:val="111111"/>
          <w:sz w:val="28"/>
          <w:sz w:val="28"/>
          <w:szCs w:val="28"/>
          <w:rtl w:val="true"/>
          <w:lang w:bidi="ar-SA"/>
        </w:rPr>
        <w:t>يَستَحِقُّ مِن الوقفِ مِثلَ‌</w:t>
      </w:r>
      <w:r>
        <w:rPr>
          <w:rStyle w:val="FootnoteAnchor"/>
          <w:rtl w:val="true"/>
        </w:rPr>
        <w:footnoteReference w:id="3495"/>
      </w:r>
      <w:r>
        <w:rPr>
          <w:rFonts w:ascii="Amiri" w:hAnsi="Amiri" w:eastAsia="Amiri" w:cs="Amiri"/>
          <w:color w:val="111111"/>
          <w:sz w:val="28"/>
          <w:sz w:val="28"/>
          <w:szCs w:val="28"/>
          <w:rtl w:val="true"/>
          <w:lang w:bidi="ar-SA"/>
        </w:rPr>
        <w:t>ما يَستَحِقُّ أولادُ الرجُلِ‌</w:t>
      </w:r>
      <w:r>
        <w:rPr>
          <w:rStyle w:val="FootnoteAnchor"/>
          <w:rtl w:val="true"/>
        </w:rPr>
        <w:footnoteReference w:id="3496"/>
      </w:r>
      <w:r>
        <w:rPr>
          <w:rFonts w:ascii="Amiri" w:hAnsi="Amiri" w:eastAsia="Amiri" w:cs="Amiri"/>
          <w:color w:val="111111"/>
          <w:sz w:val="28"/>
          <w:sz w:val="28"/>
          <w:szCs w:val="28"/>
          <w:rtl w:val="true"/>
          <w:lang w:bidi="ar-SA"/>
        </w:rPr>
        <w:t>لصُلبِه، بالأدِلّةِ‌</w:t>
      </w:r>
      <w:r>
        <w:rPr>
          <w:rStyle w:val="FootnoteAnchor"/>
          <w:rtl w:val="true"/>
        </w:rPr>
        <w:footnoteReference w:id="3497"/>
      </w:r>
      <w:r>
        <w:rPr>
          <w:rFonts w:ascii="Amiri" w:hAnsi="Amiri" w:eastAsia="Amiri" w:cs="Amiri"/>
          <w:color w:val="111111"/>
          <w:sz w:val="28"/>
          <w:sz w:val="28"/>
          <w:szCs w:val="28"/>
          <w:rtl w:val="true"/>
          <w:lang w:bidi="ar-SA"/>
        </w:rPr>
        <w:t>القائمةِ مِن كتابِ اللّٰهِ تَعالىٰ أنّ وُلدَ البنتِ وُلدُ الصُّلبِ حَقيقةً لا مَجازاً؟ أَفتِنا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أطلَقَ الواقفُ القولَ بأنّ الوقفَ‌</w:t>
      </w:r>
      <w:r>
        <w:rPr>
          <w:rStyle w:val="FootnoteAnchor"/>
          <w:rtl w:val="true"/>
        </w:rPr>
        <w:footnoteReference w:id="3498"/>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دَخَلَ فيهم وُلدُ الأُنثَى</w:t>
      </w:r>
      <w:r>
        <w:rPr>
          <w:rStyle w:val="FootnoteAnchor"/>
          <w:rtl w:val="true"/>
        </w:rPr>
        <w:footnoteReference w:id="3499"/>
      </w:r>
      <w:r>
        <w:rPr>
          <w:rFonts w:ascii="Amiri" w:hAnsi="Amiri" w:eastAsia="Amiri" w:cs="Amiri"/>
          <w:color w:val="111111"/>
          <w:sz w:val="28"/>
          <w:sz w:val="28"/>
          <w:szCs w:val="28"/>
          <w:rtl w:val="true"/>
          <w:lang w:bidi="ar-SA"/>
        </w:rPr>
        <w:t xml:space="preserve">البنتِ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كدخولِ وُلدِ الذَّكَرِ؛ لأنّ الاسمَ يَتناوَلُ الجميعَ علىٰ سَبيلِ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إلّاأن يَستَثنيَ اللفظَ و يُخصِّصَه بما يُخرِجُ منه وُلدَ البنتِ، و إلّافالإطلاقُ يَقتَضي ما تَقدَّمَ ذِكرُه</w:t>
      </w:r>
      <w:r>
        <w:rPr>
          <w:rFonts w:eastAsia="Amiri" w:cs="Amiri" w:ascii="Amiri" w:hAnsi="Amiri"/>
          <w:color w:val="111111"/>
          <w:sz w:val="28"/>
          <w:szCs w:val="28"/>
          <w:rtl w:val="true"/>
          <w:lang w:bidi="ar-SA"/>
        </w:rPr>
        <w:t xml:space="preserve">. </w:t>
      </w:r>
      <w:bookmarkStart w:id="1420" w:name="pg16437_173005"/>
    </w:p>
    <w:p>
      <w:pPr>
        <w:pStyle w:val="Heading3"/>
        <w:numPr>
          <w:ilvl w:val="2"/>
          <w:numId w:val="1"/>
        </w:numPr>
        <w:rPr/>
      </w:pPr>
      <w:bookmarkStart w:id="1421" w:name="__RefHeading___Toc8040479_1280447820"/>
      <w:bookmarkStart w:id="1422" w:name="_Toc514"/>
      <w:bookmarkEnd w:id="1420"/>
      <w:bookmarkEnd w:id="1421"/>
      <w:r>
        <w:rPr>
          <w:rtl w:val="true"/>
        </w:rPr>
        <w:t>(</w:t>
      </w:r>
      <w:r>
        <w:rPr/>
        <w:t>96</w:t>
      </w:r>
      <w:r>
        <w:rPr>
          <w:rtl w:val="true"/>
        </w:rPr>
        <w:t xml:space="preserve">) </w:t>
      </w:r>
      <w:r>
        <w:rPr>
          <w:rtl w:val="true"/>
        </w:rPr>
        <w:t>مسألةٌ في حُكمِ التصدُّقِ بالمالِ الحَرامِ‌</w:t>
      </w:r>
      <w:bookmarkEnd w:id="1422"/>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3" w:name="__RefHeading___Toc8040481_1280447820"/>
      <w:bookmarkStart w:id="1424" w:name="_Toc515"/>
      <w:bookmarkEnd w:id="1423"/>
      <w:r>
        <w:rPr>
          <w:rtl w:val="true"/>
        </w:rPr>
        <w:t>اشارة</w:t>
      </w:r>
      <w:bookmarkEnd w:id="1424"/>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5" w:name="pg16437_173007"/>
      <w:bookmarkStart w:id="1426" w:name="pg16437_173007"/>
      <w:bookmarkEnd w:id="1426"/>
    </w:p>
    <w:p>
      <w:pPr>
        <w:pStyle w:val="Heading4"/>
        <w:numPr>
          <w:ilvl w:val="3"/>
          <w:numId w:val="1"/>
        </w:numPr>
        <w:rPr/>
      </w:pPr>
      <w:bookmarkStart w:id="1427" w:name="pg16437_173007"/>
      <w:bookmarkStart w:id="1428" w:name="__RefHeading___Toc8040483_1280447820"/>
      <w:bookmarkStart w:id="1429" w:name="_Toc516"/>
      <w:bookmarkEnd w:id="1427"/>
      <w:bookmarkEnd w:id="1428"/>
      <w:r>
        <w:rPr>
          <w:rtl w:val="true"/>
        </w:rPr>
        <w:t>مقدّمة التحقيق</w:t>
      </w:r>
      <w:bookmarkEnd w:id="1429"/>
    </w:p>
    <w:p>
      <w:pPr>
        <w:pStyle w:val="Heading5"/>
        <w:numPr>
          <w:ilvl w:val="4"/>
          <w:numId w:val="1"/>
        </w:numPr>
        <w:rPr/>
      </w:pPr>
      <w:bookmarkStart w:id="1430" w:name="__RefHeading___Toc8040485_1280447820"/>
      <w:bookmarkStart w:id="1431" w:name="_Toc517"/>
      <w:bookmarkEnd w:id="1430"/>
      <w:r>
        <w:rPr>
          <w:rtl w:val="true"/>
        </w:rPr>
        <w:t>اشارة</w:t>
      </w:r>
      <w:bookmarkEnd w:id="1431"/>
    </w:p>
    <w:p>
      <w:pPr>
        <w:pStyle w:val="BookText"/>
        <w:rPr/>
      </w:pPr>
      <w:r>
        <w:rPr>
          <w:rFonts w:ascii="Amiri" w:hAnsi="Amiri" w:eastAsia="Amiri" w:cs="Amiri"/>
          <w:color w:val="111111"/>
          <w:sz w:val="28"/>
          <w:sz w:val="28"/>
          <w:szCs w:val="28"/>
          <w:rtl w:val="true"/>
          <w:lang w:bidi="ar-SA"/>
        </w:rPr>
        <w:t>يُعدّ المال في الشريعة الإسلاميّة من الأُمور المهمّة جداً التي ينبغي الحفاظ عليها، فحُرمة الأموال محفوظة في الإسلام، و لا يجوز التعدّي عليها بأيّ وجه من الوجوه، و قد ضمنت الشريعة الحفاظ على أموال الناس بأساليب مختلفة، و فرضت عقوبات في حال التعدّي على أموال الآخرين، بلغت أحياناً إلى حدّ قطع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منعت من أداء العبادات بواسطة أموال محرّمة و مغصوبة، و من تلك العبادات الصدقة، فقد منعت الشريعة من التصدّق بأموال محرّمة، حيث روي عن الإمام أبي عبد اللّٰه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تَيَمَّمُوا اَلْخَبِيثَ مِنْهُ تُنْفِقُونَ</w:t>
      </w:r>
      <w:r>
        <w:rPr>
          <w:rFonts w:eastAsia="Amiri" w:cs="Amiri" w:ascii="Amiri" w:hAnsi="Amiri"/>
          <w:color w:val="111111"/>
          <w:sz w:val="28"/>
          <w:szCs w:val="28"/>
          <w:rtl w:val="true"/>
          <w:lang w:bidi="ar-SA"/>
        </w:rPr>
        <w:t xml:space="preserve">» </w:t>
      </w:r>
      <w:r>
        <w:rPr>
          <w:rStyle w:val="FootnoteAnchor"/>
          <w:rtl w:val="true"/>
        </w:rPr>
        <w:footnoteReference w:id="3500"/>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Style w:val="FootnoteAnchor"/>
          <w:rtl w:val="true"/>
        </w:rPr>
        <w:footnoteReference w:id="3501"/>
      </w:r>
      <w:r>
        <w:rPr>
          <w:rFonts w:ascii="Amiri" w:hAnsi="Amiri" w:eastAsia="Amiri" w:cs="Amiri"/>
          <w:color w:val="111111"/>
          <w:sz w:val="28"/>
          <w:sz w:val="28"/>
          <w:szCs w:val="28"/>
          <w:rtl w:val="true"/>
          <w:lang w:bidi="ar-SA"/>
        </w:rPr>
        <w:t>أنها نزلت في أقوام لهم أموال من ربا الجاهلية، و كانوا يتصدّقون منها، فنهاهم اللّٰه عن ذلك، و أمَرَ بالصدقة من الحلال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الشريف المرتضى في هذه الرسالة عن حكم التصدّق من مال محرّم، فأجاب بالنفي؛ باعتبار أنّ الحرام غير مملوك للمتصدّق، فيكون تصدُّقه به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طبّق الشريف المرتضى هنا ضوابط فقهيّة واضحة، و هي أنّ مَن لا يملك المال لا يصح أن يتقرّب إلى اللّٰه تعالى</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من غُلول</w:t>
      </w:r>
      <w:r>
        <w:rPr>
          <w:rFonts w:eastAsia="Amiri" w:cs="Amiri" w:ascii="Amiri" w:hAnsi="Amiri"/>
          <w:color w:val="111111"/>
          <w:sz w:val="28"/>
          <w:szCs w:val="28"/>
          <w:rtl w:val="true"/>
          <w:lang w:bidi="ar-SA"/>
        </w:rPr>
        <w:t>»</w:t>
      </w:r>
      <w:r>
        <w:rPr>
          <w:rStyle w:val="FootnoteAnchor"/>
          <w:rtl w:val="true"/>
        </w:rPr>
        <w:footnoteReference w:id="3502"/>
      </w:r>
      <w:r>
        <w:rPr>
          <w:rFonts w:ascii="Amiri" w:hAnsi="Amiri" w:eastAsia="Amiri" w:cs="Amiri"/>
          <w:color w:val="111111"/>
          <w:sz w:val="28"/>
          <w:sz w:val="28"/>
          <w:szCs w:val="28"/>
          <w:rtl w:val="true"/>
          <w:lang w:bidi="ar-SA"/>
        </w:rPr>
        <w:t>، و يبدو أنّ هذا الخبر حسب رأيه من أخبار الآحاد، و لذلك جاء به متأخّراً للاستشهاد به</w:t>
      </w:r>
      <w:r>
        <w:rPr>
          <w:rFonts w:eastAsia="Amiri" w:cs="Amiri" w:ascii="Amiri" w:hAnsi="Amiri"/>
          <w:color w:val="111111"/>
          <w:sz w:val="28"/>
          <w:szCs w:val="28"/>
          <w:rtl w:val="true"/>
          <w:lang w:bidi="ar-SA"/>
        </w:rPr>
        <w:t xml:space="preserve">. </w:t>
      </w:r>
      <w:bookmarkStart w:id="1432" w:name="pg16437_173008"/>
    </w:p>
    <w:p>
      <w:pPr>
        <w:pStyle w:val="BookText"/>
        <w:rPr/>
      </w:pPr>
      <w:bookmarkEnd w:id="1432"/>
      <w:r>
        <w:rPr>
          <w:rFonts w:ascii="Amiri" w:hAnsi="Amiri" w:eastAsia="Amiri" w:cs="Amiri"/>
          <w:color w:val="111111"/>
          <w:sz w:val="28"/>
          <w:sz w:val="28"/>
          <w:szCs w:val="28"/>
          <w:rtl w:val="true"/>
          <w:lang w:bidi="ar-SA"/>
        </w:rPr>
        <w:t>و بعد ذلك ردّ على كلام البعض من أنّ ثواب التصدّق من مال الغير يرجع إلى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رفض الشريف المرتضى هذا القول، و ذهب إلى أنّ الثواب في هذه الصورة لا يرجع إلى أحد، لا إلى المتصدّق؛ لأنّه لا يملك المال، و لا إلى صاحب المال؛ لأنّه غير راضٍ بالتصرّف في ماله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أنّه افترض عدم رضا صاحب المال بالتصدّق من ماله، و لذلك لم يفصّل بين حالة ما لو أجاز صاحبُ المال الصدقة، أو لم يُجزها،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مجموعة رسائل تحمل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w:t>
      </w:r>
    </w:p>
    <w:p>
      <w:pPr>
        <w:pStyle w:val="Heading5"/>
        <w:numPr>
          <w:ilvl w:val="4"/>
          <w:numId w:val="1"/>
        </w:numPr>
        <w:rPr/>
      </w:pPr>
      <w:bookmarkStart w:id="1433" w:name="__RefHeading___Toc8040487_1280447820"/>
      <w:bookmarkStart w:id="1434" w:name="_Toc518"/>
      <w:bookmarkEnd w:id="1433"/>
      <w:r>
        <w:rPr>
          <w:rtl w:val="true"/>
        </w:rPr>
        <w:t>مخطوطات الرسالة</w:t>
      </w:r>
      <w:bookmarkEnd w:id="14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المحقّق البروجردي رحمه اللّٰه، المرقّمة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1435" w:name="pg16437_173009"/>
    </w:p>
    <w:p>
      <w:pPr>
        <w:pStyle w:val="Heading4"/>
        <w:numPr>
          <w:ilvl w:val="3"/>
          <w:numId w:val="1"/>
        </w:numPr>
        <w:rPr/>
      </w:pPr>
      <w:bookmarkStart w:id="1436" w:name="__RefHeading___Toc8040489_1280447820"/>
      <w:bookmarkStart w:id="1437" w:name="_Toc519"/>
      <w:bookmarkEnd w:id="1435"/>
      <w:bookmarkEnd w:id="1436"/>
      <w:r>
        <w:rPr>
          <w:rtl w:val="true"/>
        </w:rPr>
        <w:t>مسألةٌ في حُكمِ التصدُّقِ بالمالِ الحَرامِ‌</w:t>
      </w:r>
      <w:bookmarkEnd w:id="1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القولُ في رجُلٍ تَصدَّقَ مِن مالٍ محظورٍ؟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الحَرامَ غيرُ مملوكٍ لِمَن هو في يَدِه، فتَصدُّقُه به</w:t>
      </w:r>
      <w:r>
        <w:rPr>
          <w:rStyle w:val="FootnoteAnchor"/>
          <w:rtl w:val="true"/>
        </w:rPr>
        <w:footnoteReference w:id="3503"/>
      </w:r>
      <w:r>
        <w:rPr>
          <w:rFonts w:ascii="Amiri" w:hAnsi="Amiri" w:eastAsia="Amiri" w:cs="Amiri"/>
          <w:color w:val="111111"/>
          <w:sz w:val="28"/>
          <w:sz w:val="28"/>
          <w:szCs w:val="28"/>
          <w:rtl w:val="true"/>
          <w:lang w:bidi="ar-SA"/>
        </w:rPr>
        <w:t>غيرُ مقبولٍ و لا مبرورٍ؛ و قد 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مِن غُلولٍ‌</w:t>
      </w:r>
      <w:r>
        <w:rPr>
          <w:rStyle w:val="FootnoteAnchor"/>
          <w:rtl w:val="true"/>
        </w:rPr>
        <w:footnoteReference w:id="3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زيد بن عليّ،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دعائم الإسلام،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 xml:space="preserve">، مسند أحمد،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سنن الدارمي،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صحيح مسلم،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Style w:val="FootnoteAnchor"/>
          <w:rtl w:val="true"/>
        </w:rPr>
        <w:footnoteReference w:id="35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قالَ مِن الجُهّالِ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تَصدَّقَ مِن مالٍ في يَدِه، و المالكُ له غيرُه، فإنّ الثوابَ لِمالكِ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فغالِطٌ لا مَحالةَ‌</w:t>
      </w:r>
      <w:r>
        <w:rPr>
          <w:rStyle w:val="FootnoteAnchor"/>
          <w:rtl w:val="true"/>
        </w:rPr>
        <w:footnoteReference w:id="3506"/>
      </w:r>
      <w:r>
        <w:rPr>
          <w:rFonts w:ascii="Amiri" w:hAnsi="Amiri" w:eastAsia="Amiri" w:cs="Amiri"/>
          <w:color w:val="111111"/>
          <w:sz w:val="28"/>
          <w:sz w:val="28"/>
          <w:szCs w:val="28"/>
          <w:rtl w:val="true"/>
          <w:lang w:bidi="ar-SA"/>
        </w:rPr>
        <w:t>لأنّ هذه الصدقةَ لا أجرَ عليها للمُتصدِّقِ؛ لأنّه لا يَملِكُ المالَ، و لا لِمالكِ المالِ؛ لأنّه لَم يَرضَ بكَونِ‌</w:t>
      </w:r>
      <w:r>
        <w:rPr>
          <w:rStyle w:val="FootnoteAnchor"/>
          <w:rtl w:val="true"/>
        </w:rPr>
        <w:footnoteReference w:id="3507"/>
      </w:r>
      <w:r>
        <w:rPr>
          <w:rFonts w:ascii="Amiri" w:hAnsi="Amiri" w:eastAsia="Amiri" w:cs="Amiri"/>
          <w:color w:val="111111"/>
          <w:sz w:val="28"/>
          <w:sz w:val="28"/>
          <w:szCs w:val="28"/>
          <w:rtl w:val="true"/>
          <w:lang w:bidi="ar-SA"/>
        </w:rPr>
        <w:t>هذا المالِ صدقةً، و لا أرادَ إخراجَه فيها؛ لكِنَّها صدقةٌ لا أجرَ لأحَدٍ عليها</w:t>
      </w:r>
      <w:r>
        <w:rPr>
          <w:rFonts w:eastAsia="Amiri" w:cs="Amiri" w:ascii="Amiri" w:hAnsi="Amiri"/>
          <w:color w:val="111111"/>
          <w:sz w:val="28"/>
          <w:szCs w:val="28"/>
          <w:rtl w:val="true"/>
          <w:lang w:bidi="ar-SA"/>
        </w:rPr>
        <w:t xml:space="preserve">.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8" w:name="pg16437_173011"/>
      <w:bookmarkStart w:id="1439" w:name="pg16437_173011"/>
      <w:bookmarkEnd w:id="1439"/>
    </w:p>
    <w:p>
      <w:pPr>
        <w:pStyle w:val="Heading3"/>
        <w:numPr>
          <w:ilvl w:val="2"/>
          <w:numId w:val="1"/>
        </w:numPr>
        <w:rPr/>
      </w:pPr>
      <w:bookmarkStart w:id="1440" w:name="pg16437_173011"/>
      <w:bookmarkStart w:id="1441" w:name="__RefHeading___Toc8040491_1280447820"/>
      <w:bookmarkStart w:id="1442" w:name="_Toc520"/>
      <w:bookmarkEnd w:id="1440"/>
      <w:bookmarkEnd w:id="1441"/>
      <w:r>
        <w:rPr>
          <w:rtl w:val="true"/>
        </w:rPr>
        <w:t>(</w:t>
      </w:r>
      <w:r>
        <w:rPr/>
        <w:t>97</w:t>
      </w:r>
      <w:r>
        <w:rPr>
          <w:rtl w:val="true"/>
        </w:rPr>
        <w:t xml:space="preserve">) </w:t>
      </w:r>
      <w:r>
        <w:rPr>
          <w:rtl w:val="true"/>
        </w:rPr>
        <w:t>مسألةٌ في العَمَلِ معَ السُّلطانِ‌</w:t>
      </w:r>
      <w:bookmarkEnd w:id="1442"/>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3" w:name="__RefHeading___Toc8040493_1280447820"/>
      <w:bookmarkStart w:id="1444" w:name="_Toc521"/>
      <w:bookmarkEnd w:id="1443"/>
      <w:r>
        <w:rPr>
          <w:rtl w:val="true"/>
        </w:rPr>
        <w:t>اشارة</w:t>
      </w:r>
      <w:bookmarkEnd w:id="1444"/>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5" w:name="pg16437_173013"/>
      <w:bookmarkStart w:id="1446" w:name="pg16437_173013"/>
      <w:bookmarkEnd w:id="1446"/>
    </w:p>
    <w:p>
      <w:pPr>
        <w:pStyle w:val="Heading4"/>
        <w:numPr>
          <w:ilvl w:val="3"/>
          <w:numId w:val="1"/>
        </w:numPr>
        <w:rPr/>
      </w:pPr>
      <w:bookmarkStart w:id="1447" w:name="pg16437_173013"/>
      <w:bookmarkStart w:id="1448" w:name="__RefHeading___Toc8040495_1280447820"/>
      <w:bookmarkStart w:id="1449" w:name="_Toc522"/>
      <w:bookmarkEnd w:id="1447"/>
      <w:bookmarkEnd w:id="1448"/>
      <w:r>
        <w:rPr>
          <w:rtl w:val="true"/>
        </w:rPr>
        <w:t>مقدّمة التحقيق</w:t>
      </w:r>
      <w:bookmarkEnd w:id="1449"/>
    </w:p>
    <w:p>
      <w:pPr>
        <w:pStyle w:val="Heading5"/>
        <w:numPr>
          <w:ilvl w:val="4"/>
          <w:numId w:val="1"/>
        </w:numPr>
        <w:rPr/>
      </w:pPr>
      <w:bookmarkStart w:id="1450" w:name="__RefHeading___Toc8040497_1280447820"/>
      <w:bookmarkStart w:id="1451" w:name="_Toc523"/>
      <w:bookmarkEnd w:id="1450"/>
      <w:r>
        <w:rPr>
          <w:rtl w:val="true"/>
        </w:rPr>
        <w:t>اشارة</w:t>
      </w:r>
      <w:bookmarkEnd w:id="1451"/>
    </w:p>
    <w:p>
      <w:pPr>
        <w:pStyle w:val="BookText"/>
        <w:rPr/>
      </w:pPr>
      <w:r>
        <w:rPr>
          <w:rFonts w:ascii="Amiri" w:hAnsi="Amiri" w:eastAsia="Amiri" w:cs="Amiri"/>
          <w:color w:val="111111"/>
          <w:sz w:val="28"/>
          <w:sz w:val="28"/>
          <w:szCs w:val="28"/>
          <w:rtl w:val="true"/>
          <w:lang w:bidi="ar-SA"/>
        </w:rPr>
        <w:t>تعتبر هذه الرسالة من الرسائل المهمّة في تاريخ الدراسات السياسيّة، و التي ينبغي إعطاؤها أهمّيّة خاصّة</w:t>
      </w:r>
      <w:r>
        <w:rPr>
          <w:rStyle w:val="FootnoteAnchor"/>
          <w:rtl w:val="true"/>
        </w:rPr>
        <w:footnoteReference w:id="3508"/>
      </w:r>
      <w:r>
        <w:rPr>
          <w:rFonts w:ascii="Amiri" w:hAnsi="Amiri" w:eastAsia="Amiri" w:cs="Amiri"/>
          <w:color w:val="111111"/>
          <w:sz w:val="28"/>
          <w:sz w:val="28"/>
          <w:szCs w:val="28"/>
          <w:rtl w:val="true"/>
          <w:lang w:bidi="ar-SA"/>
        </w:rPr>
        <w:t>، فهي تعرض لنا نظريّة واحد من كبار علماء الإماميّة في القرنين الرابع و الخامس حول شرعيّة التعامل مع الأنظمة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الإماميّة ينظرون دائماً إلى الحكومات المتعاقبة على أنّها حكومات جائرة و غاصبة، و لكن بمرور الزمن أخذ بعض الشيعة بتولّي بعض الأُمور لحكّام الجور، حتّى وصل الأمر أحياناً إلى تولّي 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زاد من وتيرة ارتباط الشيعة مع الحكومات وصولُ آل بويه الشيعة إلى سدّة الحكم؛ فانخرط بعض الشيعة في جهاز حكمهم، و منهم الوزير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غدا وزيراً للملك البويهي مشرّف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هذا فَرَض على المنظِّرين و أصحاب الفكر من علماء الإماميّة أن يبيّنوا رأيهم حول شرعيّة التولّي للحكّام في مثل هذه الحكومات</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تركّز البحث في هذه الرسالة على مسألة الولاية من قِبَل السلطان الظالم، </w:t>
      </w:r>
    </w:p>
    <w:p>
      <w:pPr>
        <w:pStyle w:val="BookText"/>
        <w:rPr/>
      </w:pPr>
      <w:r>
        <w:rPr>
          <w:rFonts w:ascii="Amiri" w:hAnsi="Amiri" w:eastAsia="Amiri" w:cs="Amiri"/>
          <w:color w:val="111111"/>
          <w:sz w:val="28"/>
          <w:sz w:val="28"/>
          <w:szCs w:val="28"/>
          <w:rtl w:val="true"/>
          <w:lang w:bidi="ar-SA"/>
        </w:rPr>
        <w:t>باعتبار أنّ الولاية من قِبَل السلطان العادل لا كلام في جوازها؛ بل قد تصبح واجبة أحياناً فيما لو أوجبها ذلك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الولاية من قِبَل السلطان الجائر، فلم يجعل لها الشريف المرتضى حكماً واحداً، و لم يحكم عليها بالجواز أو الحرمة بصورة مطلقة، و إنّما قسّمها من حيث الحكم الشرعيّ إلى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مباح، و 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الواجب، فهو أن يَعلم المتولّي أنّه يتمكّن من خلال ولايته إقامة حقّ، أو دفع باطل، و أمر بمعروف، و نهي عن منكر، بحيث لولاه لمَا أمكنه تحقيق ذلك، فتجب الولاية من باب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يصل الأمر أحياناً إلىٰ حدّ الإلجاء، كما لوخاف من سفك دمه لو لم يَتولَّ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المباح، فهو أن يخاف على مال له، أو مكروه يصيبه يُتحمّل مثله، و ذلك في حالِ ما إذا لم يتولَّ، ففي هذه الحالة يباح له التولّي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المحظور، فلم يتعرّض له في بداية الرسالة بصورة صريحة، و إنّما تعرّض له في خلال بحوث الرسالة، و ربما قد يعود ذلك إلى وضوح مصاديقه، مثل أن يؤدّي التولّي إلى الخوض في دماء الأبرياء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انتهى من بيان أقسام و أشكال التولّي للحاكم الجائر، أخذ بطرح مجموعة من البحوث و التساؤلات التي قد تثار حول هذا الموضوع الشائك و المثير للجدل، نستعرضها باختصار من خلال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اعتبر الشريف المرتضى أنّ قبحَ التولّي للسلطان الجائر قبحٌ شرعي لا عقلي، و مرتبط بحدود ما يعيّنه الشرع، و أنّ التولّي للسلطان الجائر إن كان قبيحاً، فهو ليس لأجل كونه ولاية من قِبَل الجائر، و إلّالَما أباحها الشارع في بعض الصور، بل لأمر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خلاف قبح الكذب مثلاً، فإنّ قبح الكذب عقليٌّ، و من خلاله علمنا وجه قبح الكذب، و هو كونه كذباً فقط لا لأمر زائد، و لذلك لا يخرج الكذب عن كونه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نقطة مهمّة جدّاً، و هي أنّ الحسن و القبح قد يكونان عقليّين، أو شرعيّين، و ذلك فيما لو لم يدرك العقل حسن و قبح الشيء، فإن كانا شرعيّين صارا تابعين للشارع، فإن حظر الشارع شيئاً ممّا لا يدرك العقل قبحه علمنا أنّه قبيح، و إن أجازه علمنا خروجه من دائرة القبح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الشريف المرتضى عن حقيقة التولّي للجائر في حال جوازه، بأنّه ليس في الحقيقة إلّاتولّياً من قِبَل أئمّة الحقّ في الباطن؛ لأنّهم هم الذين أذنوا بالتولّي للجائر في بعض الظروف، فالوالي في الحقيقة والٍ لهم، و متصرّف بأمرهم، و ليس والياً من قِبَل الجائر إلّابحسب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نقطة مهمّة أيضاً توضح وجه شرعيّة ما يقوم به المتولّي من قِبَل الجائر لإقامة الحدود و قطع السرّاق مثلاً، فهو في الحقيقة لا يقوم بذلك إلّابتخويل من أئمّة الحقّ الذين أذنوا له بالقيام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التولّي للجائر و إن استلزم تعظيم الحاكم الجائر و إظهار فرض طاعته، إلّاأنّه غير خاصّ بالمتولّي، بل هو شامل لكلّ رعايا السلطان، فإنّ على الجميع أن يقدّموا له فروض الطاعة و الولاء للتقيّة و الخوف، و ليس الأمر خاصّاً بالمتولّي لأعمال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لا يرد إشكال على المتولّي للجائر من هذه الناحية، خاصّة و أنّه يتمكّن من خلال تولّيه أن يأمر بمعروف أو ينهى عن 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لازم التولّي أن يقوم المتولّي بأعمال قبيحة، بحيث لولا الولاية لم يفعل تلك الأعمال، فحينئذٍ تصبح الولاية قبيحة، و لا يجوز له أن يدخل فيها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يجوز للمتولّي قتل النفوس المحرّمة و البريئة و إن أكره على ذلك كما هو واضح؛ فإنّ الإكراه لا حكم له في الدماء، و لا مجال للتقيّة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النقطة تعرّض الشريف المرتضى إلى مسألة مهمّة أُخرى، و هي مسألة جواز سفك الدماء و القتال للحفاظ على المنصب الذي تولّاه المتولّي للجائر، فهل</w:t>
      </w:r>
    </w:p>
    <w:p>
      <w:pPr>
        <w:pStyle w:val="BookText"/>
        <w:rPr/>
      </w:pPr>
      <w:r>
        <w:rPr>
          <w:rFonts w:ascii="Amiri" w:hAnsi="Amiri" w:eastAsia="Amiri" w:cs="Amiri"/>
          <w:color w:val="111111"/>
          <w:sz w:val="28"/>
          <w:sz w:val="28"/>
          <w:szCs w:val="28"/>
          <w:rtl w:val="true"/>
          <w:lang w:bidi="ar-SA"/>
        </w:rPr>
        <w:t>يجوز لهذا المتولّي أن يقاتل الآخرين للحفاظ على منصبه؟</w:t>
      </w:r>
    </w:p>
    <w:p>
      <w:pPr>
        <w:pStyle w:val="BookText"/>
        <w:rPr/>
      </w:pPr>
      <w:r>
        <w:rPr>
          <w:rFonts w:ascii="Amiri" w:hAnsi="Amiri" w:eastAsia="Amiri" w:cs="Amiri"/>
          <w:color w:val="111111"/>
          <w:sz w:val="28"/>
          <w:sz w:val="28"/>
          <w:szCs w:val="28"/>
          <w:rtl w:val="true"/>
          <w:lang w:bidi="ar-SA"/>
        </w:rPr>
        <w:t>أجاب الشريف المرتضى بالإيجاب؛ فهذه الولاية إذا كانت حسنة أو واجبة أحياناً، و قد تقدّم أنّها في الحقيقة ولاية من قِبَل إمام الحقّ و صاحب الأمر، فيكون حكم من مَنع منها و عارضها، حكم من منع من ولاية مَن ينصبه الإمام العادل، في جواز دفعه بالقتل و القتال، و غير ذلك من وجوه الدفع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أن انتهى الشريف المرتضى من البحث عن شرعيّة التولّي للظالم من حيث النظريّة و مرحلة الثبوت، أخذ يبحث عن المسألة من حيث الظاهر و مرحلة الإثبات، و هو أنّه كيف يمكن التعرّف على أنّ مَن تولّى أمراً للظالم أنّه قد تولّاه لأجل إقامة الحقّ و الأمر بالمعروف و النهي عن المنكر، لا لأجل الوصول إلى مصالح دنيويّة و ماديّة شخصيّة؟</w:t>
      </w:r>
    </w:p>
    <w:p>
      <w:pPr>
        <w:pStyle w:val="BookText"/>
        <w:rPr/>
      </w:pPr>
      <w:r>
        <w:rPr>
          <w:rFonts w:ascii="Amiri" w:hAnsi="Amiri" w:eastAsia="Amiri" w:cs="Amiri"/>
          <w:color w:val="111111"/>
          <w:sz w:val="28"/>
          <w:sz w:val="28"/>
          <w:szCs w:val="28"/>
          <w:rtl w:val="true"/>
          <w:lang w:bidi="ar-SA"/>
        </w:rPr>
        <w:t>أجاب بأنّ طريقة ذلك أن نجد مَن يعتقد مذهب الحقّ قد تولّى باختياره أمراً من أُمور الظالم، فنعلم أنّه لم يتولَّ ذلك إلّالأمر صحيح و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شككنا في ذلك، باعتبار أنّ الكثيرين ممّن يعتقدون مذهب الحقّ قد يعصون، و لا يعيرون أهمّيّة للشرع، ففي هذه الحالة يجب أن نشاهد الحالة العامّة لذلك الشخص المتولّي، فإن كان معروفاً بالصلاح و الورع و الإيمان، و رأيناه تولّى مختاراً أمراً من أُمور السلطان الظالم، علمنا أنّه لم يفعل ذلك إلّالأمر شرعي، و إن كان معروفاً بالفسق و ارتكاب المعاصي، فحينئذٍ يغلب الظنّ بأنّه لم يتولَّ ذلك الأمر إلّا لأهداف دنيويّة، فيجب دفعه و منازعته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تساوت القرائن و الأمارات، وجب الكفّ عنه؛ لأنّ منازعته قد تؤدّي إلى الوقوع في القبيح، و كلّ ما لا يؤمَن فيه وجه القبح يجب الكفّ عنه</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هدف المتولّي للجائر الجمع بين الأمر بالمعروف و النهي عن المنكر، و بين الوصول إلى بعض المصالح الماديّة، فحينئذٍ إذا كان هدفه الرئيسي هو الأوّل </w:t>
      </w:r>
    </w:p>
    <w:p>
      <w:pPr>
        <w:pStyle w:val="BookText"/>
        <w:rPr/>
      </w:pPr>
      <w:r>
        <w:rPr>
          <w:rFonts w:ascii="Amiri" w:hAnsi="Amiri" w:eastAsia="Amiri" w:cs="Amiri"/>
          <w:color w:val="111111"/>
          <w:sz w:val="28"/>
          <w:sz w:val="28"/>
          <w:szCs w:val="28"/>
          <w:rtl w:val="true"/>
          <w:lang w:bidi="ar-SA"/>
        </w:rPr>
        <w:t>حسنت الولاية، و إن توصّل في الأثناء إلى بعض المصالح الشخصيّة، و إن كان الثاني كانت ولايته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طريقة تحديد أنّ هدفه الرئيسي هو الأوّل أو الثاني هو أن نعلم بأنّه لولا ذلك الهدف لَما أقدم على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نهاية الرسالة تعرّض إلى تأويل حديث وارد عن الإمام جعفر الصادق عليه السلامُ،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العمل مع السلطان قضاء حاجات الإخوان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التعبير بالكفّارة يناسب وجود معصية تستوجب التكفير عنها، فيكون العمل مع السلطان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بذكر تأويلين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المراد أنّ قضاء حاجة الإخوان يُخرج الولاية للجائر من القبح إلى الحسن، كما أنّ الكفّارة تُسقِط اللوم عن مرتكب المعصية، فبدلاً من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حوائج الإخوان يُدخِل الولاية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تكون كفّارة لها، و ذلك من باب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المراد أنّ من تولّى للظالم من دون أن يريد من ولايته إقامة الحقّ و دفع الباطل؛ فإنّ عمله يكون قبيحاً و باطلاً، فإن قضى حوائج الإخوان سقط عقاب تلك الولاية، فصار كفّارة لعمله</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ذكره الشرف المرتضى في هذه الرسالة يدلّ على دقّة متناهية و حذر شديد في استعمال العبارات، مع شجاعة في إبداء الرأي؛ فهو لم يقل إنّ كلّ من كان معتقداً للحقّ يكون تولّيه للظالم أمراً شرعيّاً، حتّى يسيء بعض المتسلّطين من آل بويه استعمال هذه الفتوى لتبرير سلطانهم، و إنّما اشترط أن يكون هذا التولّي بهدف إقامة الحقّ و الأمر بالمعروف و النهي عن المنكر، و أن لا يكون الهدف الرئيسي الحصول </w:t>
      </w:r>
      <w:bookmarkStart w:id="1452" w:name="pg16437_173018"/>
    </w:p>
    <w:p>
      <w:pPr>
        <w:pStyle w:val="BookText"/>
        <w:rPr/>
      </w:pPr>
      <w:bookmarkEnd w:id="1452"/>
      <w:r>
        <w:rPr>
          <w:rFonts w:ascii="Amiri" w:hAnsi="Amiri" w:eastAsia="Amiri" w:cs="Amiri"/>
          <w:color w:val="111111"/>
          <w:sz w:val="28"/>
          <w:sz w:val="28"/>
          <w:szCs w:val="28"/>
          <w:rtl w:val="true"/>
          <w:lang w:bidi="ar-SA"/>
        </w:rPr>
        <w:t>على مصالح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يجوّز القتال و الدفاع عن هذه الولاية لكلّ من تولّاها من معتقدي الحقّ، و إنّما اشترط في جواز ذلك أن تكون ولايته حسنة و شرعيّة وفقاً للشروط المتقدّمة، و بذلك لا يمكن تبرير ولاية جميع ملوك آل بويه، و لا الحروب التي خاضوها للدفاع عن سلطانهم، و إنّما سوف يشمل كلام الشريف المرتضى بعض المتولّين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جاءت هذه الرسالة نتيجة بحثٍ جرى في مجلس الوزير المغربي في جمادى الآخرة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دار البحث حول شرعيّة الولاية من قِبَل الظلمة، فقام الشريف المرتضى بتأليف هذه الرسالة لإيضاح رؤيته حول المسألة</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8040499_1280447820"/>
      <w:bookmarkStart w:id="1454" w:name="_Toc524"/>
      <w:bookmarkEnd w:id="1453"/>
      <w:r>
        <w:rPr>
          <w:rtl w:val="true"/>
        </w:rPr>
        <w:t>عنوان الرسالة</w:t>
      </w:r>
      <w:bookmarkEnd w:id="1454"/>
    </w:p>
    <w:p>
      <w:pPr>
        <w:pStyle w:val="BookText"/>
        <w:rPr/>
      </w:pPr>
      <w:r>
        <w:rPr>
          <w:rFonts w:ascii="Amiri" w:hAnsi="Amiri" w:eastAsia="Amiri" w:cs="Amiri"/>
          <w:color w:val="111111"/>
          <w:sz w:val="28"/>
          <w:sz w:val="28"/>
          <w:szCs w:val="28"/>
          <w:rtl w:val="true"/>
          <w:lang w:bidi="ar-SA"/>
        </w:rPr>
        <w:t xml:space="preserve">ذكر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للشريف المرتضى 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في الولاية من قِبَل السلطان</w:t>
      </w:r>
      <w:r>
        <w:rPr>
          <w:rFonts w:eastAsia="Amiri" w:cs="Amiri" w:ascii="Amiri" w:hAnsi="Amiri"/>
          <w:color w:val="111111"/>
          <w:sz w:val="28"/>
          <w:szCs w:val="28"/>
          <w:rtl w:val="true"/>
          <w:lang w:bidi="ar-SA"/>
        </w:rPr>
        <w:t>»</w:t>
      </w:r>
      <w:r>
        <w:rPr>
          <w:rStyle w:val="FootnoteAnchor"/>
          <w:rtl w:val="true"/>
        </w:rPr>
        <w:footnoteReference w:id="3510"/>
      </w:r>
      <w:r>
        <w:rPr>
          <w:rFonts w:ascii="Amiri" w:hAnsi="Amiri" w:eastAsia="Amiri" w:cs="Amiri"/>
          <w:color w:val="111111"/>
          <w:sz w:val="28"/>
          <w:sz w:val="28"/>
          <w:szCs w:val="28"/>
          <w:rtl w:val="true"/>
          <w:lang w:bidi="ar-SA"/>
        </w:rPr>
        <w:t xml:space="preserve">، فيما أشار البُصروي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جواز الولاية من جهة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في الولاية من قِبَل الظالمين</w:t>
      </w:r>
      <w:r>
        <w:rPr>
          <w:rFonts w:eastAsia="Amiri" w:cs="Amiri" w:ascii="Amiri" w:hAnsi="Amiri"/>
          <w:color w:val="111111"/>
          <w:sz w:val="28"/>
          <w:szCs w:val="28"/>
          <w:rtl w:val="true"/>
          <w:lang w:bidi="ar-SA"/>
        </w:rPr>
        <w:t>»</w:t>
      </w:r>
      <w:r>
        <w:rPr>
          <w:rStyle w:val="FootnoteAnchor"/>
          <w:rtl w:val="true"/>
        </w:rPr>
        <w:footnoteReference w:id="3511"/>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منه أنّ للشريف المرتضى بحثين حول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بصورة كتاب، و الآخر بصورة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سُمّيت الرسالة في أكثر النسخ الخطّية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في العمل مع السلطان</w:t>
      </w:r>
      <w:r>
        <w:rPr>
          <w:rFonts w:eastAsia="Amiri" w:cs="Amiri" w:ascii="Amiri" w:hAnsi="Amiri"/>
          <w:color w:val="111111"/>
          <w:sz w:val="28"/>
          <w:szCs w:val="28"/>
          <w:rtl w:val="true"/>
          <w:lang w:bidi="ar-SA"/>
        </w:rPr>
        <w:t>»</w:t>
      </w:r>
      <w:r>
        <w:rPr>
          <w:rStyle w:val="FootnoteAnchor"/>
          <w:rtl w:val="true"/>
        </w:rPr>
        <w:footnoteReference w:id="3512"/>
      </w:r>
      <w:r>
        <w:rPr>
          <w:rFonts w:ascii="Amiri" w:hAnsi="Amiri" w:eastAsia="Amiri" w:cs="Amiri"/>
          <w:color w:val="111111"/>
          <w:sz w:val="28"/>
          <w:sz w:val="28"/>
          <w:szCs w:val="28"/>
          <w:rtl w:val="true"/>
          <w:lang w:bidi="ar-SA"/>
        </w:rPr>
        <w:t>، و سُمّيت في بعض نسخها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في الولاية من قبل الظالمين</w:t>
      </w:r>
      <w:r>
        <w:rPr>
          <w:rFonts w:eastAsia="Amiri" w:cs="Amiri" w:ascii="Amiri" w:hAnsi="Amiri"/>
          <w:color w:val="111111"/>
          <w:sz w:val="28"/>
          <w:szCs w:val="28"/>
          <w:rtl w:val="true"/>
          <w:lang w:bidi="ar-SA"/>
        </w:rPr>
        <w:t>»</w:t>
      </w:r>
      <w:r>
        <w:rPr>
          <w:rStyle w:val="FootnoteAnchor"/>
          <w:rtl w:val="true"/>
        </w:rPr>
        <w:footnoteReference w:id="3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بما أنّ الرسالة التي بين أيدينا تتركز على مسألة العمل مع السلطان الجائر، فإنّ العناوين التي ذكرها البُصروي، و التي جاءت في بعض المخطوطات تكون أنسب؛ لكن بما أنّه توجد إشارة مقتضبة في بداية الرسالة إلى مسألة العمل مع السلطان العادل، لذا يمكن اختيار عنوان عام للرسالة ليشمل السلطان العادل و الظالم معاً، كما فعل النجاشي و كما جاء في أكثر النسخ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جدير بالإشارة في نهاية هذا البحث أنّ الشريف المرتضى قد أجاب في بعض رسائله و هي 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أموال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سؤال حول حكم الأموال التي يتمّ الحصول عليها من قِبَل السلطان، فأجاب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الرسالة محلّ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حالات مختلفة، فتارة يكون ذلك المال حراماً كالمغصوب، و أُخرى يكون مباحاً كالمال الذي يُهدى إلى السلطان من طيب نفس، و ثالثة الأَولى الاجتناب عنه، و هو المال المخلوط بالحرام، و إنْ أباحه أكثر الفقهاء مع اختلاط التصرّف فيه، إلّاأنّ الأَولى في رأي الشريف المرتضى أن يكون محظوراً، و أنّ التنزّه عنه أَولى</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طبعت هذه الرسالة في ضمن رسائل الشريف المرتضى،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في العمل مع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طبعت في ضمن مسائل المرتضى،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الاسم، و طبعت أيضاً في ضمن مجلّة قضايا إسلاميّة معاصرة،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ترجمت إلى الفارسيّة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ضمن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ها و فرقه هاى اسلامى در سده هاى ميانه،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في ضمن مجلّة علوم سياسى، العدد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شفيعي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أعاد شفيعي نشر هذه الترجمة مع النصّ العربي للرسالة في ضمن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انديشۀ سياسى سيّد مرتضى</w:t>
      </w:r>
      <w:r>
        <w:rPr>
          <w:rFonts w:eastAsia="Amiri" w:cs="Amiri" w:ascii="Amiri" w:hAnsi="Amiri"/>
          <w:color w:val="111111"/>
          <w:sz w:val="28"/>
          <w:szCs w:val="28"/>
          <w:rtl w:val="true"/>
          <w:lang w:bidi="ar-SA"/>
        </w:rPr>
        <w:t xml:space="preserve">. </w:t>
      </w:r>
      <w:bookmarkStart w:id="1455" w:name="pg16437_173020"/>
    </w:p>
    <w:p>
      <w:pPr>
        <w:pStyle w:val="Heading5"/>
        <w:numPr>
          <w:ilvl w:val="4"/>
          <w:numId w:val="1"/>
        </w:numPr>
        <w:rPr/>
      </w:pPr>
      <w:bookmarkStart w:id="1456" w:name="__RefHeading___Toc8040501_1280447820"/>
      <w:bookmarkStart w:id="1457" w:name="_Toc525"/>
      <w:bookmarkEnd w:id="1455"/>
      <w:bookmarkEnd w:id="1456"/>
      <w:r>
        <w:rPr>
          <w:rtl w:val="true"/>
        </w:rPr>
        <w:t>مخطوطات الرسالة</w:t>
      </w:r>
      <w:bookmarkEnd w:id="1457"/>
    </w:p>
    <w:p>
      <w:pPr>
        <w:pStyle w:val="Heading6"/>
        <w:numPr>
          <w:ilvl w:val="5"/>
          <w:numId w:val="1"/>
        </w:numPr>
        <w:rPr/>
      </w:pPr>
      <w:bookmarkStart w:id="1458" w:name="__RefHeading___Toc8040503_1280447820"/>
      <w:bookmarkStart w:id="1459" w:name="_Toc526"/>
      <w:bookmarkEnd w:id="1458"/>
      <w:r>
        <w:rPr>
          <w:rtl w:val="true"/>
        </w:rPr>
        <w:t>ألف</w:t>
      </w:r>
      <w:r>
        <w:rPr>
          <w:rtl w:val="true"/>
        </w:rPr>
        <w:t xml:space="preserve">) </w:t>
      </w:r>
      <w:r>
        <w:rPr>
          <w:rtl w:val="true"/>
        </w:rPr>
        <w:t>النسخ المعتمدة</w:t>
      </w:r>
      <w:r>
        <w:rPr>
          <w:rtl w:val="true"/>
        </w:rPr>
        <w:t>:</w:t>
      </w:r>
      <w:bookmarkEnd w:id="14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21910</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المحقّق البروجردي رحمه اللّٰه،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هي ناقصة من آخرها،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هي ناقصة من آخرها،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20998</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Heading6"/>
        <w:numPr>
          <w:ilvl w:val="5"/>
          <w:numId w:val="1"/>
        </w:numPr>
        <w:rPr/>
      </w:pPr>
      <w:bookmarkStart w:id="1460" w:name="__RefHeading___Toc8040505_1280447820"/>
      <w:bookmarkStart w:id="1461" w:name="_Toc527"/>
      <w:bookmarkEnd w:id="1460"/>
      <w:r>
        <w:rPr>
          <w:rtl w:val="true"/>
        </w:rPr>
        <w:t>ب</w:t>
      </w:r>
      <w:r>
        <w:rPr>
          <w:rtl w:val="true"/>
        </w:rPr>
        <w:t xml:space="preserve">) </w:t>
      </w:r>
      <w:r>
        <w:rPr>
          <w:rtl w:val="true"/>
        </w:rPr>
        <w:t>سائر النسخ</w:t>
      </w:r>
      <w:r>
        <w:rPr>
          <w:rtl w:val="true"/>
        </w:rPr>
        <w:t>:</w:t>
      </w:r>
      <w:bookmarkEnd w:id="14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تقع في</w:t>
      </w:r>
    </w:p>
    <w:p>
      <w:pPr>
        <w:pStyle w:val="BookText"/>
        <w:rPr/>
      </w:pP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432/6</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تارة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تارة أُخرى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تارة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تارة أُخرى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2" w:name="pg16437_173023"/>
      <w:bookmarkStart w:id="1463" w:name="pg16437_173023"/>
      <w:bookmarkEnd w:id="1463"/>
    </w:p>
    <w:p>
      <w:pPr>
        <w:pStyle w:val="Heading4"/>
        <w:numPr>
          <w:ilvl w:val="3"/>
          <w:numId w:val="1"/>
        </w:numPr>
        <w:rPr/>
      </w:pPr>
      <w:bookmarkStart w:id="1464" w:name="pg16437_173023"/>
      <w:bookmarkStart w:id="1465" w:name="__RefHeading___Toc8040507_1280447820"/>
      <w:bookmarkStart w:id="1466" w:name="_Toc528"/>
      <w:bookmarkEnd w:id="1464"/>
      <w:bookmarkEnd w:id="1465"/>
      <w:r>
        <w:rPr>
          <w:rtl w:val="true"/>
        </w:rPr>
        <w:t>مسألةٌ في العَمَلِ معَ السُّلطانِ‌</w:t>
      </w:r>
      <w:bookmarkEnd w:id="1466"/>
    </w:p>
    <w:p>
      <w:pPr>
        <w:pStyle w:val="Heading5"/>
        <w:numPr>
          <w:ilvl w:val="4"/>
          <w:numId w:val="1"/>
        </w:numPr>
        <w:rPr/>
      </w:pPr>
      <w:bookmarkStart w:id="1467" w:name="__RefHeading___Toc8040509_1280447820"/>
      <w:bookmarkStart w:id="1468" w:name="_Toc529"/>
      <w:bookmarkEnd w:id="1467"/>
      <w:r>
        <w:rPr>
          <w:rtl w:val="true"/>
        </w:rPr>
        <w:t>اشارة</w:t>
      </w:r>
      <w:bookmarkEnd w:id="1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 سَلامُه علىٰ عِبادِه الذينَ اصطَفىٰ، محمّدٍ نَبيِّه، و الطَّيِّبينَ مِن عِترَتِه</w:t>
      </w:r>
      <w:r>
        <w:rPr>
          <w:rFonts w:eastAsia="Amiri" w:cs="Amiri" w:ascii="Amiri" w:hAnsi="Amiri"/>
          <w:color w:val="111111"/>
          <w:sz w:val="28"/>
          <w:szCs w:val="28"/>
          <w:rtl w:val="true"/>
          <w:lang w:bidi="ar-SA"/>
        </w:rPr>
        <w:t>.</w:t>
      </w:r>
      <w:r>
        <w:rPr>
          <w:rStyle w:val="FootnoteAnchor"/>
          <w:rtl w:val="true"/>
        </w:rPr>
        <w:footnoteReference w:id="3514"/>
      </w:r>
    </w:p>
    <w:p>
      <w:pPr>
        <w:pStyle w:val="BookText"/>
        <w:rPr/>
      </w:pPr>
      <w:r>
        <w:rPr>
          <w:rFonts w:ascii="Amiri" w:hAnsi="Amiri" w:eastAsia="Amiri" w:cs="Amiri"/>
          <w:color w:val="111111"/>
          <w:sz w:val="28"/>
          <w:sz w:val="28"/>
          <w:szCs w:val="28"/>
          <w:rtl w:val="true"/>
          <w:lang w:bidi="ar-SA"/>
        </w:rPr>
        <w:t>جَرىٰ في مَجلِسِ الوَزيرِ السَّيّدِ الأجَلِّ أبي القاسمِ الحُسَينِ بنِ عليٍّ المَغرِبيِّ‌</w:t>
      </w:r>
      <w:r>
        <w:rPr>
          <w:rStyle w:val="FootnoteAnchor"/>
          <w:rtl w:val="true"/>
        </w:rPr>
        <w:footnoteReference w:id="3515"/>
      </w:r>
    </w:p>
    <w:p>
      <w:pPr>
        <w:pStyle w:val="BookText"/>
        <w:rPr/>
      </w:pPr>
      <w:r>
        <w:rPr>
          <w:rFonts w:ascii="Amiri" w:hAnsi="Amiri" w:eastAsia="Amiri" w:cs="Amiri"/>
          <w:color w:val="111111"/>
          <w:sz w:val="28"/>
          <w:sz w:val="28"/>
          <w:szCs w:val="28"/>
          <w:rtl w:val="true"/>
          <w:lang w:bidi="ar-SA"/>
        </w:rPr>
        <w:t>و هذا الوزير هو أبو القاسم الحسين بن عليّ المغربي المعروف بالوزير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بلاس بن بهرام جور، و أُمّه فاطمة بنت أبي عبد اللّٰه محمّد بن إبراهيم بن جعفر النعماني صاحب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حلب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ذهب إلىٰ مصر مع والده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و كانت نشأته و دراسته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عندما قام الخليفة الفاطمي الحاكم بقتل أبيه و عمّه و أخويه هرب إلى الشام، و بقي باقي أيّام حياته متنقّلاً بين العراق و الجزيرة، فاستوزر للبُوَيهيّين سنة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بغداد، و للعُقَليّين في الموصل، و للمروانيّين في 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علم القرآن، و اختصار إصلاح المنطق، و اختصار غريب المصنّف، و رسالة في القاضي و الحاكم، و اختيار شعر أبي تمّام، و اختيار شعر المتنبّي و الطعن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بميّافارِقين سنة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حُمل تابوته إلى الغريِّ و دفن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الوزير المغربي للدكتور إحسان عبّاس،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الآخِرةِ سَنةَ خَمسَ عَشرةَ و أربَعِمائةٍ‌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فِي الوِلايةِ مِن قِبَلِ الظَّلَمةِ، و كَيفيَّةِ القَولِ في حُسنِها و قُبحِها؛ فَاقتَضىٰ ذلكَ إملاءَ</w:t>
      </w:r>
      <w:bookmarkStart w:id="1469" w:name="pg16437_173024"/>
    </w:p>
    <w:p>
      <w:pPr>
        <w:pStyle w:val="BookText"/>
        <w:rPr/>
      </w:pPr>
      <w:bookmarkEnd w:id="1469"/>
      <w:r>
        <w:rPr>
          <w:rFonts w:ascii="Amiri" w:hAnsi="Amiri" w:eastAsia="Amiri" w:cs="Amiri"/>
          <w:color w:val="111111"/>
          <w:sz w:val="28"/>
          <w:sz w:val="28"/>
          <w:szCs w:val="28"/>
          <w:rtl w:val="true"/>
          <w:lang w:bidi="ar-SA"/>
        </w:rPr>
        <w:t>مسألةٍ وَجيزةٍ يُطَّلَعُ بِها عَلىٰ ما يُحتاجُ إليهِ في هذَا البابِ، و اللّٰهُ المُوَفِّقُ للصَّوابِ و الرَّشادِ</w:t>
      </w:r>
      <w:r>
        <w:rPr>
          <w:rFonts w:eastAsia="Amiri" w:cs="Amiri" w:ascii="Amiri" w:hAnsi="Amiri"/>
          <w:color w:val="111111"/>
          <w:sz w:val="28"/>
          <w:szCs w:val="28"/>
          <w:rtl w:val="true"/>
          <w:lang w:bidi="ar-SA"/>
        </w:rPr>
        <w:t>.</w:t>
      </w:r>
      <w:r>
        <w:rPr>
          <w:rStyle w:val="FootnoteAnchor"/>
          <w:rtl w:val="true"/>
        </w:rPr>
        <w:footnoteReference w:id="3516"/>
      </w:r>
    </w:p>
    <w:p>
      <w:pPr>
        <w:pStyle w:val="Heading5"/>
        <w:numPr>
          <w:ilvl w:val="4"/>
          <w:numId w:val="1"/>
        </w:numPr>
        <w:rPr/>
      </w:pPr>
      <w:bookmarkStart w:id="1470" w:name="__RefHeading___Toc8040511_1280447820"/>
      <w:bookmarkStart w:id="1471" w:name="_Toc530"/>
      <w:bookmarkEnd w:id="1470"/>
      <w:r>
        <w:rPr>
          <w:rtl w:val="true"/>
        </w:rPr>
        <w:t>ضروب الولاية من قِبَل السلطان</w:t>
      </w:r>
      <w:bookmarkEnd w:id="1471"/>
    </w:p>
    <w:p>
      <w:pPr>
        <w:pStyle w:val="BookText"/>
        <w:rPr/>
      </w:pPr>
      <w:r>
        <w:rPr>
          <w:rFonts w:ascii="Amiri" w:hAnsi="Amiri" w:eastAsia="Amiri" w:cs="Amiri"/>
          <w:color w:val="111111"/>
          <w:sz w:val="28"/>
          <w:sz w:val="28"/>
          <w:szCs w:val="28"/>
          <w:rtl w:val="true"/>
          <w:lang w:bidi="ar-SA"/>
        </w:rPr>
        <w:t>اِعلَم أنَّ السُّلطانَ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عادِلٍ، و مُبطِلٍ ظالمٍ مُتغَلّبٍ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فالوِلايةُ مِن قِبَلِ السُّلطانِ المُحِقِّ العادِلِ لا مَسألةَ عَنها؛ لأنَّها جائزةٌ، بل رُبَّما كانَت واجِبةً إذا حتَمَها السُّلطانُ و أوجَبَ الإجابةَ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الوِلايةِ مِن قِبَلِ المتغَلِّبِ، و هيَ عَلىٰ 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تَجاوَزَ</w:t>
      </w:r>
      <w:r>
        <w:rPr>
          <w:rStyle w:val="FootnoteAnchor"/>
          <w:rtl w:val="true"/>
        </w:rPr>
        <w:footnoteReference w:id="3517"/>
      </w:r>
      <w:r>
        <w:rPr>
          <w:rFonts w:ascii="Amiri" w:hAnsi="Amiri" w:eastAsia="Amiri" w:cs="Amiri"/>
          <w:color w:val="111111"/>
          <w:sz w:val="28"/>
          <w:sz w:val="28"/>
          <w:szCs w:val="28"/>
          <w:rtl w:val="true"/>
          <w:lang w:bidi="ar-SA"/>
        </w:rPr>
        <w:t>الوجوبُ إلَى الإلجاءِ‌</w:t>
      </w:r>
      <w:r>
        <w:rPr>
          <w:rStyle w:val="FootnoteAnchor"/>
          <w:rtl w:val="true"/>
        </w:rPr>
        <w:footnoteReference w:id="3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مُباحٍ، و قَبيحٍ مَحظورٍ</w:t>
      </w:r>
      <w:r>
        <w:rPr>
          <w:rStyle w:val="FootnoteAnchor"/>
          <w:rtl w:val="true"/>
        </w:rPr>
        <w:footnoteReference w:id="3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3520"/>
      </w:r>
      <w:r>
        <w:rPr>
          <w:rFonts w:ascii="Amiri" w:hAnsi="Amiri" w:eastAsia="Amiri" w:cs="Amiri"/>
          <w:color w:val="111111"/>
          <w:sz w:val="28"/>
          <w:sz w:val="28"/>
          <w:szCs w:val="28"/>
          <w:rtl w:val="true"/>
          <w:lang w:bidi="ar-SA"/>
        </w:rPr>
        <w:t xml:space="preserve">الواجِبُ، فهوَ أن يَعلَمَ المُتولِّي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يَغلِبَ عَلىٰ ظَنِّه بأماراتٍ لائِحةٍ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يَتمكَّنُ بالوِلايةِ مِن إقامةِ حَقٍّ و دَفعِ باطلٍ و أمرٍ بمَعروفٍ و نَهيٍ عَن مُنكَرٍ، و لَولا هذهِ الوِلايةُ لَم يَتِمَّ‌</w:t>
      </w:r>
      <w:r>
        <w:rPr>
          <w:rStyle w:val="FootnoteAnchor"/>
          <w:rtl w:val="true"/>
        </w:rPr>
        <w:footnoteReference w:id="3521"/>
      </w:r>
      <w:r>
        <w:rPr>
          <w:rFonts w:ascii="Amiri" w:hAnsi="Amiri" w:eastAsia="Amiri" w:cs="Amiri"/>
          <w:color w:val="111111"/>
          <w:sz w:val="28"/>
          <w:sz w:val="28"/>
          <w:szCs w:val="28"/>
          <w:rtl w:val="true"/>
          <w:lang w:bidi="ar-SA"/>
        </w:rPr>
        <w:t>شَيءٌ مِن ذلكَ، فتَجبُ‌</w:t>
      </w:r>
      <w:r>
        <w:rPr>
          <w:rStyle w:val="FootnoteAnchor"/>
          <w:rtl w:val="true"/>
        </w:rPr>
        <w:footnoteReference w:id="3522"/>
      </w:r>
      <w:r>
        <w:rPr>
          <w:rFonts w:ascii="Amiri" w:hAnsi="Amiri" w:eastAsia="Amiri" w:cs="Amiri"/>
          <w:color w:val="111111"/>
          <w:sz w:val="28"/>
          <w:sz w:val="28"/>
          <w:szCs w:val="28"/>
          <w:rtl w:val="true"/>
          <w:lang w:bidi="ar-SA"/>
        </w:rPr>
        <w:t>عَلَيه الوِلايةُ لِوُجوبِ‌</w:t>
      </w:r>
      <w:r>
        <w:rPr>
          <w:rStyle w:val="FootnoteAnchor"/>
          <w:rtl w:val="true"/>
        </w:rPr>
        <w:footnoteReference w:id="3523"/>
      </w:r>
      <w:r>
        <w:rPr>
          <w:rFonts w:ascii="Amiri" w:hAnsi="Amiri" w:eastAsia="Amiri" w:cs="Amiri"/>
          <w:color w:val="111111"/>
          <w:sz w:val="28"/>
          <w:sz w:val="28"/>
          <w:szCs w:val="28"/>
          <w:rtl w:val="true"/>
          <w:lang w:bidi="ar-SA"/>
        </w:rPr>
        <w:t>ما هيَ سَببٌ إلَيه و ذَريعةٌ إلَى الظَّفَرِ بِه</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w:t>
      </w:r>
      <w:r>
        <w:rPr>
          <w:rStyle w:val="FootnoteAnchor"/>
          <w:rtl w:val="true"/>
        </w:rPr>
        <w:footnoteReference w:id="3524"/>
      </w:r>
      <w:r>
        <w:rPr>
          <w:rFonts w:ascii="Amiri" w:hAnsi="Amiri" w:eastAsia="Amiri" w:cs="Amiri"/>
          <w:color w:val="111111"/>
          <w:sz w:val="28"/>
          <w:sz w:val="28"/>
          <w:szCs w:val="28"/>
          <w:rtl w:val="true"/>
          <w:lang w:bidi="ar-SA"/>
        </w:rPr>
        <w:t xml:space="preserve">ما يخرُجُ إلَى الإلجاءِ، فهوَ أن يُحمَلَ علَى الوِلايةِ بالسَّيفِ، و يَغلبَ في ظَنِّه </w:t>
      </w:r>
      <w:bookmarkStart w:id="1472" w:name="pg16437_173025"/>
    </w:p>
    <w:p>
      <w:pPr>
        <w:pStyle w:val="BookText"/>
        <w:rPr/>
      </w:pPr>
      <w:bookmarkEnd w:id="1472"/>
      <w:r>
        <w:rPr>
          <w:rFonts w:ascii="Amiri" w:hAnsi="Amiri" w:eastAsia="Amiri" w:cs="Amiri"/>
          <w:color w:val="111111"/>
          <w:sz w:val="28"/>
          <w:sz w:val="28"/>
          <w:szCs w:val="28"/>
          <w:rtl w:val="true"/>
          <w:lang w:bidi="ar-SA"/>
        </w:rPr>
        <w:t>أنَّه مَتىٰ لَم يُجِب إلَيها سُفِكَ دَمُه، فيَكونُ بذلكَ مُلجَأً إلَيها</w:t>
      </w:r>
      <w:r>
        <w:rPr>
          <w:rFonts w:eastAsia="Amiri" w:cs="Amiri" w:ascii="Amiri" w:hAnsi="Amiri"/>
          <w:color w:val="111111"/>
          <w:sz w:val="28"/>
          <w:szCs w:val="28"/>
          <w:rtl w:val="true"/>
          <w:lang w:bidi="ar-SA"/>
        </w:rPr>
        <w:t>.</w:t>
      </w:r>
      <w:r>
        <w:rPr>
          <w:rStyle w:val="FootnoteAnchor"/>
          <w:rtl w:val="true"/>
        </w:rPr>
        <w:footnoteReference w:id="3525"/>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3526"/>
      </w:r>
      <w:r>
        <w:rPr>
          <w:rFonts w:ascii="Amiri" w:hAnsi="Amiri" w:eastAsia="Amiri" w:cs="Amiri"/>
          <w:color w:val="111111"/>
          <w:sz w:val="28"/>
          <w:sz w:val="28"/>
          <w:szCs w:val="28"/>
          <w:rtl w:val="true"/>
          <w:lang w:bidi="ar-SA"/>
        </w:rPr>
        <w:t>المُباحُ مِنها، فهوَ أن يَخافَ عَلىٰ مالٍ لَه، أو مِن</w:t>
      </w:r>
      <w:r>
        <w:rPr>
          <w:rStyle w:val="FootnoteAnchor"/>
          <w:rtl w:val="true"/>
        </w:rPr>
        <w:footnoteReference w:id="3527"/>
      </w:r>
      <w:r>
        <w:rPr>
          <w:rFonts w:ascii="Amiri" w:hAnsi="Amiri" w:eastAsia="Amiri" w:cs="Amiri"/>
          <w:color w:val="111111"/>
          <w:sz w:val="28"/>
          <w:sz w:val="28"/>
          <w:szCs w:val="28"/>
          <w:rtl w:val="true"/>
          <w:lang w:bidi="ar-SA"/>
        </w:rPr>
        <w:t>مَكروهٍ يَقَعُ بِه</w:t>
      </w:r>
      <w:r>
        <w:rPr>
          <w:rStyle w:val="FootnoteAnchor"/>
          <w:rtl w:val="true"/>
        </w:rPr>
        <w:footnoteReference w:id="3528"/>
      </w:r>
      <w:r>
        <w:rPr>
          <w:rFonts w:ascii="Amiri" w:hAnsi="Amiri" w:eastAsia="Amiri" w:cs="Amiri"/>
          <w:color w:val="111111"/>
          <w:sz w:val="28"/>
          <w:sz w:val="28"/>
          <w:szCs w:val="28"/>
          <w:rtl w:val="true"/>
          <w:lang w:bidi="ar-SA"/>
        </w:rPr>
        <w:t>يُتَحمَّلُ مِثلُه، فتَكونُ الوِلايةُ مُباحَةً بذلكَ، و يَسقُطُ عَنه قُبحُ الدُّخُولِ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يَلحَقُ بالواجبِ‌</w:t>
      </w:r>
      <w:r>
        <w:rPr>
          <w:rStyle w:val="FootnoteAnchor"/>
          <w:rtl w:val="true"/>
        </w:rPr>
        <w:footnoteReference w:id="3529"/>
      </w:r>
      <w:r>
        <w:rPr>
          <w:rFonts w:ascii="Amiri" w:hAnsi="Amiri" w:eastAsia="Amiri" w:cs="Amiri"/>
          <w:color w:val="111111"/>
          <w:sz w:val="28"/>
          <w:sz w:val="28"/>
          <w:szCs w:val="28"/>
          <w:rtl w:val="true"/>
          <w:lang w:bidi="ar-SA"/>
        </w:rPr>
        <w:t>لأنَّه إن آثَرَ تَحمُّلَ الضَّرَرِ في مالِه و الصَّبرَ علَى المَكروهِ النازلِ بِه و لَم يَتَولَّ‌</w:t>
      </w:r>
      <w:r>
        <w:rPr>
          <w:rStyle w:val="FootnoteAnchor"/>
          <w:rtl w:val="true"/>
        </w:rPr>
        <w:footnoteReference w:id="3530"/>
      </w:r>
      <w:r>
        <w:rPr>
          <w:rFonts w:ascii="Amiri" w:hAnsi="Amiri" w:eastAsia="Amiri" w:cs="Amiri"/>
          <w:color w:val="111111"/>
          <w:sz w:val="28"/>
          <w:sz w:val="28"/>
          <w:szCs w:val="28"/>
          <w:rtl w:val="true"/>
          <w:lang w:bidi="ar-SA"/>
        </w:rPr>
        <w:t>، كانَ‌</w:t>
      </w:r>
      <w:r>
        <w:rPr>
          <w:rStyle w:val="FootnoteAnchor"/>
          <w:rtl w:val="true"/>
        </w:rPr>
        <w:footnoteReference w:id="3531"/>
      </w:r>
      <w:r>
        <w:rPr>
          <w:rFonts w:ascii="Amiri" w:hAnsi="Amiri" w:eastAsia="Amiri" w:cs="Amiri"/>
          <w:color w:val="111111"/>
          <w:sz w:val="28"/>
          <w:sz w:val="28"/>
          <w:szCs w:val="28"/>
          <w:rtl w:val="true"/>
          <w:lang w:bidi="ar-SA"/>
        </w:rPr>
        <w:t>ذلكَ أيضاً لَه</w:t>
      </w:r>
      <w:r>
        <w:rPr>
          <w:rFonts w:eastAsia="Amiri" w:cs="Amiri" w:ascii="Amiri" w:hAnsi="Amiri"/>
          <w:color w:val="111111"/>
          <w:sz w:val="28"/>
          <w:szCs w:val="28"/>
          <w:rtl w:val="true"/>
          <w:lang w:bidi="ar-SA"/>
        </w:rPr>
        <w:t>.</w:t>
      </w:r>
    </w:p>
    <w:p>
      <w:pPr>
        <w:pStyle w:val="Heading5"/>
        <w:numPr>
          <w:ilvl w:val="4"/>
          <w:numId w:val="1"/>
        </w:numPr>
        <w:rPr/>
      </w:pPr>
      <w:bookmarkStart w:id="1473" w:name="__RefHeading___Toc8040513_1280447820"/>
      <w:bookmarkStart w:id="1474" w:name="_Toc531"/>
      <w:bookmarkEnd w:id="1473"/>
      <w:r>
        <w:rPr>
          <w:rtl w:val="true"/>
        </w:rPr>
        <w:t>بيان الوجه في حُسن و وجوب الولاية من قِبَل الظالم في بعض الأحيان</w:t>
      </w:r>
      <w:bookmarkEnd w:id="1474"/>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الوِلايةُ منِ قِبَلِ الظالِمِ حَسَنةً، فَضلاً عَن واجِبةٍ، و فيها وَجهُ القُبحِ ثابتٌ، و هوَ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مِن قِبَلِ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32"/>
      </w:r>
      <w:r>
        <w:rPr>
          <w:rFonts w:ascii="Amiri" w:hAnsi="Amiri" w:eastAsia="Amiri" w:cs="Amiri"/>
          <w:color w:val="111111"/>
          <w:sz w:val="28"/>
          <w:sz w:val="28"/>
          <w:szCs w:val="28"/>
          <w:rtl w:val="true"/>
          <w:lang w:bidi="ar-SA"/>
        </w:rPr>
        <w:t>و وَجهُ القُبحِ إذا ثَبَتَ في فِعلٍ، كانَ الفِعلُ قَبيحاً، و إن حَصَلَت فِيه وُجوهُ حُسنٍ‌</w:t>
      </w:r>
      <w:r>
        <w:rPr>
          <w:rStyle w:val="FootnoteAnchor"/>
          <w:rtl w:val="true"/>
        </w:rPr>
        <w:footnoteReference w:id="3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w:t>
      </w:r>
      <w:r>
        <w:rPr>
          <w:rStyle w:val="FootnoteAnchor"/>
          <w:rtl w:val="true"/>
        </w:rPr>
        <w:footnoteReference w:id="3534"/>
      </w:r>
      <w:r>
        <w:rPr>
          <w:rFonts w:ascii="Amiri" w:hAnsi="Amiri" w:eastAsia="Amiri" w:cs="Amiri"/>
          <w:color w:val="111111"/>
          <w:sz w:val="28"/>
          <w:sz w:val="28"/>
          <w:szCs w:val="28"/>
          <w:rtl w:val="true"/>
          <w:lang w:bidi="ar-SA"/>
        </w:rPr>
        <w:t>أنَّ الكَذِبَ لا يَحسُنُ، و إنِ اتَّفَقَت فِيه مَنافعُ دينيَّةٌ بألطافٍ‌</w:t>
      </w:r>
      <w:r>
        <w:rPr>
          <w:rStyle w:val="FootnoteAnchor"/>
          <w:rtl w:val="true"/>
        </w:rPr>
        <w:footnoteReference w:id="3535"/>
      </w:r>
      <w:r>
        <w:rPr>
          <w:rFonts w:ascii="Amiri" w:hAnsi="Amiri" w:eastAsia="Amiri" w:cs="Amiri"/>
          <w:color w:val="111111"/>
          <w:sz w:val="28"/>
          <w:sz w:val="28"/>
          <w:szCs w:val="28"/>
          <w:rtl w:val="true"/>
          <w:lang w:bidi="ar-SA"/>
        </w:rPr>
        <w:t>يَقَعُ‌</w:t>
      </w:r>
      <w:r>
        <w:rPr>
          <w:rStyle w:val="FootnoteAnchor"/>
          <w:rtl w:val="true"/>
        </w:rPr>
        <w:footnoteReference w:id="3536"/>
      </w:r>
      <w:r>
        <w:rPr>
          <w:rFonts w:ascii="Amiri" w:hAnsi="Amiri" w:eastAsia="Amiri" w:cs="Amiri"/>
          <w:color w:val="111111"/>
          <w:sz w:val="28"/>
          <w:sz w:val="28"/>
          <w:szCs w:val="28"/>
          <w:rtl w:val="true"/>
          <w:lang w:bidi="ar-SA"/>
        </w:rPr>
        <w:t>عِندَها الإيمانُ و كثيرٌ</w:t>
      </w:r>
      <w:r>
        <w:rPr>
          <w:rStyle w:val="FootnoteAnchor"/>
          <w:rtl w:val="true"/>
        </w:rPr>
        <w:footnoteReference w:id="3537"/>
      </w:r>
      <w:r>
        <w:rPr>
          <w:rFonts w:ascii="Amiri" w:hAnsi="Amiri" w:eastAsia="Amiri" w:cs="Amiri"/>
          <w:color w:val="111111"/>
          <w:sz w:val="28"/>
          <w:sz w:val="28"/>
          <w:szCs w:val="28"/>
          <w:rtl w:val="true"/>
          <w:lang w:bidi="ar-SA"/>
        </w:rPr>
        <w:t>مِنَ الطاعاتِ؟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 أنّ وَجهَ القُبحِ‌</w:t>
      </w:r>
      <w:r>
        <w:rPr>
          <w:rStyle w:val="FootnoteAnchor"/>
          <w:rtl w:val="true"/>
        </w:rPr>
        <w:footnoteReference w:id="3538"/>
      </w:r>
      <w:r>
        <w:rPr>
          <w:rFonts w:ascii="Amiri" w:hAnsi="Amiri" w:eastAsia="Amiri" w:cs="Amiri"/>
          <w:color w:val="111111"/>
          <w:sz w:val="28"/>
          <w:sz w:val="28"/>
          <w:szCs w:val="28"/>
          <w:rtl w:val="true"/>
          <w:lang w:bidi="ar-SA"/>
        </w:rPr>
        <w:t>في الوِلايةِ للظالِمِ‌</w:t>
      </w:r>
      <w:r>
        <w:rPr>
          <w:rStyle w:val="FootnoteAnchor"/>
          <w:rtl w:val="true"/>
        </w:rPr>
        <w:footnoteReference w:id="3539"/>
      </w:r>
      <w:r>
        <w:rPr>
          <w:rFonts w:ascii="Amiri" w:hAnsi="Amiri" w:eastAsia="Amiri" w:cs="Amiri"/>
          <w:color w:val="111111"/>
          <w:sz w:val="28"/>
          <w:sz w:val="28"/>
          <w:szCs w:val="28"/>
          <w:rtl w:val="true"/>
          <w:lang w:bidi="ar-SA"/>
        </w:rPr>
        <w:t>هوَ كَونُها وِلايةً‌</w:t>
      </w:r>
      <w:r>
        <w:rPr>
          <w:rStyle w:val="FootnoteAnchor"/>
          <w:rtl w:val="true"/>
        </w:rPr>
        <w:footnoteReference w:id="3540"/>
      </w:r>
      <w:r>
        <w:rPr>
          <w:rFonts w:ascii="Amiri" w:hAnsi="Amiri" w:eastAsia="Amiri" w:cs="Amiri"/>
          <w:color w:val="111111"/>
          <w:sz w:val="28"/>
          <w:sz w:val="28"/>
          <w:szCs w:val="28"/>
          <w:rtl w:val="true"/>
          <w:lang w:bidi="ar-SA"/>
        </w:rPr>
        <w:t>مِن قِبَلِه</w:t>
      </w:r>
      <w:r>
        <w:rPr>
          <w:rStyle w:val="FootnoteAnchor"/>
          <w:rtl w:val="true"/>
        </w:rPr>
        <w:footnoteReference w:id="3541"/>
      </w:r>
      <w:r>
        <w:rPr>
          <w:rFonts w:ascii="Amiri" w:hAnsi="Amiri" w:eastAsia="Amiri" w:cs="Amiri"/>
          <w:color w:val="111111"/>
          <w:sz w:val="28"/>
          <w:sz w:val="28"/>
          <w:szCs w:val="28"/>
          <w:rtl w:val="true"/>
          <w:lang w:bidi="ar-SA"/>
        </w:rPr>
        <w:t>، و كيفَ يَكونُ ذلكَ و هوَ لَو أُكرِهَ بالسَّيفِ علَى الوِلايةِ لَم تَكُن مِنه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r>
        <w:rPr>
          <w:rStyle w:val="FootnoteAnchor"/>
          <w:rtl w:val="true"/>
        </w:rPr>
        <w:footnoteReference w:id="3542"/>
      </w:r>
      <w:r>
        <w:rPr>
          <w:rFonts w:ascii="Amiri" w:hAnsi="Amiri" w:eastAsia="Amiri" w:cs="Amiri"/>
          <w:color w:val="111111"/>
          <w:sz w:val="28"/>
          <w:sz w:val="28"/>
          <w:szCs w:val="28"/>
          <w:rtl w:val="true"/>
          <w:lang w:bidi="ar-SA"/>
        </w:rPr>
        <w:t>إذا كانَ فيها تَوَصُّلٌ إلىٰ إقامةِ حَقٍّ و دَفعِ باطلٍ تَخرُجُ‌</w:t>
      </w:r>
      <w:r>
        <w:rPr>
          <w:rStyle w:val="FootnoteAnchor"/>
          <w:rtl w:val="true"/>
        </w:rPr>
        <w:footnoteReference w:id="3543"/>
      </w:r>
      <w:r>
        <w:rPr>
          <w:rFonts w:ascii="Amiri" w:hAnsi="Amiri" w:eastAsia="Amiri" w:cs="Amiri"/>
          <w:color w:val="111111"/>
          <w:sz w:val="28"/>
          <w:sz w:val="28"/>
          <w:szCs w:val="28"/>
          <w:rtl w:val="true"/>
          <w:lang w:bidi="ar-SA"/>
        </w:rPr>
        <w:t>عَن وَجهِ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يُشبِه ذلكَ ما يَعترِضُ‌</w:t>
      </w:r>
      <w:r>
        <w:rPr>
          <w:rStyle w:val="FootnoteAnchor"/>
          <w:rtl w:val="true"/>
        </w:rPr>
        <w:footnoteReference w:id="3544"/>
      </w:r>
      <w:r>
        <w:rPr>
          <w:rFonts w:ascii="Amiri" w:hAnsi="Amiri" w:eastAsia="Amiri" w:cs="Amiri"/>
          <w:color w:val="111111"/>
          <w:sz w:val="28"/>
          <w:sz w:val="28"/>
          <w:szCs w:val="28"/>
          <w:rtl w:val="true"/>
          <w:lang w:bidi="ar-SA"/>
        </w:rPr>
        <w:t>في الكَذِبِ مِمّا لا يُخرِجُه عَن</w:t>
      </w:r>
      <w:r>
        <w:rPr>
          <w:rStyle w:val="FootnoteAnchor"/>
          <w:rtl w:val="true"/>
        </w:rPr>
        <w:footnoteReference w:id="3545"/>
      </w:r>
      <w:r>
        <w:rPr>
          <w:rFonts w:ascii="Amiri" w:hAnsi="Amiri" w:eastAsia="Amiri" w:cs="Amiri"/>
          <w:color w:val="111111"/>
          <w:sz w:val="28"/>
          <w:sz w:val="28"/>
          <w:szCs w:val="28"/>
          <w:rtl w:val="true"/>
          <w:lang w:bidi="ar-SA"/>
        </w:rPr>
        <w:t>كَونِه قَبيحاً؛ لأنّا قَد عَلِمنا بالعَقلِ وَجهَ‌</w:t>
      </w:r>
      <w:r>
        <w:rPr>
          <w:rStyle w:val="FootnoteAnchor"/>
          <w:rtl w:val="true"/>
        </w:rPr>
        <w:footnoteReference w:id="3546"/>
      </w:r>
      <w:r>
        <w:rPr>
          <w:rFonts w:ascii="Amiri" w:hAnsi="Amiri" w:eastAsia="Amiri" w:cs="Amiri"/>
          <w:color w:val="111111"/>
          <w:sz w:val="28"/>
          <w:sz w:val="28"/>
          <w:szCs w:val="28"/>
          <w:rtl w:val="true"/>
          <w:lang w:bidi="ar-SA"/>
        </w:rPr>
        <w:t>قُبحِ الكَذِبِ، و أنَّه مُجرَّدُ كَونِهِ كَذِباً؛ لأنَّ هذِه جِهةٌ عَقليَّةٌ يُمكِنُ أن يَكونَ العقلُ‌</w:t>
      </w:r>
      <w:r>
        <w:rPr>
          <w:rStyle w:val="FootnoteAnchor"/>
          <w:rtl w:val="true"/>
        </w:rPr>
        <w:footnoteReference w:id="3547"/>
      </w:r>
      <w:r>
        <w:rPr>
          <w:rFonts w:ascii="Amiri" w:hAnsi="Amiri" w:eastAsia="Amiri" w:cs="Amiri"/>
          <w:color w:val="111111"/>
          <w:sz w:val="28"/>
          <w:sz w:val="28"/>
          <w:szCs w:val="28"/>
          <w:rtl w:val="true"/>
          <w:lang w:bidi="ar-SA"/>
        </w:rPr>
        <w:t>طَريقاً إلَيها</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كذلكَ الوِلايةُ مِن قِبَلِ الظالِمِ؛ لأنَّ وَجهَ قُبحِ ذلكَ في المَوضِعِ‌</w:t>
      </w:r>
      <w:r>
        <w:rPr>
          <w:rStyle w:val="FootnoteAnchor"/>
          <w:rtl w:val="true"/>
        </w:rPr>
        <w:footnoteReference w:id="3548"/>
      </w:r>
      <w:r>
        <w:rPr>
          <w:rFonts w:ascii="Amiri" w:hAnsi="Amiri" w:eastAsia="Amiri" w:cs="Amiri"/>
          <w:color w:val="111111"/>
          <w:sz w:val="28"/>
          <w:sz w:val="28"/>
          <w:szCs w:val="28"/>
          <w:rtl w:val="true"/>
          <w:lang w:bidi="ar-SA"/>
        </w:rPr>
        <w:t>الذِي يَقبُحُ فِيه</w:t>
      </w:r>
      <w:r>
        <w:rPr>
          <w:rStyle w:val="FootnoteAnchor"/>
          <w:rtl w:val="true"/>
        </w:rPr>
        <w:footnoteReference w:id="3549"/>
      </w:r>
      <w:r>
        <w:rPr>
          <w:rFonts w:ascii="Amiri" w:hAnsi="Amiri" w:eastAsia="Amiri" w:cs="Amiri"/>
          <w:color w:val="111111"/>
          <w:sz w:val="28"/>
          <w:sz w:val="28"/>
          <w:szCs w:val="28"/>
          <w:rtl w:val="true"/>
          <w:lang w:bidi="ar-SA"/>
        </w:rPr>
        <w:t>شَرعيٌّ‌</w:t>
      </w:r>
      <w:r>
        <w:rPr>
          <w:rStyle w:val="FootnoteAnchor"/>
          <w:rtl w:val="true"/>
        </w:rPr>
        <w:footnoteReference w:id="3550"/>
      </w:r>
      <w:r>
        <w:rPr>
          <w:rFonts w:ascii="Amiri" w:hAnsi="Amiri" w:eastAsia="Amiri" w:cs="Amiri"/>
          <w:color w:val="111111"/>
          <w:sz w:val="28"/>
          <w:sz w:val="28"/>
          <w:szCs w:val="28"/>
          <w:rtl w:val="true"/>
          <w:lang w:bidi="ar-SA"/>
        </w:rPr>
        <w:t>، فيَجِبُ أن نُثبِتَهُ‌</w:t>
      </w:r>
      <w:r>
        <w:rPr>
          <w:rStyle w:val="FootnoteAnchor"/>
          <w:rtl w:val="true"/>
        </w:rPr>
        <w:footnoteReference w:id="3551"/>
      </w:r>
      <w:r>
        <w:rPr>
          <w:rFonts w:ascii="Amiri" w:hAnsi="Amiri" w:eastAsia="Amiri" w:cs="Amiri"/>
          <w:color w:val="111111"/>
          <w:sz w:val="28"/>
          <w:sz w:val="28"/>
          <w:szCs w:val="28"/>
          <w:rtl w:val="true"/>
          <w:lang w:bidi="ar-SA"/>
        </w:rPr>
        <w:t>قَبيحاً في المَوضِعِ الذي جَعَلَه الشَّرعُ‌</w:t>
      </w:r>
      <w:r>
        <w:rPr>
          <w:rStyle w:val="FootnoteAnchor"/>
          <w:rtl w:val="true"/>
        </w:rPr>
        <w:footnoteReference w:id="3552"/>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كانَ الشَّرعُ قَد أباحَ‌</w:t>
      </w:r>
      <w:r>
        <w:rPr>
          <w:rStyle w:val="FootnoteAnchor"/>
          <w:rtl w:val="true"/>
        </w:rPr>
        <w:footnoteReference w:id="3553"/>
      </w:r>
      <w:r>
        <w:rPr>
          <w:rFonts w:ascii="Amiri" w:hAnsi="Amiri" w:eastAsia="Amiri" w:cs="Amiri"/>
          <w:color w:val="111111"/>
          <w:sz w:val="28"/>
          <w:sz w:val="28"/>
          <w:szCs w:val="28"/>
          <w:rtl w:val="true"/>
          <w:lang w:bidi="ar-SA"/>
        </w:rPr>
        <w:t>التَّوَلِّيَ مِن قِبَلِ الظالِمِ مَعَ الإكراهِ، و في المَوضِعِ‌</w:t>
      </w:r>
      <w:r>
        <w:rPr>
          <w:rStyle w:val="FootnoteAnchor"/>
          <w:rtl w:val="true"/>
        </w:rPr>
        <w:footnoteReference w:id="3554"/>
      </w:r>
      <w:r>
        <w:rPr>
          <w:rFonts w:ascii="Amiri" w:hAnsi="Amiri" w:eastAsia="Amiri" w:cs="Amiri"/>
          <w:color w:val="111111"/>
          <w:sz w:val="28"/>
          <w:sz w:val="28"/>
          <w:szCs w:val="28"/>
          <w:rtl w:val="true"/>
          <w:lang w:bidi="ar-SA"/>
        </w:rPr>
        <w:t>الَّذي فَرَضنا أنَّه مُتَوصَّلٌ بهِ إلى إقامَةِ الحُقوقِ الواجباتِ‌</w:t>
      </w:r>
      <w:r>
        <w:rPr>
          <w:rStyle w:val="FootnoteAnchor"/>
          <w:rtl w:val="true"/>
        </w:rPr>
        <w:footnoteReference w:id="3555"/>
      </w:r>
      <w:r>
        <w:rPr>
          <w:rFonts w:ascii="Amiri" w:hAnsi="Amiri" w:eastAsia="Amiri" w:cs="Amiri"/>
          <w:color w:val="111111"/>
          <w:sz w:val="28"/>
          <w:sz w:val="28"/>
          <w:szCs w:val="28"/>
          <w:rtl w:val="true"/>
          <w:lang w:bidi="ar-SA"/>
        </w:rPr>
        <w:t>، عَلِمنا أنَّه لَم يَكُن وَجهُ القُبحِ في هذِه</w:t>
      </w:r>
      <w:r>
        <w:rPr>
          <w:rStyle w:val="FootnoteAnchor"/>
          <w:rtl w:val="true"/>
        </w:rPr>
        <w:footnoteReference w:id="3556"/>
      </w:r>
      <w:r>
        <w:rPr>
          <w:rFonts w:ascii="Amiri" w:hAnsi="Amiri" w:eastAsia="Amiri" w:cs="Amiri"/>
          <w:color w:val="111111"/>
          <w:sz w:val="28"/>
          <w:sz w:val="28"/>
          <w:szCs w:val="28"/>
          <w:rtl w:val="true"/>
          <w:lang w:bidi="ar-SA"/>
        </w:rPr>
        <w:t>الوِلايةِ مُجَرَّدَ كَونِها وِلايةً مِن جِهَةِ ظالمٍ‌</w:t>
      </w:r>
      <w:r>
        <w:rPr>
          <w:rStyle w:val="FootnoteAnchor"/>
          <w:rtl w:val="true"/>
        </w:rPr>
        <w:footnoteReference w:id="3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إظهارَ كَلِمةِ‌</w:t>
      </w:r>
      <w:r>
        <w:rPr>
          <w:rStyle w:val="FootnoteAnchor"/>
          <w:rtl w:val="true"/>
        </w:rPr>
        <w:footnoteReference w:id="3558"/>
      </w:r>
      <w:r>
        <w:rPr>
          <w:rFonts w:ascii="Amiri" w:hAnsi="Amiri" w:eastAsia="Amiri" w:cs="Amiri"/>
          <w:color w:val="111111"/>
          <w:sz w:val="28"/>
          <w:sz w:val="28"/>
          <w:szCs w:val="28"/>
          <w:rtl w:val="true"/>
          <w:lang w:bidi="ar-SA"/>
        </w:rPr>
        <w:t>الكُفرِ لَمّا كانَت تَحسُنُ مَعَ الإكراهِ، فلَيسَ وَجهُ قُبحِها مُجَرَّدَ النُّطقِ بِها و إظهارِها، بَل بِشَرطِ الإيثارِ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نَطَقَ القُرآنُ بأنَّ يوسُفَ علَيه السلامُ تَوَلّىٰ مِن قِبَل العَزيزِ و هوَ ظالِمٌ، و رَغِبَ إلَيه في هذِه الوِلايةِ، حَتّىٰ زَكّىٰ نَفسَه فقالَ‌</w:t>
      </w:r>
      <w:r>
        <w:rPr>
          <w:rStyle w:val="FootnoteAnchor"/>
          <w:rtl w:val="true"/>
        </w:rPr>
        <w:footnoteReference w:id="35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Style w:val="FootnoteAnchor"/>
          <w:rtl w:val="true"/>
        </w:rPr>
        <w:footnoteReference w:id="3560"/>
      </w:r>
      <w:r>
        <w:rPr>
          <w:rFonts w:ascii="Amiri" w:hAnsi="Amiri" w:eastAsia="Amiri" w:cs="Amiri"/>
          <w:color w:val="111111"/>
          <w:sz w:val="28"/>
          <w:sz w:val="28"/>
          <w:szCs w:val="28"/>
          <w:rtl w:val="true"/>
          <w:lang w:bidi="ar-SA"/>
        </w:rPr>
        <w:t>و لا وَجهَ لحُسنِ‌</w:t>
      </w:r>
      <w:r>
        <w:rPr>
          <w:rStyle w:val="FootnoteAnchor"/>
          <w:rtl w:val="true"/>
        </w:rPr>
        <w:footnoteReference w:id="3561"/>
      </w:r>
      <w:r>
        <w:rPr>
          <w:rFonts w:ascii="Amiri" w:hAnsi="Amiri" w:eastAsia="Amiri" w:cs="Amiri"/>
          <w:color w:val="111111"/>
          <w:sz w:val="28"/>
          <w:sz w:val="28"/>
          <w:szCs w:val="28"/>
          <w:rtl w:val="true"/>
          <w:lang w:bidi="ar-SA"/>
        </w:rPr>
        <w:t>ذلكَ إلّاما ذَكَرناهُ مِن تَمَكُّنِه بالوِلايةِ مِن إقامَةِ الحُقوقِ التي كانَت</w:t>
      </w:r>
      <w:r>
        <w:rPr>
          <w:rStyle w:val="FootnoteAnchor"/>
          <w:rtl w:val="true"/>
        </w:rPr>
        <w:footnoteReference w:id="3562"/>
      </w:r>
      <w:r>
        <w:rPr>
          <w:rFonts w:ascii="Amiri" w:hAnsi="Amiri" w:eastAsia="Amiri" w:cs="Amiri"/>
          <w:color w:val="111111"/>
          <w:sz w:val="28"/>
          <w:sz w:val="28"/>
          <w:szCs w:val="28"/>
          <w:rtl w:val="true"/>
          <w:lang w:bidi="ar-SA"/>
        </w:rPr>
        <w:t>تَجِبُ‌</w:t>
      </w:r>
      <w:r>
        <w:rPr>
          <w:rStyle w:val="FootnoteAnchor"/>
          <w:rtl w:val="true"/>
        </w:rPr>
        <w:footnoteReference w:id="3563"/>
      </w:r>
      <w:r>
        <w:rPr>
          <w:rFonts w:ascii="Amiri" w:hAnsi="Amiri" w:eastAsia="Amiri" w:cs="Amiri"/>
          <w:color w:val="111111"/>
          <w:sz w:val="28"/>
          <w:sz w:val="28"/>
          <w:szCs w:val="28"/>
          <w:rtl w:val="true"/>
          <w:lang w:bidi="ar-SA"/>
        </w:rPr>
        <w:t>عَلَيه إقامَتُها</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فلَيسَ التَّوَلِّي مِن جِهةِ الفاسِقِ أكثَرَ مِن إظهارِ طَلَبِ الشَّيءِ مِن جِهةٍ لا يُستَحَقُّ مِنها و بِسببٍ لا يُوجِبُه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فَعَلَ ما لَه هذا المَعنىٰ أميرُ المُؤمنينَ عَليُّ بنُ أبي طالبٍ‌</w:t>
      </w:r>
      <w:r>
        <w:rPr>
          <w:rStyle w:val="FootnoteAnchor"/>
          <w:rtl w:val="true"/>
        </w:rPr>
        <w:footnoteReference w:id="3564"/>
      </w:r>
      <w:r>
        <w:rPr>
          <w:rFonts w:ascii="Amiri" w:hAnsi="Amiri" w:eastAsia="Amiri" w:cs="Amiri"/>
          <w:color w:val="111111"/>
          <w:sz w:val="28"/>
          <w:sz w:val="28"/>
          <w:szCs w:val="28"/>
          <w:rtl w:val="true"/>
          <w:lang w:bidi="ar-SA"/>
        </w:rPr>
        <w:t>علَيه السلامُ‌</w:t>
      </w:r>
      <w:r>
        <w:rPr>
          <w:rStyle w:val="FootnoteAnchor"/>
          <w:rtl w:val="true"/>
        </w:rPr>
        <w:footnoteReference w:id="3565"/>
      </w:r>
      <w:r>
        <w:rPr>
          <w:rFonts w:ascii="Amiri" w:hAnsi="Amiri" w:eastAsia="Amiri" w:cs="Amiri"/>
          <w:color w:val="111111"/>
          <w:sz w:val="28"/>
          <w:sz w:val="28"/>
          <w:szCs w:val="28"/>
          <w:rtl w:val="true"/>
          <w:lang w:bidi="ar-SA"/>
        </w:rPr>
        <w:t>لأنَّه دَخَلَ في الشُّورىٰ تَعَرُّضاً لِلوُصولِ إلَى الإمامَةِ، و قَد عَلِمَ أنَّ تِلكَ الجِهَةَ لا يُستَحَقُّ مِن مِثلِها التَّصَرُّفُ في الإمامَةِ؛ ثُمّ قَبِلَ اختيارَ المُختارينَ لَه عندَ إفضاءِ الأمرِ إلَيه، و أظهَرَ أنَّه</w:t>
      </w:r>
      <w:r>
        <w:rPr>
          <w:rStyle w:val="FootnoteAnchor"/>
          <w:rtl w:val="true"/>
        </w:rPr>
        <w:footnoteReference w:id="3566"/>
      </w:r>
      <w:r>
        <w:rPr>
          <w:rFonts w:ascii="Amiri" w:hAnsi="Amiri" w:eastAsia="Amiri" w:cs="Amiri"/>
          <w:color w:val="111111"/>
          <w:sz w:val="28"/>
          <w:sz w:val="28"/>
          <w:szCs w:val="28"/>
          <w:rtl w:val="true"/>
          <w:lang w:bidi="ar-SA"/>
        </w:rPr>
        <w:t>صارَ إماماً باختيارِهِم و عَقدِهِم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لَه مَعنَى التَّوَلِّي مِن قِبَلِ الظالِمِ بعَينِه؛ للاشتراكِ في إظهارِ</w:t>
      </w:r>
      <w:r>
        <w:rPr>
          <w:rStyle w:val="FootnoteAnchor"/>
          <w:rtl w:val="true"/>
        </w:rPr>
        <w:footnoteReference w:id="3567"/>
      </w:r>
      <w:r>
        <w:rPr>
          <w:rFonts w:ascii="Amiri" w:hAnsi="Amiri" w:eastAsia="Amiri" w:cs="Amiri"/>
          <w:color w:val="111111"/>
          <w:sz w:val="28"/>
          <w:sz w:val="28"/>
          <w:szCs w:val="28"/>
          <w:rtl w:val="true"/>
          <w:lang w:bidi="ar-SA"/>
        </w:rPr>
        <w:t>التَّوَصُّلِ إلَى الأمرِ بِما لا يُستَحَقُّ بِه، و لا هوَ مُوجِبٌ لِمِثلِه</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لكِنّا</w:t>
      </w:r>
      <w:r>
        <w:rPr>
          <w:rStyle w:val="FootnoteAnchor"/>
          <w:rtl w:val="true"/>
        </w:rPr>
        <w:footnoteReference w:id="3568"/>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الإمامَةِ‌</w:t>
      </w:r>
      <w:r>
        <w:rPr>
          <w:rStyle w:val="FootnoteAnchor"/>
          <w:rtl w:val="true"/>
        </w:rPr>
        <w:footnoteReference w:id="3569"/>
      </w:r>
      <w:r>
        <w:rPr>
          <w:rFonts w:ascii="Amiri" w:hAnsi="Amiri" w:eastAsia="Amiri" w:cs="Amiri"/>
          <w:color w:val="111111"/>
          <w:sz w:val="28"/>
          <w:sz w:val="28"/>
          <w:szCs w:val="28"/>
          <w:rtl w:val="true"/>
          <w:lang w:bidi="ar-SA"/>
        </w:rPr>
        <w:t>كانَ إلَيه علَيه السلامُ‌</w:t>
      </w:r>
      <w:r>
        <w:rPr>
          <w:rStyle w:val="FootnoteAnchor"/>
          <w:rtl w:val="true"/>
        </w:rPr>
        <w:footnoteReference w:id="3570"/>
      </w:r>
      <w:r>
        <w:rPr>
          <w:rFonts w:ascii="Amiri" w:hAnsi="Amiri" w:eastAsia="Amiri" w:cs="Amiri"/>
          <w:color w:val="111111"/>
          <w:sz w:val="28"/>
          <w:sz w:val="28"/>
          <w:szCs w:val="28"/>
          <w:rtl w:val="true"/>
          <w:lang w:bidi="ar-SA"/>
        </w:rPr>
        <w:t>بحُكمِ النَّصِّ مِن رَسولِ اللّٰهِ‌</w:t>
      </w:r>
      <w:r>
        <w:rPr>
          <w:rStyle w:val="FootnoteAnchor"/>
          <w:rtl w:val="true"/>
        </w:rPr>
        <w:footnoteReference w:id="3571"/>
      </w:r>
      <w:r>
        <w:rPr>
          <w:rFonts w:ascii="Amiri" w:hAnsi="Amiri" w:eastAsia="Amiri" w:cs="Amiri"/>
          <w:color w:val="111111"/>
          <w:sz w:val="28"/>
          <w:sz w:val="28"/>
          <w:szCs w:val="28"/>
          <w:rtl w:val="true"/>
          <w:lang w:bidi="ar-SA"/>
        </w:rPr>
        <w:t>صَلَّى اللّٰهُ عَلَيه و آلِه عَلىٰ إمامتِه</w:t>
      </w:r>
      <w:r>
        <w:rPr>
          <w:rStyle w:val="FootnoteAnchor"/>
          <w:rtl w:val="true"/>
        </w:rPr>
        <w:footnoteReference w:id="3572"/>
      </w:r>
      <w:r>
        <w:rPr>
          <w:rFonts w:ascii="Amiri" w:hAnsi="Amiri" w:eastAsia="Amiri" w:cs="Amiri"/>
          <w:color w:val="111111"/>
          <w:sz w:val="28"/>
          <w:sz w:val="28"/>
          <w:szCs w:val="28"/>
          <w:rtl w:val="true"/>
          <w:lang w:bidi="ar-SA"/>
        </w:rPr>
        <w:t>فإذا دُفِعَ عَن مَقامِهِ، و ظَنَّ أنَّه رُبَّما تَوَصَّلَ إلَى الإمامةِ بأسبابٍ وَضَعَها واضِعونَ‌</w:t>
      </w:r>
      <w:r>
        <w:rPr>
          <w:rStyle w:val="FootnoteAnchor"/>
          <w:rtl w:val="true"/>
        </w:rPr>
        <w:footnoteReference w:id="3573"/>
      </w:r>
      <w:r>
        <w:rPr>
          <w:rFonts w:ascii="IRNazanin" w:hAnsi="IRNazanin" w:eastAsia="IRNazanin"/>
          <w:color w:val="111111"/>
          <w:sz w:val="28"/>
          <w:sz w:val="28"/>
          <w:szCs w:val="28"/>
          <w:rtl w:val="true"/>
          <w:lang w:bidi="fa-IR"/>
        </w:rPr>
        <w:t>، لا</w:t>
      </w:r>
      <w:r>
        <w:rPr>
          <w:rStyle w:val="FootnoteAnchor"/>
          <w:rtl w:val="true"/>
        </w:rPr>
        <w:footnoteReference w:id="3574"/>
      </w:r>
      <w:r>
        <w:rPr>
          <w:rFonts w:ascii="Amiri" w:hAnsi="Amiri" w:eastAsia="Amiri" w:cs="Amiri"/>
          <w:color w:val="111111"/>
          <w:sz w:val="28"/>
          <w:sz w:val="28"/>
          <w:szCs w:val="28"/>
          <w:rtl w:val="true"/>
          <w:lang w:bidi="ar-SA"/>
        </w:rPr>
        <w:t>تَكونُ الإمامةُ مُستَحَقَّةً‌</w:t>
      </w:r>
      <w:r>
        <w:rPr>
          <w:rStyle w:val="FootnoteAnchor"/>
          <w:rtl w:val="true"/>
        </w:rPr>
        <w:footnoteReference w:id="3575"/>
      </w:r>
      <w:r>
        <w:rPr>
          <w:rFonts w:ascii="Amiri" w:hAnsi="Amiri" w:eastAsia="Amiri" w:cs="Amiri"/>
          <w:color w:val="111111"/>
          <w:sz w:val="28"/>
          <w:sz w:val="28"/>
          <w:szCs w:val="28"/>
          <w:rtl w:val="true"/>
          <w:lang w:bidi="ar-SA"/>
        </w:rPr>
        <w:t>بمِثلِها</w:t>
      </w:r>
      <w:r>
        <w:rPr>
          <w:rStyle w:val="FootnoteAnchor"/>
          <w:rtl w:val="true"/>
        </w:rPr>
        <w:footnoteReference w:id="3576"/>
      </w:r>
      <w:r>
        <w:rPr>
          <w:rFonts w:ascii="Amiri" w:hAnsi="Amiri" w:eastAsia="Amiri" w:cs="Amiri"/>
          <w:color w:val="111111"/>
          <w:sz w:val="28"/>
          <w:sz w:val="28"/>
          <w:szCs w:val="28"/>
          <w:rtl w:val="true"/>
          <w:lang w:bidi="ar-SA"/>
        </w:rPr>
        <w:t>، جازَ بَل</w:t>
      </w:r>
      <w:r>
        <w:rPr>
          <w:rStyle w:val="FootnoteAnchor"/>
          <w:rtl w:val="true"/>
        </w:rPr>
        <w:footnoteReference w:id="3577"/>
      </w:r>
      <w:r>
        <w:rPr>
          <w:rFonts w:ascii="Amiri" w:hAnsi="Amiri" w:eastAsia="Amiri" w:cs="Amiri"/>
          <w:color w:val="111111"/>
          <w:sz w:val="28"/>
          <w:sz w:val="28"/>
          <w:szCs w:val="28"/>
          <w:rtl w:val="true"/>
          <w:lang w:bidi="ar-SA"/>
        </w:rPr>
        <w:t>وَجَبَ أن يَدخُلَ فيها و يَتَوصَّلَ إلَيها</w:t>
      </w:r>
      <w:r>
        <w:rPr>
          <w:rStyle w:val="FootnoteAnchor"/>
          <w:rtl w:val="true"/>
        </w:rPr>
        <w:footnoteReference w:id="3578"/>
      </w:r>
      <w:r>
        <w:rPr>
          <w:rFonts w:ascii="Amiri" w:hAnsi="Amiri" w:eastAsia="Amiri" w:cs="Amiri"/>
          <w:color w:val="111111"/>
          <w:sz w:val="28"/>
          <w:sz w:val="28"/>
          <w:szCs w:val="28"/>
          <w:rtl w:val="true"/>
          <w:lang w:bidi="ar-SA"/>
        </w:rPr>
        <w:t>حَتّىٰ إذا وَصَلَ إلى الإمامَةِ كانَ تَصَرُّفُه فيها بحُكمِ النَّصِّ، لا بحُكمِ هذهِ الأسبابِ العارِضَةِ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يَجري </w:t>
      </w:r>
    </w:p>
    <w:p>
      <w:pPr>
        <w:pStyle w:val="BookText"/>
        <w:rPr/>
      </w:pPr>
      <w:r>
        <w:rPr>
          <w:rFonts w:ascii="Amiri" w:hAnsi="Amiri" w:eastAsia="Amiri" w:cs="Amiri"/>
          <w:color w:val="111111"/>
          <w:sz w:val="28"/>
          <w:sz w:val="28"/>
          <w:szCs w:val="28"/>
          <w:rtl w:val="true"/>
          <w:lang w:bidi="ar-SA"/>
        </w:rPr>
        <w:t>ذلكَ مَجرىٰ مَن غُصِبَ عَلىٰ وَديعةٍ، و حِيلَ‌</w:t>
      </w:r>
      <w:r>
        <w:rPr>
          <w:rStyle w:val="FootnoteAnchor"/>
          <w:rtl w:val="true"/>
        </w:rPr>
        <w:footnoteReference w:id="3579"/>
      </w:r>
      <w:r>
        <w:rPr>
          <w:rFonts w:ascii="Amiri" w:hAnsi="Amiri" w:eastAsia="Amiri" w:cs="Amiri"/>
          <w:color w:val="111111"/>
          <w:sz w:val="28"/>
          <w:sz w:val="28"/>
          <w:szCs w:val="28"/>
          <w:rtl w:val="true"/>
          <w:lang w:bidi="ar-SA"/>
        </w:rPr>
        <w:t>بَينَه و بَينَها، و أظهَرَ غاصِبُها أنَّه يَهَبُها</w:t>
      </w:r>
      <w:r>
        <w:rPr>
          <w:rStyle w:val="FootnoteAnchor"/>
          <w:rtl w:val="true"/>
        </w:rPr>
        <w:footnoteReference w:id="3580"/>
      </w:r>
      <w:r>
        <w:rPr>
          <w:rFonts w:ascii="Amiri" w:hAnsi="Amiri" w:eastAsia="Amiri" w:cs="Amiri"/>
          <w:color w:val="111111"/>
          <w:sz w:val="28"/>
          <w:sz w:val="28"/>
          <w:szCs w:val="28"/>
          <w:rtl w:val="true"/>
          <w:lang w:bidi="ar-SA"/>
        </w:rPr>
        <w:t>لصاحِبِها؛ فإنَّه يَجوزُ لصاحِبِ الوَديَعةِ، أن يَتَقَبَّلَ في الظاهرِ هذهِ الوَديعةَ، و يُظهِرَ أنَّه قَبَضَها عَلىٰ جِهَةِ‌</w:t>
      </w:r>
      <w:r>
        <w:rPr>
          <w:rStyle w:val="FootnoteAnchor"/>
          <w:rtl w:val="true"/>
        </w:rPr>
        <w:footnoteReference w:id="3581"/>
      </w:r>
      <w:r>
        <w:rPr>
          <w:rFonts w:ascii="Amiri" w:hAnsi="Amiri" w:eastAsia="Amiri" w:cs="Amiri"/>
          <w:color w:val="111111"/>
          <w:sz w:val="28"/>
          <w:sz w:val="28"/>
          <w:szCs w:val="28"/>
          <w:rtl w:val="true"/>
          <w:lang w:bidi="ar-SA"/>
        </w:rPr>
        <w:t>الهِبَةِ؛ و يَكونُ تَصَرُّفُه حينئذٍ فيها بحُكمِ المِلكِ الأوَّلِ، لا عَن جِهَةِ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الوَجهِ يُحمَلُ تَوَلِّي أميرِ المؤمنينَ علَيه السلامُ‌</w:t>
      </w:r>
      <w:r>
        <w:rPr>
          <w:rStyle w:val="FootnoteAnchor"/>
          <w:rtl w:val="true"/>
        </w:rPr>
        <w:footnoteReference w:id="3582"/>
      </w:r>
      <w:r>
        <w:rPr>
          <w:rFonts w:ascii="Amiri" w:hAnsi="Amiri" w:eastAsia="Amiri" w:cs="Amiri"/>
          <w:color w:val="111111"/>
          <w:sz w:val="28"/>
          <w:sz w:val="28"/>
          <w:szCs w:val="28"/>
          <w:rtl w:val="true"/>
          <w:lang w:bidi="ar-SA"/>
        </w:rPr>
        <w:t>لِجَلْدِهِ‌</w:t>
      </w:r>
      <w:r>
        <w:rPr>
          <w:rStyle w:val="FootnoteAnchor"/>
          <w:rtl w:val="true"/>
        </w:rPr>
        <w:footnoteReference w:id="3583"/>
      </w:r>
      <w:r>
        <w:rPr>
          <w:rFonts w:ascii="Amiri" w:hAnsi="Amiri" w:eastAsia="Amiri" w:cs="Amiri"/>
          <w:color w:val="111111"/>
          <w:sz w:val="28"/>
          <w:sz w:val="28"/>
          <w:szCs w:val="28"/>
          <w:rtl w:val="true"/>
          <w:lang w:bidi="ar-SA"/>
        </w:rPr>
        <w:t>الوَليدَ بنَ عُقبةَ‌</w:t>
      </w:r>
      <w:r>
        <w:rPr>
          <w:rStyle w:val="FootnoteAnchor"/>
          <w:rtl w:val="true"/>
        </w:rPr>
        <w:footnoteReference w:id="3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الصالِحونَ و العُلَماءُ يَتَولَّونَ في أزمانٍ مُختلفةٍ مِن قِبَلِ الظَّلَمةِ لبَعضِ الأسبابِ التي ذَكَرناها</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التَّوَلِّي مِن قِبَلِ الظَّلَمةِ إذا كانَ فيهِ ما يُحسِّنُه مِمّا تَقَدَّمَ ذِكرُه، فهوَ عَلَى الظاهرِ مِن قِبَل الظالِمِ، و في الباطِنِ مِن قِبَلِ أئمَّةِ الحقِّ عَلَيهم السلامُ‌</w:t>
      </w:r>
      <w:r>
        <w:rPr>
          <w:rStyle w:val="FootnoteAnchor"/>
          <w:rtl w:val="true"/>
        </w:rPr>
        <w:footnoteReference w:id="3585"/>
      </w:r>
      <w:r>
        <w:rPr>
          <w:rFonts w:ascii="Amiri" w:hAnsi="Amiri" w:eastAsia="Amiri" w:cs="Amiri"/>
          <w:color w:val="111111"/>
          <w:sz w:val="28"/>
          <w:sz w:val="28"/>
          <w:szCs w:val="28"/>
          <w:rtl w:val="true"/>
          <w:lang w:bidi="ar-SA"/>
        </w:rPr>
        <w:t>لأنَّهم إذا أذِنوا لهُم</w:t>
      </w:r>
      <w:r>
        <w:rPr>
          <w:rStyle w:val="FootnoteAnchor"/>
          <w:rtl w:val="true"/>
        </w:rPr>
        <w:footnoteReference w:id="3586"/>
      </w:r>
    </w:p>
    <w:p>
      <w:pPr>
        <w:pStyle w:val="BookText"/>
        <w:rPr/>
      </w:pPr>
      <w:r>
        <w:rPr>
          <w:rFonts w:ascii="Amiri" w:hAnsi="Amiri" w:eastAsia="Amiri" w:cs="Amiri"/>
          <w:color w:val="111111"/>
          <w:sz w:val="28"/>
          <w:sz w:val="28"/>
          <w:szCs w:val="28"/>
          <w:rtl w:val="true"/>
          <w:lang w:bidi="ar-SA"/>
        </w:rPr>
        <w:t>في هذِه الوِلايةِ عِندَ الشُّروطِ التي ذَكَرناها، فَتَولّاها</w:t>
      </w:r>
      <w:r>
        <w:rPr>
          <w:rStyle w:val="FootnoteAnchor"/>
          <w:rtl w:val="true"/>
        </w:rPr>
        <w:footnoteReference w:id="3587"/>
      </w:r>
      <w:r>
        <w:rPr>
          <w:rFonts w:ascii="Amiri" w:hAnsi="Amiri" w:eastAsia="Amiri" w:cs="Amiri"/>
          <w:color w:val="111111"/>
          <w:sz w:val="28"/>
          <w:sz w:val="28"/>
          <w:szCs w:val="28"/>
          <w:rtl w:val="true"/>
          <w:lang w:bidi="ar-SA"/>
        </w:rPr>
        <w:t>بأمرِهِم، فهوَ عَلَى الحَقيقةِ والٍ مِن قِبَلِهِم و مُتَصرِّفٌ بأمرِهِم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w:t>
      </w:r>
      <w:r>
        <w:rPr>
          <w:rStyle w:val="FootnoteAnchor"/>
          <w:rtl w:val="true"/>
        </w:rPr>
        <w:footnoteReference w:id="3588"/>
      </w:r>
      <w:r>
        <w:rPr>
          <w:rFonts w:ascii="Amiri" w:hAnsi="Amiri" w:eastAsia="Amiri" w:cs="Amiri"/>
          <w:color w:val="111111"/>
          <w:sz w:val="28"/>
          <w:sz w:val="28"/>
          <w:szCs w:val="28"/>
          <w:rtl w:val="true"/>
          <w:lang w:bidi="ar-SA"/>
        </w:rPr>
        <w:t>جاءتِ‌</w:t>
      </w:r>
      <w:r>
        <w:rPr>
          <w:rStyle w:val="FootnoteAnchor"/>
          <w:rtl w:val="true"/>
        </w:rPr>
        <w:footnoteReference w:id="3589"/>
      </w:r>
      <w:r>
        <w:rPr>
          <w:rFonts w:ascii="Amiri" w:hAnsi="Amiri" w:eastAsia="Amiri" w:cs="Amiri"/>
          <w:color w:val="111111"/>
          <w:sz w:val="28"/>
          <w:sz w:val="28"/>
          <w:szCs w:val="28"/>
          <w:rtl w:val="true"/>
          <w:lang w:bidi="ar-SA"/>
        </w:rPr>
        <w:t>الرِّوايةُ‌</w:t>
      </w:r>
      <w:r>
        <w:rPr>
          <w:rStyle w:val="FootnoteAnchor"/>
          <w:rtl w:val="true"/>
        </w:rPr>
        <w:footnoteReference w:id="3590"/>
      </w:r>
      <w:r>
        <w:rPr>
          <w:rFonts w:ascii="Amiri" w:hAnsi="Amiri" w:eastAsia="Amiri" w:cs="Amiri"/>
          <w:color w:val="111111"/>
          <w:sz w:val="28"/>
          <w:sz w:val="28"/>
          <w:szCs w:val="28"/>
          <w:rtl w:val="true"/>
          <w:lang w:bidi="ar-SA"/>
        </w:rPr>
        <w:t>الصَّحيحةُ بأنَّه</w:t>
      </w:r>
      <w:r>
        <w:rPr>
          <w:rStyle w:val="FootnoteAnchor"/>
          <w:rtl w:val="true"/>
        </w:rPr>
        <w:footnoteReference w:id="3591"/>
      </w:r>
      <w:r>
        <w:rPr>
          <w:rFonts w:ascii="Amiri" w:hAnsi="Amiri" w:eastAsia="Amiri" w:cs="Amiri"/>
          <w:color w:val="111111"/>
          <w:sz w:val="28"/>
          <w:sz w:val="28"/>
          <w:szCs w:val="28"/>
          <w:rtl w:val="true"/>
          <w:lang w:bidi="ar-SA"/>
        </w:rPr>
        <w:t>يَجوزُ لِمَن هذه حالُه أن يُقيمَ الحُدودَ و يَقطَعَ السُّرّاقَ، و يَفعَلَ كُلَّ ما اقتَضَتِ الشَّريعةُ فِعلَه مِن هذه الأُمورِ</w:t>
      </w:r>
      <w:r>
        <w:rPr>
          <w:rFonts w:eastAsia="Amiri" w:cs="Amiri" w:ascii="Amiri" w:hAnsi="Amiri"/>
          <w:color w:val="111111"/>
          <w:sz w:val="28"/>
          <w:szCs w:val="28"/>
          <w:rtl w:val="true"/>
          <w:lang w:bidi="ar-SA"/>
        </w:rPr>
        <w:t>.</w:t>
      </w:r>
      <w:r>
        <w:rPr>
          <w:rStyle w:val="FootnoteAnchor"/>
          <w:rtl w:val="true"/>
        </w:rPr>
        <w:footnoteReference w:id="3592"/>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بهذه الوِلايةِ‌</w:t>
      </w:r>
      <w:r>
        <w:rPr>
          <w:rStyle w:val="FootnoteAnchor"/>
          <w:rtl w:val="true"/>
        </w:rPr>
        <w:footnoteReference w:id="3593"/>
      </w:r>
      <w:r>
        <w:rPr>
          <w:rFonts w:ascii="Amiri" w:hAnsi="Amiri" w:eastAsia="Amiri" w:cs="Amiri"/>
          <w:color w:val="111111"/>
          <w:sz w:val="28"/>
          <w:sz w:val="28"/>
          <w:szCs w:val="28"/>
          <w:rtl w:val="true"/>
          <w:lang w:bidi="ar-SA"/>
        </w:rPr>
        <w:t>مُعَظِّماً للظالِمِ و مُظهِراً فَرضَ‌</w:t>
      </w:r>
      <w:r>
        <w:rPr>
          <w:rStyle w:val="FootnoteAnchor"/>
          <w:rtl w:val="true"/>
        </w:rPr>
        <w:footnoteReference w:id="3594"/>
      </w:r>
      <w:r>
        <w:rPr>
          <w:rFonts w:ascii="Amiri" w:hAnsi="Amiri" w:eastAsia="Amiri" w:cs="Amiri"/>
          <w:color w:val="111111"/>
          <w:sz w:val="28"/>
          <w:sz w:val="28"/>
          <w:szCs w:val="28"/>
          <w:rtl w:val="true"/>
          <w:lang w:bidi="ar-SA"/>
        </w:rPr>
        <w:t>طاعَتِه، و هذا وَجهُ قُبحٍ‌</w:t>
      </w:r>
      <w:r>
        <w:rPr>
          <w:rStyle w:val="FootnoteAnchor"/>
          <w:rtl w:val="true"/>
        </w:rPr>
        <w:footnoteReference w:id="3595"/>
      </w:r>
      <w:r>
        <w:rPr>
          <w:rFonts w:ascii="Amiri" w:hAnsi="Amiri" w:eastAsia="Amiri" w:cs="Amiri"/>
          <w:color w:val="111111"/>
          <w:sz w:val="28"/>
          <w:sz w:val="28"/>
          <w:szCs w:val="28"/>
          <w:rtl w:val="true"/>
          <w:lang w:bidi="ar-SA"/>
        </w:rPr>
        <w:t>لا مَحالةَ‌</w:t>
      </w:r>
      <w:r>
        <w:rPr>
          <w:rStyle w:val="FootnoteAnchor"/>
          <w:rtl w:val="true"/>
        </w:rPr>
        <w:footnoteReference w:id="3596"/>
      </w:r>
      <w:r>
        <w:rPr>
          <w:rFonts w:ascii="Amiri" w:hAnsi="Amiri" w:eastAsia="Amiri" w:cs="Amiri"/>
          <w:color w:val="111111"/>
          <w:sz w:val="28"/>
          <w:sz w:val="28"/>
          <w:szCs w:val="28"/>
          <w:rtl w:val="true"/>
          <w:lang w:bidi="ar-SA"/>
        </w:rPr>
        <w:t>، كانَ غَنيّاً عَنه لَولا</w:t>
      </w:r>
      <w:r>
        <w:rPr>
          <w:rStyle w:val="FootnoteAnchor"/>
          <w:rtl w:val="true"/>
        </w:rPr>
        <w:footnoteReference w:id="3597"/>
      </w:r>
      <w:r>
        <w:rPr>
          <w:rFonts w:ascii="Amiri" w:hAnsi="Amiri" w:eastAsia="Amiri" w:cs="Amiri"/>
          <w:color w:val="111111"/>
          <w:sz w:val="28"/>
          <w:sz w:val="28"/>
          <w:szCs w:val="28"/>
          <w:rtl w:val="true"/>
          <w:lang w:bidi="ar-SA"/>
        </w:rPr>
        <w:t>الوِلايةُ؟</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إذا كانَ مُتَغلِّباً عَلَى الدِّينِ، فلا بُدَّ لِمَن هوَ</w:t>
      </w:r>
      <w:r>
        <w:rPr>
          <w:rStyle w:val="FootnoteAnchor"/>
          <w:rtl w:val="true"/>
        </w:rPr>
        <w:footnoteReference w:id="3598"/>
      </w:r>
      <w:r>
        <w:rPr>
          <w:rFonts w:ascii="Amiri" w:hAnsi="Amiri" w:eastAsia="Amiri" w:cs="Amiri"/>
          <w:color w:val="111111"/>
          <w:sz w:val="28"/>
          <w:sz w:val="28"/>
          <w:szCs w:val="28"/>
          <w:rtl w:val="true"/>
          <w:lang w:bidi="ar-SA"/>
        </w:rPr>
        <w:t xml:space="preserve">في بِلادِه و عَلَى الظاهِرِ مِن جُملةِ رَعيَّتِه مِن إظهارِ تَعظيمِه و تَبجيلِه و الانقيادِ لَه عَلىٰ وَجهِ فَرضِ الطاعَةِ؛ فهذا المُتَولِّي مِن قِبَلِه لَو لَم يَكُن مُتَولِّياً لشَيءٍ، لَكانَ لابُدَّ لَه مَع المُتَغلِّبِ </w:t>
      </w:r>
    </w:p>
    <w:p>
      <w:pPr>
        <w:pStyle w:val="BookText"/>
        <w:rPr/>
      </w:pPr>
      <w:r>
        <w:rPr>
          <w:rFonts w:ascii="Amiri" w:hAnsi="Amiri" w:eastAsia="Amiri" w:cs="Amiri"/>
          <w:color w:val="111111"/>
          <w:sz w:val="28"/>
          <w:sz w:val="28"/>
          <w:szCs w:val="28"/>
          <w:rtl w:val="true"/>
          <w:lang w:bidi="ar-SA"/>
        </w:rPr>
        <w:t>مِن</w:t>
      </w:r>
      <w:r>
        <w:rPr>
          <w:rStyle w:val="FootnoteAnchor"/>
          <w:rtl w:val="true"/>
        </w:rPr>
        <w:footnoteReference w:id="3599"/>
      </w:r>
      <w:r>
        <w:rPr>
          <w:rFonts w:ascii="Amiri" w:hAnsi="Amiri" w:eastAsia="Amiri" w:cs="Amiri"/>
          <w:color w:val="111111"/>
          <w:sz w:val="28"/>
          <w:sz w:val="28"/>
          <w:szCs w:val="28"/>
          <w:rtl w:val="true"/>
          <w:lang w:bidi="ar-SA"/>
        </w:rPr>
        <w:t>إظهارِ جَميعِ ما ذَكَرناه مِن فُنونِ‌</w:t>
      </w:r>
      <w:r>
        <w:rPr>
          <w:rStyle w:val="FootnoteAnchor"/>
          <w:rtl w:val="true"/>
        </w:rPr>
        <w:footnoteReference w:id="3600"/>
      </w:r>
      <w:r>
        <w:rPr>
          <w:rFonts w:ascii="Amiri" w:hAnsi="Amiri" w:eastAsia="Amiri" w:cs="Amiri"/>
          <w:color w:val="111111"/>
          <w:sz w:val="28"/>
          <w:sz w:val="28"/>
          <w:szCs w:val="28"/>
          <w:rtl w:val="true"/>
          <w:lang w:bidi="ar-SA"/>
        </w:rPr>
        <w:t>التَّعظيمِ؛ للتَّقيَّةِ و الخَوفِ؛ فلَيسَ تُدخِلُه</w:t>
      </w:r>
      <w:r>
        <w:rPr>
          <w:rStyle w:val="FootnoteAnchor"/>
          <w:rtl w:val="true"/>
        </w:rPr>
        <w:footnoteReference w:id="3601"/>
      </w:r>
      <w:r>
        <w:rPr>
          <w:rFonts w:ascii="Amiri" w:hAnsi="Amiri" w:eastAsia="Amiri" w:cs="Amiri"/>
          <w:color w:val="111111"/>
          <w:sz w:val="28"/>
          <w:sz w:val="28"/>
          <w:szCs w:val="28"/>
          <w:rtl w:val="true"/>
          <w:lang w:bidi="ar-SA"/>
        </w:rPr>
        <w:t>الوِلايةُ في شَيءٍ مِن ذلكَ لَم يَكُن يَلزَمُه لَو لَم يَكُن</w:t>
      </w:r>
      <w:r>
        <w:rPr>
          <w:rStyle w:val="FootnoteAnchor"/>
          <w:rtl w:val="true"/>
        </w:rPr>
        <w:footnoteReference w:id="3602"/>
      </w:r>
      <w:r>
        <w:rPr>
          <w:rFonts w:ascii="Amiri" w:hAnsi="Amiri" w:eastAsia="Amiri" w:cs="Amiri"/>
          <w:color w:val="111111"/>
          <w:sz w:val="28"/>
          <w:sz w:val="28"/>
          <w:szCs w:val="28"/>
          <w:rtl w:val="true"/>
          <w:lang w:bidi="ar-SA"/>
        </w:rPr>
        <w:t>والياً، و بالوِلايةِ يَتمكَّنُ مِن أمرٍ بِمعروفٍ و نَهيٍ عَن مُنكَرٍ، فيَجِبُ أن يَتَوصَّلَ بِها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w:t>
      </w:r>
      <w:r>
        <w:rPr>
          <w:rStyle w:val="FootnoteAnchor"/>
          <w:rtl w:val="true"/>
        </w:rPr>
        <w:footnoteReference w:id="3603"/>
      </w:r>
      <w:r>
        <w:rPr>
          <w:rFonts w:ascii="Amiri" w:hAnsi="Amiri" w:eastAsia="Amiri" w:cs="Amiri"/>
          <w:color w:val="111111"/>
          <w:sz w:val="28"/>
          <w:sz w:val="28"/>
          <w:szCs w:val="28"/>
          <w:rtl w:val="true"/>
          <w:lang w:bidi="ar-SA"/>
        </w:rPr>
        <w:t>غَلَبَ عَلىٰ ظَنِّه أنّه كما</w:t>
      </w:r>
      <w:r>
        <w:rPr>
          <w:rStyle w:val="FootnoteAnchor"/>
          <w:rtl w:val="true"/>
        </w:rPr>
        <w:footnoteReference w:id="3604"/>
      </w:r>
      <w:r>
        <w:rPr>
          <w:rFonts w:ascii="Amiri" w:hAnsi="Amiri" w:eastAsia="Amiri" w:cs="Amiri"/>
          <w:color w:val="111111"/>
          <w:sz w:val="28"/>
          <w:sz w:val="28"/>
          <w:szCs w:val="28"/>
          <w:rtl w:val="true"/>
          <w:lang w:bidi="ar-SA"/>
        </w:rPr>
        <w:t>يَتمكَّنُ بالوِلايةِ مِن أمرٍ ببَعضِ المَعروفِ و نَهيٍ عَن بَعضِ المُنكَرِ، فإنَّه يُلزَمُ عَلىٰ‌</w:t>
      </w:r>
      <w:r>
        <w:rPr>
          <w:rStyle w:val="FootnoteAnchor"/>
          <w:rtl w:val="true"/>
        </w:rPr>
        <w:footnoteReference w:id="3605"/>
      </w:r>
      <w:r>
        <w:rPr>
          <w:rFonts w:ascii="Amiri" w:hAnsi="Amiri" w:eastAsia="Amiri" w:cs="Amiri"/>
          <w:color w:val="111111"/>
          <w:sz w:val="28"/>
          <w:sz w:val="28"/>
          <w:szCs w:val="28"/>
          <w:rtl w:val="true"/>
          <w:lang w:bidi="ar-SA"/>
        </w:rPr>
        <w:t>هذه الوِلايةِ أفعالاً</w:t>
      </w:r>
      <w:r>
        <w:rPr>
          <w:rStyle w:val="FootnoteAnchor"/>
          <w:rtl w:val="true"/>
        </w:rPr>
        <w:footnoteReference w:id="3606"/>
      </w:r>
      <w:r>
        <w:rPr>
          <w:rFonts w:ascii="Amiri" w:hAnsi="Amiri" w:eastAsia="Amiri" w:cs="Amiri"/>
          <w:color w:val="111111"/>
          <w:sz w:val="28"/>
          <w:sz w:val="28"/>
          <w:szCs w:val="28"/>
          <w:rtl w:val="true"/>
          <w:lang w:bidi="ar-SA"/>
        </w:rPr>
        <w:t>مُنكَرةً‌</w:t>
      </w:r>
      <w:r>
        <w:rPr>
          <w:rStyle w:val="FootnoteAnchor"/>
          <w:rtl w:val="true"/>
        </w:rPr>
        <w:footnoteReference w:id="3607"/>
      </w:r>
      <w:r>
        <w:rPr>
          <w:rFonts w:ascii="Amiri" w:hAnsi="Amiri" w:eastAsia="Amiri" w:cs="Amiri"/>
          <w:color w:val="111111"/>
          <w:sz w:val="28"/>
          <w:sz w:val="28"/>
          <w:szCs w:val="28"/>
          <w:rtl w:val="true"/>
          <w:lang w:bidi="ar-SA"/>
        </w:rPr>
        <w:t xml:space="preserve">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هذه الوِلايةُ لَم تَلزَمه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مِنَ الكَفِّ عَنها؟</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w:t>
      </w:r>
      <w:r>
        <w:rPr>
          <w:rStyle w:val="FootnoteAnchor"/>
          <w:rtl w:val="true"/>
        </w:rPr>
        <w:footnoteReference w:id="3608"/>
      </w:r>
      <w:r>
        <w:rPr>
          <w:rFonts w:ascii="Amiri" w:hAnsi="Amiri" w:eastAsia="Amiri" w:cs="Amiri"/>
          <w:color w:val="111111"/>
          <w:sz w:val="28"/>
          <w:sz w:val="28"/>
          <w:szCs w:val="28"/>
          <w:rtl w:val="true"/>
          <w:lang w:bidi="ar-SA"/>
        </w:rPr>
        <w:t>يَجِدُ عَن هذه الأفعالِ القَبيحَةِ‌</w:t>
      </w:r>
      <w:r>
        <w:rPr>
          <w:rStyle w:val="FootnoteAnchor"/>
          <w:rtl w:val="true"/>
        </w:rPr>
        <w:footnoteReference w:id="3609"/>
      </w:r>
      <w:r>
        <w:rPr>
          <w:rFonts w:ascii="Amiri" w:hAnsi="Amiri" w:eastAsia="Amiri" w:cs="Amiri"/>
          <w:color w:val="111111"/>
          <w:sz w:val="28"/>
          <w:sz w:val="28"/>
          <w:szCs w:val="28"/>
          <w:rtl w:val="true"/>
          <w:lang w:bidi="ar-SA"/>
        </w:rPr>
        <w:t>مَحيصاً، و لابُدَّ مِن</w:t>
      </w:r>
      <w:r>
        <w:rPr>
          <w:rStyle w:val="FootnoteAnchor"/>
          <w:rtl w:val="true"/>
        </w:rPr>
        <w:footnoteReference w:id="3610"/>
      </w:r>
      <w:r>
        <w:rPr>
          <w:rFonts w:ascii="Amiri" w:hAnsi="Amiri" w:eastAsia="Amiri" w:cs="Amiri"/>
          <w:color w:val="111111"/>
          <w:sz w:val="28"/>
          <w:sz w:val="28"/>
          <w:szCs w:val="28"/>
          <w:rtl w:val="true"/>
          <w:lang w:bidi="ar-SA"/>
        </w:rPr>
        <w:t>أن تَكونَ‌</w:t>
      </w:r>
      <w:r>
        <w:rPr>
          <w:rStyle w:val="FootnoteAnchor"/>
          <w:rtl w:val="true"/>
        </w:rPr>
        <w:footnoteReference w:id="3611"/>
      </w:r>
      <w:r>
        <w:rPr>
          <w:rFonts w:ascii="Amiri" w:hAnsi="Amiri" w:eastAsia="Amiri" w:cs="Amiri"/>
          <w:color w:val="111111"/>
          <w:sz w:val="28"/>
          <w:sz w:val="28"/>
          <w:szCs w:val="28"/>
          <w:rtl w:val="true"/>
          <w:lang w:bidi="ar-SA"/>
        </w:rPr>
        <w:t>الوِلايةُ سَبباً لذلكَ، و لَو لَم يَتَولَّ‌</w:t>
      </w:r>
      <w:r>
        <w:rPr>
          <w:rStyle w:val="FootnoteAnchor"/>
          <w:rtl w:val="true"/>
        </w:rPr>
        <w:footnoteReference w:id="3612"/>
      </w:r>
      <w:r>
        <w:rPr>
          <w:rFonts w:ascii="Amiri" w:hAnsi="Amiri" w:eastAsia="Amiri" w:cs="Amiri"/>
          <w:color w:val="111111"/>
          <w:sz w:val="28"/>
          <w:sz w:val="28"/>
          <w:szCs w:val="28"/>
          <w:rtl w:val="true"/>
          <w:lang w:bidi="ar-SA"/>
        </w:rPr>
        <w:t xml:space="preserve">لَم يَلزَمهُ أن يَفعَلَ هذه الأفعالَ </w:t>
      </w:r>
      <w:bookmarkStart w:id="1475" w:name="pg16437_173032"/>
    </w:p>
    <w:p>
      <w:pPr>
        <w:pStyle w:val="BookText"/>
        <w:rPr/>
      </w:pPr>
      <w:bookmarkEnd w:id="1475"/>
      <w:r>
        <w:rPr>
          <w:rFonts w:ascii="Amiri" w:hAnsi="Amiri" w:eastAsia="Amiri" w:cs="Amiri"/>
          <w:color w:val="111111"/>
          <w:sz w:val="28"/>
          <w:sz w:val="28"/>
          <w:szCs w:val="28"/>
          <w:rtl w:val="true"/>
          <w:lang w:bidi="ar-SA"/>
        </w:rPr>
        <w:t>القَبيحةَ؛ فإنَّ الوِلايةَ حينَئذٍ تَكونُ قَبيحةً، لا</w:t>
      </w:r>
      <w:r>
        <w:rPr>
          <w:rStyle w:val="FootnoteAnchor"/>
          <w:rtl w:val="true"/>
        </w:rPr>
        <w:footnoteReference w:id="3613"/>
      </w:r>
      <w:r>
        <w:rPr>
          <w:rFonts w:ascii="Amiri" w:hAnsi="Amiri" w:eastAsia="Amiri" w:cs="Amiri"/>
          <w:color w:val="111111"/>
          <w:sz w:val="28"/>
          <w:sz w:val="28"/>
          <w:szCs w:val="28"/>
          <w:rtl w:val="true"/>
          <w:lang w:bidi="ar-SA"/>
        </w:rPr>
        <w:t>يَجوزُ أن يَدخُلَ فيها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إن أُكرِهَ عَلىٰ قَتلِ النُّفوسِ المُحَرَّمَةِ، كَما أُكرِهَ عَلَى الوِلايةِ؛ أ يَجوزُ لَه قَتلُ النُّفوسِ المُحَرَّمَةِ‌</w:t>
      </w:r>
      <w:r>
        <w:rPr>
          <w:rStyle w:val="FootnoteAnchor"/>
          <w:rtl w:val="true"/>
        </w:rPr>
        <w:footnoteReference w:id="3614"/>
      </w:r>
      <w:r>
        <w:rPr>
          <w:rFonts w:ascii="Amiri" w:hAnsi="Amiri" w:eastAsia="Amiri" w:cs="Amiri"/>
          <w:color w:val="111111"/>
          <w:sz w:val="28"/>
          <w:sz w:val="28"/>
          <w:szCs w:val="28"/>
          <w:rtl w:val="true"/>
          <w:lang w:bidi="ar-SA"/>
        </w:rPr>
        <w:t>كَما أُكرِهَ عَلَى الوِلايةِ‌</w:t>
      </w:r>
      <w:r>
        <w:rPr>
          <w:rStyle w:val="FootnoteAnchor"/>
          <w:rtl w:val="true"/>
        </w:rPr>
        <w:footnoteReference w:id="36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لأنّ الإكراهَ لا حُكمَ لَه في الدِّماءِ، و لا يَجوزُ أن يَدفَعَ عَن نَفسِه المَكروهَ بإيصالِ ألَمٍ‌</w:t>
      </w:r>
      <w:r>
        <w:rPr>
          <w:rStyle w:val="FootnoteAnchor"/>
          <w:rtl w:val="true"/>
        </w:rPr>
        <w:footnoteReference w:id="3616"/>
      </w:r>
      <w:r>
        <w:rPr>
          <w:rFonts w:ascii="Amiri" w:hAnsi="Amiri" w:eastAsia="Amiri" w:cs="Amiri"/>
          <w:color w:val="111111"/>
          <w:sz w:val="28"/>
          <w:sz w:val="28"/>
          <w:szCs w:val="28"/>
          <w:rtl w:val="true"/>
          <w:lang w:bidi="ar-SA"/>
        </w:rPr>
        <w:t>إلىٰ غَيرِه عَلىٰ وَجهٍ لا يَحسُنُ و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تَظاهَرَتِ الرواياتُ عَن</w:t>
      </w:r>
      <w:r>
        <w:rPr>
          <w:rStyle w:val="FootnoteAnchor"/>
          <w:rtl w:val="true"/>
        </w:rPr>
        <w:footnoteReference w:id="3617"/>
      </w:r>
      <w:r>
        <w:rPr>
          <w:rFonts w:ascii="Amiri" w:hAnsi="Amiri" w:eastAsia="Amiri" w:cs="Amiri"/>
          <w:color w:val="111111"/>
          <w:sz w:val="28"/>
          <w:sz w:val="28"/>
          <w:szCs w:val="28"/>
          <w:rtl w:val="true"/>
          <w:lang w:bidi="ar-SA"/>
        </w:rPr>
        <w:t>أئمَّتِنا علَيهمُ السلامُ بأنَّه</w:t>
      </w:r>
      <w:r>
        <w:rPr>
          <w:rStyle w:val="FootnoteAnchor"/>
          <w:rtl w:val="true"/>
        </w:rPr>
        <w:footnoteReference w:id="3618"/>
      </w:r>
      <w:r>
        <w:rPr>
          <w:rFonts w:ascii="Amiri" w:hAnsi="Amiri" w:eastAsia="Amiri" w:cs="Amiri"/>
          <w:color w:val="111111"/>
          <w:sz w:val="28"/>
          <w:sz w:val="28"/>
          <w:szCs w:val="28"/>
          <w:rtl w:val="true"/>
          <w:lang w:bidi="ar-SA"/>
        </w:rPr>
        <w:t>لا تَقيَّةَ في الدِّماءِ،</w:t>
      </w:r>
      <w:r>
        <w:rPr>
          <w:rStyle w:val="FootnoteAnchor"/>
          <w:rtl w:val="true"/>
        </w:rPr>
        <w:footnoteReference w:id="3619"/>
      </w:r>
      <w:r>
        <w:rPr>
          <w:rFonts w:ascii="Amiri" w:hAnsi="Amiri" w:eastAsia="Amiri" w:cs="Amiri"/>
          <w:color w:val="111111"/>
          <w:sz w:val="28"/>
          <w:sz w:val="28"/>
          <w:szCs w:val="28"/>
          <w:rtl w:val="true"/>
          <w:lang w:bidi="ar-SA"/>
        </w:rPr>
        <w:t>و إن كانَت مُبيحةً لِما عَدَاها عندَ الخَوفِ علَى النَّفسِ</w:t>
      </w:r>
      <w:r>
        <w:rPr>
          <w:rFonts w:eastAsia="Amiri" w:cs="Amiri" w:ascii="Amiri" w:hAnsi="Amiri"/>
          <w:color w:val="111111"/>
          <w:sz w:val="28"/>
          <w:szCs w:val="28"/>
          <w:rtl w:val="true"/>
          <w:lang w:bidi="ar-SA"/>
        </w:rPr>
        <w:t>.</w:t>
      </w:r>
      <w:r>
        <w:rPr>
          <w:rStyle w:val="FootnoteAnchor"/>
          <w:rtl w:val="true"/>
        </w:rPr>
        <w:footnoteReference w:id="3620"/>
      </w:r>
    </w:p>
    <w:p>
      <w:pPr>
        <w:pStyle w:val="Heading5"/>
        <w:numPr>
          <w:ilvl w:val="4"/>
          <w:numId w:val="1"/>
        </w:numPr>
        <w:rPr/>
      </w:pPr>
      <w:bookmarkStart w:id="1476" w:name="__RefHeading___Toc8040515_1280447820"/>
      <w:bookmarkStart w:id="1477" w:name="_Toc532"/>
      <w:bookmarkEnd w:id="1476"/>
      <w:r>
        <w:rPr>
          <w:rtl w:val="true"/>
        </w:rPr>
        <w:t>في جواز القتال لدفاع المتولّي عن ولايته</w:t>
      </w:r>
      <w:bookmarkEnd w:id="1477"/>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عِندَكم في هذا المُتَولِّي</w:t>
      </w:r>
      <w:r>
        <w:rPr>
          <w:rStyle w:val="FootnoteAnchor"/>
          <w:rtl w:val="true"/>
        </w:rPr>
        <w:footnoteReference w:id="3621"/>
      </w:r>
      <w:r>
        <w:rPr>
          <w:rFonts w:ascii="Amiri" w:hAnsi="Amiri" w:eastAsia="Amiri" w:cs="Amiri"/>
          <w:color w:val="111111"/>
          <w:sz w:val="28"/>
          <w:sz w:val="28"/>
          <w:szCs w:val="28"/>
          <w:rtl w:val="true"/>
          <w:lang w:bidi="ar-SA"/>
        </w:rPr>
        <w:t xml:space="preserve">لِلظَّلَمَةِ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نِيَّتُه مَعقودَةٌ عَلىٰ أنَّه إنَّما دَخَلَ في هذه الوِلايَةِ لإقامَةِ‌</w:t>
      </w:r>
      <w:r>
        <w:rPr>
          <w:rStyle w:val="FootnoteAnchor"/>
          <w:rtl w:val="true"/>
        </w:rPr>
        <w:footnoteReference w:id="3622"/>
      </w:r>
      <w:r>
        <w:rPr>
          <w:rFonts w:ascii="Amiri" w:hAnsi="Amiri" w:eastAsia="Amiri" w:cs="Amiri"/>
          <w:color w:val="111111"/>
          <w:sz w:val="28"/>
          <w:sz w:val="28"/>
          <w:szCs w:val="28"/>
          <w:rtl w:val="true"/>
          <w:lang w:bidi="ar-SA"/>
        </w:rPr>
        <w:t xml:space="preserve">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مَنَعَه مِن هذه الوِلايَةِ أو مِمّا يُتصرَّفُ فِيه فيها</w:t>
      </w:r>
      <w:r>
        <w:rPr>
          <w:rStyle w:val="FootnoteAnchor"/>
          <w:rtl w:val="true"/>
        </w:rPr>
        <w:footnoteReference w:id="3623"/>
      </w:r>
      <w:bookmarkStart w:id="1478" w:name="pg16437_173033"/>
    </w:p>
    <w:p>
      <w:pPr>
        <w:pStyle w:val="BookText"/>
        <w:rPr/>
      </w:pPr>
      <w:bookmarkEnd w:id="1478"/>
      <w:r>
        <w:rPr>
          <w:rFonts w:ascii="Amiri" w:hAnsi="Amiri" w:eastAsia="Amiri" w:cs="Amiri"/>
          <w:color w:val="111111"/>
          <w:sz w:val="28"/>
          <w:sz w:val="28"/>
          <w:szCs w:val="28"/>
          <w:rtl w:val="true"/>
          <w:lang w:bidi="ar-SA"/>
        </w:rPr>
        <w:t>مانِعٌ مِنَ الناسِ و رامَ الحَيلولَةَ بينَه و بينَ أغراضِه؛ كيفَ قَولُكم في دَفعِه عَن ذلكَ و قِتالِه وَ قَتلِه</w:t>
      </w:r>
      <w:r>
        <w:rPr>
          <w:rStyle w:val="FootnoteAnchor"/>
          <w:rtl w:val="true"/>
        </w:rPr>
        <w:footnoteReference w:id="36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الوِلايَةُ إذا كانَت حَسَنةً أو واجِبةً عِندَ ثُبوتِ شَرطِ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أنَّها في المَعنىٰ مِن قِبَلِ إمامِ الحَقِّ و صاحِبِ الأمرِ، و إن كانَت عَلَى الظاهِرِ الذي لا مُعتَبَرَ</w:t>
      </w:r>
      <w:r>
        <w:rPr>
          <w:rStyle w:val="FootnoteAnchor"/>
          <w:rtl w:val="true"/>
        </w:rPr>
        <w:footnoteReference w:id="3625"/>
      </w:r>
      <w:r>
        <w:rPr>
          <w:rFonts w:ascii="Amiri" w:hAnsi="Amiri" w:eastAsia="Amiri" w:cs="Amiri"/>
          <w:color w:val="111111"/>
          <w:sz w:val="28"/>
          <w:sz w:val="28"/>
          <w:szCs w:val="28"/>
          <w:rtl w:val="true"/>
          <w:lang w:bidi="ar-SA"/>
        </w:rPr>
        <w:t xml:space="preserve">بِه كأنَّها مِن قِبَلِ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مَن مَنَعَ مِنها و عارَضَ فيها حُكمُ مَن مَنَعَ مِن وِلايَةِ مَن يَنصِبُهُ الإمامُ العادلُ؛ في دَفعِه بالقَتلِ و القِتالِ و غَيرِ ذلكَ مِن أسبابِ الدَّفعِ</w:t>
      </w:r>
      <w:r>
        <w:rPr>
          <w:rFonts w:eastAsia="Amiri" w:cs="Amiri" w:ascii="Amiri" w:hAnsi="Amiri"/>
          <w:color w:val="111111"/>
          <w:sz w:val="28"/>
          <w:szCs w:val="28"/>
          <w:rtl w:val="true"/>
          <w:lang w:bidi="ar-SA"/>
        </w:rPr>
        <w:t>.</w:t>
      </w:r>
    </w:p>
    <w:p>
      <w:pPr>
        <w:pStyle w:val="Heading5"/>
        <w:numPr>
          <w:ilvl w:val="4"/>
          <w:numId w:val="1"/>
        </w:numPr>
        <w:rPr/>
      </w:pPr>
      <w:bookmarkStart w:id="1479" w:name="__RefHeading___Toc8040517_1280447820"/>
      <w:bookmarkStart w:id="1480" w:name="_Toc533"/>
      <w:bookmarkEnd w:id="1479"/>
      <w:r>
        <w:rPr>
          <w:rtl w:val="true"/>
        </w:rPr>
        <w:t>كيفيّة معرفة المتولِّي المحقّ من غيره</w:t>
      </w:r>
      <w:bookmarkEnd w:id="1480"/>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السَّبيلُ إلَى العِلمِ بأنَّ هذا المُتَوَلِّيَ في الظاهِرِ مِن قِبَلِ السُّلطانِ الجائِرِ</w:t>
      </w:r>
      <w:r>
        <w:rPr>
          <w:rStyle w:val="FootnoteAnchor"/>
          <w:rtl w:val="true"/>
        </w:rPr>
        <w:footnoteReference w:id="3626"/>
      </w:r>
      <w:r>
        <w:rPr>
          <w:rFonts w:ascii="Amiri" w:hAnsi="Amiri" w:eastAsia="Amiri" w:cs="Amiri"/>
          <w:color w:val="111111"/>
          <w:sz w:val="28"/>
          <w:sz w:val="28"/>
          <w:szCs w:val="28"/>
          <w:rtl w:val="true"/>
          <w:lang w:bidi="ar-SA"/>
        </w:rPr>
        <w:t>مُحِقٌّ‌</w:t>
      </w:r>
      <w:r>
        <w:rPr>
          <w:rStyle w:val="FootnoteAnchor"/>
          <w:rtl w:val="true"/>
        </w:rPr>
        <w:footnoteReference w:id="3627"/>
      </w:r>
      <w:r>
        <w:rPr>
          <w:rFonts w:ascii="Amiri" w:hAnsi="Amiri" w:eastAsia="Amiri" w:cs="Amiri"/>
          <w:color w:val="111111"/>
          <w:sz w:val="28"/>
          <w:sz w:val="28"/>
          <w:szCs w:val="28"/>
          <w:rtl w:val="true"/>
          <w:lang w:bidi="ar-SA"/>
        </w:rPr>
        <w:t>لا تَحِلُّ مُعارَضَتُه و مُخَالَفَتُه، و هوَ عَلَى الظاهِرِ مُتَوَلٍّ مِن قِبَلِ الظالِمِ الداعي</w:t>
      </w:r>
      <w:r>
        <w:rPr>
          <w:rStyle w:val="FootnoteAnchor"/>
          <w:rtl w:val="true"/>
        </w:rPr>
        <w:footnoteReference w:id="3628"/>
      </w:r>
      <w:r>
        <w:rPr>
          <w:rFonts w:ascii="Amiri" w:hAnsi="Amiri" w:eastAsia="Amiri" w:cs="Amiri"/>
          <w:color w:val="111111"/>
          <w:sz w:val="28"/>
          <w:sz w:val="28"/>
          <w:szCs w:val="28"/>
          <w:rtl w:val="true"/>
          <w:lang w:bidi="ar-SA"/>
        </w:rPr>
        <w:t>الذي يَجِبُ جِهادُه و لا يَحسُنُ إقرارُ أحكامِهِ؟</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ذلكَ أن نَجِدَ</w:t>
      </w:r>
      <w:r>
        <w:rPr>
          <w:rStyle w:val="FootnoteAnchor"/>
          <w:rtl w:val="true"/>
        </w:rPr>
        <w:footnoteReference w:id="3629"/>
      </w:r>
      <w:r>
        <w:rPr>
          <w:rFonts w:ascii="Amiri" w:hAnsi="Amiri" w:eastAsia="Amiri" w:cs="Amiri"/>
          <w:color w:val="111111"/>
          <w:sz w:val="28"/>
          <w:sz w:val="28"/>
          <w:szCs w:val="28"/>
          <w:rtl w:val="true"/>
          <w:lang w:bidi="ar-SA"/>
        </w:rPr>
        <w:t>مَن يَعتقِدُ المَذهَبَ‌</w:t>
      </w:r>
      <w:r>
        <w:rPr>
          <w:rStyle w:val="FootnoteAnchor"/>
          <w:rtl w:val="true"/>
        </w:rPr>
        <w:footnoteReference w:id="3630"/>
      </w:r>
      <w:r>
        <w:rPr>
          <w:rFonts w:ascii="Amiri" w:hAnsi="Amiri" w:eastAsia="Amiri" w:cs="Amiri"/>
          <w:color w:val="111111"/>
          <w:sz w:val="28"/>
          <w:sz w:val="28"/>
          <w:szCs w:val="28"/>
          <w:rtl w:val="true"/>
          <w:lang w:bidi="ar-SA"/>
        </w:rPr>
        <w:t>الحَقَّ يَلي</w:t>
      </w:r>
      <w:r>
        <w:rPr>
          <w:rStyle w:val="FootnoteAnchor"/>
          <w:rtl w:val="true"/>
        </w:rPr>
        <w:footnoteReference w:id="3631"/>
      </w:r>
      <w:r>
        <w:rPr>
          <w:rFonts w:ascii="Amiri" w:hAnsi="Amiri" w:eastAsia="Amiri" w:cs="Amiri"/>
          <w:color w:val="111111"/>
          <w:sz w:val="28"/>
          <w:sz w:val="28"/>
          <w:szCs w:val="28"/>
          <w:rtl w:val="true"/>
          <w:lang w:bidi="ar-SA"/>
        </w:rPr>
        <w:t>مِن قِبَلِ الظَّلَمَةِ و المُتَغَلِّبينَ مُختاراً، فَيُعلَمُ‌</w:t>
      </w:r>
      <w:r>
        <w:rPr>
          <w:rStyle w:val="FootnoteAnchor"/>
          <w:rtl w:val="true"/>
        </w:rPr>
        <w:footnoteReference w:id="3632"/>
      </w:r>
      <w:r>
        <w:rPr>
          <w:rFonts w:ascii="Amiri" w:hAnsi="Amiri" w:eastAsia="Amiri" w:cs="Amiri"/>
          <w:color w:val="111111"/>
          <w:sz w:val="28"/>
          <w:sz w:val="28"/>
          <w:szCs w:val="28"/>
          <w:rtl w:val="true"/>
          <w:lang w:bidi="ar-SA"/>
        </w:rPr>
        <w:t>أنَّهُ ما اعتَمَدَ ذلكَ إلّالِوَجهٍ صَحيحٍ اقتَضاهُ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كَيفَ يَكونُ طَريقاً صَحيحاً، و قَد يَجوزُ لِمُعتَقِدِ</w:t>
      </w:r>
      <w:r>
        <w:rPr>
          <w:rStyle w:val="FootnoteAnchor"/>
          <w:rtl w:val="true"/>
        </w:rPr>
        <w:footnoteReference w:id="3633"/>
      </w:r>
      <w:r>
        <w:rPr>
          <w:rFonts w:ascii="Amiri" w:hAnsi="Amiri" w:eastAsia="Amiri" w:cs="Amiri"/>
          <w:color w:val="111111"/>
          <w:sz w:val="28"/>
          <w:sz w:val="28"/>
          <w:szCs w:val="28"/>
          <w:rtl w:val="true"/>
          <w:lang w:bidi="ar-SA"/>
        </w:rPr>
        <w:t>الحَقِّ أن يَعصِيَ، بأن يَليَ وِلايَةً مِن قِبَلِ ظالِمٍ لِبَعضِ أغراضِ الدُّنيا و مَنافِعِها؛ فَلا يَكونُ دَفعُه و مَنعُه قَبيحَينِ‌</w:t>
      </w:r>
      <w:r>
        <w:rPr>
          <w:rStyle w:val="FootnoteAnchor"/>
          <w:rtl w:val="true"/>
        </w:rPr>
        <w:footnoteReference w:id="363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المُعَوَّلُ في هذا المَوضِعِ عَلىٰ غَلَبةِ الظُّنونِ و قُوَّةِ الأماراتِ؛ فإن كانَ هذا</w:t>
      </w:r>
      <w:r>
        <w:rPr>
          <w:rStyle w:val="FootnoteAnchor"/>
          <w:rtl w:val="true"/>
        </w:rPr>
        <w:footnoteReference w:id="3635"/>
      </w:r>
      <w:r>
        <w:rPr>
          <w:rFonts w:ascii="Amiri" w:hAnsi="Amiri" w:eastAsia="Amiri" w:cs="Amiri"/>
          <w:color w:val="111111"/>
          <w:sz w:val="28"/>
          <w:sz w:val="28"/>
          <w:szCs w:val="28"/>
          <w:rtl w:val="true"/>
          <w:lang w:bidi="ar-SA"/>
        </w:rPr>
        <w:t>المُتَوَلِّي خَليعاً فاسقاً قَد جَرَت عادَتُه بِتَوَرُّطِ القَبائِحِ و رُكوبِ المَحارِمِ، و رَأيناهُ يَتَولّىٰ لِلظَّلَمَةِ‌</w:t>
      </w:r>
      <w:r>
        <w:rPr>
          <w:rStyle w:val="FootnoteAnchor"/>
          <w:rtl w:val="true"/>
        </w:rPr>
        <w:footnoteReference w:id="3636"/>
      </w:r>
      <w:r>
        <w:rPr>
          <w:rFonts w:ascii="Amiri" w:hAnsi="Amiri" w:eastAsia="Amiri" w:cs="Amiri"/>
          <w:color w:val="111111"/>
          <w:sz w:val="28"/>
          <w:sz w:val="28"/>
          <w:szCs w:val="28"/>
          <w:rtl w:val="true"/>
          <w:lang w:bidi="ar-SA"/>
        </w:rPr>
        <w:t>، فلا بُدَّ مِن غَلَبةِ الظَّنِّ بأنَّه لَم يَتَولَّ ذلكَ معَ عادَتِه الجاريَةِ بِالجُرمِ‌</w:t>
      </w:r>
      <w:r>
        <w:rPr>
          <w:rStyle w:val="FootnoteAnchor"/>
          <w:rtl w:val="true"/>
        </w:rPr>
        <w:footnoteReference w:id="3637"/>
      </w:r>
      <w:r>
        <w:rPr>
          <w:rFonts w:ascii="Amiri" w:hAnsi="Amiri" w:eastAsia="Amiri" w:cs="Amiri"/>
          <w:color w:val="111111"/>
          <w:sz w:val="28"/>
          <w:sz w:val="28"/>
          <w:szCs w:val="28"/>
          <w:rtl w:val="true"/>
          <w:lang w:bidi="ar-SA"/>
        </w:rPr>
        <w:t>و الفُجورِ</w:t>
      </w:r>
      <w:r>
        <w:rPr>
          <w:rStyle w:val="FootnoteAnchor"/>
          <w:rtl w:val="true"/>
        </w:rPr>
        <w:footnoteReference w:id="3638"/>
      </w:r>
      <w:r>
        <w:rPr>
          <w:rFonts w:ascii="Amiri" w:hAnsi="Amiri" w:eastAsia="Amiri" w:cs="Amiri"/>
          <w:color w:val="111111"/>
          <w:sz w:val="28"/>
          <w:sz w:val="28"/>
          <w:szCs w:val="28"/>
          <w:rtl w:val="true"/>
          <w:lang w:bidi="ar-SA"/>
        </w:rPr>
        <w:t>إلّالأغراضِ الدُّنيا، فيَجِبُ مَنعُه و مُنازَعَتُه و الكَفُّ عَن تَمكينِه؛ و إن كانَت عادَتُه جاريةً بالتَّدَيُّنِ و التَّصَوُّنِ‌</w:t>
      </w:r>
      <w:r>
        <w:rPr>
          <w:rStyle w:val="FootnoteAnchor"/>
          <w:rtl w:val="true"/>
        </w:rPr>
        <w:footnoteReference w:id="3639"/>
      </w:r>
      <w:r>
        <w:rPr>
          <w:rFonts w:ascii="Amiri" w:hAnsi="Amiri" w:eastAsia="Amiri" w:cs="Amiri"/>
          <w:color w:val="111111"/>
          <w:sz w:val="28"/>
          <w:sz w:val="28"/>
          <w:szCs w:val="28"/>
          <w:rtl w:val="true"/>
          <w:lang w:bidi="ar-SA"/>
        </w:rPr>
        <w:t xml:space="preserve">و الكَفِّ عَن المَحارِمِ، و رَأَيناهُ قَد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 غَيرَ 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لِظالِمٍ، فالظَّنُّ يَقوىٰ‌</w:t>
      </w:r>
      <w:r>
        <w:rPr>
          <w:rStyle w:val="FootnoteAnchor"/>
          <w:rtl w:val="true"/>
        </w:rPr>
        <w:footnoteReference w:id="3640"/>
      </w:r>
      <w:r>
        <w:rPr>
          <w:rFonts w:ascii="Amiri" w:hAnsi="Amiri" w:eastAsia="Amiri" w:cs="Amiri"/>
          <w:color w:val="111111"/>
          <w:sz w:val="28"/>
          <w:sz w:val="28"/>
          <w:szCs w:val="28"/>
          <w:rtl w:val="true"/>
          <w:lang w:bidi="ar-SA"/>
        </w:rPr>
        <w:t>أنَّه لَم يَفعَل ذلكَ معَ الإيثارِ إلّالِداعٍ مِن دَواعِي الدِّين التي تَقَدَّمَ ذِكرُها؛ فحينَئذٍ لا يَحِلُّ منعُه، و يَجِبُ تَمكينُه</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اشتَبَهَ في بَعضِ الأحوالِ الأمرُ، و تَقابَلَتِ الأماراتُ، و تعادَلَتِ الظُّنونُ، وَجَبَ الكَفُّ عَن</w:t>
      </w:r>
      <w:r>
        <w:rPr>
          <w:rStyle w:val="FootnoteAnchor"/>
          <w:rtl w:val="true"/>
        </w:rPr>
        <w:footnoteReference w:id="3641"/>
      </w:r>
      <w:r>
        <w:rPr>
          <w:rFonts w:ascii="Amiri" w:hAnsi="Amiri" w:eastAsia="Amiri" w:cs="Amiri"/>
          <w:color w:val="111111"/>
          <w:sz w:val="28"/>
          <w:sz w:val="28"/>
          <w:szCs w:val="28"/>
          <w:rtl w:val="true"/>
          <w:lang w:bidi="ar-SA"/>
        </w:rPr>
        <w:t>مَنعِه و مُنازَعَتِه عَلىٰ كُلِّ حالٍ‌</w:t>
      </w:r>
      <w:r>
        <w:rPr>
          <w:rStyle w:val="FootnoteAnchor"/>
          <w:rtl w:val="true"/>
        </w:rPr>
        <w:footnoteReference w:id="3642"/>
      </w:r>
      <w:r>
        <w:rPr>
          <w:rFonts w:ascii="Amiri" w:hAnsi="Amiri" w:eastAsia="Amiri" w:cs="Amiri"/>
          <w:color w:val="111111"/>
          <w:sz w:val="28"/>
          <w:sz w:val="28"/>
          <w:szCs w:val="28"/>
          <w:rtl w:val="true"/>
          <w:lang w:bidi="ar-SA"/>
        </w:rPr>
        <w:t xml:space="preserve">لأنّا لا نَأمَنُ في هذه المُنازَعَةِ </w:t>
      </w:r>
    </w:p>
    <w:p>
      <w:pPr>
        <w:pStyle w:val="BookText"/>
        <w:rPr/>
      </w:pPr>
      <w:r>
        <w:rPr>
          <w:rFonts w:ascii="Amiri" w:hAnsi="Amiri" w:eastAsia="Amiri" w:cs="Amiri"/>
          <w:color w:val="111111"/>
          <w:sz w:val="28"/>
          <w:sz w:val="28"/>
          <w:szCs w:val="28"/>
          <w:rtl w:val="true"/>
          <w:lang w:bidi="ar-SA"/>
        </w:rPr>
        <w:t>أن تَقَعَ عَلىٰ وَجهٍ قَبيحٍ، و كُلُّ ما لا</w:t>
      </w:r>
      <w:r>
        <w:rPr>
          <w:rStyle w:val="FootnoteAnchor"/>
          <w:rtl w:val="true"/>
        </w:rPr>
        <w:footnoteReference w:id="3643"/>
      </w:r>
      <w:r>
        <w:rPr>
          <w:rFonts w:ascii="Amiri" w:hAnsi="Amiri" w:eastAsia="Amiri" w:cs="Amiri"/>
          <w:color w:val="111111"/>
          <w:sz w:val="28"/>
          <w:sz w:val="28"/>
          <w:szCs w:val="28"/>
          <w:rtl w:val="true"/>
          <w:lang w:bidi="ar-SA"/>
        </w:rPr>
        <w:t>يؤمَنُ فيهِ وَجهُ القُبحِ يَجِبُ الكَفُّ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نَظائرُ هذه الحالِ في فُنونِ التَّصَرُّفِ و ضُروبِ الأفعالِ أكثرُ مِن أن تُحصىٰ‌</w:t>
      </w:r>
      <w:r>
        <w:rPr>
          <w:rStyle w:val="FootnoteAnchor"/>
          <w:rtl w:val="true"/>
        </w:rPr>
        <w:footnoteReference w:id="3644"/>
      </w:r>
      <w:r>
        <w:rPr>
          <w:rFonts w:ascii="Amiri" w:hAnsi="Amiri" w:eastAsia="Amiri" w:cs="Amiri"/>
          <w:color w:val="111111"/>
          <w:sz w:val="28"/>
          <w:sz w:val="28"/>
          <w:szCs w:val="28"/>
          <w:rtl w:val="true"/>
          <w:lang w:bidi="ar-SA"/>
        </w:rPr>
        <w:t>فإنّا لَو عَهِدنا مِن بَعضِ الناسِ الخَلاعةَ و الفِسقَ و شُربَ الخُمورِ</w:t>
      </w:r>
      <w:r>
        <w:rPr>
          <w:rStyle w:val="FootnoteAnchor"/>
          <w:rtl w:val="true"/>
        </w:rPr>
        <w:footnoteReference w:id="3645"/>
      </w:r>
      <w:r>
        <w:rPr>
          <w:rFonts w:ascii="Amiri" w:hAnsi="Amiri" w:eastAsia="Amiri" w:cs="Amiri"/>
          <w:color w:val="111111"/>
          <w:sz w:val="28"/>
          <w:sz w:val="28"/>
          <w:szCs w:val="28"/>
          <w:rtl w:val="true"/>
          <w:lang w:bidi="ar-SA"/>
        </w:rPr>
        <w:t>و التَّرَدُّدَ إلىٰ مَواطِنِ القُبحِ‌</w:t>
      </w:r>
      <w:r>
        <w:rPr>
          <w:rStyle w:val="FootnoteAnchor"/>
          <w:rtl w:val="true"/>
        </w:rPr>
        <w:footnoteReference w:id="3646"/>
      </w:r>
      <w:r>
        <w:rPr>
          <w:rFonts w:ascii="Amiri" w:hAnsi="Amiri" w:eastAsia="Amiri" w:cs="Amiri"/>
          <w:color w:val="111111"/>
          <w:sz w:val="28"/>
          <w:sz w:val="28"/>
          <w:szCs w:val="28"/>
          <w:rtl w:val="true"/>
          <w:lang w:bidi="ar-SA"/>
        </w:rPr>
        <w:t>، و رَأَيناهُ في بَعضِ الأوقاتِ يَدخُلُ إلىٰ بَيتِ خَمّارٍ، و نَحنُ لا نَدري أيَدخُلُ للقَبيحِ أم للإنكار عَلىٰ مَن يَشرَبُ الخَمرَ؛ فإنَّنا</w:t>
      </w:r>
      <w:r>
        <w:rPr>
          <w:rStyle w:val="FootnoteAnchor"/>
          <w:rtl w:val="true"/>
        </w:rPr>
        <w:footnoteReference w:id="3647"/>
      </w:r>
      <w:r>
        <w:rPr>
          <w:rFonts w:ascii="Amiri" w:hAnsi="Amiri" w:eastAsia="Amiri" w:cs="Amiri"/>
          <w:color w:val="111111"/>
          <w:sz w:val="28"/>
          <w:sz w:val="28"/>
          <w:szCs w:val="28"/>
          <w:rtl w:val="true"/>
          <w:lang w:bidi="ar-SA"/>
        </w:rPr>
        <w:t>لقُوّةِ ظُنونِنا</w:t>
      </w:r>
      <w:r>
        <w:rPr>
          <w:rStyle w:val="FootnoteAnchor"/>
          <w:rtl w:val="true"/>
        </w:rPr>
        <w:footnoteReference w:id="3648"/>
      </w:r>
      <w:r>
        <w:rPr>
          <w:rFonts w:ascii="Amiri" w:hAnsi="Amiri" w:eastAsia="Amiri" w:cs="Amiri"/>
          <w:color w:val="111111"/>
          <w:sz w:val="28"/>
          <w:sz w:val="28"/>
          <w:szCs w:val="28"/>
          <w:rtl w:val="true"/>
          <w:lang w:bidi="ar-SA"/>
        </w:rPr>
        <w:t>بالقَبيح مِنه عَلىٰ عادَتِه المُستَمِرَّةِ يَجِبُ أن نَمنَعَه</w:t>
      </w:r>
      <w:r>
        <w:rPr>
          <w:rStyle w:val="FootnoteAnchor"/>
          <w:rtl w:val="true"/>
        </w:rPr>
        <w:footnoteReference w:id="3649"/>
      </w:r>
      <w:r>
        <w:rPr>
          <w:rFonts w:ascii="Amiri" w:hAnsi="Amiri" w:eastAsia="Amiri" w:cs="Amiri"/>
          <w:color w:val="111111"/>
          <w:sz w:val="28"/>
          <w:sz w:val="28"/>
          <w:szCs w:val="28"/>
          <w:rtl w:val="true"/>
          <w:lang w:bidi="ar-SA"/>
        </w:rPr>
        <w:t>مِنَ الدُّخولِ و نَحولَ‌</w:t>
      </w:r>
      <w:r>
        <w:rPr>
          <w:rStyle w:val="FootnoteAnchor"/>
          <w:rtl w:val="true"/>
        </w:rPr>
        <w:footnoteReference w:id="3650"/>
      </w:r>
      <w:r>
        <w:rPr>
          <w:rFonts w:ascii="Amiri" w:hAnsi="Amiri" w:eastAsia="Amiri" w:cs="Amiri"/>
          <w:color w:val="111111"/>
          <w:sz w:val="28"/>
          <w:sz w:val="28"/>
          <w:szCs w:val="28"/>
          <w:rtl w:val="true"/>
          <w:lang w:bidi="ar-SA"/>
        </w:rPr>
        <w:t>بَينَه و بَينَه إذا تَمَكَّنّا مِن ذلكَ، و إن جازَ عَلىٰ أضعَفِ الوجوهِ و أبعَدِها مِنَ الظَّنِّ أن يَكونَ دَخَلَ للإنكارِ، لا لِشُربِ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رَأَينا مَن جَرَت عادَتُه بالصِّيانَةِ و الدِّيانَةِ و إنكارِ المُنكَرِ يَدخُلُ بَيتَ خَمّارٍ، فإنَّه لا يَحسُنُ مَنعُهُ مِنَ الدُّخولِ؛ لأنَّ الظَّنَّ يَسبِقُ و يَغلِبُ أنَّه لَم يَدخُل إلّالوَجهٍ يَقتَضيهِ الدِّينُ؛ إمّا الإنكارِ</w:t>
      </w:r>
      <w:r>
        <w:rPr>
          <w:rStyle w:val="FootnoteAnchor"/>
          <w:rtl w:val="true"/>
        </w:rPr>
        <w:footnoteReference w:id="3651"/>
      </w:r>
      <w:r>
        <w:rPr>
          <w:rFonts w:ascii="Amiri" w:hAnsi="Amiri" w:eastAsia="Amiri" w:cs="Amiri"/>
          <w:color w:val="111111"/>
          <w:sz w:val="28"/>
          <w:sz w:val="28"/>
          <w:szCs w:val="28"/>
          <w:rtl w:val="true"/>
          <w:lang w:bidi="ar-SA"/>
        </w:rPr>
        <w:t>، أو غَيرِه</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رَأَينا داخِلاً لا نَعرِفُ‌</w:t>
      </w:r>
      <w:r>
        <w:rPr>
          <w:rStyle w:val="FootnoteAnchor"/>
          <w:rtl w:val="true"/>
        </w:rPr>
        <w:footnoteReference w:id="3652"/>
      </w:r>
      <w:r>
        <w:rPr>
          <w:rFonts w:ascii="Amiri" w:hAnsi="Amiri" w:eastAsia="Amiri" w:cs="Amiri"/>
          <w:color w:val="111111"/>
          <w:sz w:val="28"/>
          <w:sz w:val="28"/>
          <w:szCs w:val="28"/>
          <w:rtl w:val="true"/>
          <w:lang w:bidi="ar-SA"/>
        </w:rPr>
        <w:t>له عادَةً حُسنىٰ‌</w:t>
      </w:r>
      <w:r>
        <w:rPr>
          <w:rStyle w:val="FootnoteAnchor"/>
          <w:rtl w:val="true"/>
        </w:rPr>
        <w:footnoteReference w:id="3653"/>
      </w:r>
      <w:r>
        <w:rPr>
          <w:rFonts w:ascii="Amiri" w:hAnsi="Amiri" w:eastAsia="Amiri" w:cs="Amiri"/>
          <w:color w:val="111111"/>
          <w:sz w:val="28"/>
          <w:sz w:val="28"/>
          <w:szCs w:val="28"/>
          <w:rtl w:val="true"/>
          <w:lang w:bidi="ar-SA"/>
        </w:rPr>
        <w:t>و لا سُوأىٰ‌</w:t>
      </w:r>
      <w:r>
        <w:rPr>
          <w:rStyle w:val="FootnoteAnchor"/>
          <w:rtl w:val="true"/>
        </w:rPr>
        <w:footnoteReference w:id="3654"/>
      </w:r>
      <w:r>
        <w:rPr>
          <w:rFonts w:ascii="Amiri" w:hAnsi="Amiri" w:eastAsia="Amiri" w:cs="Amiri"/>
          <w:color w:val="111111"/>
          <w:sz w:val="28"/>
          <w:sz w:val="28"/>
          <w:szCs w:val="28"/>
          <w:rtl w:val="true"/>
          <w:lang w:bidi="ar-SA"/>
        </w:rPr>
        <w:t>، تَوَقَّفنا</w:t>
      </w:r>
      <w:r>
        <w:rPr>
          <w:rStyle w:val="FootnoteAnchor"/>
          <w:rtl w:val="true"/>
        </w:rPr>
        <w:footnoteReference w:id="3655"/>
      </w:r>
      <w:r>
        <w:rPr>
          <w:rFonts w:ascii="Amiri" w:hAnsi="Amiri" w:eastAsia="Amiri" w:cs="Amiri"/>
          <w:color w:val="111111"/>
          <w:sz w:val="28"/>
          <w:sz w:val="28"/>
          <w:szCs w:val="28"/>
          <w:rtl w:val="true"/>
          <w:lang w:bidi="ar-SA"/>
        </w:rPr>
        <w:t xml:space="preserve">أيضاً عَن </w:t>
      </w:r>
      <w:bookmarkStart w:id="1481" w:name="pg16437_173036"/>
    </w:p>
    <w:p>
      <w:pPr>
        <w:pStyle w:val="BookText"/>
        <w:rPr/>
      </w:pPr>
      <w:bookmarkEnd w:id="1481"/>
      <w:r>
        <w:rPr>
          <w:rFonts w:ascii="Amiri" w:hAnsi="Amiri" w:eastAsia="Amiri" w:cs="Amiri"/>
          <w:color w:val="111111"/>
          <w:sz w:val="28"/>
          <w:sz w:val="28"/>
          <w:szCs w:val="28"/>
          <w:rtl w:val="true"/>
          <w:lang w:bidi="ar-SA"/>
        </w:rPr>
        <w:t>مَنعِه؛ لأَنَّه يَجوزُ</w:t>
      </w:r>
      <w:r>
        <w:rPr>
          <w:rStyle w:val="FootnoteAnchor"/>
          <w:rtl w:val="true"/>
        </w:rPr>
        <w:footnoteReference w:id="3656"/>
      </w:r>
      <w:r>
        <w:rPr>
          <w:rFonts w:ascii="Amiri" w:hAnsi="Amiri" w:eastAsia="Amiri" w:cs="Amiri"/>
          <w:color w:val="111111"/>
          <w:sz w:val="28"/>
          <w:sz w:val="28"/>
          <w:szCs w:val="28"/>
          <w:rtl w:val="true"/>
          <w:lang w:bidi="ar-SA"/>
        </w:rPr>
        <w:t>أن يَكونَ الدُّخولُ لوَجهٍ جَميلٍ، و لا أمارةَ لِلقَبيحِ ظاهرَةٌ</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8040519_1280447820"/>
      <w:bookmarkStart w:id="1483" w:name="_Toc534"/>
      <w:bookmarkEnd w:id="1482"/>
      <w:r>
        <w:rPr>
          <w:rtl w:val="true"/>
        </w:rPr>
        <w:t>جواز توصُّل المتولّي المحِقّ إلىٰ منافع الدنيا عَرَضاً</w:t>
      </w:r>
      <w:bookmarkEnd w:id="1483"/>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القَولُ فيمَن تَوَلّىٰ‌</w:t>
      </w:r>
      <w:r>
        <w:rPr>
          <w:rStyle w:val="FootnoteAnchor"/>
          <w:rtl w:val="true"/>
        </w:rPr>
        <w:footnoteReference w:id="3657"/>
      </w:r>
      <w:r>
        <w:rPr>
          <w:rFonts w:ascii="Amiri" w:hAnsi="Amiri" w:eastAsia="Amiri" w:cs="Amiri"/>
          <w:color w:val="111111"/>
          <w:sz w:val="28"/>
          <w:sz w:val="28"/>
          <w:szCs w:val="28"/>
          <w:rtl w:val="true"/>
          <w:lang w:bidi="ar-SA"/>
        </w:rPr>
        <w:t>للظالِمِ و غَرَضُه أن يَتِمَّ لَه بهذِه الوِلايةِ الأمرُ بالمَعروفِ و النَّهيُ عَنِ المُنكَرِ، و جَمَعَ بَينَ هذا الغَرَضِ و بَينَ الوُصولِ إلى بَعضِ مَنافِعِ الدُّنيا؛ إمّا عَلىٰ وَجهِ القُبحِ، أو</w:t>
      </w:r>
      <w:r>
        <w:rPr>
          <w:rStyle w:val="FootnoteAnchor"/>
          <w:rtl w:val="true"/>
        </w:rPr>
        <w:footnoteReference w:id="3658"/>
      </w:r>
      <w:r>
        <w:rPr>
          <w:rFonts w:ascii="Amiri" w:hAnsi="Amiri" w:eastAsia="Amiri" w:cs="Amiri"/>
          <w:color w:val="111111"/>
          <w:sz w:val="28"/>
          <w:sz w:val="28"/>
          <w:szCs w:val="28"/>
          <w:rtl w:val="true"/>
          <w:lang w:bidi="ar-SA"/>
        </w:rPr>
        <w:t>وَجهِ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خُلوصِ الفِعلِ لبَعضِ الأغراضِ أن يَكونَ لَولا ذلكَ الغَرَضُ لَما فَعَلَه و أقدَمَ عَلَيه، و إن جازَ أن يَكونَ فيه أغراضٌ أُخَرُ</w:t>
      </w:r>
      <w:r>
        <w:rPr>
          <w:rStyle w:val="FootnoteAnchor"/>
          <w:rtl w:val="true"/>
        </w:rPr>
        <w:footnoteReference w:id="3659"/>
      </w:r>
      <w:r>
        <w:rPr>
          <w:rFonts w:ascii="Amiri" w:hAnsi="Amiri" w:eastAsia="Amiri" w:cs="Amiri"/>
          <w:color w:val="111111"/>
          <w:sz w:val="28"/>
          <w:sz w:val="28"/>
          <w:szCs w:val="28"/>
          <w:rtl w:val="true"/>
          <w:lang w:bidi="ar-SA"/>
        </w:rPr>
        <w:t>لَيس هذا حُكمَها</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هذا المُتَوَلِّي لَوِ انفَرَدَتِ الوِلايَةُ بالأغراضِ الدِّينيّةِ و زالَت عَنها الأغراضُ الدُّنيويَّةُ لَكانَ يَتَولّاها و يَدخُلُ فيها، و لَو انفَرَدَت عَن أغراضِ الدِّينِ بأغراضِ الدُّنيا لَم يُقدِم عَلَيها؛ فهذا</w:t>
      </w:r>
      <w:r>
        <w:rPr>
          <w:rStyle w:val="FootnoteAnchor"/>
          <w:rtl w:val="true"/>
        </w:rPr>
        <w:footnoteReference w:id="3660"/>
      </w:r>
      <w:r>
        <w:rPr>
          <w:rFonts w:ascii="Amiri" w:hAnsi="Amiri" w:eastAsia="Amiri" w:cs="Amiri"/>
          <w:color w:val="111111"/>
          <w:sz w:val="28"/>
          <w:sz w:val="28"/>
          <w:szCs w:val="28"/>
          <w:rtl w:val="true"/>
          <w:lang w:bidi="ar-SA"/>
        </w:rPr>
        <w:t>دَليلٌ عَلىٰ أنَّ غَرَضَه فيها</w:t>
      </w:r>
      <w:r>
        <w:rPr>
          <w:rStyle w:val="FootnoteAnchor"/>
          <w:rtl w:val="true"/>
        </w:rPr>
        <w:footnoteReference w:id="3661"/>
      </w:r>
      <w:r>
        <w:rPr>
          <w:rFonts w:ascii="Amiri" w:hAnsi="Amiri" w:eastAsia="Amiri" w:cs="Amiri"/>
          <w:color w:val="111111"/>
          <w:sz w:val="28"/>
          <w:sz w:val="28"/>
          <w:szCs w:val="28"/>
          <w:rtl w:val="true"/>
          <w:lang w:bidi="ar-SA"/>
        </w:rPr>
        <w:t>هوَ ما</w:t>
      </w:r>
      <w:r>
        <w:rPr>
          <w:rStyle w:val="FootnoteAnchor"/>
          <w:rtl w:val="true"/>
        </w:rPr>
        <w:footnoteReference w:id="3662"/>
      </w:r>
      <w:r>
        <w:rPr>
          <w:rFonts w:ascii="Amiri" w:hAnsi="Amiri" w:eastAsia="Amiri" w:cs="Amiri"/>
          <w:color w:val="111111"/>
          <w:sz w:val="28"/>
          <w:sz w:val="28"/>
          <w:szCs w:val="28"/>
          <w:rtl w:val="true"/>
          <w:lang w:bidi="ar-SA"/>
        </w:rPr>
        <w:t>يَرجِعُ إلى الدِّينِ، و إن جازَ أن يَجتَمِعَ إليه غَيرُه مِمّا لا يَكونُ هوَ المَقصودَ؛ و إن كانَ الأمرُ بالعَكسِ مِن هذا</w:t>
      </w:r>
      <w:r>
        <w:rPr>
          <w:rStyle w:val="FootnoteAnchor"/>
          <w:rtl w:val="true"/>
        </w:rPr>
        <w:footnoteReference w:id="3663"/>
      </w:r>
      <w:r>
        <w:rPr>
          <w:rFonts w:ascii="Amiri" w:hAnsi="Amiri" w:eastAsia="Amiri" w:cs="Amiri"/>
          <w:color w:val="111111"/>
          <w:sz w:val="28"/>
          <w:sz w:val="28"/>
          <w:szCs w:val="28"/>
          <w:rtl w:val="true"/>
          <w:lang w:bidi="ar-SA"/>
        </w:rPr>
        <w:t>، فالغَرَضُ الخالِصُ المَقصودُ</w:t>
      </w:r>
      <w:r>
        <w:rPr>
          <w:rStyle w:val="FootnoteAnchor"/>
          <w:rtl w:val="true"/>
        </w:rPr>
        <w:footnoteReference w:id="3664"/>
      </w:r>
      <w:r>
        <w:rPr>
          <w:rFonts w:ascii="Amiri" w:hAnsi="Amiri" w:eastAsia="Amiri" w:cs="Amiri"/>
          <w:color w:val="111111"/>
          <w:sz w:val="28"/>
          <w:sz w:val="28"/>
          <w:szCs w:val="28"/>
          <w:rtl w:val="true"/>
          <w:lang w:bidi="ar-SA"/>
        </w:rPr>
        <w:t>هوَ الراجِعُ إلى الدُّنيا؛ فحينَئذٍ تَقبُحُ‌</w:t>
      </w:r>
      <w:r>
        <w:rPr>
          <w:rStyle w:val="FootnoteAnchor"/>
          <w:rtl w:val="true"/>
        </w:rPr>
        <w:footnoteReference w:id="3665"/>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bookmarkStart w:id="1484" w:name="pg16437_173037"/>
    </w:p>
    <w:p>
      <w:pPr>
        <w:pStyle w:val="Heading5"/>
        <w:numPr>
          <w:ilvl w:val="4"/>
          <w:numId w:val="1"/>
        </w:numPr>
        <w:rPr/>
      </w:pPr>
      <w:bookmarkStart w:id="1485" w:name="__RefHeading___Toc8040521_1280447820"/>
      <w:bookmarkStart w:id="1486" w:name="_Toc535"/>
      <w:bookmarkEnd w:id="1484"/>
      <w:bookmarkEnd w:id="1485"/>
      <w:r>
        <w:rPr>
          <w:rtl w:val="true"/>
        </w:rPr>
        <w:t>مَعنىٰ حَديثٍ عنِ الصادِقِ عليه السلام حولَ كفّارةِ العملِ مع السلطانِ‌</w:t>
      </w:r>
      <w:bookmarkEnd w:id="1486"/>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الوَجهُ فيما يُروىٰ‌</w:t>
      </w:r>
      <w:r>
        <w:rPr>
          <w:rStyle w:val="FootnoteAnchor"/>
          <w:rtl w:val="true"/>
        </w:rPr>
        <w:footnoteReference w:id="3666"/>
      </w:r>
      <w:r>
        <w:rPr>
          <w:rFonts w:ascii="Amiri" w:hAnsi="Amiri" w:eastAsia="Amiri" w:cs="Amiri"/>
          <w:color w:val="111111"/>
          <w:sz w:val="28"/>
          <w:sz w:val="28"/>
          <w:szCs w:val="28"/>
          <w:rtl w:val="true"/>
          <w:lang w:bidi="ar-SA"/>
        </w:rPr>
        <w:t>عنِ الصادقِ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العَمَلِ معَ السُّلطانِ قَضاءُ حاجاتِ‌</w:t>
      </w:r>
      <w:r>
        <w:rPr>
          <w:rStyle w:val="FootnoteAnchor"/>
          <w:rtl w:val="true"/>
        </w:rPr>
        <w:footnoteReference w:id="3667"/>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w:t>
      </w:r>
      <w:r>
        <w:rPr>
          <w:rStyle w:val="FootnoteAnchor"/>
          <w:rtl w:val="true"/>
        </w:rPr>
        <w:footnoteReference w:id="3668"/>
      </w:r>
      <w:r>
        <w:rPr>
          <w:rFonts w:ascii="Amiri" w:hAnsi="Amiri" w:eastAsia="Amiri" w:cs="Amiri"/>
          <w:color w:val="111111"/>
          <w:sz w:val="28"/>
          <w:sz w:val="28"/>
          <w:szCs w:val="28"/>
          <w:rtl w:val="true"/>
          <w:lang w:bidi="ar-SA"/>
        </w:rPr>
        <w:t>؟ أوَ لَيسَ هذا يوجِبُ أنَّ العَمَلَ مِن قِبَلِه مَعصيةٌ و ذَنبٌ حتّىٰ يُحتاجُ إلَى الكَفّارةِ عَنها؟ و قَد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تَكونُ في بَعضِ الأحوالِ حَسَنةً و واجِبةً‌</w:t>
      </w:r>
      <w:r>
        <w:rPr>
          <w:rStyle w:val="FootnoteAnchor"/>
          <w:rtl w:val="true"/>
        </w:rPr>
        <w:footnoteReference w:id="366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علَيه السلامُ أرادَ بذلكَ أنَّ قَضاءَ حاجاتِ الإخوانِ يُخرِجُ الوِلايَةَ مِن القُبحِ إلى الحُسنِ، و يَقتَضي تَعَرِّيَها</w:t>
      </w:r>
      <w:r>
        <w:rPr>
          <w:rStyle w:val="FootnoteAnchor"/>
          <w:rtl w:val="true"/>
        </w:rPr>
        <w:footnoteReference w:id="3670"/>
      </w:r>
      <w:r>
        <w:rPr>
          <w:rFonts w:ascii="Amiri" w:hAnsi="Amiri" w:eastAsia="Amiri" w:cs="Amiri"/>
          <w:color w:val="111111"/>
          <w:sz w:val="28"/>
          <w:sz w:val="28"/>
          <w:szCs w:val="28"/>
          <w:rtl w:val="true"/>
          <w:lang w:bidi="ar-SA"/>
        </w:rPr>
        <w:t>مِن جِهَةِ اللَّومِ، كما أنَّ الكَفّارَةَ تُسقِطُ اللَّومَ عَن مُرتَكِبِ ما يقَتَضيها؛ فأرادَ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قَضاءَ حاجاتِ الإخوانِ‌</w:t>
      </w:r>
      <w:r>
        <w:rPr>
          <w:rStyle w:val="FootnoteAnchor"/>
          <w:rtl w:val="true"/>
        </w:rPr>
        <w:footnoteReference w:id="3671"/>
      </w:r>
      <w:r>
        <w:rPr>
          <w:rFonts w:ascii="Amiri" w:hAnsi="Amiri" w:eastAsia="Amiri" w:cs="Amiri"/>
          <w:color w:val="111111"/>
          <w:sz w:val="28"/>
          <w:sz w:val="28"/>
          <w:szCs w:val="28"/>
          <w:rtl w:val="true"/>
          <w:lang w:bidi="ar-SA"/>
        </w:rPr>
        <w:t>يُدخِلُها في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كَفّارةً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أيضاً أن يُريدَ بِذلكَ مَن تَوَلّىٰ للسُّلطانِ‌</w:t>
      </w:r>
      <w:r>
        <w:rPr>
          <w:rStyle w:val="FootnoteAnchor"/>
          <w:rtl w:val="true"/>
        </w:rPr>
        <w:footnoteReference w:id="3672"/>
      </w:r>
      <w:r>
        <w:rPr>
          <w:rFonts w:ascii="Amiri" w:hAnsi="Amiri" w:eastAsia="Amiri" w:cs="Amiri"/>
          <w:color w:val="111111"/>
          <w:sz w:val="28"/>
          <w:sz w:val="28"/>
          <w:szCs w:val="28"/>
          <w:rtl w:val="true"/>
          <w:lang w:bidi="ar-SA"/>
        </w:rPr>
        <w:t>الظالِمِ، و هوَ لا يَقصِدُ بهذه الوِلايةِ التَّمكينَ مِن إقامَةِ‌</w:t>
      </w:r>
      <w:r>
        <w:rPr>
          <w:rStyle w:val="FootnoteAnchor"/>
          <w:rtl w:val="true"/>
        </w:rPr>
        <w:footnoteReference w:id="3673"/>
      </w:r>
      <w:r>
        <w:rPr>
          <w:rFonts w:ascii="Amiri" w:hAnsi="Amiri" w:eastAsia="Amiri" w:cs="Amiri"/>
          <w:color w:val="111111"/>
          <w:sz w:val="28"/>
          <w:sz w:val="28"/>
          <w:szCs w:val="28"/>
          <w:rtl w:val="true"/>
          <w:lang w:bidi="ar-SA"/>
        </w:rPr>
        <w:t>الحَقِّ و دَفعِ الباطِلِ، ثُمّ قَضىٰ بَعدَ ذلكَ حاجاتِ الإخوانِ عَلىٰ وَجهٍ يَحسُنُ‌</w:t>
      </w:r>
      <w:r>
        <w:rPr>
          <w:rStyle w:val="FootnoteAnchor"/>
          <w:rtl w:val="true"/>
        </w:rPr>
        <w:footnoteReference w:id="3674"/>
      </w:r>
      <w:r>
        <w:rPr>
          <w:rFonts w:ascii="Amiri" w:hAnsi="Amiri" w:eastAsia="Amiri" w:cs="Amiri"/>
          <w:color w:val="111111"/>
          <w:sz w:val="28"/>
          <w:sz w:val="28"/>
          <w:szCs w:val="28"/>
          <w:rtl w:val="true"/>
          <w:lang w:bidi="ar-SA"/>
        </w:rPr>
        <w:t xml:space="preserve">و يَستَحِقُّ الثَّوابَ و الشُّكرَ؛ فهذه الوِلايةُ وَقَعَت في الأصلِ </w:t>
      </w:r>
    </w:p>
    <w:p>
      <w:pPr>
        <w:pStyle w:val="BookText"/>
        <w:rPr/>
      </w:pPr>
      <w:r>
        <w:rPr>
          <w:rFonts w:ascii="Amiri" w:hAnsi="Amiri" w:eastAsia="Amiri" w:cs="Amiri"/>
          <w:color w:val="111111"/>
          <w:sz w:val="28"/>
          <w:sz w:val="28"/>
          <w:szCs w:val="28"/>
          <w:rtl w:val="true"/>
          <w:lang w:bidi="ar-SA"/>
        </w:rPr>
        <w:t>قَبيحةً‌</w:t>
      </w:r>
      <w:r>
        <w:rPr>
          <w:rStyle w:val="FootnoteAnchor"/>
          <w:rtl w:val="true"/>
        </w:rPr>
        <w:footnoteReference w:id="3675"/>
      </w:r>
      <w:r>
        <w:rPr>
          <w:rFonts w:ascii="Amiri" w:hAnsi="Amiri" w:eastAsia="Amiri" w:cs="Amiri"/>
          <w:color w:val="111111"/>
          <w:sz w:val="28"/>
          <w:sz w:val="28"/>
          <w:szCs w:val="28"/>
          <w:rtl w:val="true"/>
          <w:lang w:bidi="ar-SA"/>
        </w:rPr>
        <w:t>، و يَجوزُ أن يَسقُطَ عِقابُها و يَتَمَحَّصَ عَن فاعِلِها بأن يَفعَلَ طاعةً قَصَدَها، و تَكونَ‌</w:t>
      </w:r>
      <w:r>
        <w:rPr>
          <w:rStyle w:val="FootnoteAnchor"/>
          <w:rtl w:val="true"/>
        </w:rPr>
        <w:footnoteReference w:id="3676"/>
      </w:r>
      <w:r>
        <w:rPr>
          <w:rFonts w:ascii="Amiri" w:hAnsi="Amiri" w:eastAsia="Amiri" w:cs="Amiri"/>
          <w:color w:val="111111"/>
          <w:sz w:val="28"/>
          <w:sz w:val="28"/>
          <w:szCs w:val="28"/>
          <w:rtl w:val="true"/>
          <w:lang w:bidi="ar-SA"/>
        </w:rPr>
        <w:t>تِلكَ الطاعةُ هيَ قَضاءَ حاجاتِ الإخوانِ‌</w:t>
      </w:r>
      <w:r>
        <w:rPr>
          <w:rStyle w:val="FootnoteAnchor"/>
          <w:rtl w:val="true"/>
        </w:rPr>
        <w:footnoteReference w:id="3677"/>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كثيراً</w:t>
      </w:r>
      <w:r>
        <w:rPr>
          <w:rStyle w:val="FootnoteAnchor"/>
          <w:rtl w:val="true"/>
        </w:rPr>
        <w:footnoteReference w:id="3678"/>
      </w:r>
      <w:r>
        <w:rPr>
          <w:rFonts w:ascii="Amiri" w:hAnsi="Amiri" w:eastAsia="Amiri" w:cs="Amiri"/>
          <w:color w:val="111111"/>
          <w:sz w:val="28"/>
          <w:sz w:val="28"/>
          <w:szCs w:val="28"/>
          <w:rtl w:val="true"/>
          <w:lang w:bidi="ar-SA"/>
        </w:rPr>
        <w:t>، و الصَّلاةُ عَلىٰ مُحمّدٍ و آلِه الطاهِرينَ‌</w:t>
      </w:r>
      <w:r>
        <w:rPr>
          <w:rStyle w:val="FootnoteAnchor"/>
          <w:rtl w:val="true"/>
        </w:rPr>
        <w:footnoteReference w:id="3679"/>
      </w:r>
      <w:r>
        <w:rPr>
          <w:rFonts w:eastAsia="Times New Roman" w:cs="Times New Roman" w:ascii="Times New Roman" w:hAnsi="Times New Roman"/>
          <w:color w:val="111111"/>
          <w:sz w:val="28"/>
          <w:szCs w:val="28"/>
          <w:rtl w:val="true"/>
          <w:lang w:val="en-US" w:bidi="en-US"/>
        </w:rPr>
        <w:t xml:space="preserve">. </w:t>
      </w:r>
      <w:bookmarkStart w:id="1487" w:name="pg16437_173039"/>
    </w:p>
    <w:p>
      <w:pPr>
        <w:pStyle w:val="Heading3"/>
        <w:numPr>
          <w:ilvl w:val="2"/>
          <w:numId w:val="1"/>
        </w:numPr>
        <w:rPr/>
      </w:pPr>
      <w:bookmarkStart w:id="1488" w:name="__RefHeading___Toc8040523_1280447820"/>
      <w:bookmarkStart w:id="1489" w:name="_Toc536"/>
      <w:bookmarkEnd w:id="1487"/>
      <w:bookmarkEnd w:id="1488"/>
      <w:r>
        <w:rPr>
          <w:rtl w:val="true"/>
        </w:rPr>
        <w:t>(</w:t>
      </w:r>
      <w:r>
        <w:rPr/>
        <w:t>98</w:t>
      </w:r>
      <w:r>
        <w:rPr>
          <w:rtl w:val="true"/>
        </w:rPr>
        <w:t xml:space="preserve">) </w:t>
      </w:r>
      <w:r>
        <w:rPr>
          <w:rtl w:val="true"/>
        </w:rPr>
        <w:t>مسألةٌ في حُكمِ أموالِ السلطانِ‌</w:t>
      </w:r>
      <w:bookmarkEnd w:id="1489"/>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0" w:name="__RefHeading___Toc8040525_1280447820"/>
      <w:bookmarkStart w:id="1491" w:name="_Toc537"/>
      <w:bookmarkEnd w:id="1490"/>
      <w:r>
        <w:rPr>
          <w:rtl w:val="true"/>
        </w:rPr>
        <w:t>اشارة</w:t>
      </w:r>
      <w:bookmarkEnd w:id="1491"/>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2" w:name="pg16437_173041"/>
      <w:bookmarkStart w:id="1493" w:name="pg16437_173041"/>
      <w:bookmarkEnd w:id="1493"/>
    </w:p>
    <w:p>
      <w:pPr>
        <w:pStyle w:val="Heading4"/>
        <w:numPr>
          <w:ilvl w:val="3"/>
          <w:numId w:val="1"/>
        </w:numPr>
        <w:rPr/>
      </w:pPr>
      <w:bookmarkStart w:id="1494" w:name="pg16437_173041"/>
      <w:bookmarkStart w:id="1495" w:name="__RefHeading___Toc8040527_1280447820"/>
      <w:bookmarkStart w:id="1496" w:name="_Toc538"/>
      <w:bookmarkEnd w:id="1494"/>
      <w:bookmarkEnd w:id="1495"/>
      <w:r>
        <w:rPr>
          <w:rtl w:val="true"/>
        </w:rPr>
        <w:t>مقدّمة التحقيق</w:t>
      </w:r>
      <w:bookmarkEnd w:id="1496"/>
    </w:p>
    <w:p>
      <w:pPr>
        <w:pStyle w:val="Heading5"/>
        <w:numPr>
          <w:ilvl w:val="4"/>
          <w:numId w:val="1"/>
        </w:numPr>
        <w:rPr/>
      </w:pPr>
      <w:bookmarkStart w:id="1497" w:name="__RefHeading___Toc8040529_1280447820"/>
      <w:bookmarkStart w:id="1498" w:name="_Toc539"/>
      <w:bookmarkEnd w:id="1497"/>
      <w:r>
        <w:rPr>
          <w:rtl w:val="true"/>
        </w:rPr>
        <w:t>اشارة</w:t>
      </w:r>
      <w:bookmarkEnd w:id="1498"/>
    </w:p>
    <w:p>
      <w:pPr>
        <w:pStyle w:val="BookText"/>
        <w:rPr/>
      </w:pPr>
      <w:r>
        <w:rPr>
          <w:rFonts w:ascii="Amiri" w:hAnsi="Amiri" w:eastAsia="Amiri" w:cs="Amiri"/>
          <w:color w:val="111111"/>
          <w:sz w:val="28"/>
          <w:sz w:val="28"/>
          <w:szCs w:val="28"/>
          <w:rtl w:val="true"/>
          <w:lang w:bidi="ar-SA"/>
        </w:rPr>
        <w:t xml:space="preserve">تمكّن الشيعة بعد عقود طويلة من التهميش و الاعتزال السياسي من الصعود إلى أعلى سُلّم المناصب الحكوميّة في الدولة العبّاسيّة، من أمثال بني فرات و بني نوبخت و البريديين؛ كما اشتهر منهم شخصيّات علميّة و أدبيّة بارزة وصلت إلى الوزارة أيضاً، مثل الوزير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لوصول البويهيّين الشيعة إلى سدّة الحكم، و فرض نفوذهم على قلب الدولة العبّاسيّة دور مهمّ في زيادة هذا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الارتباط الجديد للشيعة بالدولة، و الذي أخذ يتأصّل يوماً فيوماً أدّى إلى طرح تساؤلات فقهيّة حول جواز التولّي للسلطان الظالم، أو أخذ المال منه، و غير ذلك من المسائل المهمّة؛ فعلى الرغم من صعود الشيعة إلى مناصب حسّاسة في الدولة، إلّاأنّه على أيّ حال كان ما يزال الخليفة من بني العبّاس، و هم برأي الشيعة من سلاطين الجور، إضافة إلى أنّ بعض الشيعة ممّن كان قد انخرط في سلك الدولة ما كان عادلاً، بل كان يسعى وراء الدنيا، و كان مستعدّاً لفعل كلّ شيء للبقاء في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كلّ هذا أدّى إلى طرح تلك التساؤلات على علماء الشيعة حول طبيعة الارتباط مع الدولة</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عادة الشريف المرتضى عند الإجابة على مثل هذا النوع من التساؤلات أن يقوم بتشقيق الشقوق و الفروض، و عدم إعطاء حكم عامّ في المسألة؛ لذلك صار التولّي للسلطان عنده محرّماً تارة، و مباحاً أُخرى، و واجباً ثالثة، كما جاء ذلك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مع السلطان</w:t>
      </w:r>
      <w:r>
        <w:rPr>
          <w:rFonts w:eastAsia="Amiri" w:cs="Amiri" w:ascii="Amiri" w:hAnsi="Amiri"/>
          <w:color w:val="111111"/>
          <w:sz w:val="28"/>
          <w:szCs w:val="28"/>
          <w:rtl w:val="true"/>
          <w:lang w:bidi="ar-SA"/>
        </w:rPr>
        <w:t xml:space="preserve">». </w:t>
      </w:r>
      <w:bookmarkStart w:id="1499" w:name="pg16437_173042"/>
    </w:p>
    <w:p>
      <w:pPr>
        <w:pStyle w:val="BookText"/>
        <w:rPr/>
      </w:pPr>
      <w:bookmarkEnd w:id="1499"/>
      <w:r>
        <w:rPr>
          <w:rFonts w:ascii="Amiri" w:hAnsi="Amiri" w:eastAsia="Amiri" w:cs="Amiri"/>
          <w:color w:val="111111"/>
          <w:sz w:val="28"/>
          <w:sz w:val="28"/>
          <w:szCs w:val="28"/>
          <w:rtl w:val="true"/>
          <w:lang w:bidi="ar-SA"/>
        </w:rPr>
        <w:t>و في الرسالة محلّ بحثنا سُئل الشريف المرتضى عن حكم ما يحصل عليه الشخص من أموال السلطان، فأجاب بتشقيق الشقوق أيضاً، و قسّم المال المأخوذ من السلطان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حرام، و ذلك كالأموال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مباح، و ذلك كالمال الذي يُهدى إلى السلطان عن طيب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و هو المال المختلط بالحرام، بحيث لا يتميّز الحلال فيه من الحرام؛ و قد اختار الشريف المرتضى في هذه المسألة الحظر، و أنّ التنزّه عنه أولى، فيما أباحه أكثر الفقهاء، كما صرّح هو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مجموعة رسائل تحمل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w:t>
      </w:r>
    </w:p>
    <w:p>
      <w:pPr>
        <w:pStyle w:val="Heading5"/>
        <w:numPr>
          <w:ilvl w:val="4"/>
          <w:numId w:val="1"/>
        </w:numPr>
        <w:rPr/>
      </w:pPr>
      <w:bookmarkStart w:id="1500" w:name="__RefHeading___Toc8040531_1280447820"/>
      <w:bookmarkStart w:id="1501" w:name="_Toc540"/>
      <w:bookmarkEnd w:id="1500"/>
      <w:r>
        <w:rPr>
          <w:rtl w:val="true"/>
        </w:rPr>
        <w:t>مخطوطات الرسالة</w:t>
      </w:r>
      <w:bookmarkEnd w:id="15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المحقّق البروجردي رحمه اللّٰه،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1502" w:name="pg16437_173043"/>
    </w:p>
    <w:p>
      <w:pPr>
        <w:pStyle w:val="Heading4"/>
        <w:numPr>
          <w:ilvl w:val="3"/>
          <w:numId w:val="1"/>
        </w:numPr>
        <w:rPr/>
      </w:pPr>
      <w:bookmarkStart w:id="1503" w:name="__RefHeading___Toc8040533_1280447820"/>
      <w:bookmarkStart w:id="1504" w:name="_Toc541"/>
      <w:bookmarkEnd w:id="1502"/>
      <w:bookmarkEnd w:id="1503"/>
      <w:r>
        <w:rPr>
          <w:rtl w:val="true"/>
        </w:rPr>
        <w:t>مسألةٌ في حُكمِ أموالِ السلطانِ‌</w:t>
      </w:r>
      <w:bookmarkEnd w:id="1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يَحِلُّ ما يَحصُلُ مِن جِهةِ السلطانِ و خَدَمَتِه إذا دَعَت إلىٰ‌</w:t>
      </w:r>
      <w:r>
        <w:rPr>
          <w:rStyle w:val="FootnoteAnchor"/>
          <w:rtl w:val="true"/>
        </w:rPr>
        <w:footnoteReference w:id="3680"/>
      </w:r>
      <w:r>
        <w:rPr>
          <w:rFonts w:ascii="Amiri" w:hAnsi="Amiri" w:eastAsia="Amiri" w:cs="Amiri"/>
          <w:color w:val="111111"/>
          <w:sz w:val="28"/>
          <w:sz w:val="28"/>
          <w:szCs w:val="28"/>
          <w:rtl w:val="true"/>
          <w:lang w:bidi="ar-SA"/>
        </w:rPr>
        <w:t>ذلكَ ضَرورةٌ؟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أموالَ السلطانِ علىٰ 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الظاهرُ أنّه حَرامٌ، كالمغصوبِ، و الجِناياتِ مِن غيرِ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أنّه مُباحٌ؛ كالمالِ الذي يُهدىٰ إليه عن</w:t>
      </w:r>
      <w:r>
        <w:rPr>
          <w:rStyle w:val="FootnoteAnchor"/>
          <w:rtl w:val="true"/>
        </w:rPr>
        <w:footnoteReference w:id="3681"/>
      </w:r>
      <w:r>
        <w:rPr>
          <w:rFonts w:ascii="Amiri" w:hAnsi="Amiri" w:eastAsia="Amiri" w:cs="Amiri"/>
          <w:color w:val="111111"/>
          <w:sz w:val="28"/>
          <w:sz w:val="28"/>
          <w:szCs w:val="28"/>
          <w:rtl w:val="true"/>
          <w:lang w:bidi="ar-SA"/>
        </w:rPr>
        <w:t xml:space="preserve">طيبِ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يَجتَبيهِ‌</w:t>
      </w:r>
      <w:r>
        <w:rPr>
          <w:rStyle w:val="FootnoteAnchor"/>
          <w:rtl w:val="true"/>
        </w:rPr>
        <w:footnoteReference w:id="3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يَبَرُّ به أقارِبَه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3683"/>
      </w:r>
      <w:r>
        <w:rPr>
          <w:rFonts w:ascii="Amiri" w:hAnsi="Amiri" w:eastAsia="Amiri" w:cs="Amiri"/>
          <w:color w:val="111111"/>
          <w:sz w:val="28"/>
          <w:sz w:val="28"/>
          <w:szCs w:val="28"/>
          <w:rtl w:val="true"/>
          <w:lang w:bidi="ar-SA"/>
        </w:rPr>
        <w:t>يَختَلِطُ فيه الحَرامُ بالحَلالِ، و لا يَتميَّزُ أحَدُهما مِن صاحبِه</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الضربُ الأوّلُ، فمحظورٌ أن يؤخَذَ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الضربُ الثاني، فمُباحٌ أَخذُه و التصرُّفُ فيه بغَيرِ خِلافٍ</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الضربُ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أَباحَ‌</w:t>
      </w:r>
      <w:r>
        <w:rPr>
          <w:rStyle w:val="FootnoteAnchor"/>
          <w:rtl w:val="true"/>
        </w:rPr>
        <w:footnoteReference w:id="3684"/>
      </w:r>
      <w:r>
        <w:rPr>
          <w:rFonts w:ascii="Amiri" w:hAnsi="Amiri" w:eastAsia="Amiri" w:cs="Amiri"/>
          <w:color w:val="111111"/>
          <w:sz w:val="28"/>
          <w:sz w:val="28"/>
          <w:szCs w:val="28"/>
          <w:rtl w:val="true"/>
          <w:lang w:bidi="ar-SA"/>
        </w:rPr>
        <w:t>أكثَرُ الفقهاءِ مع الاختلاطِ</w:t>
      </w:r>
      <w:r>
        <w:rPr>
          <w:rStyle w:val="FootnoteAnchor"/>
          <w:rtl w:val="true"/>
        </w:rPr>
        <w:footnoteReference w:id="3685"/>
      </w:r>
      <w:r>
        <w:rPr>
          <w:rFonts w:ascii="Amiri" w:hAnsi="Amiri" w:eastAsia="Amiri" w:cs="Amiri"/>
          <w:color w:val="111111"/>
          <w:sz w:val="28"/>
          <w:sz w:val="28"/>
          <w:szCs w:val="28"/>
          <w:rtl w:val="true"/>
          <w:lang w:bidi="ar-SA"/>
        </w:rPr>
        <w:t>التصرُّفَ فيه، و الأخذَ منه</w:t>
      </w:r>
      <w:r>
        <w:rPr>
          <w:rStyle w:val="FootnoteAnchor"/>
          <w:rtl w:val="true"/>
        </w:rPr>
        <w:footnoteReference w:id="3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عندي أن يَكونَ محظوراً، و التنزُّهُ عنه</w:t>
      </w:r>
      <w:r>
        <w:rPr>
          <w:rStyle w:val="FootnoteAnchor"/>
          <w:rtl w:val="true"/>
        </w:rPr>
        <w:footnoteReference w:id="3687"/>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bookmarkStart w:id="1505" w:name="pg16437_173045"/>
    </w:p>
    <w:p>
      <w:pPr>
        <w:pStyle w:val="Heading3"/>
        <w:numPr>
          <w:ilvl w:val="2"/>
          <w:numId w:val="1"/>
        </w:numPr>
        <w:rPr/>
      </w:pPr>
      <w:bookmarkStart w:id="1506" w:name="__RefHeading___Toc8040535_1280447820"/>
      <w:bookmarkStart w:id="1507" w:name="_Toc542"/>
      <w:bookmarkEnd w:id="1505"/>
      <w:bookmarkEnd w:id="1506"/>
      <w:r>
        <w:rPr>
          <w:rtl w:val="true"/>
        </w:rPr>
        <w:t>(</w:t>
      </w:r>
      <w:r>
        <w:rPr/>
        <w:t>99</w:t>
      </w:r>
      <w:r>
        <w:rPr>
          <w:rtl w:val="true"/>
        </w:rPr>
        <w:t xml:space="preserve">) </w:t>
      </w:r>
      <w:r>
        <w:rPr>
          <w:rtl w:val="true"/>
        </w:rPr>
        <w:t>مسألةٌ في وجوبِ بيانِ النوافلِ على الشرعِ، و وجهِ حُسنِها</w:t>
      </w:r>
      <w:bookmarkEnd w:id="1507"/>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8" w:name="__RefHeading___Toc8040537_1280447820"/>
      <w:bookmarkStart w:id="1509" w:name="_Toc543"/>
      <w:bookmarkEnd w:id="1508"/>
      <w:r>
        <w:rPr>
          <w:rtl w:val="true"/>
        </w:rPr>
        <w:t>اشارة</w:t>
      </w:r>
      <w:bookmarkEnd w:id="1509"/>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0" w:name="pg16437_173047"/>
      <w:bookmarkStart w:id="1511" w:name="pg16437_173047"/>
      <w:bookmarkEnd w:id="1511"/>
    </w:p>
    <w:p>
      <w:pPr>
        <w:pStyle w:val="Heading4"/>
        <w:numPr>
          <w:ilvl w:val="3"/>
          <w:numId w:val="1"/>
        </w:numPr>
        <w:rPr/>
      </w:pPr>
      <w:bookmarkStart w:id="1512" w:name="pg16437_173047"/>
      <w:bookmarkStart w:id="1513" w:name="__RefHeading___Toc8040539_1280447820"/>
      <w:bookmarkStart w:id="1514" w:name="_Toc544"/>
      <w:bookmarkEnd w:id="1512"/>
      <w:bookmarkEnd w:id="1513"/>
      <w:r>
        <w:rPr>
          <w:rtl w:val="true"/>
        </w:rPr>
        <w:t>مقدّمة التحقيق</w:t>
      </w:r>
      <w:bookmarkEnd w:id="1514"/>
    </w:p>
    <w:p>
      <w:pPr>
        <w:pStyle w:val="Heading5"/>
        <w:numPr>
          <w:ilvl w:val="4"/>
          <w:numId w:val="1"/>
        </w:numPr>
        <w:rPr/>
      </w:pPr>
      <w:bookmarkStart w:id="1515" w:name="__RefHeading___Toc8040541_1280447820"/>
      <w:bookmarkStart w:id="1516" w:name="_Toc545"/>
      <w:bookmarkEnd w:id="1515"/>
      <w:r>
        <w:rPr>
          <w:rtl w:val="true"/>
        </w:rPr>
        <w:t>اشارة</w:t>
      </w:r>
      <w:bookmarkEnd w:id="1516"/>
    </w:p>
    <w:p>
      <w:pPr>
        <w:pStyle w:val="BookText"/>
        <w:rPr/>
      </w:pPr>
      <w:r>
        <w:rPr>
          <w:rFonts w:ascii="Amiri" w:hAnsi="Amiri" w:eastAsia="Amiri" w:cs="Amiri"/>
          <w:color w:val="111111"/>
          <w:sz w:val="28"/>
          <w:sz w:val="28"/>
          <w:szCs w:val="28"/>
          <w:rtl w:val="true"/>
          <w:lang w:bidi="ar-SA"/>
        </w:rPr>
        <w:t>تعرّض الشريف المرتضى في هذه الرسالة إلى بحثين متعلّقين بالنوافل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أن يبيّن الشرعُ النوافلَ للمكلّفين؛ بما أنّ العقل لا يدرك المصلحة في النوافل، فيجب على الشرع أن يبيّن النوافل للمكلّفين، و يشرحها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هذا الوجوب هو أنّ العقل إذا بقي بمفرده فإنّه يدرك قبح النوافل، و ذلك لِمَا فيها من المشقّة، و لكن الواقع أنّ في النوافل جهات مختلفة من المصالح، فلو تُرك العقل وحده لوقع في الجهل، و لأدرك قبح شيء فيه مصلحة لم يدركها، فكان يجب على الشرع بيان النوافل لكي لا يقع العقل في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حُسن النوافل؛ قد ذكر المتكلّمون وجهين على الأقلّ لحُسن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مُسهّلة للفرائض؛ فإنّ الذي يتمرّن على فعل النوافل يكون أقرب إلى فعل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عبّر الشريف المرتضى عن هذا 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يدلّ على تضعيفه 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النوافل مُسهّلة لأمثالها من النوافل العقليّة، مثل الإحسان و التفضّل</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صاحب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النوافل مُسهّلة للفرائض و الواجبات الشرعيّة كما تقدّم في الوجه الأوّل؛ و ذلك لأنّها لو كانت مُسهّلة للواجبات الشرعيّة لصارت واجبة من باب اللطف، كما أنّ الواجبات الشرعيّة صارت واجبة </w:t>
      </w:r>
      <w:bookmarkStart w:id="1517" w:name="pg16437_173048"/>
    </w:p>
    <w:p>
      <w:pPr>
        <w:pStyle w:val="BookText"/>
        <w:rPr/>
      </w:pPr>
      <w:bookmarkEnd w:id="1517"/>
      <w:r>
        <w:rPr>
          <w:rFonts w:ascii="Amiri" w:hAnsi="Amiri" w:eastAsia="Amiri" w:cs="Amiri"/>
          <w:color w:val="111111"/>
          <w:sz w:val="28"/>
          <w:sz w:val="28"/>
          <w:szCs w:val="28"/>
          <w:rtl w:val="true"/>
          <w:lang w:bidi="ar-SA"/>
        </w:rPr>
        <w:t>لأنّها مقرّبة إلى الواجبات العقليّة، فإنّ الشرعيّات ألطاف في العقليات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يقبل الشريف المرتضى هذا الاستدلال، لكنّه لم يبيّن 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الجدير بالذكر أنّ أكثر مطالب هذه الرسالة قد ذكرها القاضي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جواب إحدى شُبه البراهمة، فلأجل اتّضاح مطالب الرسالة بصورة أفضل، يمكن مراجعة كتاب المغني</w:t>
      </w:r>
      <w:r>
        <w:rPr>
          <w:rStyle w:val="FootnoteAnchor"/>
          <w:rtl w:val="true"/>
        </w:rPr>
        <w:footnoteReference w:id="3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8" w:name="__RefHeading___Toc8040543_1280447820"/>
      <w:bookmarkStart w:id="1519" w:name="_Toc546"/>
      <w:bookmarkEnd w:id="1518"/>
      <w:r>
        <w:rPr>
          <w:rtl w:val="true"/>
        </w:rPr>
        <w:t>عنوان الرسالة</w:t>
      </w:r>
      <w:bookmarkEnd w:id="1519"/>
    </w:p>
    <w:p>
      <w:pPr>
        <w:pStyle w:val="BookText"/>
        <w:rPr/>
      </w:pPr>
      <w:r>
        <w:rPr>
          <w:rFonts w:ascii="Amiri" w:hAnsi="Amiri" w:eastAsia="Amiri" w:cs="Amiri"/>
          <w:color w:val="111111"/>
          <w:sz w:val="28"/>
          <w:sz w:val="28"/>
          <w:szCs w:val="28"/>
          <w:rtl w:val="true"/>
          <w:lang w:bidi="ar-SA"/>
        </w:rPr>
        <w:t xml:space="preserve">طبعت هذه الرسالة في ضمن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 العقل و السمع في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عنوان عامّ، لا يعبّر عن محتوى الرسالة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طبعت في ضمن مسائل المرتضى،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أنّه عنوان أجنبيّ عن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فالأفضل تسميتها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بيان النوافل على الشرع، و وجهُ حسنها</w:t>
      </w:r>
      <w:r>
        <w:rPr>
          <w:rFonts w:eastAsia="Amiri" w:cs="Amiri" w:ascii="Amiri" w:hAnsi="Amiri"/>
          <w:color w:val="111111"/>
          <w:sz w:val="28"/>
          <w:szCs w:val="28"/>
          <w:rtl w:val="true"/>
          <w:lang w:bidi="ar-SA"/>
        </w:rPr>
        <w:t>».</w:t>
      </w:r>
    </w:p>
    <w:p>
      <w:pPr>
        <w:pStyle w:val="Heading5"/>
        <w:numPr>
          <w:ilvl w:val="4"/>
          <w:numId w:val="1"/>
        </w:numPr>
        <w:rPr/>
      </w:pPr>
      <w:bookmarkStart w:id="1520" w:name="__RefHeading___Toc8040545_1280447820"/>
      <w:bookmarkStart w:id="1521" w:name="_Toc547"/>
      <w:bookmarkEnd w:id="1520"/>
      <w:r>
        <w:rPr>
          <w:rtl w:val="true"/>
        </w:rPr>
        <w:t>مخطوطات الرسالة</w:t>
      </w:r>
      <w:bookmarkEnd w:id="15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39685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39688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2" w:name="pg16437_173051"/>
      <w:bookmarkStart w:id="1523" w:name="pg16437_173051"/>
      <w:bookmarkEnd w:id="1523"/>
    </w:p>
    <w:p>
      <w:pPr>
        <w:pStyle w:val="Heading4"/>
        <w:numPr>
          <w:ilvl w:val="3"/>
          <w:numId w:val="1"/>
        </w:numPr>
        <w:rPr/>
      </w:pPr>
      <w:bookmarkStart w:id="1524" w:name="pg16437_173051"/>
      <w:bookmarkStart w:id="1525" w:name="__RefHeading___Toc8040547_1280447820"/>
      <w:bookmarkStart w:id="1526" w:name="_Toc548"/>
      <w:bookmarkEnd w:id="1524"/>
      <w:bookmarkEnd w:id="1525"/>
      <w:r>
        <w:rPr>
          <w:rtl w:val="true"/>
        </w:rPr>
        <w:t>مسألةٌ في وجوبِ بيانِ النوافلِ على الشرعِ، و وجهِ حُسنِها</w:t>
      </w:r>
      <w:bookmarkEnd w:id="1526"/>
    </w:p>
    <w:p>
      <w:pPr>
        <w:pStyle w:val="Heading5"/>
        <w:numPr>
          <w:ilvl w:val="4"/>
          <w:numId w:val="1"/>
        </w:numPr>
        <w:rPr/>
      </w:pPr>
      <w:bookmarkStart w:id="1527" w:name="__RefHeading___Toc8040549_1280447820"/>
      <w:bookmarkStart w:id="1528" w:name="_Toc549"/>
      <w:bookmarkEnd w:id="1527"/>
      <w:r>
        <w:rPr>
          <w:rtl w:val="true"/>
        </w:rPr>
        <w:t>اشارة</w:t>
      </w:r>
      <w:bookmarkEnd w:id="1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5"/>
        <w:numPr>
          <w:ilvl w:val="4"/>
          <w:numId w:val="1"/>
        </w:numPr>
        <w:rPr/>
      </w:pPr>
      <w:bookmarkStart w:id="1529" w:name="__RefHeading___Toc8040551_1280447820"/>
      <w:bookmarkStart w:id="1530" w:name="_Toc550"/>
      <w:bookmarkEnd w:id="1529"/>
      <w:r>
        <w:rPr>
          <w:rtl w:val="true"/>
        </w:rPr>
        <w:t>مسألةٌ</w:t>
      </w:r>
      <w:r>
        <w:rPr>
          <w:rtl w:val="true"/>
        </w:rPr>
        <w:t>:</w:t>
      </w:r>
      <w:bookmarkEnd w:id="1530"/>
    </w:p>
    <w:p>
      <w:pPr>
        <w:pStyle w:val="BookText"/>
        <w:rPr/>
      </w:pP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النوافلَ إنّما نَعلَمُها كذلكَ‌</w:t>
      </w:r>
      <w:r>
        <w:rPr>
          <w:rStyle w:val="FootnoteAnchor"/>
          <w:rtl w:val="true"/>
        </w:rPr>
        <w:footnoteReference w:id="3689"/>
      </w:r>
      <w:r>
        <w:rPr>
          <w:rFonts w:ascii="Amiri" w:hAnsi="Amiri" w:eastAsia="Amiri" w:cs="Amiri"/>
          <w:color w:val="111111"/>
          <w:sz w:val="28"/>
          <w:sz w:val="28"/>
          <w:szCs w:val="28"/>
          <w:rtl w:val="true"/>
          <w:lang w:bidi="ar-SA"/>
        </w:rPr>
        <w:t>بالسمعِ، و هو استحقاقُ الثوابِ عليها و أنّ تَركَها لا يُستَحَقُّ عليه العِقابُ‌</w:t>
      </w:r>
      <w:r>
        <w:rPr>
          <w:rStyle w:val="FootnoteAnchor"/>
          <w:rtl w:val="true"/>
        </w:rPr>
        <w:footnoteReference w:id="3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بيانِ أنّ السمعَ هو الكاشفُ عن ذلكَ، و أنّ العقلَ لا مَدخَلَ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قد تَقرَّرَ في العقولِ‌</w:t>
      </w:r>
      <w:r>
        <w:rPr>
          <w:rStyle w:val="FootnoteAnchor"/>
          <w:rtl w:val="true"/>
        </w:rPr>
        <w:footnoteReference w:id="3691"/>
      </w:r>
      <w:r>
        <w:rPr>
          <w:rFonts w:ascii="Amiri" w:hAnsi="Amiri" w:eastAsia="Amiri" w:cs="Amiri"/>
          <w:color w:val="111111"/>
          <w:sz w:val="28"/>
          <w:sz w:val="28"/>
          <w:szCs w:val="28"/>
          <w:rtl w:val="true"/>
          <w:lang w:bidi="ar-SA"/>
        </w:rPr>
        <w:t>كَونُها لِما فيها</w:t>
      </w:r>
      <w:r>
        <w:rPr>
          <w:rStyle w:val="FootnoteAnchor"/>
          <w:rtl w:val="true"/>
        </w:rPr>
        <w:footnoteReference w:id="3692"/>
      </w:r>
      <w:r>
        <w:rPr>
          <w:rFonts w:ascii="Amiri" w:hAnsi="Amiri" w:eastAsia="Amiri" w:cs="Amiri"/>
          <w:color w:val="111111"/>
          <w:sz w:val="28"/>
          <w:sz w:val="28"/>
          <w:szCs w:val="28"/>
          <w:rtl w:val="true"/>
          <w:lang w:bidi="ar-SA"/>
        </w:rPr>
        <w:t>مِن المَشَقّةِ قَبيحةً، فلَو لَم يَكُن فيها بعضُ وجوهِ المَصالحِ لَعُرِّضنا</w:t>
      </w:r>
      <w:r>
        <w:rPr>
          <w:rStyle w:val="FootnoteAnchor"/>
          <w:rtl w:val="true"/>
        </w:rPr>
        <w:footnoteReference w:id="3693"/>
      </w:r>
      <w:r>
        <w:rPr>
          <w:rFonts w:ascii="Amiri" w:hAnsi="Amiri" w:eastAsia="Amiri" w:cs="Amiri"/>
          <w:color w:val="111111"/>
          <w:sz w:val="28"/>
          <w:sz w:val="28"/>
          <w:szCs w:val="28"/>
          <w:rtl w:val="true"/>
          <w:lang w:bidi="ar-SA"/>
        </w:rPr>
        <w:t>لاعتقادٍ يَجري مَجرَى الجهلِ؛ لأنّه كانَ يَجِبُ لَولا البيانُ أن نَعتَقِدَها قَبيحةً مِنّا، و مِن حَقِّها أن تَكونَ حَسَنةً</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الذي ذُكِرَ في 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مُسهِّلةٌ للفَرائضِ، فكأنّ المُكلَّفَ إذا مَرَنَ‌</w:t>
      </w:r>
      <w:r>
        <w:rPr>
          <w:rStyle w:val="FootnoteAnchor"/>
          <w:rtl w:val="true"/>
        </w:rPr>
        <w:footnoteReference w:id="3694"/>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فعلِها و اعتادَها يَكونُ إقدامُه علَى الواجبِ أسهَلَ و علَى النِّفارِ مِن فعلِه أبعَدَ، فيَكونُ وجهاً مُقوّياً داعياً إلىٰ فعلِ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وَرَدَ الشرعُ في أن نأمُرَ</w:t>
      </w:r>
      <w:r>
        <w:rPr>
          <w:rStyle w:val="FootnoteAnchor"/>
          <w:rtl w:val="true"/>
        </w:rPr>
        <w:footnoteReference w:id="3695"/>
      </w:r>
      <w:r>
        <w:rPr>
          <w:rFonts w:ascii="Amiri" w:hAnsi="Amiri" w:eastAsia="Amiri" w:cs="Amiri"/>
          <w:color w:val="111111"/>
          <w:sz w:val="28"/>
          <w:sz w:val="28"/>
          <w:szCs w:val="28"/>
          <w:rtl w:val="true"/>
          <w:lang w:bidi="ar-SA"/>
        </w:rPr>
        <w:t>الصبيَّ بالصلاةِ في حالٍ و نَضربَه</w:t>
      </w:r>
      <w:r>
        <w:rPr>
          <w:rStyle w:val="FootnoteAnchor"/>
          <w:rtl w:val="true"/>
        </w:rPr>
        <w:footnoteReference w:id="3696"/>
      </w:r>
      <w:r>
        <w:rPr>
          <w:rFonts w:ascii="Amiri" w:hAnsi="Amiri" w:eastAsia="Amiri" w:cs="Amiri"/>
          <w:color w:val="111111"/>
          <w:sz w:val="28"/>
          <w:sz w:val="28"/>
          <w:szCs w:val="28"/>
          <w:rtl w:val="true"/>
          <w:lang w:bidi="ar-SA"/>
        </w:rPr>
        <w:t>علىٰ فعلِه في حالٍ؛ لكَي يَعتادَ فِعلَها</w:t>
      </w:r>
      <w:r>
        <w:rPr>
          <w:rStyle w:val="FootnoteAnchor"/>
          <w:rtl w:val="true"/>
        </w:rPr>
        <w:footnoteReference w:id="3697"/>
      </w:r>
      <w:r>
        <w:rPr>
          <w:rFonts w:ascii="Amiri" w:hAnsi="Amiri" w:eastAsia="Amiri" w:cs="Amiri"/>
          <w:color w:val="111111"/>
          <w:sz w:val="28"/>
          <w:sz w:val="28"/>
          <w:szCs w:val="28"/>
          <w:rtl w:val="true"/>
          <w:lang w:bidi="ar-SA"/>
        </w:rPr>
        <w:t>و يَمرُنَ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ما يَتقدَّمُ التكليفَ يؤثِّرُ هذا التأثيرَ، فلأَن تؤثِّرَ</w:t>
      </w:r>
      <w:r>
        <w:rPr>
          <w:rStyle w:val="FootnoteAnchor"/>
          <w:rtl w:val="true"/>
        </w:rPr>
        <w:footnoteReference w:id="3698"/>
      </w:r>
      <w:r>
        <w:rPr>
          <w:rFonts w:ascii="Amiri" w:hAnsi="Amiri" w:eastAsia="Amiri" w:cs="Amiri"/>
          <w:color w:val="111111"/>
          <w:sz w:val="28"/>
          <w:sz w:val="28"/>
          <w:szCs w:val="28"/>
          <w:rtl w:val="true"/>
          <w:lang w:bidi="ar-SA"/>
        </w:rPr>
        <w:t>النوافلُ علىٰ هذا الحَدِّ في حالِ التكليفِ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الطريقةُ مُتَعارَفةٌ؛ لأنّ مَن تَحمَّلَ‌</w:t>
      </w:r>
      <w:r>
        <w:rPr>
          <w:rStyle w:val="FootnoteAnchor"/>
          <w:rtl w:val="true"/>
        </w:rPr>
        <w:footnoteReference w:id="3699"/>
      </w:r>
      <w:r>
        <w:rPr>
          <w:rFonts w:ascii="Amiri" w:hAnsi="Amiri" w:eastAsia="Amiri" w:cs="Amiri"/>
          <w:color w:val="111111"/>
          <w:sz w:val="28"/>
          <w:sz w:val="28"/>
          <w:szCs w:val="28"/>
          <w:rtl w:val="true"/>
          <w:lang w:bidi="ar-SA"/>
        </w:rPr>
        <w:t>المَشَقّةَ فيما لا يَجِبُ عليه، يَكونُ الواجبُ عليه أسهَلَ عندَه و أقرَبَ إلىٰ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النوافلَ مُسهِّلةٌ لأمثالِها مِن العقليّاتِ‌</w:t>
      </w:r>
      <w:r>
        <w:rPr>
          <w:rStyle w:val="FootnoteAnchor"/>
          <w:rtl w:val="true"/>
        </w:rPr>
        <w:footnoteReference w:id="3700"/>
      </w:r>
      <w:r>
        <w:rPr>
          <w:rFonts w:ascii="Amiri" w:hAnsi="Amiri" w:eastAsia="Amiri" w:cs="Amiri"/>
          <w:color w:val="111111"/>
          <w:sz w:val="28"/>
          <w:sz w:val="28"/>
          <w:szCs w:val="28"/>
          <w:rtl w:val="true"/>
          <w:lang w:bidi="ar-SA"/>
        </w:rPr>
        <w:t>مِن الإحسانِ، و 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قائلُ ذلكَ أنّها لَو كانَت مُقرِّبةً إلىٰ فعلِ الواجباتِ الشرعيّةِ لَوَجَبَت، كَما وَجَبَت الشرعيّاتُ لتَقريبِها</w:t>
      </w:r>
      <w:r>
        <w:rPr>
          <w:rStyle w:val="FootnoteAnchor"/>
          <w:rtl w:val="true"/>
        </w:rPr>
        <w:footnoteReference w:id="3701"/>
      </w:r>
      <w:r>
        <w:rPr>
          <w:rFonts w:ascii="Amiri" w:hAnsi="Amiri" w:eastAsia="Amiri" w:cs="Amiri"/>
          <w:color w:val="111111"/>
          <w:sz w:val="28"/>
          <w:sz w:val="28"/>
          <w:szCs w:val="28"/>
          <w:rtl w:val="true"/>
          <w:lang w:bidi="ar-SA"/>
        </w:rPr>
        <w:t>مِن الواجباتِ العقليّةِ</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نَظَرٌ</w:t>
      </w:r>
      <w:r>
        <w:rPr>
          <w:rFonts w:eastAsia="Amiri" w:cs="Amiri" w:ascii="Amiri" w:hAnsi="Amiri"/>
          <w:color w:val="111111"/>
          <w:sz w:val="28"/>
          <w:szCs w:val="28"/>
          <w:rtl w:val="true"/>
          <w:lang w:bidi="ar-SA"/>
        </w:rPr>
        <w:t xml:space="preserve">. </w:t>
      </w:r>
      <w:bookmarkStart w:id="1531" w:name="pg16437_173053"/>
    </w:p>
    <w:p>
      <w:pPr>
        <w:pStyle w:val="Heading2"/>
        <w:numPr>
          <w:ilvl w:val="1"/>
          <w:numId w:val="1"/>
        </w:numPr>
        <w:rPr/>
      </w:pPr>
      <w:bookmarkStart w:id="1532" w:name="__RefHeading___Toc8040553_1280447820"/>
      <w:bookmarkStart w:id="1533" w:name="_Toc551"/>
      <w:bookmarkEnd w:id="1531"/>
      <w:bookmarkEnd w:id="1532"/>
      <w:r>
        <w:rPr>
          <w:rtl w:val="true"/>
        </w:rPr>
        <w:t>فهرس المطالب</w:t>
      </w:r>
      <w:bookmarkEnd w:id="1533"/>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جوابات المسائل الرسّيّة الأُولىٰ</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نسبتها إلى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جوابات المسائل الرسّيّة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عبادات المقلِّد و تارك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رجوع العامّيِّ إلى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في بيان حقيقة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 القول بالصرفة على العلم بالعربيّة و فنون الفصاحة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حصول المعرفة باللّٰه تعالىٰ للكفّار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الرجوع إلى الكتب المصنَّفة لمعرفة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الحجِّ التطوُّعيِّ عند إفساده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الخبر المتواتر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ستُّ مسائل تتعلَّق بالنيّات 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الحادية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الثانية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الثالثة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جواب المسائل الستِّ المتعلِّقة بالنيّات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جواز نقل نيّة الصلاة من الحاضرة إلى الفائتة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استحباب إعادة المنفرد صلاته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حكم من فاتته صلاةٌ غير متعيِّنةٍ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حكم الواقع بعض صلاته قبل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حكم صيام يوم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حكم نيّة صوم الشهر كلِّه في أوّله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فصلٌ يتضمَّن مسألتين تتعلَّق أيضاً بأحكام النيّة في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الرابعة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الخامسة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جواب المسألتين المتعلِّقتين أيضاً بالنيّات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حكم المخلِّ بالنيّة في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حكم نيّة العبادة المشتملة علىٰ أفعالٍ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النيابة في العبادات و ثوابها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الماء النجس يتمَّم 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المسألة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قراءة العزائم في الصلاة تجب بعد الفراغ من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فصلٌ يتضمَّن مسألتين تتعلَّق بقضاء الصلوات الفائتة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 عشْرة و 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جواب المسألتين المتعلِّقتين بقضاء الصلوات الفائتة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عدم إجزاء أداء الصلاة مع تذكّر الفائتة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حكم من عليه صلواتٌ فائتةٌ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المسألة الحادية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حجّيّة إجماع الطائفة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المسألة 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العاقد في الإحرام مع الجهل بالحكم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المسألة 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قتله من الحيوان المؤذي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المسألة 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الكافرين أو الفاسقين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المسألة 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المنعم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المسألة 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أعواض الكافر 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المسألة 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العالم بقبائح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المسألة الثامنة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الشُّهداء و الأنبياء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جوابات المسائل الرسّيّة الثانية</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نسبتها إلى المؤلّف و تاريخها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جوابات المسائل الرسّيّة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القضاء بعد الوقت عمّن صلّىٰ تماماً في موضع القصر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تجديد نيّة الصوم بعد مضيِّ شطر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الصلوات المفروضات غير الصلوات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اللاحن في القراءة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الكلام المرتّب المتَّسق علىٰ كون فاعله عالماً؟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جوابات المسائل الموصليّات الثانية</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عنوان الرسالة و نسبتها إلى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جوابات المسائل الموصليّات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المذي و الودي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النِّفاس و أقلُّه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السُّجود على الثَّوب المنسوج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في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ربا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مدّة الحمل و أكثرها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المطلَّقة في مرض بعلها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عتق عبد المكاتب و توريثه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جوابات المسائل الموصليّات الثالثة</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بين الموصليّات الثالثة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فوائد مستلّة من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نسبتها إلى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جوابات المسائل الموصليّات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بطلان العمل بالقياس و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الدليل علىٰ بطلان العمل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بيان الطريق إلى العلم بالأحكام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إثبات حجّيّة الإجماع في الأحكام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كيفيّة تحصيل إجماع الطائفة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بيان طرق أخرىٰ غير الإجماع لإثبات الأحكام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حكم المسألة الشرعيّة التي لا دليل عليها من الكتاب و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عدم حجّيّة جلِّ الأخبار المنقولة من طريق أصحاب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أحكام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غسل اليدين في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مسح الرأس في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عدم جواز مسح جميع الرأس، و غسل الرِّجلين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مسح الأذنين أو غسلهما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الغسلات في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أيّام النِّفاس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قراءة القرآن للجنب و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ستُّ مسائل تتعلَّق بالأموات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أحكام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المسألة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المسألة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إرسال اليدين في الصلاة و كتفهما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المسألة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 للصلاة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المسألة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قراءة أكثر أو أقلَّ من سورةٍ بعد 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يسجد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التَّراويح 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المسألة 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الضُّحىٰ 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سجود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المسألة الحادية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المعتبر في مقيمي الجمعة و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المسألة 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يصلح لإمامة الجمعة و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المسألة 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صلاة الكسوف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المسألة 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الصلاة على الموتىٰ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المسألة 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توقُّف الإمام حتّىٰ ترفع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أحكام الزكاة و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المسألة 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الذهب و الفضّة في باب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المسألة 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يجزئ من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المسألة الثامنة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الولاية في مستحقّي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المسألة التاسعة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المسألة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المسألة الحادية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المسألة الثانية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الأموال من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أحكام الحجِّ و الشُّفعة و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المسألة الثالثة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عرفاتٍ و إدراك المشعر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المسألة الرابعة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الشُّفعاء في العقار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المسألة الخامسة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ربا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أحكام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المسألة السادسة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الزاني بذات البعل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النكاح علىٰ ما لا قيمة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الثامنة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في حال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المسألة التاسعة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في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المسألة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النكاح في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المسألة الحادية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المطلَّقة تسعاً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المسألة الثانية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فجر بعمّته أو خالته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المسألة الثالثة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تلوَّط بغلامٍ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المسألة الرابعة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نكاح النساء في أدبارهنّ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المسألة الخامسة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المرأة علىٰ نفسها من دون إذن وليِّها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المسألة السادسة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النكاح بغير 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المسألة السابعة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نكاح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المسألة الثامنة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نكاح المرأة علىٰ عمّتها و خالتها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أحكام الطلاق و الظِّهار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المسألة التاسعة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الطلاق بشاهدين عدلين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المسألة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توقيفيّة ألفاظ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المسألة الحادية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الطلاق بشرطٍ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المسألة الثانية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الطلاق باليمين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المسألة الثالثة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الطلاق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المسألة الرابعة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المسألة الخامسة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التخييرِ في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المسألة السادسة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المسألة السابعة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في الطلاق الثلاث في مجلسٍ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المسألة الثامنة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المطلِّق ثلاثاً في مجلسٍ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الحمل و أكثره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المسألة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أحكام القضاء و الشهادات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المسألة الحادية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ابتدأ الخصمان بمحضر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المسألة الثانية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الِابنِ لأبيهِ و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أحكام النذر و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المسألة الثالثة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حانث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المسألة الرابعة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المسألة الخامسة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أحكام بعض الأطعمة و الأشربة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المسألة السادسة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الطِّحال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المسألة السابعة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المسألة الثامنة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المسألة التاسعة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الطير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المسألة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أحكام الحدود و الديات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المسألة الحادية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المسألة الثانية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السارق إذا عاد إلى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المسألة الثالثة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الحرِّ الزاني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المسألة الرابعة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العبد الزاني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المسألة الخامسة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ثلاثاً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المسألة السادسة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ضرب امرأةً فطرحت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إفزاع المجامع و عزله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الثامنة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اثنان أو أكثر واحداً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المسألة التاسعة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ثلاثةٌ واحداً، و اختلفوا فيما قاموا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المسألة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قطع رأس 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المسألة الحادية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الرجل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المسألة الثانية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رجلين بالقتل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المسألة الثالثة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رجلين بقتل رجلٍ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المسألة الرابعة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ديات أهل الكتاب و ولد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أحكام 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المسألة الخامسة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 مع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المسألة السادسة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 والدين و بنتاً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المسألة السابعة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 بنتين و أحد أبويه و ابن 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المسألة الثامنة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يحجب الأمَّ الإخوة من الأمِّ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المسألة التاسعة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 مع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المسألة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الحبوة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المسألة الحادية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الصُّلب يحجب من دونه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المسألة الثانية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يرث من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المسألة الثالثة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لا ترث من الرِّباع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المسألة الرابعة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الإخوة و الأخوات من الأب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المسألة الخامسة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توريث الرجال و النساء بالنَّسب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المسألة السادسة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من خلَّف ابنة ابنٍ و ابن 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المسألة السابعة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ابن الأخ مع الجدِّ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المسألة الثامنة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ولد الملاعنة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المطلَّقة في مرض بعلها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توريث الخنثىٰ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المسألة الحادية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توريث من ليس له ما للرجال و للنساء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المسألة الثانية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توريث رأسين علىٰ حقوٍ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المسألة الثالثة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إرث المملوك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المسألة الرابعة و المائة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المسألة الخامسة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يرثه المكاتب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المسألة السادسة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يورث من المكاتب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المسألة السابعة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الكفّار و المجوس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المسألة الثامنة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المجوس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المسألة التاسعة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العول في الفرائض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جوابات مسائل أهل ميّافارقين</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ميّافارقين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جوابات مسائل أهل ميّافارقين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مسألةٌ أوّلةٌ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إمام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مسألةٌ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مسألةٌ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صلاة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مسألةٌ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الظُّهر و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مسألةٌ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المغرب و العشاء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مسألةٌ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الصلاة الوسطىٰ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مسألةٌ 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عليه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التسليم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 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القنوت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مسألةٌ 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التكبيرات السَّبع في مفتتح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مسألةٌ 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مسألةٌ 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غسل الوجه في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مسألةٌ 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المسح ببلّة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مسألةٌ 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الكتب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مسألةٌ 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مسألةٌ سادسة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مسألةٌ 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يشاهدوننا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مسألةٌ 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حضور الرسول و أمير المؤمنين عليهما السلام عند كلِّ 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مسألةٌ 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يتفاضل بعضهم علىٰ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مسألةٌ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الحسن و الحسين عليهما السلام في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مسألةٌ حاديةٌ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أطْلع الأئمّة عليهم السلام على الغائبات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مسألةٌ ثانيةٌ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يظهر الحجّة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مسألةٌ ثالثةٌ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 لعليٍّ عليه السلام 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مسألةٌ رابعةٌ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الأنبياء على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مسألةٌ خامسةٌ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أنّه لولا النبيُّ و الأئمّة لما خلق اللّٰه السماء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مسألةٌ سادسةٌ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الكفر و الشرك و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مسألةٌ سابعةٌ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مسألةٌ ثامنةٌ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إرث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مسألةٌ تاسعةٌ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المصاب بالمنيِّ و لم يعرفْ مكانه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مسألةٌ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الثوب بالكلب الناشف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حاديةٌ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المجامع أهله في نهار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 ثانيةٌ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 ثوبٍ أصابه 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مسألةٌ ثالثةٌ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غاب عن أهله 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مسألةٌ رابعةٌ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الترحُّم للأقارب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مسألةٌ خامسةٌ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إعطاء الفطرة و الزكاة للمخالفين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مسألةٌ سادسةٌ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انعقاد اليمين على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مسألةٌ سابعةٌ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زوَّج أمير المؤمنين عليه السلام فلاناً ابنته؟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مسألةٌ ثامنةٌ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زيارة قبور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مسألةٌ تاسعةٌ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المسافر الذي يجب عليه 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مسألةٌ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التختُّم باليد اليمنىٰ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مسألةٌ حاديةٌ 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المعوَّل في معرفة أوائل الشُّهور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مسألةٌ ثانيةٌ 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لحم الأرنب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مسألةٌ ثالثةٌ 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شرب الفقّاع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مسألةٌ رابعةٌ 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مسألةٌ خامسةٌ 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اللَّعب بالشِّطْرنج و النَّرْد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مسألةٌ سادسةٌ 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لبس جلود الثعالب و الأرانب، و الصلاة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مسألةٌ سابعةٌ 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ما يتَّخذ من جلود الغنم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مسألةٌ ثامنةٌ 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لبس القزِّ و الخزِّ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مسألةٌ تاسعةٌ 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تحليل المولىٰ أمته للغير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مسألةٌ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أمِّ الولد في ضمن 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مسألةٌ حاديةٌ و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تملُّك السبايا و نكاحهنَّ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مسألةٌ ثانيةٌ و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زكاة الغلّات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مسألةٌ ثالثةٌ و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حنث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رابعةٌ و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الذمّيِّ و له مرأةٌ ذمّيّةٌ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 خامسةٌ و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تزويج الهاشميّة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مسألةٌ سادسةٌ و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الوطء دبراً و قبلاً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مسألةٌ سابعةٌ و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منزلٌ غير مخلوقٍ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مسألةٌ ثامنةٌ و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مسألةٌ تاسعةٌ و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العمل مع الِاعتقادِ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مسألةٌ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مسألةٌ حاديةٌ و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يرث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مسألةٌ ثانيةٌ و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العمّة ترث مع العمِّ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مسألةٌ ثالثةٌ و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الخال و الخالة مع الأعمام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مسألةٌ رابعةٌ و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أولاد الأخت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مسألةٌ خامسةٌ و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الوطء قبل غسل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مسألةٌ سادسةٌ و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جوابات المسائل الواسطيّات</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جوابات المسائل الواسطيّات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المسألة الخامسة من المسائل الواسطيّات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إنكاح النَّواصب و الغلاة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المسألة السادسة من الواسطيّات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يرث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المسألة السابعة من الواسطيّات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ثوبين أحدهما إبريسمٌ و الآخر كتّانٌ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المسألة الثامنة من الواسطيّات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وفاة الذِّمّيِّ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المسألة التاسعة من الواسطيّات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المتسامحة في نفسها عن مراعاة عدّة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العاشرة من الواسطيّات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للمستمتعات بهنَّ في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الحادية عشر من الواسطيّات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المضطرِّ ثلاثاً، كم يعدُّ؟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المسألة الثانية عشر من الواسطيّات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التمتُّع بالمستمتع بها قبل انقضاء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جوابات المسائل الرَّمليَّة</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نسبة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محتوى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جوابات المسائل الرَّمليَّة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الخلاف في رؤية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مسألةٌ من المسائل الرَّمليَّة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الطلاق بعد ارتفاع الدم و إيلاء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الفرق بين نجس العين و نجس الحكم</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مسألةٌ في الفرق بين نجس العين و نجس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حكم ماء البئر النابع بعد غور مائها النَّجس</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عنوان الرسالة و طبعاتها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في حكم ماء البئر النابع بعد غور مائها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عدم وجوب غسل الرِّجلين في الطهارة</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نسبة الرسالة إلى المؤلّف، و عرضٌ لمحتواها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مسألةٌ في عدم وجوب غسل الرِّجلين في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أرجحيّة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أدلّة بطلان أن يكون المسح غسلاً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المسح على الخفَّين</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نسبة الرسالة إلى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محتوى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مسألةٌ في المسح على الخفَّين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الردِّ علىٰ أصحاب العدد</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نسبة الرسالة و عنوانها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 تأليف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أهمّيّة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فوائد مهمّة من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رسالةٌ في الردِّ علىٰ أصحاب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الأدلّة على القول بالرؤية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قرآنيّة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أدلّة صاحب الكتاب علىٰ القول بالعدد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من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معنىٰ نقصان الشهر و كماله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معنىٰ إكمال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من جهة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ردُّ حجّية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أخبار الرؤية على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من طريق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أوقات الفرائض قبل حلولها بناء على القول بالعدد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لوازم باطلة تلزم القول بالرؤية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أنّ معلوم اللّٰه تعالىٰ مطابق لتكاليف المكلّفين، و إن اختلفت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الكلام في صوم يوم الشكِّ، و فرقه مع صوم المسجون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صومكم يوم نحركم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ما ردَّ به صاحب الكتاب أدلّة القائلين بالرؤية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الأهلّة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لرؤيته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بطلان الاستدلال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القول بالعدد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مقارنة بين الرؤية و العدد، و بين الوضوء و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بطلان المقارنة بين الرجوع إلى القرآن و الأخبار و بين العدد و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بطلان تخصيص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نكتة 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مناقشة اعتماد بعض القائلين بالرؤية على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يصيبه ما يصيب سائر الشهور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كيفيّة الحجِّ على القول بالعدد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استمرار الصوم مع قصد المنافي له</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عنوان الرسالة و نسبتها إلى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مسألةٌ في استمرار الصوم مع قصد المنافي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استلام الحجر و التلبية</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علاقة هذه الرسالة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المحمّديّات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مسألةٌ في استلام الحجر و التلبية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جواز تزكية مالٍ من مالٍ آخر</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مسألةٌ في جواز تزكية مالٍ من مالٍ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نفي دلالة صيغة الأمر على القبول</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عنوان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تاريخ تأليف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مسألةٌ في نفي دلالة صيغة الأمر على 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نكاح المتعة</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محتوى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مسألةٌ في نكاح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بطلان الاستدلال علىٰ فساد نكاح المتعة بعدم دخول الطلاق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حكم الطلاق ثلاثاً بلفظ واحد</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مسألةٌ في حكم الطلاق ثلاثاً بلفظٍ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إرث الأولاد</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نسبتها إلى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محتوى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مسألةٌ في إرث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في أنّ ولد البنت ولدٌ على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إضافة أولاد البنت إلى جدِّهم إضافة حقيقيّة</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عنوان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مسألةٌ في إضافة أولاد البنت إلى جدِّهم إضافةً 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شمول الوقف على الأولاد لولد البنت</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عنوان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مسألةٌ في شمول الوقف على الأولاد لولد البنت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حكم التصدُّق بالمال الحرام</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 في حكم التصدُّق بالمال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العمل مع السلطان</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عنوان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مسألةٌ في العمل مع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ضروب الولاية من قبل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بيان الوجه في حسن و وجوب الولاية من قبل الظالم في بعض الأحيان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في جواز القتال لدفاع المتولّي عن ولايته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كيفيّة معرفة المتولِّي المحقّ من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جواز توصّل المتولّي المحقّ إلىٰ منافع الدنيا عرضاً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معنىٰ حديثٍ عن الصادق عليه السلام حول كفّارة العمل مع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حكم أموال السلطان</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مسألةٌ في حكم أموال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وجوب بيان النوافل على الشرع، و وجه حسنها</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عنوان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في وجوب بيان النوافل على الشرع، و وجه حسنها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التصريح باسم السائل في بداية بعض المخطوطات كما سوف يأتي بعد قليل عند التعريف بمخطوطات هذه المسائل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ابن إدريس الحلّي،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السيّد بحر العلوم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التمييز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أهل التمييز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الباطل المهين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الحجّة المتبوعة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الشبهة المدفوعة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نجيّه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نجيبه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الأَروم و الأَرومةُ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 و استُعملت للحَسَب؛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طيّب الأَرومةُ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الشريف أبو الحسن المحسن بن محمّد بن الناصر الحسنيّ الرسّيّ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هذه المسائل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الأوفق بالسياق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حسن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فنون العلوم التي يفتخر بها الأواخر و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دفائنها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مآربها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كوامنها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كوامنها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براعي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موانعي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دامت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مستمدّاً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اغمامه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مستنداً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مستمدّاً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مرأته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سبحانه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هو</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بأسره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التكاليف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لتتناسب مع ضمائر التأنيث القادمة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ففيه خلاف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غير واجب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لا 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موصولة و ليست استفهاميّة، و هي معطوفة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تركه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معتقد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لخلاف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الأوفق بالسياق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طاعته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تسلكها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 لم يكن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 فسق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ملزم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عيّنّاه بصفته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نقاط، و استُظهر في هامشه أن يوضع مَوضعَ النقاط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يمكنه المعرفة فيه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يلزمه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يصحّ</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لمعرفته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طبقاًللنُّسخ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س، 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المعلوم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فاعل هذا الفعل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لمهلة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لمهلته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يلزمه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هو</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وفقاً للنُّسختين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الشرعيّة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فهو 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مكلّف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يتقدّمه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يضيق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يخاطبون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 الأداء واجباً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سقوط</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يجب أداؤه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و ما أثبتناه هو الموافق للسياق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التالي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إزالته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يلزم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الالتزام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ذلك في هامشه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كلّهم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وفقاً للنُّسخ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س، 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ينبغي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جهل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الجُمَل هو العِلمُ الإجماليُّ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توغَّلَ و أوغَلَ في العلوم و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وبالَغَ و أبعَدَ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 اختلاف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لشيء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الشرعيّة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يُبنى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يستدلّ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يستند إليه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فاحتاج صاحب الجملة في الأُصول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المسائل مفقودة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الجدير بالذكر أنّ المحقّق الطهراني 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المطّلبيّات،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جوابات المسائل المطّلبيّات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للشريف المرتضى، أحال إليها نفسه في جوابه للمسألة الثانية من الرسّيّة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اسمٌ آخر للحلبيّات باعتبار اسم المرسِل للمسائل، كما يحتمل أن يكون سهواً من ناسخ النسخة التي شاهدها المحقّق الطهراني؛ فإنّه لم تُنسب إلى الشريف المرتضى مسائل باسم المطّلبيّات في أيّ موضع آخر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معها العلم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 المطبوع ما أثبتناه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الضروري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تسمّىٰ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المعارف و ما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بالتفاوت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بحسنه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الصرفة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يعلم الباحث أنّ بعض مواضع القرآن لا يختلف في الفصاحة مع أفصح كلام العرب، بالمقدار الذي يجب أن يكون بين الكلام المعجز و غير المعجز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بالطبع بناءً على نظريّة الصرفة، و سوف يأتي التصريح بها في الجواب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بالعربيّة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يفرّق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يتعذّر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من باب الصرف؛ فإنّ الصرف فيه أيضاً خرق للعادة، و يستلزم تعذّر المعارضة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تكليف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فساد ما بنينا القول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بيّنّا فساد القول به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مستدامة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للشريعة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يخطر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الموضح عن جهة إعجاز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بفرقة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يحدّى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يقع</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لعدم نَقطِها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واضحةٌ جدّاً فيما أثبتناه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للناظر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استُظهر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الموضح عن جهة إعجاز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جواب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يساق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الموضح،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جواب إشكال الشريف الرسّيّ، و هو جواب نقضيّ و من باب المعارضة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ثمامة مسيلِمة بن ثُمامة الوائليّ الكذّاب؛ متنبّئ من المعمَّرين، ادّعى النبوّة في عصر النبيّصلّى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 نشأ باليمامة في القرية المسمّاة اليوم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الجُبيلة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بوادي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تَلقَّب في الجاهليّة بالرحمن و 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رحمان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النبيّ صلّى اللّٰه عليه و آله قبل القضاء على فتنته، و قُتل في زمن أبي بكر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الحَلّيّ بعد الجواب النقضيّ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بفصل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مرتبة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العجميّ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امرؤ القيس بنُ حُجر بن الحارث بن عمرو بن حُجرٍ آكِلِ المُرار، أبو الحارث الكِنديّ؛ الملِك الضلّيل ذو القروح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يمانيّ الأصل، وُلد بنَجد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 كان أبوه مَلِكَ أسَدٍ و غَطفانَ، و أُمّه أُخت المهلهِل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أيّام شبابه في اللهو و المجون، إلى أن قُتل أبوه فانصرف عن لهوه و ثأَر من قتَلة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أصحاب المعلَّقات السبع، بل أشهَرهم، بل أشهر شعراء العرب على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أميرُ المؤمنين عليه السلام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يَقُل عن رعنةٍ و لا 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أنقَرة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موافق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الصباغة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النفيس من كلّ شيء يتعلَّق به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استُظهر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القرآن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بتقديم و تأخير، و هو سهو واضح</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كأنّها كُتبَت باختصار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الصرفة، لا فرط فصاحته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للأعجميّ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جوازهم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جوارهم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وفقاً للنُّسخة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النائبين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همزة الاستفهام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الحابط</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دعواهم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التخويف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أعماق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الشرعيّات ألطاف في العقليّات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مرجع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برسكم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 و الرُّسُوّ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الثبوت و الرسوخ، و 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أَيّٰانَ مُرْسٰاهٰا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يوجبونه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بأخذ</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الحابط</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الحابط</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سهو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ندّعي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أحدنا عارفاً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الاعتقاد أعمّ من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التقليد و الجهل المركّب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نستدلّ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رسوها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برنتينا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برسينا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ناظرون من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يعلمه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بالتولّد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لتولّد لهم العلم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المعتمدة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البرمكيّات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سمّاهاالمحقّق الطهراني بالرمليّات، حيث قال في الذريعة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جوابات المسائل الرمليّات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أحال إليها السيّدُ نفسُه في جواب المسألة الرابعة من الرَّسّيّات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ذلك السيّد محمّد صادق بحر العلوم في تعليقة على 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شاهد نفس نسخة المحقّق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البُصروي المسائل البرمكيّات في فهرسه،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 البرمكيّة، و هي خمس، و هي المسائل الطوسيّة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مفقودة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نمنع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نمنع</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استحقاق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ينفذون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استُظهر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إليهما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إليها دُعاةٌ و عليها حُداةٌ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سُطِرَ 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جِبِلّيٌّ و فطريٌّ لأهلِ النظَرِ، آياتُ صُنعِه تَعالىٰ في العالَمِ داعيةٌ إليها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 له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نبوّة نبيّ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يشير المصنِّف رحمه اللّٰه في المسألة الأخيرة من الرسّيّة الثانية إلىٰ هذه المسألة و إلى هذا البحث، فراجع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الأنسب بالسياق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بمضمنها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حاشيته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بمضامينها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 بكذا دِيناً و دِيانةً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اتَّخَذَه دِيناً و تَعبَّدَ به، فهو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المصنِّف رحمه اللّٰه إلىٰ عدم جواز التقليد، إلّاإذا دلّ دليل قطعي علىٰ جواز العمل بقول المفتي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من المسائل التبّانيّات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فيأمن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تجوّزوا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بالرجوع إلى المفتي، تعبّد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تميّزها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 المطبوع ما أثبتناه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مثمرة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ميِّز</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تكون في تصنيف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ترصيفها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رَصَفَ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بالرِّصاف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و التأليف و 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حصرها و ترصيفها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ترصيفها و حصرها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فسادها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فسادها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ننظر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ننظر فيها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يربون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يتلقَّونه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يسوغ</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يرجعون من طائفتنا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من هذه المسائل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بقصده و دلالته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 المطبوع ما أثبتناه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يضيفونه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يصيفونه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متجانب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المحقّقين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المراد بفتوى العصابة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يجامع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مشعر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بأنّ عليه الحجّ</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لحجّ</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جعلوا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تثبيت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قياسه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 المطبوع ما أثبتناه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الفارق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مذهبكم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النافلة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فتجب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أمثالها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يكون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مستقلاً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يُساغ</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ع،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حكمها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الطريق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الطريق الذي منه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 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كالمعجزات مثلاً، كما سوف يأتي بعد قليل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بنقله منهم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تبقي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واحد عن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أو</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اعتداء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الأفصح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 بطرقٍ للعلم، فلا اعتداد بها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هامشه زيادتُها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يقوم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فيستر؛ 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فيستزيل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فيستتر؛ بل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جوامعها ذلك</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 صدق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تجئ</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تنفرد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الجليّ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 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خليفتي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سلِّموا علىٰ عليٍّ بإمرة المؤمنين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لقاه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يحصرهم بلد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التواطئ</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لاعتباره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لاعتبار ذلك</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الفاعل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نقلُ الناقلين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التواطؤ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بالتواطئ</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ألفاظ</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كثير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 المطبوع ما أثبتناه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لرواية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يخبرون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نشأ و</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المسائل الستّ تشكّل المسائل الثامنة إلىٰ الثالثة عشرة من الرسّيّة الأُولىٰ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المسألة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استُظهر إثباتُها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المعتمدة و غير المعتمدة و المطبوع، و الأصحّ الأفصح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مقتضى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فريضة الظهر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التاسعةُ مِن المَسائلِ الرسّيّةِ الأُولىٰ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للمطبوع و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أجمعت عليه النُّسخ فيما سيأتي في جواب هذه المسألة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أمارة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 ذلك</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بِهم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عزمه علىٰ إمامة جماعةٍ صلاتُهم واجبة، و صلاتُه مندوبة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لعزمه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كعزمه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العاشرةُ مِن المسائِل الرسّيّةِ الأُولىٰ</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مميّزات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الألف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 س، ط</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ينوِ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ينوِ بها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ينوِ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ينوي بها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الغداة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الثلاث المتغايرات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يُجز</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فاسدة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تكون ثلاث، و لا قضاء الثلاث</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بأيّ شيء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يتبادر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تعيين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حالة تعذُّر انحصار العَدد في الصلوات هي ما سيأتي ذِكره في الفقرة اللاحقة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تصلّي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ذمّته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الحادية عشرة من المسائل الرسّيّة الأُولى</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يُجزيه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الوقت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الثانية عشرة من المسائل الرسّيّة الأُولىٰ</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اتّباعه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الثالثة عشرة من المسائل الرسّيّة الأُولىٰ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المعقولة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المعقودة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 المطبوع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بانية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مقتضي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استفدناه ممّا يأتي في الجواب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المجرور باللام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إثباتُها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المرضا 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المرضيّ 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 صائماً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الثامنةُ من المسائل الرسّيّة الأُولىٰ</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الشرعيّات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كون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كون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الإرادة غير مؤثّرة فيهما معاً في آنٍ واحدٍ؛ لاستلزامه أن تؤثّر علّة واحدة في معلولَين مختلفَين، و هو باطل عند المصنّف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الإرادة مؤثّرة في كون المريد مريداً، و كونُه مريداً مؤثّر في كون الخبر 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الإرادة تعرض على الذات فتوجب لها صفة و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هذه الصفة توجب كون الخبر 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تأثير الإرادة بواسطة، لا مباشرة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في أُصول الدين،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المتعلّق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كون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للمصنّف رحمه اللّٰه مسألتان في الإرادة، ذكرهما البُصروي و النجاشي، و هما مفقودتان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أشار هنا إلىٰ إحداهما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كونه كذباً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نقيض</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علىٰ ما أثبتناه قولُه بعدقليلٍ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قال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النيّةَ تُعيِّنُ صفاتِ العباداتِ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هي 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النيّة ليست علّة حقيقيّة خارجيّة توجِب صفةً حقيقيّةً للعبادات، و إنّما توجِب بعض الأحكام الاعتباريّة لها كالإجزاء و عدمه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يجري ما كان لولاها لا يجري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حصلت لهذه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تشير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 يشير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المطابقُ للنُّسخة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للمطبوع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مقتضاها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مقتضاة عنها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تشريع هذه العبادات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الشرعيّات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 شخصاً نوىٰ صوم شهر رمضان قبل تشريعه، لم يكن له أيُّ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يدلّ علىٰ أنّ النيّة ليست علّة حقيقيّة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الحاضرو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يحصل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الحاضرة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توجب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يوجب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أداء</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ذكرناها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يتغيّر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يقع</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بنيّته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إخراجها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بمخالفونا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وقت ذكره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منعنا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الموقّت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بقضاء</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يفوت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مالك بن أنس بن مالك بن أبي عامر بن عمرو بن الحارث الأصبَحيُّ الحِميَريُّ‌المدنيُّ، إمام المذهب المالكي، ولد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العلمَ و هو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الإمام الصادق عليه السلام، و عامر، و نافع، و الزهري، و نُعَيم، و زيد بن أسلم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ابن المبارك، و القطّان، و ابن المهدي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طبقات الفقهاء،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حراسةً 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بدلها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الأئمّة الأربعة، في مسألة ترتيب قضاء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تلحق بالماضية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فلتكن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استُظهر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بمصيره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الفائتة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التاسعةُ من المسائل الرسّيّة الأُولىٰ</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اختُصِرَ اسمُ الأوزاعيّ و رُمِزَ إليه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عبد الرحمٰن بن عمرو الشامي الأوزاعي، إمام أهل الشام، ولد في بعلبكّ سنة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نشأ بالبِقاع، و نزَلَ بَيروتَ في أواخر عمره، فمات بها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الإمام الصادق عليه السلام، و إسحاق بن عبد اللّٰه بن أبي طلحة، و شدّاد بن عمّار، و قَتادة، و ربيعة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مالك، و الثوري، و شعبة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عمران إبراهيم بن يزيد بن قيس النخعي الكوفي، تابعيٌّ، فقيه أهل الكوفة، ذكره الشيخ الطوسي فيمن روى عن أمير المؤمنين عليه السلام، و أُخرى فيمن روى عن عليّ بن الحسين عليهما السلام قائلاً في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يكنّى أبا عِمران، مات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مولىً؛ و كان 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خاله، و مسروق، و أبي زرعة، و شريح القاضي،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الحَكَم بن عُتيبة، و سِماك بن حرب، و سليمان الأعمش،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قال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يعيدها كلّها إلّاالصبح و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الطوسي رحمه الله في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عبد البرّ في الاستذكار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ثور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الاستذكار،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 اسمُ أبي حَنيفةَ و رُمِز إليه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اختُصِرَ اسمُ الشافعيّ و رُمِزَ إليه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 اسمُ الشافعيّ و رُمِزَ إليه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مواهب الجليل،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يقولون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 أنّها بدل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 اسمُ الشعبيّ و رُمزَ إليه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عامر بن شَراحيل الشعبي الحميري، كوفيٌّ من شَعب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الإمام عليّ عليه السلام، و زيد بن ثابت، و سعيد بن زيد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السُّبَيعيُّ، و الأعمش، و سعيد بن عمر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المقتدي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يختلفون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 و فيه بدل الساقط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 اسمُ الثوري و رُمزَ إليه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سفيان بن سعيد الثوري الكوفي، من فقهاء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أبيه، و أبي إسحاق الشيباني، و أبي إسحاقَ السُّبيعي،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الشيخ الطوسي رحمه اللّٰه في رجاله فيمن يروي عن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بالبصرة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طبقات الفقهاء،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السالفة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متّفق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استفدناه ممّا تقدّم في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ماصلّاه ثانيةً جماعةً لوجه الندب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ندباً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الرواية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يكون في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 و فيه 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مقبولاً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يخالف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نيّة الإمام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وُضعَت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معقوفين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العاشرةُ من المسائل الرسّيّة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معيَّنة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قضاء المغرب، و بالأربع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عشاء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الأخيرَين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بالاثنتين الغداة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عشاء</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10646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ترفّهاً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معيّنة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استُظهر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يتعيّن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علم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مبتنية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الحادية عشرة من المسائل الرسّيّة الأُولىٰ</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واقعة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وجوب المحافظة على الصلوات في أوقاتها، ح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 الوفاق،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تعجب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يلزمها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تتعلّق إلّابه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للمشروع له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المشروع</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تعدّيه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تلزم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نعلم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مسقطاً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استُظهر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شَغَلَها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يتعبّد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أجزأه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يجب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يكن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النهاية و نكتها،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أجاز</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قائلنا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استفدناه ممّا تقدّم في السؤال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الموضع الآتي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غالب ظنّه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لما تقدّم قبل قليل، و لما تقدّم في السؤال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مجزية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وقته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مرجع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غلبة الظنّ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أجزأه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يكن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يلزمه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الثانية عشرة من المسائل الرسّيّة الأُولىٰ</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وفقاً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يقوم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انفعالها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الأحكام الشرعيّة و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شرعيّة يجب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محبوساً يجب أن لا يعلم أحوال الشهر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أجزأ</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يجب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أبو حنيفة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التميّزُ</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استُظهر في هامشه زيادتُها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استُظهر في هامشه ما أثبتناه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يفتقر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صومه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العارية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الهُذَيل زُفَر بن هُذَيل بن قيس بن مسلم العنبريّ، صحب أبا حنيفة، و كان من أصحاب الحديث، ثمّ غلب عليه الرأي و القياس، و هو أوّل من قدم البصرة برأي أبي حنيفة، ذكره الشيخ الطوسي رحمه اللّٰه فيمن روى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بالبصرة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2750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عطاء بن أبي ربَاح أسلَمَ القرشيّ، مفتي أهل مكّة و محدّثهم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ابن عبّاس، و ابن عمرو، و معاوية، و أُسامة،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ابنه يعقوب، و أبو إسحاق السبيعي، و مجاهد،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5640</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طبقات الفقهاء،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يكون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وفقاً لنُسختَي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الفرق</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تحتاج</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تضييقه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يفتقر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حنيفة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يعين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الفريضة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الثالثة عشرة من المسائل الرسّيّة الأُولىٰ</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يذهب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مذهب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فتح العزيز،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لكنّا نقول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جدّدناها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يؤثّر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إنّها تؤثّر في الشهر كلّه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يؤثّر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للصوم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 المعتمدة و غير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علىٰ ما أثبتناه قولُه بعد فقرتين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وقوع تروكِه في زمانِ الصومِ كُلِّه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يفطِّر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طبقاً للنُّسختَين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انتقض</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إثباتُها هو الأنسب؛ طبقاً للمطبوع و للنُّسخ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 ط، 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المسألتان الرابعة عشرة و الخامسة عشرة من المسائل الرسّيّة الأُولى</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المسألة الأُولىٰ</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نيّة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النيّة و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أوقع</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عاريةً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الخامسة عشرة من المسائل الرسّيّة الأُولىٰ</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العبادات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كجملتها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يخصّه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تفصيل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يلزم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همزة الاستفهام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الرابعة عشرة من المسائل الرسّيّة الأُولىٰ</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لما يظهر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العلم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وفقاً للنُّسخة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الخامسة عشرة من المسائل الرسّيّةِ الأُولىٰ</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يتعرّف</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وفقاً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الندب منها علىٰ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مشتبه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يبرأ</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كيف يستحقّ الثواب عمرو عمّا وجب عليه بفعل زيد؟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متوجّهة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حجّته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المسبّبات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إثباتُه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أداء</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يتعيّن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فالواجب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مختصّة بعمرو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أنت وليّه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 بوجوب النيابة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 بوجوب الثابتة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سبباً لوجوب النيابة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مقسماً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يخرج</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السابعة عشر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بطاهريّتهما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لطهارة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مكسِّر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يكسَّر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كان الماء بكثرته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للنجاسة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 فرق بين وقوعها فيه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الثامنة عشر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منقوطة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يعيّن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التاسعة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التاسعة عشرة و العشرون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المسألة التاسعة عشرة من المسائل الرسّيّة الأُولىٰ</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موافقةً للمطبوع و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استُظهر في هامشه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ثابتة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عدم سهو النبي،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مجزياً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مكلّفاً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بإجماع</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المسألة العشرون من المسائل الرسّيّة الأُولىٰ</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بجميع زمانه إلى</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مباح</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صلواته المفروضة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التعلّق</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فائتة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يؤدّى</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التاسعة عشرة من المسائل الرسّيّة الأُولىٰ</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فساد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يؤدّى</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تؤدّى بعد قضاء الفائتة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 كان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العشرون من المسائل الرسّيّة الأُولىٰ</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يشاغل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تشاغله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يؤدّيها في آخر وقتها، فهو وقت خوف الفوت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يصرَّح بذلك بعد قليل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يمكن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استثنى</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استُظهر في هامشه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فيضيّق</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تعرف فتياه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 فتياه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يتعذّر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يتعذّر معرفتها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واقعة و</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الفرقة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مصنّفاته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التعيين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علماء</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المشافهة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بالمشافهة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تعيّنهم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يعلم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إماميّ</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علماؤنا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علماؤنا عليه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الإجماع من الفصل الأوّل من المسائل التَّبّانيّات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الإماميّة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نعلم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نحقّق</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اشتهرت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 المطبوع ما أثبتناه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يمضي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اللغة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كأنّها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سألنا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نعرف</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بمذهبه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تخالف</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قول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الإماميّة فيه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به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ممسوحة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يصحّ</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العلم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ففرض</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يتّسعه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لما يظهر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إثباتُها هو الصواب؛ طبقاً للنُّسختَين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العاصي بجهله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جهله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الحصول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تقول فيما لم يحلّ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السُّنونو؛ و هو ضربٌ من الطيور القواطع، عريض المنقار، دقيق الجناح طويله، منتفش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حطف</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الخُفّاشُ، علَى القَلبِ؛ سُمّيَ به لخَشَفانِه بالليلِ، أي جَوَلانِه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الخُفّاشِ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خشف</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الأفصَح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همزة الاستفهام؛ لأنّ الجملةَ أصبَحت استفهاميّةً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حاجةَ إلى الهمزة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بالحيوان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غير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أرادنا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النفع المتكفَّل به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يكلّفنا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يُدخَلَ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يتحمّله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وفقاً للمطبوع و للنُّسخَتين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استُظهر في هامش المطبوع ما أثبتناه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يتّجه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مباح</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يَحسُنُ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التعمُّد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كأنّها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دفع</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يقصدنا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ينقطع</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الخوف و عدمه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إحسان صحبتهما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حياتهما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نصنع</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القتل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يجب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لا يجب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إجمال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احتمال الصحّة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إكمال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الكراهة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للقائلين بالتحابط</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فأحرىٰ</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تتقابل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المقترن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لعنهم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الوالدين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شكره و</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بقي نعمة عليها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تعظيم الاستحقاق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التعظيم و الاستخفاف</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الألف و اللام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فالكفر عند أبي هاشم يمنع من التعظيم على الإيمان، لكنّه لا يمنع من الشكر على النعمة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الذمّ و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المدح و الذمّ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استحقاقهما و إن كانا متقابلين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الذمّ و المدح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الذمّ و المدح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يتقابل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المستوية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الموافقة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المراقبة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حالة معاقبة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معاقبته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العوض</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يبطل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يقترن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نحتاج</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بأسماء السيّئة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بأسمائه المشتقّة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بأسماء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بأسماء الغير الشريفة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بأسماء الشريعة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أقصر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أسقطها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اللفظ</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ينبئ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تنبئ على</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يوجب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ينسب غيره إلى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سمّىٰ غيره بالكفر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يقوّي الداعي إلى الفعل أو الصارف عنه إلى حدٍّ يخرج الفاعل من استحقاق المدح و الذمّ على الفعل و 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لأجل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فيما نطق به القرآن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الوجيه الحال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إلجاء إلى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استُظهر في هامشه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فالمعصية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الإلجاء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مُلجَأً</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يلجئون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يتعيّن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يغير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غَزا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أراده و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صلوات اللّٰه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وردت</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التاسعة و العشرون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ذلك بلحاظ أنّ هذه المسائل هي استمرار للمسائل الرسّيّة الأُولىٰ التي هي ثمان و عشرون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هذه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يفتي</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جواب المسألة الثانية و العشرين من المسائل الرسّيّة الأُولىٰ</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يجزيه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الشريعة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صوماً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مشطوبٌ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مكتوبٌ 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ليس</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بالصوم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توافق</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أبا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ممسوحة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واضحة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متجدّدة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قدّمنا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المسائل الرسّيّة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بجزء</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مؤثّرة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يؤثّر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المسائل الرسّيّة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الحادية و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النسخة، و الظاهر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تقرّرتفصيل أحكام الصلاة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صُحِّحت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يتضمّنه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فيما فيه ركوع و سجود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استُظهر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الفروض</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الفروض</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الثانية و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 هو</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غير المعتمدة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إثباتُها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من 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خلاف</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نقرأ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باب أنّ القرآن يُرفع كما أُنزل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حكاية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جادّاً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حاكياً في</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يفهم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عربيّة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بالقرآن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الثالثة و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منستاً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لأجل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محترز</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المشبّه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نفرّق</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 به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السنّة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بعبارات</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القاطعة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بكون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القائلين بنظريّة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منهم المصنّف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يذهبون إلى أنّ الإيمان مشروط بالموافاة به إلى الموت، أي مشروط بالبقاء على الإيمان إلىٰ آخر لحظة من الحياة، فإن أنهىٰ الإنسان حياتَه بالكفر عُلم أنّه لم يكن مؤمناً منذ البداية، و أنّه كان منافقاً يُظهر الإيمان بلسانه و يُبطن الكفر؛ فلو صحّ ما جاء في السؤال أعلاه من أنّ الكلام المرتّب يدلّ علىٰ معرفة المتكلّم و إيمانه، لزم أن يكون ذلك الشخص الذي أنهىٰ حياته بالكفر، و كان قبل ذلك يُظهر الإيمان بلسانه و كلامه، أن يكون مؤمناً حقّاً، لا منافقاً كما ذهب إليه القائلون بالموافاة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الموافاة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المسألة الثامنة من الطرابلسيّات الثانية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القطعَ على الإيمان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قلنا بعدم دلالة الكلام المرتَّب على المعرفة و الإيمان، لزم أن لا يدلَّ جحدُ النبوّة و الإمامة باللسان و الكلام المرتّب على الكفر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لوجود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تبيّنّا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يعبّر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يغيّر به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المنسق</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عقلها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عبّر بها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المقدّمات الأربع لدليل حدوث 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 العمل،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تأخّر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نظر هوقطّ في حدوث الأجسام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عينُ ما أثبتناه من النسخ</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للقضيّة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يتكامل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توكيد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بالصفة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وصفه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بين معقوفين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يُقطع علىٰ أنّه عالم بكيفيّة سلوك هذا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جاء في هامش المطبوع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النسخة، و الظاهر زيادتها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نقطع</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يعلمه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أنساء</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الوجه المخصوص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وجه مخصوص</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تأخّر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يتكامل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يوصفه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المسائل الرسّيّة الأُولىٰ</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لوقوعه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أولياء</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سلك</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خيرته من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صفوته من بريّته، سيّدنا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تمّت بعون اللّٰه و حسن توفيقه، و السلام و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الحمد للّٰه ربّ العالمين، ربِّ سهِّلْ ما بقي من هذه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حسبنا اللّٰه و نعم الوكيل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معروفة، وصفها ياقوت بأنّها باب العراق، و مفتاح خراسان، و منها يُقصد إلى أذربيجان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المسائل الموصليّات الثالثة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المسائل الموصليّات الثالثة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الخاصّ بألّفيّة الشريف المرتضى من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شيعه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الموصليّات الثالثة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العقيدة، 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الفهرست للطوسي،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الموصليّات الثالثة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المسائل الموصليّات الثالثة؛ الانتصار،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الموصليّات الثالثة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جوابات المسائل الثالثة الواردة من 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سيّدنا الإمام العالم البارع الصدوق العلّامة المحقّ المحقِّق السيّد الشريف المرتضى علم الهدى ذي المجدين أبي القاسم عليّ بن الحسين الموسويّ، قدَّسَ اللّٰه روحَه، و نوَّرَ ضريحَه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به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به ثقتي، و نصلّي على سيّدنا محمّد و آله أجمعين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خذل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اختصرت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أيَّدكم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بناقضتين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للشيخ المفيد،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مقدار من بداية العبارة من هذا الكتاب، و الذي جاء فيه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أنّهما ليسا من الأشياء الناقضة للطهارة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أجمَعَت العامّةُ علىٰ خلاف ذلك، و زعموا أنّ المذي و الودي ينقضان علىٰ كلّ حالٍ الطهارةَ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تعيينهما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بعبارة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يبيِّن حقيقة المذي و الودي</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النظر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متظافرة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المتظاهرة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ساداتنا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المتبقّى من التراث المفقود للشريف المرتضى</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يجري</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يستدلّ هنا بالقياس، و للقياس أصل و فرع و علّة جامعة و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استدلّ‌</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فليأخذ</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شرح كتاب الإعلام للشيخ المفيد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الإعلام للشيخ المفيد،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المدّة هي أحد و عشرون يوماً، فلعلّ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المتن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أقلّ النفاس في كتاب الإعلام أيضاً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انقطاعه، أو لحظة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انقطاع الدم، و ليس لذلك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متظافرة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المتظافرة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ساداتنا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سفيان بن سعيد الثوري الكوفي، من فقهاء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أبيه، و أبي إسحاق الشيباني، و أبي إسحاق السُّبيعي،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الشيخ الطوسي رحمه اللّٰه في رجاله فيمن يروي عن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بالبصرة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طبقات الفقهاء،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الحارث الليث بن سعد بن عبد الرحمٰن المصريّ، مولى بنى فَهم؛ فقيه أهل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عطاء و الزُّهري و نافع و غيرهم، و روى عنه ابن المبارك و ابن وهب و ابن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سنة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6966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قدّرناه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للشيخ المفيد،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اتّفقت الإماميّة علىٰ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لا يجوزالسجود علىٰ ثوب منسوج، و إن كان أصله من النبات، إلّاعند الحاجة إليه و الاضطرار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السجود على</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ب، ج،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السجود عليه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كراهة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تنزيهيّة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التنزيه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التنزيه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الأعذار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للمطبوع و لنُسختَي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تجوز</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شفعة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ملِك ثابت له أصل، كالدار و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أُطلق على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للشيخ المفيد،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إذا كان بين أكثر من اثنين بطَلَت الشفعة فيه، سواء كان محدوداً بالقيمة أم مشاعاً</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تميَّزَت و انقسَمَت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سقط من بحث الشفعة من كتاب الإعلام،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غير معلوم، و الظاهر أنّ بعض المذكور في المتن كان في القسم الساقط</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أطبق</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مخالفوها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الألف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للمطبوع و لنُسخَتَي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مصنِّف الكتاب</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الفقيه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الفقيه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للمطبوع و لنُسختَي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للمطبوع و لنُسختَي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الفقيه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للمطبوع و لنُسختَي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ضرار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أنّنا نحتجّ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أنّه لم يحتجّ</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فقه الرضا عليه السلام،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32204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 أدَلُّ دليلٍ عليه ماقاله المصنّف في كتابه الانتصار،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الخبر الذي وُجد في روايات أصحابنا أنّه إذا سمح بعض الشركاء بحقوقهم من الشفعة، فإنّ لمن لم يسمح بحقّه علىٰ قدر حقّه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لمن لم يسمح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مكرَّر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المرّة الثانية جاء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لا يدلّ علىٰ أنّ الشفعة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أحمد بن الجنيد الكاتب الإسكافيّ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 رحمه اللّٰه في رجاله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في أصحابنا، ثقة، جليل القدر، صنّف فأكثر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من مصنّفاته ما يبلغ عددها إلى أكثر من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بالري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10107</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زيادة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المعروفة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فإلى أيّ</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تنتمون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الحيوان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المعتمدة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حذفُه؛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تخيّرت</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نذكر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رأي الشافعي</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عبد الرحمٰن بن عمرو الشامي الأوزاعي، إمام أهل الشام، ولد في بعلبكّ سنة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نشأ بالبقاع، و نزل بيروت في أواخر عمره، فمات بها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الإمام الصادق عليه السلام، و إسحاق بن عبد اللّٰه بن أبي طلحة، و شدّاد بن عمّار، و قَتادة، و ربيعة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مالك، و الثوري، و شعبة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المطبوع نَقَلَ ما أثبتناه عن نسخةٍ أُخرىٰ</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المسألة في كتاب الإعلام للشيخ المفيد، و الظاهر أنّها سقطت ممّا بأيدينا من نسخ هذا الكتاب</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المطبوع و فيما استُظهر في حاشية مخطوطة مكتبة آية اللّٰه المرعشيّ المرقَّمة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الوالد و ولده،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للطوسي،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23323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المسألة الثانية من هذه الرسالة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الحسن بن صالح بن حيّ الهمداني الثوري، من كبار علماء الزيديّة، ذكره الشيخ الطوسي رحمه اللّٰه فيمن روى عن أبي جعفر و أبي عبد اللّٰه عليهما السلام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المقالة، زيديّ، إليه تنسب الصالحيّة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شهر آشوب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أبيه، و عبد اللّٰه بن دينار، و سَلَمة بن كهيل، و سماك بن حرب و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وكيع بن الجرّاح، و أبو نُعيم، و عبيداللّٰه بن موسى و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وفقاً لقواعد النحو و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الأقوال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الدرّ المختار،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المال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يتعب</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وفقاً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تحريم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 الجارّة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هنا إلىٰ بحث المفاهيم في أُصول الفقه، و الذي كان يسمّىٰ في عصر المصنّف رحمه اللّٰه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المصنّف رحمه اللّٰه ينكر حجّيّة مطلق المفاهيم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المحرّمة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تخصيصها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ثبت</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حقّ الشفعة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للمسلم على الذمّيّ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للذمّيّ على المسلم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بظنّ ظاهر، 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يظنّ ظانّ أنّه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الألف و اللام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شُطب على حرف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أوردت</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ولكنّ المصنّف رجع في كتابه الانتصار،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ذلك القول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لما تأمّلت ذلك رجعت عن هذا المذهب؛ لأنّي وجدت أصحابنا مجمعين على نفي الربا بين من ذكرناه، و غير مختلفين فيه في وقت من الأوقات، و إجماع هذه الطائفة قد ثبت أنّه حجّة، و يخصّ بمثله ظاهر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نفي الربا بين من ذكرناه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سقطت هذه المسألة ممّا بأيدينا من كتاب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 ما اتّفقت الإماميّة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في عدّة الحامل من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 الأجلين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عدّة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تحرير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الحامل إنّما تطلَّق مرّة واحدة، فإذا راجعها زوجها قبل وضع حملها لم يمكنه طلاقهامرّة ثانية، إلّاأن يواقعها قبله، فيكون طلاقها الثاني طلاقاً للعدّة لا للسنّة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ذهب إليه الشيخ الطوسي رحمه اللّٰه في النهاية،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 في المسألة خلاف بين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جائز</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النفاس</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عدّتها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28361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تنقضي</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يتأمّله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متأمّل</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أكمل</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الأزواج</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لفظته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تقضي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انقضى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يقضي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فقد انقضىٰ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ورد في المطبوع في النصّ نفسه من دون معقوفين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نحن فحددناه بمعقوفين؛ لعدم اشتمال أيّ نسخةٍ عليه</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المستقرّة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بالأحمريّ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بالفقه الأحمديّ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عرّفه المحقّق الطهراني رحمه اللّٰه في الذريعة إلى تصانيف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الأحمديّ في الفقه المحمّديّ، كما عبَّر به الشيخ 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 مختصراً بعنوان الأحمديّ في حرف الألف؛ لما عبّر به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فهرسته،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للشيخ الأفقه الأقدم أبي عليّ محمّد بن أحمد بن الجنيد الإسكافيّ المتوفّى سنة إحدى و ثمانين و ثلاثمائة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وجدت</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 الجارّة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حملها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حملها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الحلّي رحمه اللّٰه أيضاً عنه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أحوالا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تقضي</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يحكم بانقضاء عدّتها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يفتي</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مسائلهم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بضعفه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بتركه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المعمولة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وفقاً للنُّسخة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 الحمل لما يخرج حيّاً مستهلاًّ، فهو عند الإماميّة و جمهور العامّة واحد، و هو ستّة أشهر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الكلام فيما بأيدينا من كتاب الإعلام، و لعلّه نقله من شرح كتاب الإعلام المفقود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بسبب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سبباً للواجب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 الواجب واجب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هَرِم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هرم بن حيّان العبديّ الأزديّ، من بني عبد القيس،</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 الصبيُّ ثُغوراً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نَبتَت أسنانُه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قد نسبت هذه الأقوال فيه إلى العامّة، فقد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أكثره فهو عندهم سنة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العامّة بأجمعهم علىٰ خلاف في حدّ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 سنتان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أصحاب الحديث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هرم بن حيّان ولدته أُمّه لثمان سنين، و قد 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فيظهر أنّ السائلين المَوصليّين قد اشتبه عليهم الأمر و نسبوا هذه الأقوال إلى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ينبّه المصنّف رحمه اللّٰه في الجواب علىٰ أنّها ليست أقوال الشيعة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كقولنا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الكافي في الفقه،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النهاية و نكتها،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المراسم العلويّة،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بعضها يقولون</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بعض الهوامش السابقة أنّ الشيخ المفيد نسب هذه الأقوال إلى العامّة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فمذهب</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المسألة الثانية من هذه المسائل</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أبي عبد الرحمٰن فرّوخ، أبو عثمان التيميّ المدنيّ، المعروف بربيعة الرأي، مولى آل المُنكَدِر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أنس، و سعيد بن المسيّب، و القاسم بن محمّد و غيرهم، و روى عنه مالك، و الثوريّ، و الأوزاعيّ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2753</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الشرح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البحر الزخّار،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وفقاً لنسختَي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توجب</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وفاقاً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اتّفقت الإماميّة علىٰ أنّ المطلَّقة في المرض ترث المطلِّق لها إذا مات في مرضه ذلك، ما بين طلاقها و بين سنة واحدة، ما لم تتزوَّج</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 و هكذا ما بعده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موافقٌ للمصدر و للنُّسختين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 و المطبوع، و لم يرد في أيّ نسخةٍ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28259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عبيد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عطيّته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كتاب الكافي للكلينيّ، و قد سقط من الفقيه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طلّقت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 و هكذا ما بعده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مات في ذلك المرض بعد انقضاء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من الكافي</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4877</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الأخيرين مع اختلاف في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32888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32884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المطلّقة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الأغلب و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الأكثر و الأغلب</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التطبيق</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28252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32889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اتّفقت الإماميّة في المكاتَب يموت ذو رحم له من الأحرارو يترك مالاً، أنّه يَرث منه بحساب ما عُتق منه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طبقاً للمطبوع و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الحاوي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تُعتق</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في</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رادّاً</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فأدّها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أواق</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مسند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كلّها مع اختلاف في اللفظ</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تصريح</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أبقى</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اعتبر بعض أعلام المحقّقين أنّ كتاب الانتصار للشريف المرتضى هو شرح على كتاب</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إيادته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أياديه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التوصّل</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بحملِ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يشبه بجميع</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لذلك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لهذه الجملة التي أبطلنا القياس لأجلها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غير</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بالقياس في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 الجارّة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ذهب إلىٰ ذلك بالنسبة إلىٰ أخبار الآحاد، ابنُ قِبَة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نجد</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تشبه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علمنا</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 ماظننّاه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الوضع</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جوابات المسائل الموصليّات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المسائل مفقودة، ولكنّ الشيخ الطوسي رحمه اللّٰه نقَلَ معظم ألفاظ بحث القياس من هذه المسائل في كتابه العُدّة في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المتبقّى من التراث المفقود للشريف المرتضى</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 اللّٰه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العصمة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 تعالىٰ</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جواب الفصل الأوّل من جوابات المسائل التبّانيّات</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المشافهة و</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المشافهة أو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المشافهة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متفرّداً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مميّز</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عرفنا إجماع الإماميّة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أفضلها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مذهبهم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وفقاً للسياق و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بمذاهبه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فرغناه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المسائل المعروفة بالمسائل التبّانيّات، و هي من المسائل الأُصوليّة للشريف المرتضى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ترجمة ابن التبّان في مقدّمة هذه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جواب الإشكال المذكور في بحث الإجماع الواقع في جواب الفصل الأوّل من التبّانيّات</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تاليه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ممسوحة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نخلو</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الزمان تقدّر</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يذهبون</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تفرّدا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الأنصار المعروفين من الصحابة، في مقابل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نكبناه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المذهب</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المنبسطة التي لا تبلُغ الهَضْبة</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يسهل وطؤه، في مقابل الوَعر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أنشر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أوحد العلماء</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نعرفه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 لنا الشكّ في قول الإمام أنّه من جملة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المستوية، و 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سَلَكَ الجَدَدَ أَمِنَ العِثارَ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أفتوا</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مذهبهم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وقع</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سماعه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سمع</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للعلم</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للمطبوع و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نتيقّن</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يقال</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الفاء</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نقيض</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تَرجع</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بعض الهوامش السابقة نسبة هذا القول إلى ابن قِبَة الرازي فيما يتعلّق بأخبار الآحاد</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يجوزون</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 رووا ما سمعوا و حدَّثوا به و نقلوا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فيعرفه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إثباتُها؛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روي</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كنّا لم نعمل</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بعض المسائل</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الواضحة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من المفقودات</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أصحّ و أفصح؛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أُصولها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ينقض</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سقط مبحث الوضوء ممّا وصل إلينا من كتاب الإعلام للشيخ المفيد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يحكم من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إجماع</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فجعل المرافق</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يردون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 مامة زياد بن معاوية بن ضِباب الذُّبياني الغَطَفاني المُضَري، شاعر جاهليّ من الطبقة الأُولى، توفّي نحو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قافية الباء،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 الكاذب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المشهورة بقصيدة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الرجالِ المهذَّبُ</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الحارث غَيلان بن عُقبة بن نُهَيس بن مسعود العَدَوي، من مضر، و هو شاعر من فحول الطبقة الثانية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عمرو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الشعر بامرئ القيس، و ختم بذي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ديوان طبع في مجلّد 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بأصبهان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الأعلام للزرِكلي،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الصَّعلة في بيتِه النَّعامة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 الوحشي الذي له خُوارٌ و هو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صعل</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 و تَرجع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ضهل</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رفعي</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 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ذوات ذِرعان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الذِّرعان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ولد البقرة الوحشيّة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الكبير و الضخم و المسنّ و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قرهب</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صولة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رِدف 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كفل</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قوز من الرمل مثل التلال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الرمل مستديرة، أو الكثيب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دعص</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لَبَّدَ المطرُ و النَّدى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ألصَقَ بعضَ ترابها ببعضٍ، فصارت قويّةً لا تَسوخ فيها الأرجُل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المطر، و يطلق على البلل و الرطوبة، و العَرَق، و المطر الخفيف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آخِرَ الليل؛ و أمّا الذي يسقط أوّلَه فهو السَّدى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ندى</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ذيل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ضَبَّبَ البابَ، بمعنى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 هي حديدة أو خشبة يُضبَّب بها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قافية الباء،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خليلَيَّ، مُرّا بي علىٰ أُمِّ جُندَبِ</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خارك</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المحتملة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تكون الآية محتملة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 للنُّسَخ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ح، خ، ص، ط، 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نيته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يجيز أن يبيح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 يستبيح</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تستبيح</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الذي</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غسلهما</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يعقوبَ إسحاقُ بنُ راهَوَيهِ المَروَزي، من أئمّة الفقه و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عن خلق من أتباع التابعين، و رحل إلى الحجاز، و له مع الشافعي مناظرة في بيوت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و كتاب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الأُذنين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طبقاً للنُّسختَين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 ط</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الجوهر النقي،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البحر الرائق،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عبد الرحمن بن عمرو الأوزاعي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ذيل المسألة الرابعة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الموصليّات الثانية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المدوَّنة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خالد بن اليمان</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تحفة الأحوذي،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عامر بن شراحيل الشعبي الحميري، كوفيّ من شعب همدان، و روى عن الإمام عليّ عليه السلام، و زيد بن ثابت، و سعيد بن زيد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السبيعي، و الأعمش، و سعيد بن عمر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صالح بن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صالح بن حيّ، تقدّمت ترجمته في المسألة الخامسة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الموصليات الثانية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تحفة الأحوذي،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عن طريقة الإجماع في مقدّمة هذه المسائل</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لقواعد اللغة و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يجتزئ</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عددٌ معدودُه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المؤنَّثة؛ فيجب تذكيرُه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وفقاً للنُّسخ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جوابات المسائل الموصليّات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المسألة الثانية منها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العزائم</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المعتمدة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سمّيت سورة السجدة بسجدة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أنّها تالية لسورة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 لا تلتبس بحم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المعتمدة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سجدة 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المعتمدة و غير المعتمدة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هي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الإعلام،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فيما يحلّ للحائض و النفساء و الجنب من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اتّفقت الإماميّة علىٰ أنّ مَن ذكرناه له أن يقرأ من القرآن كلِّه ما يشاء، بينه و بين سبع آيات، سوىٰ أربع 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سجدة لقمان، و حم السجدة، و النجم، و اقرأ باسم ربّك الذي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السور عندهم بلا اختلاف يجب في قراءتها السجود على العزم دون الاستحباب</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و هو تسامح واضح</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تمتدّ من المسألة السابعة إلى الثانية عشر من هذه المسائل</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الحنوط</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الإعلام،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 ما اتّفقت الإماميّة عليه ممّا أجمعت العامّة علىٰ خلافه في هذا الباب ستّة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الإماميّة في توجيه الميّت عند غسله إلى القبلة مُلقىً علىٰ ظهره، و تبديعهم من خالف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الحنوط هو الكافور خاصّة دون سائر الطيب، و إنّه لا يجوز التحنيط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أقلّ مقداره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الوجود له و الإمكان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في الجريدتين و أنّ السنّة وضعهما مع الميّت في الأكفان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في حَطّه و إمهاله قبل إنزاله إلى القبر قرب شفيره ليأخذ أُهبته للسؤال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تلقينهم الميّتَ في قبره قبل وضع اللَّبِن عليه سنّةً يؤثرونها عن النبيّ صلّى اللّٰه عليه و آله و عترته عليهم السلام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الستّ</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ليست بفرض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الطريق إلى أنّها مستحبّة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الإعلام،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اتّفقت الإماميّة علىٰ أنّ من ألفاظ الأذان و الإقامة 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علىٰ خير العمل، و أنّ من تركها متعمّداً في الإقامة و الأذان من غير اضطرار فقد خالف السنّة، و كان كتارك غيرها من حروف الأذان</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يُجحد</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إرسال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الإعلام،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اتّفقت الإماميّة على إرسال اليدين في الصلاة، و أنّه لايجوز وضع إحداهما على الأُخرى كتكفير أهل الكتاب</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الإعلام،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اتّفقت الإماميّة علىٰ أنّه لا يجوز التلفّظ بآمين في الصلاة</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لصلاة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الإعلام،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اتّفقت الإماميّة علىٰ أنّه لا يجوز القراءة في فرائض الصلاة ببعض سورة و إن قرأ قبلها فاتحة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يجوز الجمع بين قراءة سورتين فيما بعد فاتحة الكتاب</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المسألة أيضاً فيها إجماع الفرقة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الإعلام،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اتّفقت الإماميّة علىٰ أنّه لا يجوز السجود إلّاعلى الأرض الطاهرة أو ما أنبتت الأرض سوى الثمار، و أنّه لا يجوز السجود علىٰ ثوب منسوج و إن كان أصله من النبات، إلّاعند الحاجة إليه و الاضطرار</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الإعلام،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اتّفقت الإماميّة علىٰ أنّ الإجماع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نوافل ليالي شهر رمضان بدعة حدثت بعد النبيّ صلّى اللّٰه عليه و آله، و أنّ السنّة بذلك التطوّع بها على الانفراد</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 المحقّة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كتاب الإعلام،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اتّفقت الإماميّة علىٰ تبديع العامّة فيما يختارونه من صلاة الضحىٰ</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واجب</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كتاب الإعلام،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اتّفقت الإماميّة علىٰ أنّ سجدتَي الشكر و التعفير بعدهما في أعقاب الصلوات فضلٌ جاءت به السنّة عن النبيّ صلّى اللّٰه عليه و آله و سلّم، و عمل به الأئمّة من عترته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نُقل عنه في المتن من الوجوب ليس بصحيح</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لصلاة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 يعقوب بن إبراهيم بن حبيب بن سعد بن حُميد الأنصاري الكوفي القاضي، ولي القضاء للمهدي و ابنيه، كان تلميذ أبي حنيفة و من أتباعه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الطوسي فيمن روى عن الإمام الصادق عليه السلام، و روى عن الأعمش، و هشام بن عروة، و عطاء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محمّد بن الحسن الفقيه، و أحمد بن حنبل، و بشر بن الوليد،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ليث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تقدّمت ترجمته في المسألة الثانية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الموصليات الثانية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به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صالح بن 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تقدّمت ترجمته في المسألة الخامسة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الموصليات الثانية</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فيها</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للثعلبي،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بالذي</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 مامة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ركعة، بمعنىٰ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المرَّة من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للركعة معنىً آخر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قَومة يتلوها الركوع والسجدتان من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القمر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وفقاً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ص</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انقضاء</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اتّفقت الإماميّة علىٰ أنّ من السنّة وقوف الإمام في صلاة الجنائز مكانه، حتّىٰ تُرفع الجنازة علىٰ أيدي الرجال</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درهماً</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الفضّة و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الذهب و الفضّة</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استُظهر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لولاية</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هنا من عبارة كتاب الإعلام،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صفحات، إلىٰ أحكام الحجّ</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لولاية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مرتدّ</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حكم المرتدّ</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سهم رسوله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فضل من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ظاهراً ما أثبتناه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أسهام</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الخليفة</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بالتخصيص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الخصّيص به</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لثلاثة الإضافات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للثلاثة الأصناف</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خصصناه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خصصنا</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القربىٰ</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خُصَّ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بقرابة النبيّ صلّى اللّٰه عليه و آله، بالإجماع</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غيره، فإذا خُصّ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بدخول</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أرضٍ فُتحت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السابقة</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فرس</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وفقاً لنُسختَي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بَهيٍّ</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 بعرفات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عرفات</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اكتفى الشيخ المفيد بنقل هذه المسألة فقط من أحكام الحجّ؛ لأنّها المسألة الوحيدة التي يُجمع العامّة فيها علىٰ خلاف الإماميّة،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ما سواه من أحكام الحجّ، فليس للإماميّة على الإطباق فيه قولٌ إلّاو كافّة العامّة توافقهم عليه أو بعضهم حسب ما قدّمناه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المفيد أحكام البيوع؛ لعدم إجماع العامّة في مسألة من مسائل البيوع علىٰ خلاف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انتقل إلىٰ بحث الشفعة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العقار</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ذكرناها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 الموصليّات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المسألة الرابعة منها</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هنا من عبارة كتاب الإعلام،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أوراق، إلىٰ نكاح المتعة</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الخامسة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الموصليّات الثانية</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الاستفهاميّة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وفقاًلنسخة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وجب</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الفاسد بأكثر من فقد ذكر المهر</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وفقاً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يشترطون</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عرف</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أصحابنا يشرطون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بها؛ ليحصل الفرق بين هذه المسألة و المسألة القادمة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يشترطون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يشرطون في هذه المسألة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خالته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بنتهما</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نكاح ابنته و لا أُخته و لا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نكاح أُخته و لا أُمّه و لا ابنته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التظافر</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وفقاً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ما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تَرىٰ 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القُبُل</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نسأل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واضح</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حظّ</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التعرّض</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يتعرّض</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إتيان</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نكاح</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ربّكم</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تتزوّج</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الاعتراض</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للطبرسي،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جامع الخلاف و الوفاق،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يعقوب بن إبراهيم الأنصاريّ، تقدّمت ترجمته في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الرسالة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الحسن بن فرقد الشيباني، أحد فقهاء العامّة، ولد بواسط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نشأ بالكوفة، و تفقّه على أبي حنيفة و أبي يوسف و الثوري و مالك و الأوزاعي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الجامع الصغير و الأصل و الحجّة على أهل المدينة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تكون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وَحَرةٌ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سوداءُ دَميمةٌ، أو حَمراءُ 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دَمَّ يَدَمُّ دَمامةً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منظرُه و صغُر جسمُه و حقُر؛ فهو دَميمٌ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دمم</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داود بن عليّ بن داود بن خلف الأصفهاني، هو أوّل من استعمل قول الظاهر، و لقّب بالظاهري لقوله بأخذ معنى القرآن و الحديث الظاهر دون الباطن، و ألغى ما سوى ذلك من الرأي و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و الإفصاح، و الدعوى و البينات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4473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أيّما</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عملاً</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قبل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شرط</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بالكتمان، فإن تواصوا به لم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يشترط</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التفضيل</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6310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12286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يختلف</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بنكاح</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التمييز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يتميّز</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ينتفي من</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أباح</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المتلذّذ</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 الواو هو الصواب؛ طبقاً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يقم</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الشهادة</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أثبت</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أنسَب و أفصَح؛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يشرع</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اتّفقت الإماميّة علىٰ أنّ الطلاق لا يقع باليمين، مثل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بطلاق زوجتي أن أفعل كذا، لم 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 يميناً علىٰ كلّ حال</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الاثنين</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بأن يكون بعد رجعة، و إدخال الطلاق على الطلاق</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الصحيح ظاهراً، و هو حصيلةُ الدقّة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وجود خلاف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كتبهم المصنَّفة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متظافرة</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تبيّنوا</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بقيّة</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العلّامة الحلّي الكيفيّة التالية بعينها عن ابن الجنيد، مع اختلاف يسير في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المصنّف رحمه اللّٰه نقلها من كتاب ابن الجنيد أيضاً</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قولك</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يتشاغل</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مدخولاً بها</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اختارت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وفقاً لنُسختَي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بابويه عن عمر بن</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وفقاً للمصدر</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وفقاً للمصدر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غير قُبُل عدّتها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غير طهرها؛ فإنّ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إقبالها و أوّلها و ابتداؤها، و العدّة تبدأ في حال الطهر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وفقاً للمصدر</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وفقاً للمصدر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يفترقا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وفقاً للمصدر</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28116</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 بداية الجواب</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أكفاءنا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يتزوّجنا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الصدوق عن رسالة والده إليه</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المتخيّر</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فالطلاق</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وفقاً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يوكّل</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سقطت هذه المسألة من كتاب الإعلام،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فقد أشار الشيخ المفيد إلىٰ أنّه سيذكر ثلاث مسائل، لكنّه ذكر مسألتين فقط، و سقطت المسألة المذكورة في المتن</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 الموصليّات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المسألة السادسة منها</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وفقاًلنسخة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بالوجوب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أي أنّ الرجعة مشرَّعة</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الألف و اللام</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لأنّه في الحكم ما طلّق إلّاواحدة، و من طلّق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طلّق واحدة</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تكمّلت</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هذه المسألة قد سقطت من كتاب الإعلام،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بصيغة</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ورد فيه أنّ أكثره سنة واحدة</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 الموصليّات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المسألة السابعة منها</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المفيد أحكام أُمّهات الأولاد؛ لعدم وجود مسألة منها تُجمع العامّة فيها على خلاف الإماميّة، و لذلك انتقل إلىٰ أحكام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اكتفى الشيخ المفيد بنقل هذه المسألة من أحكام العتق؛ لعدم وجود مسألة أُخرىٰ تُجمع العامّة فيها علىٰ خلاف الإماميّة</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بالإجماع</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المفيد في كتاب الإعلام،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توجد مسألة في باب القضاء و الشهادات والدعاوي و البيّنات، أجمعت العامّة فيها علىٰ خلاف الإماميّة، إلّامسألتان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في القضاء، و الأُخرىٰ في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المسألتان الآتيتان في المتن</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الفرقة</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جاءت فيه عين عبارة المتن</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44</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المحقّة</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طبقاً للمصدر</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فَفَعَل الأَولىٰ، لم يكن عليه كفّارة</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فعلمنا أنّها غير منعقدة</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كتاب الإعلام،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حول العهد،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اتّفقت الإماميّة علىٰ أنّ من عاهد اللّٰه تعالىٰ عند المقام أن لا يقرب محظوراً ثمّ قربه، فإنّ عليه ما علىٰ قاتل الخطأ من الكفّارة، و هو عتق رقبة أو الإطعام أو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هذه المسألة سقطت ممّا بأيدينا من الموصليّات الثالثة، أو أُسقطت عمداً من قِبَل السائلين، لسبب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أشار الشيخ المفيد بعد هذه المسألة إلىٰ أحكام الصيد و الذبائح، و ذكر أنّه لا توجد بينها مسألة أجمعت العامّة فيها علىٰ خلاف الإماميّة، و لذلك ترك ذكرها و انتقل إلىٰ أحكام الأطعمة و الأشربة</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القانصة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للطير بمنزلة المَصارين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لغيرها، و يقال لها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سنگدان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قنص</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الطائر جناحيه حال طيرانه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دفف</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المحقّة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اَلسّٰارِقُ وَ اَلسّٰارِقَةُ فَاقْطَعُوا أَيْدِيَهُمٰا جَزٰاءً بِمٰا كَسَبٰا نَكٰالاً مِنَ اَللّٰهِ وَ اَللّٰهُ عَزِيزٌ حَكِيمٌ</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الانتصار،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ما بين الساعد و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رسغ</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متّفق على تناول</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يُبقّى</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استُظهر في هامشه ما أثبتناه؛ استناداً إلى ما قاله السيّد المصنّف رحمه اللّٰه في الانتصار،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48</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ديناراً</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 دينار</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 الانكسار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اتّفقوا في قتل الاثنين بواحد و ما زاد على الاثنين</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فيقتلون</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يوفي</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استُظهر في هامشه ما أثبتناه</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الصوب؛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الحجّة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الفقهاء من الفرقة</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يغرمه</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حِسَّ</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جناية</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أجزي</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مخيّرون</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خمسمائة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نصف دية الرجل</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المسألة الثانية و الثمانون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زيادةٌ تبرُّعيّةٌ لا توجَد في أيِّ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علىٰ‌أنّها تُغيِّرُ ترقيمَ المسائلِ التاليةِ لها؛ دونَ مُبرِّرٍ</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المقتول</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إلىٰ آخر المسائل، فإنّ ما في المطبوع يزيد مسألةً علىٰ ما أثبتناه في هذه الطبعة</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كتاب الإعلام،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قبل هذه المسألة،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اتّفقوا علىٰ أنّ من كان معتاداً بقتل أهل الذمّة، فللسلطان أن يقتله بمن قتل منهم إذا اختار ذلك وليّ الدم، و يلزم أولياء الذمّي فضل ما بين دية المسلم و الذمّي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هذه المسألة سقطت من الموصليّات الثالثة سهواً أو أُسقطت عمداً لسبب لا نعلم به</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خلافُ الترتيب؛ لذا خالفناه و بنينا في هذه المسألة و تواليهاعلى ترقيم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المفيد بعد هذه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للإماميّة بعد هذا مسائل من دية الأعضاء و الجوارح و الأسنان و العظام، و في القصاص و القسامة و الأيمان، لا يوافقهم أحد من العامّة عليها، أضربتُ عن ذكرها على التفصيل؛ مخافة أن يُنشر الكلام و يطول بذلك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وفقاً للنُّسَخ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 ح، خ، ص،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52</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مخالفينا</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يفترق</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ط</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بنته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للأُخت الواحدة من الأُمّ</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وفقاً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ط</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اليتامى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الباقي</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يقدر</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الأُمّ</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52</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الكيفيّة للقرابة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كيفيّة القرابة</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البنات</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تخصيصه</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ذكراً كان أو أنثى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إثباتُها أنسَب؛ وفقاً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لما استُظهرفي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حبو</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الوارث</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يروون</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يخلّف</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الصاغانيّة،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الكافي في الفقه،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روت</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32576</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الذي أراه و</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54</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وارث</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و يعقل؛ و لمّا كان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الزوجة</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المنزل و دار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غيره من تسخط عشيرة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 ممّن تستجدّ من أزواجها</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أعطت</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خطّها</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وفقاً للنُّسخ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ش، ط</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13475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32837</w:t>
      </w:r>
      <w:r>
        <w:rPr>
          <w:rFonts w:ascii="IRNazanin" w:hAnsi="IRNazanin" w:eastAsia="IRNazanin"/>
          <w:b w:val="false"/>
          <w:b w:val="false"/>
          <w:bCs w:val="false"/>
          <w:i w:val="false"/>
          <w:i w:val="false"/>
          <w:iCs w:val="false"/>
          <w:color w:val="333333"/>
          <w:sz w:val="20"/>
          <w:sz w:val="20"/>
          <w:szCs w:val="20"/>
          <w:rtl w:val="true"/>
        </w:rPr>
        <w:t>، مع اختلاف يسير في اللفظ</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وفقاً لنُسخَتَي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 جماعتهم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 الأخ</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لِلنِّسٰاءِ نَصِيبٌ مِمّٰا تَرَكَ اَلْوٰالِدٰانِ وَ اَلْأَقْرَبُونَ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لولا إثباتُها لَما كان الدليلُ دليلاً، بل كان عليلاً، بل كانَ ينقُضُ نفسَه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ذيل نفس الحديث بطرق متعدّدة أُخر؛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32546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32547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الرواية إلّافي كتاب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طاووس، عن أبيه، عن ابن عبّاس، عن النبيّ صلّى اللّٰه عليه و آله</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ما روي 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حاشية الدسوقي،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 المعتمدة و غير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تبقيه</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 لهم ذلك، جاز لغيرهم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أخاً 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وفقاً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فريضتين و هو</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الأُخت</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أخاً</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في هذا الموضع و في قوله بعد كلمتين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فميراثه لبنت ابنه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لكنّه في الاحتجاج على الحكم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أنّه حصل سهو في السؤال و أنّ الصحيح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ابنة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لبنت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بنته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هذه المسألة هي ممّا اتّفقت عليه الإماميّة و اختلفت فيه مع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الإعلام،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يدلّ علىٰ صحّة ما أثبتناه ما جاء في الانتصار،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ممّا انفردت به الإماميّة القول بأنّ بني الإخوة يقومون عند فَقد آبائهم مقامَهم، عند مقاسمة الجدّ و مشاركته</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للمطبوع و لحاشيتَي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سهماً</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يرث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يرث</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يرث</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60</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الثامنة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الموصليّات الثانية</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المفيد في كتاب الإعلام،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ترك الخوض في عدد من أبواب الإرث لعدم وجود مسألة من بينها أجمعت العامّة فيها علىٰ خلاف الإماميّة، و هذه الأبواب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الحَميل و اللقيط، و باب ميراث قاتل العمد و الخطإ، و المرتدّ، و من أسلم علىٰ ميراث قبل أن يُقسم، و الإقرار بوارث، و باب ميراث الولاء، و الرجل يُسلم علىٰ يد الرجل، و ميراث المعتَق في واجب، و السائبة، و الحجب لمن لا يرث، و باب ميراث الغرقىٰ و المهدوم عليهم، و جميع ما لا يُعرف بقدم موته علىٰ صاحبه</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ورّث</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 نُظر إلى الأغلب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يرث المملوك من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لا ميراث للمملوك من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إنّه من لا يراث للمملوك من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الحجّة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تكرار للمسألة السابقة</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ورثا</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ورث الباقي مكاتبه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لوضوحه</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 ما فيها</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 الموصليّات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المسألة التاسعة منها</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قبل هذه المسألة في كتاب الإعلام،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أُخرىٰ،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اتّفقت الإماميّة علىٰ أنّ المسلم يرث الكافر، و أنّ الكافر لا يرث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سبب عدم ذكر هذه المسألة هنا هو عدم إجماع العامّة علىٰ مخالفة الإماميّة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متأخّرو العامّة أجمعوا علىٰ خلاف ذلك، و أنكروا ميراث المسلم من الكافر، كما أشار إليه الشيخ المفيد في الإعلام</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يتفرّد</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يواقف</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الحسن البصري، و هو أبو سعيد الحسن بن أبي الحسن يسار البصري، مولى زيد بن ثابت الأنصاري، ولد لسنتين بقيتا من خلافة عمر، و اُمّه خيرة مولاة اُمّ سلمة، نشأ بالمدينة، ثمّ صار كاتباً في حكومة معاوية لوالي خراسان الربيع بن زياد، و هو أحد الزهّاد الثمانية، و كان يلقى الناس بما يهوون و يتصنّع للرئاسة، و يعدّ من رؤساء القدريّة، توفّي بالبصرة في رجب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بن كعب و سعد بن عبادة و عمر بن الخطّاب و لم يدركهم، و عن ثوبان و عمّار بن ياسر و غيرهم؛ و روى عنه حميد الطويل و قتادة و عطاء بن السائب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الكمال،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الكنى و 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مسلم بن عبد اللّٰه بن شهاب الزهري؛ أحد أكابر الحفّاظ و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من أهل المدينة، نزَل الشام و استقرّ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تصنيف في مغازي الرسول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فيما يتعلّق بقول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عبد الرحمن بن عمرو الأوزاعيّ، تقدّمت ترجمته ذيل المسألة الرابعة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الموصليّات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تنفرد</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الربع</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عداه</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يمنع</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الثلثان</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الثلثان</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من المفقودات، و يبدو أنّ المصنّف رحمه اللّٰه لم يتمكّن من بحث مسألة العول فيه، فإنّ هذا الكتاب بقي ناقصاً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البُصروي في فهرسه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المواردُ المنقولة منه في الكتب الأُخرى لا تتجاوز كتاب الطهارة، و ربّما شيئاً من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المتبقّى من التراث المفقود للشريف المرتضى</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العقيدة،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اللطيف عوض، و نشرته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و الإرشاد القومي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يتعلّق بالجزيرة و مناطقها و مدنها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الحمدانيّة في الموصل و حلب،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فيصل السامر، بغداد،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ساعدت جامعة بغداد على نشره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المدوّنة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استتر الشلمغاني من السلطان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معلثايا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فترة من الزمن، و معلثايا من نواحي الموصل، فهي قريبة إلى حد مّا من ميّافارقين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ضمن الرقم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بأس بالإشارة هنا إلىٰ سفر المحقّق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من علماء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ميّافارقين سنة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جوابات المسائل الميّافارقيّات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 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تأليفُ سيّدِنا، الإمامِ العالِمِ، البارعِ الفاضلِ، العَلّامةِ الصدوقِ، المُحِقِّ المُحقِّقِ، السيِّدِ الشريفِ المُرتَضىٰ عَلَمِ الهُدىٰ، ذي المَجَدينِ، أبي القاسِمِ، عَليِّ بنِ الحُسَينِ الموسَويِّ قَدَّسَ اللّٰهُ روحَه، و نَوَّرَ ضَريحَه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جوابات مسائل أهل ميّافارقين</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ثبتت</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لكنّها</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نعتمده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أوّل</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الثانية</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جماعة</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نصبه</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عيد</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انضاف</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تكبّر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تكبيرة</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طبقاً للنُّسخ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 ر، ط</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تكبيرين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يصلّيها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يصلّيهما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سُبحة لأنّه يُسبَّح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اشتراك</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يختصّ</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وقتها</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بخروجها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لخروج</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إثباتُها هو الصواب؛ طبقاً للمطبوع و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طبقاً للمطبوع و للنُّسخ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 ط، ك، م</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إذا انتصف الليل، فاتت العشاء الآخرة</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زاد المسير،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تأخّرت</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استحباباً</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إثم علىٰ من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أثبتناهاطبقاً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ي</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التكبير</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يتربّع أم يتورّك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تتربّع أم تتورّك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وفقاً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يُفعلا</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يُشرَط</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باليدين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آخر ما غسله قبل مسح الرأس هو اليد اليسرىٰ، فيُنسب الماء إلى اليسرىٰ، و إن كان المسح باليمنىٰ</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استيناق</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وجوب أخذ البلل للمسح من لحيته، 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والد الشيخ الصدوق رحمه اللّٰه، و الرسالة مفقودة، و قد نقل ولده الشيخ الصدوق رحمه اللّٰه عنها في كتابه كتابُ من لا يحضره الفقيه كثيراً</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بن أبي العزاقر الشلمغاني، إليه تنسب العزاقرة، كان متقدّماً في أصحابنا؛ لكن حمله الحسد لأبي القاسم الحسين بن روح على ترك المذهب، و الدخول في المذاهب الرديئة، منها ادّعاء نيابة المهديّ عليه السلام، بل ادّعاء الأُلوهيّة و الحلول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فأخذه السلطان و قتله في عام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التكليف، و كتاب ماهيّة العصمة، و كتاب الزاهر، و المباهلة، و كتاب الأوصياء،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الفهرست للطوسي،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الفرق بين الفرق،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وفقاً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أجماع</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أعلمهم</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ما يعاين المؤمن و الكافر عند الموت و حضور الأئمّة عليهم السلام عند ذلك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لموالاته</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يعلمه</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الشيخ المفيد رحمه اللّٰه إلىٰ هذا الرأي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المحاورة</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مساوون</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قاطع</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 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لذلك بتكليفنا</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مقتضىٰ نظريّة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جواب المسألة الثامنة من الطرابلسيّات الثانية</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التكليف لأبي جعفر محمّد بن عليّ بن أبي العزاقر الشلمغاني، تقدّمت الإشارة إليه في المسألة الرابعة عشرة من هذه المسائل</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شبهة في أنّ من عبد الاسم دون المعنى</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الاسم غير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إخوة من أب</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 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 لأب</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وفقاً للمطبوع و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ك، ي</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جافّ و يابس</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بدون 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تعدّ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طبقاً للمطبوع و للنُّسخ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 ط، ك</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البول قد عفي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إثباتُها هو الصواب؛ طبقاًللمطبوع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 ي</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الثالثة و الثلاثون</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إثباتُها؛ طبقاً للمطبوع و للنُّسخ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 ط، ك</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السؤال عن المخالفين، فأجاب المصنّف رحمه اللّٰه عن الكفّار، و مرادُه المخالفين الذي يبلغون في خلافهم إلىٰ حدّ الكفر، كما سوف يأتي في المسألة التالية</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الكافي في الفقه،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مفاد نظريّة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تقدّمت الإشارة إليها في المسألة الثالثة و العشرين</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19567</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 أم</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الجدى</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كان سفره ليس بمعصية؛ سواء كان مباحاً أو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تكرار</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اليمين</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اليمنى</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عليه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دونَ رؤيته غَيمٌ أو قَتَرَةٌ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غمم</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يخفى</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العدد</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وبره و</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إثباتُه؛ وفقاً للنُّسخة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المحرّمة</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وفقاً للنُّسختَين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علىٰ ذلك ما جاء في أوّل المسائل الرازيّة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التحريم موقوفاً على المسكرات</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المهر</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يشرطه</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قبحة</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شيب</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الأرانب</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الذبح</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يلبس من</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الفراء 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الحمر</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الدباغ</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جعفر محمّد بن عليّ بن أبي العزاقر الشلمغاني، و قد تقدّمت الإشارة إليه في المسألة الرابعة عشرة من هذه المسائل</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فتحلّها</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سترجعها</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أنّه يجوز للرجل أن يحلّ جاريته لأخيه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26702</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النكاح</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نافية</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استُظهر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تختطر</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يكادون</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الزمان، 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الأزمان، فتكون</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الأوسق</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حاله</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مالك جواز الوطء في الدبر، ولكن أوَّلَه البعضُ بأنّه إنّما جوَّز الوطء من الدبر، لافي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لم يطابقه في ذلك</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مخرجيها</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الكراهة</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السرائر،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غنية النزوع،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الثامنة و 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الثامنة و الخمسون</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غيره</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ليفوز</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يدركها</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لهذه الحال</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 عليه السلام</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إثباتُها هو الصوابُ؛ وفقاً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الملّتين</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نصفه</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الثلث</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تغسل</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المحتار لابن عابدين،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يجوّز</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إثباتُها؛ طبقاً للمطبوع و للنُّسختَين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ك</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التجارة</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لمن</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بالغزو</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و</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 المسائل و الرسائل بحمد اللّٰه و عونه و حسن توفيقه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صلاته علىٰ محمدٍ نبيّه و أهل بيته الأئمّة الطيّبين الطاهرين، و حسبنا اللّٰه و نعم الوكيل</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و يؤنّث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الفاء</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يعلمه إلّااللّٰه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فممّا يعلمه اللّٰه تعالى</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السرّاد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عليّ، مولى بجيلة، كوفي، روى عن أبي الحسن الرضا عليه السلام؛ قال الشيخ الطوسي رحمه اللّٰه في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روى عن ستّين رجلاً من أصحاب أبي عبد اللّٰه عليه السلام، و كان جليل القدر، يعدّ في الأركان الأربعةِ في عصره، و له كتب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المشيخة، كتاب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في رجاله تارة من أصحاب الكاظم عليه السلام أيضاً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تارة في أصحاب الرضا عليه السلام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بجيلة 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الكشّي رحمه اللّٰه من الفقهاء الذين أجمع أصحابنا على تصحيح ما يصحّ عنهم عند تسمية الفقهاء من أصحاب أبي إبراهيم و أبي الحسن الرضا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كتابه المشيخة أيضاً ابن شهر آشوب رحمه اللّٰه في معالم العلماء؛ لكنّ الكتاب غير موجود في زماننا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4978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يورث</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جريهما</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يجريان</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المحض</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الواسطيّات</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نكاح</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الواسطيّات</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يراعي</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جواز خروج المطلّقة الرجعيّة من بيت زوجها حتّى انقضاء عدّتها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النساء،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المرأة المذكورة في المسألة لم تكن تراعي من طلاقها إلّاهذا الحكم</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استقرارهم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نجد له معنى يناسب المقام، و الظاهر أنّه من سهو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استقرَأ الجَمَلُ الناقةَ، إذا تارَكَها لينظُر أ لَقِحَت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أيضاً من سهو النسّاخ</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 الضمائر الثلاثة في هذه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أزواج هذه المرأة المِزواج</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المتزوّجة</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الواسطيّات</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يجرين</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المتمتّع</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سهو النسّاخ</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يحمله</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الواسطيّات</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المسائل الواسطيّات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تذهب</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بمستشهد</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الواسطيّات</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للمتمتّع</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العقيدة،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بسبب وجود احتمال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كان ضئيلاً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تكون المسألة الثانية جزءاً من الرمليّات، لذلك تَقرَّر طباعتها علىٰ حدة في ضمن الرسائل الكلاميّة للشريف المرتضى</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العدد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في الخلاف بين البصريين و البغداديين،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أوائل المقالات،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مسألة تطوّر مفهوم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الجديدة للأُصول،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استفدناه من فهرس البُصروي</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بلدة</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رؤيته</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س،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ظهر لهم</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فيبطل</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يعتقدوها</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حكمها</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طرقه</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لَمَحَت، و بَرَزَت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 البرقُ يَلوحُ لَوحاً،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للشيءإذا تلألأ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 يَلوحُ 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 لي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و 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ما ذكره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ذكر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ما ذكر 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بالتكليف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التكليف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شرعاً، فهو حلف الزوج الدائم على ترك وطء الزوجة المدخول بها قُبلاً مطلقاً، أو زيادة على أربعة أشهر للإضرار بها، و كان طلاقاً في الجاهليّة كالظهار، فغيّر الشرع حُكمه، و جعل له أحكاماً خاصّة إن جمع شرائطه، و إلّافهو يمين يُعتبر فيه ما يُعتبر في اليمين، و يلحقه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النهاية للطوسي،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اللمعة الدمشقيّة،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الرمليّات</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لامسها</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المكث، و 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ربص</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فَرافَعَته</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دام</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أوضحنا</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اليائس</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يائسة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آيسة من الحيض</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مرافعة</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تمسك</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ألزمه</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المطلوب</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توفيقه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فخر المحقّقين هذه المعاني أيضاً، لكن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ما هو نجس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وما هو نجس العين؟ و ما هو نجس الحكم؟</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منجِّس</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م،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تركّبه</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مماثلة</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تنجّس</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 ع،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يتعيّن</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ش، ط، ع، م، 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بعض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 الأحيان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فحكموا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فاحمرّوا</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نجاسته</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منه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مشارق الشموس،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بنجاسة</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ه،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مخالطة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النجاسة</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ك، ل،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ألف الاستفهام</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إلّاأنّه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هو العائد إليها</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موادّ لها</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انضبّ</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نقطع</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 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ينضبّ</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بتجويز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لتجويز</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يعود</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يرجع علىٰ إحدى الجهتين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ترجيح لإحدى الجهتين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ط، ع،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ترجيح لأحد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بترجيح لأحد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يخالطه بنجاسة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التجويز</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لكونه الماء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ط، ع، ك، ل، م، ه، و،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بنجاسة</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فيجب أن تنزح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تنزح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تنزج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ماءها وجب نزحه</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نزح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نزح ماءٍ لأجل نجاسته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نزح ماء بئرٍ لأجل نجاسته</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 س، ل،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تنجيس</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تجدّد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 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 إليها</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388</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عيسى الربعي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عيسى بن الفرج بن صالح، أبو الحسن الربعي النحوي، كان إماماً في النحو، مُتقِناً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شيراز، صاحَبَ أبا عليّ الفارسي، و درس النحوَ على يديه في شيراز مدّة عشرين سنة، حتّى قال أبو عليّ في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بقي له شيء يحتاج أن يسأل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تتلمذ الشريف الرضي على يده في النحو و 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فَكِهاً كثيرَ الدعابة، فمن ذلك أنّه كان يوماً على شاطئ دجلة ببغداد، و الملك جلال الدولة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المرتضى و الرضي كلاهما في سمارية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الزوارق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معهما عثمان بن جنّي النحوي، فناداه الربعي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الملك، ما أنت بصادق في تشيّعك لعليّ بن أبي طالب، يكون عثمان إلى جانبك، و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بالسميرية، فقرّبت إلى الشاطئ، و حمله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القول كان للشريفين المرتضى و الرضي، و معهما عثمان بن جنّي،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أعجبَ أحوالَ الشريفين، يكون عثمان معهما، و عليٌّ يمشي على الشط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في النحو، منها كتاب البديع، و شرح مختصر الجرمي، و شرح</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قائمة لبعض إبداعاته الفكريّة في ذيل مقدّمة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أنبؤوني بأسماء 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من الرسائل القرآنية للشريف المرتضىٰ</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مقدّمة هذه الرسالة، فراجع</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التستير و التغطية، يقال لكلّ شيء أو شخص مبهم و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فأستر</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قُمْتُمْ إِلَى اَلصَّلاٰةِ فَاغْسِلُوا وُجُوهَكُمْ وَ أَيْدِيَكُمْ إِلَى اَلْمَرٰافِقِ وَ اِمْسَحُوا بِرُؤُسِكُمْ وَ أَرْجُلَكُمْ إِلَى اَلْكَعْبَيْنِ</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عطفها</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واضح؛ نعم، استُظهر في هامش المطبوع ما أثبتناه</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الحسن بن أحمد بن عبد الغفّار الفارسي الفَسَوي النحوي، المشتهر بإمام النحو، تقدّم بالنحو عند عضد الدولة، ولد في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ببغداد 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تلامذته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بن جنّي، و عليّ بن عيسى الربعي؛ و 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النحو، و التكملة في النحو، و الإيضاح الشعري، و تعليقة على كتاب سيبويه، و الحجّة في شرح السبعة لابن مجاهد في القراءات، و كتاب الترجمة، و المسائل الحلبيّات، و أبيات الإعراب، و أبيات المعاني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زيد سعيد بن أوس بن ثابت الأنصاريّ اللغويّ البصري، كان من أئمّة الأدب و اللغة، من أهل البصرة، و توفّي بها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 يرى رأي 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في اللغة، و اللبأ و اللبن، و المياه، و خلق الإنسان، و بيوتات العرب،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نجد له معنى يناسب المقام، و الظاهر أنّه من سهو النسّاخ</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الوجه المنقول عن أبي زيد الأنصاري في هذه الرسالة، في ضمن الكلام المنقول عن الربعي</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من الكتب المفقودة للمصنّف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المتبقّى من التراث المفقود للشريف المرتضى</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قديماً</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الناصريّات،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أشار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خاصّة في 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جاء في كتاب مسائل الخلاف من بحث حول غسل الرجلين</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وجدناه</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يسطر</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المعوّل</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فحمل</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تبتني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نبني</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تبتني</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تبنى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نعتبر</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فنبني</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بمقتضى السياق</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 دلالته</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 فلا</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يحكم</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يتضيّق</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استسلاف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تسليمُه و فرضُه سَلَفاً</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يقدّر</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عامل</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يأتي في الكلام المنقول عن الرَّبَعي بعد قليل توضيحُ الاستدلال بهاتين الآيتين</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خَرَجَ</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تقدّر</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تقدّر</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شائع</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الأرجل</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يحتمل</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يجريان</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آيتين</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 يرجّح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يرجّح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بالمسح</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الغسل؛ لتجويز القراءتين جميعاً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 من</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يُظنَّ أنّ هذا من كلام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لا زال المصنّف ينقل كلامَ أبي الحسن الرَّبَعيِّ</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يفسَّر</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التنزيل</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النائي</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أُفرغ</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يَسْتَفْتُونَكَ قُلِ اَللّٰهُ يُفْتِيكُمْ فِي اَلْكَلاٰلَةِ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الكلالة</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بمقتضى السياق</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فإذن</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البناء</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لمخالفته</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خشّنتُ صدرَه تخشيناً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بشر عمرو بن عثمان بن قنبر الحارثي الملقّب بسيبويه، النحويّ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من بسط علم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مولى بني الحرث بن كعب، ولد ببيضا من قرى شيراز، و سكن البصرة، و لزم الخليل بن أحمد ففاقه، و صنّف كتابه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بمدينة ساوه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وفاته و قبره بشيراز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سنة وفاته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ترىٰ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تلوناه</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هو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كأنّ</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المورد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رَمَلتُ الحَصيرَ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أرمَلتُ النَّسجَ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سَخَّفتَه تسخيفاً و رَقَّقتَه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يذهب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مذهب عن</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لك</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نطقت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للزوم</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طريقة</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يوجد في هذا الموضع فراغ</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يتغيّر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يعبّر</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حسّه</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الوجهين</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فيثبت</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يتبيّن</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من النسّاخ</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متىٰ</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من سهو النسّاخ</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يمكن قراءتها بالوجهين</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بقوله</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من أكسية العرب، مخطَّط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بجد</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امرؤ القيس، كما في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و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ثَبيراً في عَرانينِ وَبلِهِ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المغطَّى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مع أنّه وصف للكبير المرفوع</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فقد نقل فيه بعض ما جاء في مسائل الخلاف المفقود</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هكذا الموارد التالية المشابهة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قبل قليل أنّ البيت للعجاج</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يكون لزمل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 من الزمل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يكون من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المُرمَل</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العنكبوت لا يكون منسوجاً</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نفسه، و إنّما يليق بغزله</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يبطل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يبطل</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زيد الأنصاريّ، تقدّمت ترجمته قُبيل هذا</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المنير،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 في كلام العرب يكون مَسحاً، وهو إصابةُ الماءِ؛ و يكونُ غَسلاً،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مَسَحتُ يدي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غَسَلتَها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تَمَسَّحتُ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اغتَسَلتَ</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فجاز</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سفيان بن سعيد بن مسروق الثوريّ الكوفي، من فقهاء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أبيه، وأبي إسحاق الشيباني، و أبي إسحاق السبيعي، و عبد الملك بن عمير،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الشيخ الطوسي رحمه اللّٰه في رجاله فيمن يروي عن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بالبصرة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طبقات الفقهاء،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مَعمَر بن المثنّى التيميّ البصري، النحويّ اللغوي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رمي برأي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هشام بن عروة، و أبي عمرو بن العلاء، و طائفة؛ و روى عنه عليّ بن المغيرة، و أبو عثمان المازني، و أبو حاتم السجستاني، مات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7210</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بِالسُّوقِ وَ اَلْأَعْنٰاقِ</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فَضَربَ</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لرأس الرجل و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 عِلاوته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بالمضروب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المضروب</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محدَّد، و محدود</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الأرجل</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حُمل علىٰ ذلك</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نظيره، فراجع</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معنَيا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بحثنا</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سعيد بن مسعدة الأخفش، كما صرّح به المصنّف رحمه اللّٰه في ختام الرسالة عند نقل قوله مجدّداً، و هو البخلي ثمّ البصري، المعروف بالأخفش الأوسط، من أعرف النُّحاة و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العربيّة عن سيبويه، و توفّي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معاني القرآن، و شرح أبيات المعاني، و الاشتقاق، و كتاب الملوك،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فموضع</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أرجح</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قبيل هذا</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حقيقته مخالفاً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حقيقته يخالف</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يعوله</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الكلّ من تصحيف النسّاخ</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مضطرّاً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تقطر</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من سهو النسّاخ</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السراويل،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تكك</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يطيق</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عمرواً</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التأديب و التهذيب، و هو 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 حذف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يستقيم المعنى معها، و جعلنا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معطوفٌ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التثقيف</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ليسقط</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رجليه</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لأنّما</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فصار</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فيما سبق</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فالأمر</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واضح</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على القياس</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ذكرناها</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جودته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تصحيف ممّاأثبتناه، و الكلام يقتضي فعلاً مفرداً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 و بيَّنه</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يوجد 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حكي</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أسوقها</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الأسواق</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أسوقها</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سوقها</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نائب الفاعل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 الأرجل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الأرجل</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يصحّ أن يُضعّف عطف الأرجل علىٰ الرؤوس لكون الأرجل محدودة و الرؤوس غير محدودة، و يُقوّىٰ عطفها على الأيدي لكونها محدودة</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ألّا</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يعطف</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الأرجل</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يعطف</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الوجوه جاز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عطف عليه من الأيدي عضواً مغسولًا محدوداً</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نعطف</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ممسوح 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جدّاً</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يقارنه</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رائحة</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حكم</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سمعت</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يزيدون</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قُبيل هذا، حيث ذُكر في المتن كنيتُه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لقبُه</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شممت 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مكان شممت</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مشترك</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شممت</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تقتضي</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قصدناه</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صلّى اللّٰه على محمّد و آله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صلواته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الشريف الطاهر النقيب الحسين بن موسىٰ المعروف بأبي أحمد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نقابة الطالبيّين ثلاث أو خمس مرّات، و لم يزل والياً في المرّة الأخيرة إلىٰ أن 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له سفارات بين الخلفاء و الملوك من آل بُوَيه و الأُمراء من بني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 عضد الدولة في فارس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فبقي هناك إلىٰ أن أطلَق شرفُ الدولة سراحه سنة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معروفاً بالسخاء و الورع و النُّسك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صلّىٰ عليه ابنُه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كبيرةٌ مِن مَحالِّ بَغدادَ، كانت مُتّصِلةً بالكَرْخ، ثمّ صارت منفردةً كالقرية، ذاتَ جامعٍ و سوقٍ، مستغنيةً بنفسِها، في غَربيِّ الكرخ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النسخ مختلفة من بداية الرسالة إلى هنا، و ما أثبتناه مقتبس من مجموع النسخ، من دون الاعتماد على نسخة على حدة، و كلّه ساقط من المطبوع</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تبدّع فاعله و تخطّئه</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ح، ر،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أجازوا</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عمدة القاري،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المدوّنة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مخصوصة</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يسمّى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فمثل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ممتثل لحكم</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 الآية</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مسح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بمسح ما يُسمّىٰ رجلاً</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تسمّى</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ح، ر،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يخرج</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ر،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دلّ على العدول الظاهر، و لا نعرف هاهنا دليلاًغير الظاهر يُعدل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تخرج عنه ضرورة صارفة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دلّ دليل على العدول عن الظاهر، و لا نعرف هاهنا دليلاً غير الظاهر يُعدل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بالحقيقة</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ينكرون</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ح،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أن يكون لابس الخفّ</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لابسو الخفاف</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ذلك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على ذلك</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رجليه</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رجليه</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روايتنا، أو بالغسل</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المبسوط للسرخسي،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ح،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يُقبل</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لهم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ر،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يجعل</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الصفة و</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صحّة ما ذهبنا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إجماع الإماميّة</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ح،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قولها</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531</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تصحيح اعتقادات الإماميّة،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جوابات أهل الموصل،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في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النور في علامات أوائل الشهور</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الجوابات مطبوعة</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الثامنة من المسائل الطبريّة للشريف المرتضى؛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العقيدة، 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مخطوطة مكتبة السيّد المرعشي، برقم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و لم تُعتمد في هذا التحقيق</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التصريح بهذا التاريخ في بداية الموصليّات الثالثة</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إلىٰ بحث الإجماع في المقدّمة المفصّلة التي كتبها للموصليّات الثالثة</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العقيدة،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الكتب المُهداة للمكتبة،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خ،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أنفعك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أنتفعك</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أعمل</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ك،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سالفاً</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ك، ل، ي، ن،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ن،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ما في أجلى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فيما هو أجلى منها</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ي، 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الكلام</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 حذف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مِن جوابات المسائل التبّانيّات و مقدّمة جوابات المسائل المَوصِليّات الثالثة</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بتعيُّنها</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ي، 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عدولاً</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ك، ل، ي،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لا يُعلَم كما عُلِمَ طريقُه مِن أخبارِ العِلمِ</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ل، ي،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يشكّك</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جعل الرؤيةَ هي الأصل، و العددَ تابعاً لها</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ع، ك، ل، ن،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ع،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الكتابَ الذي أرسَلَه السائلُ إلَى السيّدِ المصنِّف رحمه اللّٰه في نُصرةِ العَدَدِ</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تغييره</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نعلم</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لَشا فُلانٌ يَلشو لَشواً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 بعد 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لاشاه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أفناه، كأنّه جعله كلا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ل، 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دون الرؤية</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ل،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ل،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تغييره</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إلى آخر هذه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الصحيح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المعدود</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ل، 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يتناول</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البقرة</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المؤاخذة</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جواب المصنّف رحمه اللّٰه لهذا الكلام فيمايأتي بُعيدَ هذا، يدلّ علىٰ أنّ الصواب ما أثبتناه</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اقتضته الرؤية</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الأصوب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يُصار</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المسافر</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بحسب رأي صاحب الكتاب</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مندوبيّة</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الرسالة مفقودة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نفس رسالته إلىٰ أبي محمّد الفارسي في شهر رمضان التي ذكرهاالنجاشي في ضمن مؤلّفات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لقد استظهر المحقّق الطهراني أن تكون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لم يتّضح لنا الوجه في ذلك</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صام</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أيّاماً</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رؤيت هلال،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يمكن</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ابن قِبَة الرازي إلىٰ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يمكن</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فيفوته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فينفونه</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فخذوا</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تجويزاً</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مرّة خمساً</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لجواز اخترامه و موته قبل الدخول في أوّل التكليف، أو قبل الوصول إلىٰ آخره</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في جواب الدليل السابق</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استفدناه ممّا سيأتي في الجواب عند نقل نفس هذا الكلام مرّة أُخرىٰ</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هذه الإلزامات في المسألة السادسة من المسائل الرمليّات</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الباب الخامس من أبواب كتاب الصوم</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بعيداً</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فيثبت</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نقض</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يتبعان الرواية</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نيّة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المعلوم</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قبلة</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جهة قبلته</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الموصليّات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و المسائل،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مسألة في نكاح المتعة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و المسائل،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الانتصار،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المسائل الناصريّات،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المسألة السادسة من المسائل الرمليّات</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ممّا تقدّم عند نقل كلام صاحب الكتاب</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الليلة</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موافق أيضاً لما تقدّم في عبارة صاحب الكتاب</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الباب الخامس من أبواب كتاب الصوم</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أجزأه</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صائم يوم الشكّ و المسجون</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الحديث أنّه إذا ثبت هلال شهر رمضان و غُمّ هلال شوّال و ذي القعدة و ذي الحجّة و لم نتمكّن من معرفة يوم النحر، فاليوم الذي ثبت أنّه أوّل شهر رمضان هو بعينه يوم النحر العاشر من ذي الحجّة، فلو كان أوّل شهر رمضان يوم الجمعة فإنّ يوم النحر هو الجمعة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مبنيّ علىٰ كمال شهر رمضان و عدم توالي ثلاثة أشهر 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ثبت أنّ أوّل شهر رمضان يوم الجمعة فيكون عيد الفطر يوم الأحد لا محالة، ثمّ إذا حسبنا شهر شوّال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و ذا القعدة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أو بالعكس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توالي ثلاثة أشهر كاملة كما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أوّل ذي الحجّة يوم الأربعاء لا محالة، فيكون يوم العاشر منه و هو يوم النحر يومَ الجمعة كما كان أوّل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الشيخ الكليني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الأضحىٰ في اليوم الذي يُصام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 و الظاهر أنّها زائدة؛ بقرينة نقل هذا الكلام بُعَيدَ هذابدون الواو في جميع النسخ</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الناظر المتمكّن من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رآه</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لأُضيفت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الشهور</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الشهور العدديّة</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 من النسخ</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سَرار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ليلةٍ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خفاء الهلال و استتاره، مِن غمّ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سوف يأتي في أواخر الكلام عن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صوموا لرؤيته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المصنّف رحمه اللّٰه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إغماء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 غَمّاً</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نيّة</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 العبارة سقطاً</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شُبهةٌ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يتّفقان أحياناً</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صوموا لرؤيته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فكما أنّنا نرجع إلى العدد عند التباس الرؤية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فكذلك نرجع إلى القرآن عند التباس الأثر</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الرجوع إلى العدد</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أمرنا</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الماء</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 من</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عدلتم عن العدد</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الخبر فيما سلف</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غمي</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غمم</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موافقته للعدد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سوف يأتي في كلام المصنّف رحمه اللّٰه</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إلى العدد</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المستقبل</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موافقة العدد</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يُصدَّق، و يُكذَّب، و يُعوَّل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فالأنسب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لخلاف</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اعتماد سلطان الحرمين للرؤية</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في العبارة سقطاً</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تكليفه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تكلّفه</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م، ي، ن،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فيمكن</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سقط</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ض، ع، ك، ل، م، ن،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 من الموصليّات الثانية</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مفقودة</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أنصرفها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نصرت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أنصر فيها</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 و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شرب</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جماع</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يضرب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نصرت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يضرب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التمكّن</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للسيّد رحمه اللّٰه من المفقودات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المتبقّى من التراث المفقود للشريف المرتضى</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يدلّ</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ط، ع، ك، ل،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عزمه على</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 بعد عدّة صفحات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يحدث حدثاً ينقض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نيّة الصوم</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صوماً</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المفطرات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هذه المفطرات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عزيمة الأكل</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ك، ل، م، ه، و،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 النيّة</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ر، ط،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 ل، م، و، 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للجميع</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إن 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تعزب</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جعلناه صائماً</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لنيّة</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عزوب النيّة لنيّة الصوم أشدّ من منافاة</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 ل، م، 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غاربةً</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ع، ك،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يتجدّد</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ط، ع،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قاربها</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تقدّم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وجب</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 الفقهاء</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يبق شهرة في أنّ العزيمة عن</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ر، س، ط، ع،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يؤثّر</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و، 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إنّا</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بمنافاة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نافاه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نافاه</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يفسد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المختلف</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ر، ط، ع، م، ه، و،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حصلت</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يفسد إلّابفعل ما ينافي</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هذا لا خلاف فيه</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التفاتٍ أو فعلٍ ناقض آخر لم يفسد</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للصوم</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الشرعي</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يجوز أن</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من عزم على الصلاة له حظّ فعلها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البتّة؟ ألا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شرطنا</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يُستحقّ</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مستحقّ عليه الذمّ كما يستحقّ علىٰ فعل القبيح</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أشبهه</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يفسد الصوم</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ر، س، ط، 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يذكرها</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 ل،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المُفسِدة</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 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متعلَّقه</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بالماء</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نوى النظافة</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بالنيّة</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يقارن</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بإهمال النقط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ع،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النيّة</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قبل عدّة صفحات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تُنافِ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استُظهر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إنّا</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 ل،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يمكن أن</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ينتقض</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غَسَلَ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 ل، م، و، ي</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و،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يعمل في غسل اليد مثلاً بالنيّة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يعمل فيه النيّة</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إذا نوىٰ إزالة 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مذكور بعد حوالَي سطرين، سنشير إليه في موضعه</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بالبناء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تالياً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البناء</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أين لكم أكثر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فأكثر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فأكثر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أكثر ما</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ع، 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تقتضيه</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النيّة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نيّة الفطر</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حوالَي سطرين مذكور هنا</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يقتضي</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رفعت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النيّة</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ع،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المفطر</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إليها في بداية هذه الرسالة</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ط،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معنى</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تتضمّن</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فالأفعال</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لا يركع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لعزيمتها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لغريمها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بعزمه</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العقيدة، 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للحجر</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صدر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رائياً</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استلئام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سوف يأتي بعد قليل</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الحجر؛ فالسِّلامُ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استلام بما</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أبو العبّاس أحمد بن يحيى بن زيد بن سيّار الشيبانيّ بالوَلاء، المعروف بثعلب؛ إمام الكوفيّين في النحو و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حُجّةً ديِّناً وَرِعاً، مشهوراً بالحفظ و الصدق و إكثار الرواية و حُسن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المصون في النحو، اختلاف النحويّين، كتاب القراءات، معاني القرآن،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استلئام الحجر</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من سهو النسّاخ</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ترك</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فسّرناه</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اتّخذه</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اللأمة</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تقويتهم</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الواجب</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خطبات</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استعلائك</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مستفتحة</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نقيم</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 بالمكان لَبّاً و ألَبَّ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به و 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ألَبَّ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 فلم يفارقه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و لَبَّيه منه؛ أي لزوماً لطاعتك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الفيّومي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ألَبَّ بالمكان إلباباً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 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ثُنّيَ هذا المصدر مضافاً إلى كاف المخاطب،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و سَعْدَيكَ؛ أي أنا ملازمٌ طاعتَكَ لُزوماً بعدَ 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الخليل أنّهم ثَنَّوهُ على جهة التأكيد،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و أصل 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لَبَّينِ لك، فحذفت النون للإضافة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يونس أنّه غير مثنّىً؛ بل اسمٌ مفردٌ يتّصلُ به الضميرُ، بمنزلة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اتّصل به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أنكره سيبويه،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ثبتت الياء مع المضمَر و بقيت الألفُ مع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الإجابة</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تليق</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تلبيتنا</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يبلّغ</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بَوَّأْنٰا لِإِبْرٰاهِيمَ مَكٰانَ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مطبوعة في ضمن الرسائل القرآنيّة للشريف المرتضى</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بمنع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يمنع</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دنا،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هذه الرسالة في ضمن رسائل الشريف المرتضى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صيغة البيع</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فتح العزيز،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تقول</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زوّجني،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زوّجني، فقال له</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 ل، م، و، 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بعتك</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كأنّها مشطوبٌ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زوّجتك</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فكذلك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بِعني أو زَوِّجْني</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القبول؟ فكذلك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ي</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لا يغني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لم يغن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تبيعني؟</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المستفهِم المستفهَم عنه، و</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يدلّ علىٰ إرادة الآمر</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 ل،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 البائعُ 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للبيع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أسامَها المشتري و استامَها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بَيعَها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المجاذَبة بين البائع و المشتري على السِّلعة و فَصلِ ثمنِها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بعني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قائماً</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زوّجنيها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زوّجنيها عن</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عقد</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ك،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المفهوم لفظة من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ش، ع،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مفهوم لفظه من الأمر</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فلذا</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 على 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مع</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حيث ذكر فيه أكثر من ثلاثين كتاباً و رسالة حول جواز المتعة</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يتكوّن القياس من أربعة أركان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المَقيس عليه، و يسمّى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المَقيس، و يسمّى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و هي التي تثبت الحكمَ للمَقيس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يُراد إثباتها إلى المَقيس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و هو الصحّة أو البطلان، أو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إشكال الشريف المرتضى موجّه إلى الركن الثالث، و هو العلّة</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اشتراط إمكان الطلاق في صحّة كلّ الأنكحة</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لصحّة</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المعارضة</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المعارضة 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بالمعارضة يخرج</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تقضي</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فاسد قياساً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وقاسه</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ح،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ح،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فالطلاق</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ح، د،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منتفى</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 في</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لم</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ح، 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يدخل</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شروط الموجود</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على القياس، و لا يخفى إبهام الكلام من دون ما أضفناه</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فكونه</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 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ر، ط،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يقع منه واحدة</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مبدعاً مخالف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مبدعاً مخالفاً 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مبدعاً مخالفاً لسنّة</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بدعة</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قسمها</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 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 ل،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 س، 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واقعاً</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يبطل</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 ل،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مبتدع</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ه، و،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الكافي في الفقه،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 الوقف على الأولاد لولد البنت للشريف المرتضى</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يرثه و</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البنت</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النصف الآخر</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تظاهر</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الجميعة</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بنتي</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السرائر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الثلثان</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انفردت</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الفضل بن شاذان بن خليل الأزدي النيسابوري، المتوفّى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رحمه اللّٰه في رجاله،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أبوه من أصحاب يونس، و روى عن أبي جعفر الثاني،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أيضاً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ثقة، أحد أصحابنا الفقهاء و المتكلّمين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جلالة في هذه الطائفة، و هو في قدره أشهر من أن نصفه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الكَنْجي أنّه صنّف مائة و ثمانين كتاباً، وقع إلينا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النقض على الإسكافي في تقوية الجسم، كتاب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كتاب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الوعيد، كتاب الردّ على أهل التعطيل،</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رحمه اللّٰه في الانتصار،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العَولُ في اللغة العربيّة اسم للزيادة و النقصان، و هو يجري مجرى الأضداد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دخل هذا الاسم في الفرائض في الموضع الذي ينقص فيه المال عن السهام المفروضة فيه، فدخل هاهنا 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دخوله لأجل الزيادة؛ لأنّ السهام زادت على مبلغ المال، و إذا أُضيف إلى المال كان نقصاناً، و إذا أُضيف إلى السهام كان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الانتصار، فقد أشار فيه إلىٰ هذا البحث و إلىٰ هذه الرسالة</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السرائر</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مذهبُهم</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السدس</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للأبوين الثلث، و ما بقي و هو الثلثان لبنت 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يأتي التصريح بذلك في كلام الفضل بن شاذان المنقول في نهاية هذه الرسالة</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الأبوين</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عودة للإجابة على الإشكال المتقدّم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اللّٰه تعالىٰ</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الأمرين</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3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مستقلّة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أُخرىٰ مستقلّة أيضاً</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 جملة</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يتقدّمها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يتقدّمها</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جرى إلى هاهنا</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 يقتضي أنّ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 الكلام يقتضي أنّ للواحدة</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الآية السابقة</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اسمه هاهنا</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الواحدين</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تعلّق</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بذكر</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متأمّل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متأمّل</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للبنتين</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اشتراطاً</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ترى أنّه</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يقدّر</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البتّة</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ذكروا</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المورد التالي</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السدسين</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واضح</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يحصل</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ادّعوا</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ركونهم</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و المطبوع و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أثبتناه استفدناه من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الروضة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السيّد محمّد مهدي الخرسان</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نخصّ</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سَمُجَ‌الشيءُ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إذا لم يكن فيه مَلاحةٌ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يذهب به رونقه، فتزول</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يقسمون</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إلى آخر الآية المفرَّع</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السرائر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أولاد</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نظير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تَرَى اَلشَّمْسَ إِذٰا طَلَعَتْ تَزٰاوَرُ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تتزاور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ليلزمكم</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عندكم</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تخصّصنا</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نحن في ذلك، و رجعنا فيه إلى الإجماع</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ذلك</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يتقرّب</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العمّات و الخالات و هي الأعمام و الأخوال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الأعمام و العمّات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العمّات و الخالات و الابن الأعمام و الأخوال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هؤلاء</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نزلوا</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اسم البنات و اسم البنين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اسم البنات و البنين</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يعطيه</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هبطوا</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أولاد</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يقتضي</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نعوّل</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يخالفوننا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يوافقونا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يخالفوننا</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الحقيقة</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بتوافق</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هكذا أيضاً يظهر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مواهب الجليل،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مواهب الجليل،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ظنّوا</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يرثون</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السرائر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يتناولهم في الحال التي لا يرثون فيها</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فتخصّصوا</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3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خلاف بين الأُ مّة في</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تحرم علينا</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قد حرّمهنّ</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لِبُعُولَتِهِنَّ أَوْ آبٰائِهِنَّ أَوْ آبٰاءِ بُعُولَتِهِنَّ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بجميع</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ينطلق</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 الإجماع واقع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يدلّ أيضاً على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مرجع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البنات مطلقاً</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يوقد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من النسّاخ</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بالشرقيّ</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أبلى</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وقعة الجمل،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تزل</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كان يُقال للصادق عليه السلام</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بن أبي بكر، أبو محمّد، أحد الفقهاء السبعة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 صالحاً ثقة و من سادات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 في أواخر أيّامه، و توفّي سنة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هناك أقوال أُخرىٰ في تاريخ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 الأُمّة</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ينتسب</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الأبويّة</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الواو</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تنقله</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و الذنب، و الخُلف في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حنث</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لا ولد له و له ولد بنت أنّه لا ولد له لم يحنث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يحنث مع الإطلاق، و إنّما لا يحنث إذا نوى ما يُخرجه عن الحنث</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بداية الرسالة</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له النجاشي رحمه اللّٰه في فهرسته،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كتب باسم الفرائض،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الكبير، و كتاب الفرائض الأوسط، و كتاب الفرائض الصغير؛ و لكن ذكر الطوسي رحمه اللّٰه في الفهرست،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 آشوب رحمه اللّٰه في معالم العلماء،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اثنين منها من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الفرائض الأوسط</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من السرائر كما جاء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 و المطبوع و متن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واضح من النسّاخ</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الكليني عنه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الصدوق عنه في 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بظاهر</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وافق</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تمّت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آخر كلام السيّد المرتضىٰ رضي اللّٰه عنه</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في شمول الوقف على الأولاد لولد البنت للشريف المرتضى</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فالقول</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حسينيّة</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ع، 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يقضّ</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يُفتينا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أفتنا بذلك</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 ل، 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ر، س، ط، ع،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بنتها</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بفصل</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غير أولاد الواقف</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بالدلالة</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 ل، م،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بأنّ الوقف</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الأُنثى</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3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p>
  </w:footnote>
  <w:footnote w:id="3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 فُلانٌ غُلولاً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في المَغنَم و غيره؛ 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يَغْلُلْ يَأْتِ بِمٰا غَلَّ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p>
  </w:footnote>
  <w:footnote w:id="3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فغالط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باطل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بالإضافة إلىٰ هذه الرسالة، يمكن التعرّف علىٰ جانب آخر من الفكر السياسي للشريف المرتضى من خلال مراجعة كتاب الذخيرة،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فقد تعرّض هناك بشيء من الإسهاب إلى البحث عن الأمر بالمعروف و النهي عن المنكر، و الإكراه، و دار الإسلام و دار الكفر</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ذيل تاريخ بغداد،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العقيدة،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 ف، 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مخطوطتين محفوظتين في مكتبة آية اللّٰه المرعشي، وتحملان الأرقام </w:t>
      </w:r>
      <w:r>
        <w:rPr>
          <w:rFonts w:eastAsia="IRNazanin" w:cs="IRNazanin"/>
          <w:b w:val="false"/>
          <w:bCs w:val="false"/>
          <w:i w:val="false"/>
          <w:iCs w:val="false"/>
          <w:color w:val="333333"/>
          <w:sz w:val="20"/>
          <w:szCs w:val="20"/>
        </w:rPr>
        <w:t>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14254</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المكتبة المركزيّة بجامعة طهران،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و سلامه على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للرشاد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الأجلّ المرتضى، قدّس اللّٰه روحه</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يجاوزن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يجاوز</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لإلجاء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الإلجاء</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محظور</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ط، ع،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بوجوب</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ط، ع، ف،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يغلب في ظنّه أنّه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جُعلت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معقوفين؛ لكنّها وردت في جميع النسخ</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بالوجوب</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يولّ</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ع، 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حسنة، فضلاً عن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ترون</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 ع، ف،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كالألطاف</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 ع،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كثيراً</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قبح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القبح</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ولاية الظالم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 للظالم</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للظالم هو كونها ولاية</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يعرض</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ح، ص، ط، ع، 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للعقل</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المواضع</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يثبته</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أطلق</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المواضع</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الواجبات</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بيّنّا</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يحسّن</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ع،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 بن أبي طالب عليه السلام</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إظهار</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لكنّا</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أُمّته</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الواضعون</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مُستَحَقٌّ</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بمائها</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ع،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جاز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مستحقّة بمثلها، جاز بل</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حال</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وهبها</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من سهو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للأشعري،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تنزيه الأنبياء،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الوليد بن عقبة بن أبي مُعَيط الأُموي، من مسلمة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الفاسق الذي نزل فيه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جٰاءَكُمْ فٰاسِقٌ بِنَبَإٍ فَتَبَيَّنُوا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أخاه من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فشرب الخمر و صلّىٰ بالناس صلاة الصبح أربعاً،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أزيدكم؟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فاستُدعي إلىٰ المدينة و جلده أميرُ المؤمنين عليّ عليه السلام الحدَّ و لمّا قتل عثمان اعتزل القتال، لكنّه كان يحرّض معاوية علىٰ قتال أمير المؤمنين عليه السلام بكتبه و شعره، مات بالرقّة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فتولّاها أحدُهم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باعتبار ما قبله</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بهذا</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الصريحة</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نصّ رواية في هذا المجال؛ لكن راجع للمزيد من البحث عن المسألة و مفهوم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كشف الغطاء،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غاية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البدر الزاهر،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جامع المدارك،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مصباح الفقاهة،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من سهو النسّاخ</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ع، ف،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قبيح</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ع،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التغلّب منه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التغلّب عنه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التغلّب معه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المتغلّب من</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يُدخِلُه</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كان والياً أو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يلزمه لو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يلزمه لم يكن</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لأجل</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أُموراً</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لا</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القبيحة</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ع، ف،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ع،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يتوصّل</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المحرّمة</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ع، ف،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كما أُكره على الولاية</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بإيصاله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بإيصال ألم</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الحديث بهذا اللفظ؛ لكن ورد في المصادر الحديثيّة عن أبي جعفر الباقر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جُعلَت التقيّةُ ليُحقَنَ بها الدماءُ؛ فإذا بَلَغَ الدمَ فلا 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ناقصتان من هنا</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التولّي</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الحدود و</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قتله</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نُقِرُّ</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ع،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الجابر</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الطاغي</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يجد</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المتولّي</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منقوطة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فنعلم</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لمعتمد</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مُبيحَينِ</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3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بالتجرّم</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الظلم</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بمعنى التقوى و التجنّب من الآثام والقبائح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صون</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ص،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يُحصىٰ</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القبيحة</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فإنّا</w:t>
      </w:r>
      <w:r>
        <w:rPr>
          <w:rFonts w:eastAsia="IRNazanin" w:cs="IRNazanin"/>
          <w:b w:val="false"/>
          <w:bCs w:val="false"/>
          <w:i w:val="false"/>
          <w:iCs w:val="false"/>
          <w:color w:val="333333"/>
          <w:sz w:val="20"/>
          <w:szCs w:val="20"/>
          <w:rtl w:val="true"/>
        </w:rPr>
        <w:t>».</w:t>
      </w:r>
    </w:p>
  </w:footnote>
  <w:footnote w:id="3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ظنِّنا</w:t>
      </w:r>
      <w:r>
        <w:rPr>
          <w:rFonts w:eastAsia="IRNazanin" w:cs="IRNazanin"/>
          <w:b w:val="false"/>
          <w:bCs w:val="false"/>
          <w:i w:val="false"/>
          <w:iCs w:val="false"/>
          <w:color w:val="333333"/>
          <w:sz w:val="20"/>
          <w:szCs w:val="20"/>
          <w:rtl w:val="true"/>
        </w:rPr>
        <w:t>».</w:t>
      </w:r>
    </w:p>
  </w:footnote>
  <w:footnote w:id="3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يمنعه</w:t>
      </w:r>
      <w:r>
        <w:rPr>
          <w:rFonts w:eastAsia="IRNazanin" w:cs="IRNazanin"/>
          <w:b w:val="false"/>
          <w:bCs w:val="false"/>
          <w:i w:val="false"/>
          <w:iCs w:val="false"/>
          <w:color w:val="333333"/>
          <w:sz w:val="20"/>
          <w:szCs w:val="20"/>
          <w:rtl w:val="true"/>
        </w:rPr>
        <w:t>».</w:t>
      </w:r>
    </w:p>
  </w:footnote>
  <w:footnote w:id="3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يحول</w:t>
      </w:r>
      <w:r>
        <w:rPr>
          <w:rFonts w:eastAsia="IRNazanin" w:cs="IRNazanin"/>
          <w:b w:val="false"/>
          <w:bCs w:val="false"/>
          <w:i w:val="false"/>
          <w:iCs w:val="false"/>
          <w:color w:val="333333"/>
          <w:sz w:val="20"/>
          <w:szCs w:val="20"/>
          <w:rtl w:val="true"/>
        </w:rPr>
        <w:t>».</w:t>
      </w:r>
    </w:p>
  </w:footnote>
  <w:footnote w:id="3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لإنكارٍ</w:t>
      </w:r>
      <w:r>
        <w:rPr>
          <w:rFonts w:eastAsia="IRNazanin" w:cs="IRNazanin"/>
          <w:b w:val="false"/>
          <w:bCs w:val="false"/>
          <w:i w:val="false"/>
          <w:iCs w:val="false"/>
          <w:color w:val="333333"/>
          <w:sz w:val="20"/>
          <w:szCs w:val="20"/>
          <w:rtl w:val="true"/>
        </w:rPr>
        <w:t>».</w:t>
      </w:r>
    </w:p>
  </w:footnote>
  <w:footnote w:id="3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w:t>
      </w:r>
    </w:p>
  </w:footnote>
  <w:footnote w:id="3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3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ينوي</w:t>
      </w:r>
      <w:r>
        <w:rPr>
          <w:rFonts w:eastAsia="IRNazanin" w:cs="IRNazanin"/>
          <w:b w:val="false"/>
          <w:bCs w:val="false"/>
          <w:i w:val="false"/>
          <w:iCs w:val="false"/>
          <w:color w:val="333333"/>
          <w:sz w:val="20"/>
          <w:szCs w:val="20"/>
          <w:rtl w:val="true"/>
        </w:rPr>
        <w:t>».</w:t>
      </w:r>
    </w:p>
  </w:footnote>
  <w:footnote w:id="3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يوقفنا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تَرفَّعنا</w:t>
      </w:r>
      <w:r>
        <w:rPr>
          <w:rFonts w:eastAsia="IRNazanin" w:cs="IRNazanin"/>
          <w:b w:val="false"/>
          <w:bCs w:val="false"/>
          <w:i w:val="false"/>
          <w:iCs w:val="false"/>
          <w:color w:val="333333"/>
          <w:sz w:val="20"/>
          <w:szCs w:val="20"/>
          <w:rtl w:val="true"/>
        </w:rPr>
        <w:t>».</w:t>
      </w:r>
    </w:p>
  </w:footnote>
  <w:footnote w:id="3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3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ع،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يتولّى</w:t>
      </w:r>
      <w:r>
        <w:rPr>
          <w:rFonts w:eastAsia="IRNazanin" w:cs="IRNazanin"/>
          <w:b w:val="false"/>
          <w:bCs w:val="false"/>
          <w:i w:val="false"/>
          <w:iCs w:val="false"/>
          <w:color w:val="333333"/>
          <w:sz w:val="20"/>
          <w:szCs w:val="20"/>
          <w:rtl w:val="true"/>
        </w:rPr>
        <w:t>».</w:t>
      </w:r>
    </w:p>
  </w:footnote>
  <w:footnote w:id="3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w:t>
      </w:r>
    </w:p>
  </w:footnote>
  <w:footnote w:id="3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فهذا</w:t>
      </w:r>
      <w:r>
        <w:rPr>
          <w:rFonts w:eastAsia="IRNazanin" w:cs="IRNazanin"/>
          <w:b w:val="false"/>
          <w:bCs w:val="false"/>
          <w:i w:val="false"/>
          <w:iCs w:val="false"/>
          <w:color w:val="333333"/>
          <w:sz w:val="20"/>
          <w:szCs w:val="20"/>
          <w:rtl w:val="true"/>
        </w:rPr>
        <w:t>».</w:t>
      </w:r>
    </w:p>
  </w:footnote>
  <w:footnote w:id="3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w:t>
      </w:r>
      <w:r>
        <w:rPr>
          <w:rFonts w:eastAsia="IRNazanin" w:cs="IRNazanin"/>
          <w:b w:val="false"/>
          <w:bCs w:val="false"/>
          <w:i w:val="false"/>
          <w:iCs w:val="false"/>
          <w:color w:val="333333"/>
          <w:sz w:val="20"/>
          <w:szCs w:val="20"/>
          <w:rtl w:val="true"/>
        </w:rPr>
        <w:t>».</w:t>
      </w:r>
    </w:p>
  </w:footnote>
  <w:footnote w:id="3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w:t>
      </w:r>
    </w:p>
  </w:footnote>
  <w:footnote w:id="3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w:t>
      </w:r>
    </w:p>
  </w:footnote>
  <w:footnote w:id="3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يَقبُحُ</w:t>
      </w:r>
      <w:r>
        <w:rPr>
          <w:rFonts w:eastAsia="IRNazanin" w:cs="IRNazanin"/>
          <w:b w:val="false"/>
          <w:bCs w:val="false"/>
          <w:i w:val="false"/>
          <w:iCs w:val="false"/>
          <w:color w:val="333333"/>
          <w:sz w:val="20"/>
          <w:szCs w:val="20"/>
          <w:rtl w:val="true"/>
        </w:rPr>
        <w:t>».</w:t>
      </w:r>
    </w:p>
  </w:footnote>
  <w:footnote w:id="3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3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مصادر الحديث</w:t>
      </w:r>
      <w:r>
        <w:rPr>
          <w:rFonts w:eastAsia="IRNazanin" w:cs="IRNazanin"/>
          <w:b w:val="false"/>
          <w:bCs w:val="false"/>
          <w:i w:val="false"/>
          <w:iCs w:val="false"/>
          <w:color w:val="333333"/>
          <w:sz w:val="20"/>
          <w:szCs w:val="20"/>
          <w:rtl w:val="true"/>
        </w:rPr>
        <w:t>.</w:t>
      </w:r>
    </w:p>
  </w:footnote>
  <w:footnote w:id="3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4329</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الحديث في كلّها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كفّارة عمل السلطان قضاء حوائج الإخوان</w:t>
      </w:r>
      <w:r>
        <w:rPr>
          <w:rFonts w:eastAsia="IRNazanin" w:cs="IRNazanin"/>
          <w:b w:val="false"/>
          <w:bCs w:val="false"/>
          <w:i w:val="false"/>
          <w:iCs w:val="false"/>
          <w:color w:val="333333"/>
          <w:sz w:val="20"/>
          <w:szCs w:val="20"/>
          <w:rtl w:val="true"/>
        </w:rPr>
        <w:t>».</w:t>
      </w:r>
    </w:p>
  </w:footnote>
  <w:footnote w:id="3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راجحة</w:t>
      </w:r>
      <w:r>
        <w:rPr>
          <w:rFonts w:eastAsia="IRNazanin" w:cs="IRNazanin"/>
          <w:b w:val="false"/>
          <w:bCs w:val="false"/>
          <w:i w:val="false"/>
          <w:iCs w:val="false"/>
          <w:color w:val="333333"/>
          <w:sz w:val="20"/>
          <w:szCs w:val="20"/>
          <w:rtl w:val="true"/>
        </w:rPr>
        <w:t>».</w:t>
      </w:r>
    </w:p>
  </w:footnote>
  <w:footnote w:id="3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تَقرُّبَها</w:t>
      </w:r>
      <w:r>
        <w:rPr>
          <w:rFonts w:eastAsia="IRNazanin" w:cs="IRNazanin"/>
          <w:b w:val="false"/>
          <w:bCs w:val="false"/>
          <w:i w:val="false"/>
          <w:iCs w:val="false"/>
          <w:color w:val="333333"/>
          <w:sz w:val="20"/>
          <w:szCs w:val="20"/>
          <w:rtl w:val="true"/>
        </w:rPr>
        <w:t>».</w:t>
      </w:r>
    </w:p>
  </w:footnote>
  <w:footnote w:id="3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ص،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من النسّاخ</w:t>
      </w:r>
      <w:r>
        <w:rPr>
          <w:rFonts w:eastAsia="IRNazanin" w:cs="IRNazanin"/>
          <w:b w:val="false"/>
          <w:bCs w:val="false"/>
          <w:i w:val="false"/>
          <w:iCs w:val="false"/>
          <w:color w:val="333333"/>
          <w:sz w:val="20"/>
          <w:szCs w:val="20"/>
          <w:rtl w:val="true"/>
        </w:rPr>
        <w:t>.</w:t>
      </w:r>
    </w:p>
  </w:footnote>
  <w:footnote w:id="3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w:t>
      </w:r>
    </w:p>
  </w:footnote>
  <w:footnote w:id="3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إقامة</w:t>
      </w:r>
      <w:r>
        <w:rPr>
          <w:rFonts w:eastAsia="IRNazanin" w:cs="IRNazanin"/>
          <w:b w:val="false"/>
          <w:bCs w:val="false"/>
          <w:i w:val="false"/>
          <w:iCs w:val="false"/>
          <w:color w:val="333333"/>
          <w:sz w:val="20"/>
          <w:szCs w:val="20"/>
          <w:rtl w:val="true"/>
        </w:rPr>
        <w:t>».</w:t>
      </w:r>
    </w:p>
  </w:footnote>
  <w:footnote w:id="3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تحسين</w:t>
      </w:r>
      <w:r>
        <w:rPr>
          <w:rFonts w:eastAsia="IRNazanin" w:cs="IRNazanin"/>
          <w:b w:val="false"/>
          <w:bCs w:val="false"/>
          <w:i w:val="false"/>
          <w:iCs w:val="false"/>
          <w:color w:val="333333"/>
          <w:sz w:val="20"/>
          <w:szCs w:val="20"/>
          <w:rtl w:val="true"/>
        </w:rPr>
        <w:t>».</w:t>
      </w:r>
    </w:p>
  </w:footnote>
  <w:footnote w:id="3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قبيحة</w:t>
      </w:r>
      <w:r>
        <w:rPr>
          <w:rFonts w:eastAsia="IRNazanin" w:cs="IRNazanin"/>
          <w:b w:val="false"/>
          <w:bCs w:val="false"/>
          <w:i w:val="false"/>
          <w:iCs w:val="false"/>
          <w:color w:val="333333"/>
          <w:sz w:val="20"/>
          <w:szCs w:val="20"/>
          <w:rtl w:val="true"/>
        </w:rPr>
        <w:t>».</w:t>
      </w:r>
    </w:p>
  </w:footnote>
  <w:footnote w:id="3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ع،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w:t>
      </w:r>
    </w:p>
  </w:footnote>
  <w:footnote w:id="3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إخوان</w:t>
      </w:r>
      <w:r>
        <w:rPr>
          <w:rFonts w:eastAsia="IRNazanin" w:cs="IRNazanin"/>
          <w:b w:val="false"/>
          <w:bCs w:val="false"/>
          <w:i w:val="false"/>
          <w:iCs w:val="false"/>
          <w:color w:val="333333"/>
          <w:sz w:val="20"/>
          <w:szCs w:val="20"/>
          <w:rtl w:val="true"/>
        </w:rPr>
        <w:t>».</w:t>
      </w:r>
    </w:p>
  </w:footnote>
  <w:footnote w:id="3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3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بكرة و أصيلاً، برحمتِكَ يا أرحمَ الراحمينَ، و أجودَ الأجودين، و أكرمَ الأكرمينَ، يا إلهَ العالمينَ، يا خيرَ الناصرينَ، الطُفنا بلطفك الخفيّ، يا مَن لُطفُه عامٌّ لجميع الموجودات</w:t>
      </w:r>
      <w:r>
        <w:rPr>
          <w:rFonts w:eastAsia="IRNazanin" w:cs="IRNazanin"/>
          <w:b w:val="false"/>
          <w:bCs w:val="false"/>
          <w:i w:val="false"/>
          <w:iCs w:val="false"/>
          <w:color w:val="333333"/>
          <w:sz w:val="20"/>
          <w:szCs w:val="20"/>
          <w:rtl w:val="true"/>
        </w:rPr>
        <w:t>».</w:t>
      </w:r>
    </w:p>
  </w:footnote>
  <w:footnote w:id="3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يجد به</w:t>
      </w:r>
      <w:r>
        <w:rPr>
          <w:rFonts w:eastAsia="IRNazanin" w:cs="IRNazanin"/>
          <w:b w:val="false"/>
          <w:bCs w:val="false"/>
          <w:i w:val="false"/>
          <w:iCs w:val="false"/>
          <w:color w:val="333333"/>
          <w:sz w:val="20"/>
          <w:szCs w:val="20"/>
          <w:rtl w:val="true"/>
        </w:rPr>
        <w:t>».</w:t>
      </w:r>
    </w:p>
  </w:footnote>
  <w:footnote w:id="3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أباحه</w:t>
      </w:r>
      <w:r>
        <w:rPr>
          <w:rFonts w:eastAsia="IRNazanin" w:cs="IRNazanin"/>
          <w:b w:val="false"/>
          <w:bCs w:val="false"/>
          <w:i w:val="false"/>
          <w:iCs w:val="false"/>
          <w:color w:val="333333"/>
          <w:sz w:val="20"/>
          <w:szCs w:val="20"/>
          <w:rtl w:val="true"/>
        </w:rPr>
        <w:t>».</w:t>
      </w:r>
    </w:p>
  </w:footnote>
  <w:footnote w:id="3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اختلاط</w:t>
      </w:r>
      <w:r>
        <w:rPr>
          <w:rFonts w:eastAsia="IRNazanin" w:cs="IRNazanin"/>
          <w:b w:val="false"/>
          <w:bCs w:val="false"/>
          <w:i w:val="false"/>
          <w:iCs w:val="false"/>
          <w:color w:val="333333"/>
          <w:sz w:val="20"/>
          <w:szCs w:val="20"/>
          <w:rtl w:val="true"/>
        </w:rPr>
        <w:t>».</w:t>
      </w:r>
    </w:p>
  </w:footnote>
  <w:footnote w:id="3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التنبّؤات و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يعلمها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يتعلّقها لذلك</w:t>
      </w:r>
      <w:r>
        <w:rPr>
          <w:rFonts w:eastAsia="IRNazanin" w:cs="IRNazanin"/>
          <w:b w:val="false"/>
          <w:bCs w:val="false"/>
          <w:i w:val="false"/>
          <w:iCs w:val="false"/>
          <w:color w:val="333333"/>
          <w:sz w:val="20"/>
          <w:szCs w:val="20"/>
          <w:rtl w:val="true"/>
        </w:rPr>
        <w:t>».</w:t>
      </w:r>
    </w:p>
  </w:footnote>
  <w:footnote w:id="3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العقاب عليه</w:t>
      </w:r>
      <w:r>
        <w:rPr>
          <w:rFonts w:eastAsia="IRNazanin" w:cs="IRNazanin"/>
          <w:b w:val="false"/>
          <w:bCs w:val="false"/>
          <w:i w:val="false"/>
          <w:iCs w:val="false"/>
          <w:color w:val="333333"/>
          <w:sz w:val="20"/>
          <w:szCs w:val="20"/>
          <w:rtl w:val="true"/>
        </w:rPr>
        <w:t>».</w:t>
      </w:r>
    </w:p>
  </w:footnote>
  <w:footnote w:id="3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العقول</w:t>
      </w:r>
      <w:r>
        <w:rPr>
          <w:rFonts w:eastAsia="IRNazanin" w:cs="IRNazanin"/>
          <w:b w:val="false"/>
          <w:bCs w:val="false"/>
          <w:i w:val="false"/>
          <w:iCs w:val="false"/>
          <w:color w:val="333333"/>
          <w:sz w:val="20"/>
          <w:szCs w:val="20"/>
          <w:rtl w:val="true"/>
        </w:rPr>
        <w:t>».</w:t>
      </w:r>
    </w:p>
  </w:footnote>
  <w:footnote w:id="3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ص، ط،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لأعرضنا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ص،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لغرضنا</w:t>
      </w:r>
      <w:r>
        <w:rPr>
          <w:rFonts w:eastAsia="IRNazanin" w:cs="IRNazanin"/>
          <w:b w:val="false"/>
          <w:bCs w:val="false"/>
          <w:i w:val="false"/>
          <w:iCs w:val="false"/>
          <w:color w:val="333333"/>
          <w:sz w:val="20"/>
          <w:szCs w:val="20"/>
          <w:rtl w:val="true"/>
        </w:rPr>
        <w:t>».</w:t>
      </w:r>
    </w:p>
  </w:footnote>
  <w:footnote w:id="3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مَرَن الشيءُ يَمرُنُ مُروناً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مرن</w:t>
      </w:r>
      <w:r>
        <w:rPr>
          <w:rFonts w:eastAsia="IRNazanin" w:cs="IRNazanin"/>
          <w:b w:val="false"/>
          <w:bCs w:val="false"/>
          <w:i w:val="false"/>
          <w:iCs w:val="false"/>
          <w:color w:val="333333"/>
          <w:sz w:val="20"/>
          <w:szCs w:val="20"/>
          <w:rtl w:val="true"/>
        </w:rPr>
        <w:t>).</w:t>
      </w:r>
    </w:p>
  </w:footnote>
  <w:footnote w:id="3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 ه،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يأمر</w:t>
      </w:r>
      <w:r>
        <w:rPr>
          <w:rFonts w:eastAsia="IRNazanin" w:cs="IRNazanin"/>
          <w:b w:val="false"/>
          <w:bCs w:val="false"/>
          <w:i w:val="false"/>
          <w:iCs w:val="false"/>
          <w:color w:val="333333"/>
          <w:sz w:val="20"/>
          <w:szCs w:val="20"/>
          <w:rtl w:val="true"/>
        </w:rPr>
        <w:t>».</w:t>
      </w:r>
    </w:p>
  </w:footnote>
  <w:footnote w:id="3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ه،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يضربه</w:t>
      </w:r>
      <w:r>
        <w:rPr>
          <w:rFonts w:eastAsia="IRNazanin" w:cs="IRNazanin"/>
          <w:b w:val="false"/>
          <w:bCs w:val="false"/>
          <w:i w:val="false"/>
          <w:iCs w:val="false"/>
          <w:color w:val="333333"/>
          <w:sz w:val="20"/>
          <w:szCs w:val="20"/>
          <w:rtl w:val="true"/>
        </w:rPr>
        <w:t>».</w:t>
      </w:r>
    </w:p>
  </w:footnote>
  <w:footnote w:id="3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فعلها</w:t>
      </w:r>
      <w:r>
        <w:rPr>
          <w:rFonts w:eastAsia="IRNazanin" w:cs="IRNazanin"/>
          <w:b w:val="false"/>
          <w:bCs w:val="false"/>
          <w:i w:val="false"/>
          <w:iCs w:val="false"/>
          <w:color w:val="333333"/>
          <w:sz w:val="20"/>
          <w:szCs w:val="20"/>
          <w:rtl w:val="true"/>
        </w:rPr>
        <w:t>».</w:t>
      </w:r>
    </w:p>
  </w:footnote>
  <w:footnote w:id="3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تأثّر</w:t>
      </w:r>
      <w:r>
        <w:rPr>
          <w:rFonts w:eastAsia="IRNazanin" w:cs="IRNazanin"/>
          <w:b w:val="false"/>
          <w:bCs w:val="false"/>
          <w:i w:val="false"/>
          <w:iCs w:val="false"/>
          <w:color w:val="333333"/>
          <w:sz w:val="20"/>
          <w:szCs w:val="20"/>
          <w:rtl w:val="true"/>
        </w:rPr>
        <w:t>».</w:t>
      </w:r>
    </w:p>
  </w:footnote>
  <w:footnote w:id="3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يتحمّل</w:t>
      </w:r>
      <w:r>
        <w:rPr>
          <w:rFonts w:eastAsia="IRNazanin" w:cs="IRNazanin"/>
          <w:b w:val="false"/>
          <w:bCs w:val="false"/>
          <w:i w:val="false"/>
          <w:iCs w:val="false"/>
          <w:color w:val="333333"/>
          <w:sz w:val="20"/>
          <w:szCs w:val="20"/>
          <w:rtl w:val="true"/>
        </w:rPr>
        <w:t>».</w:t>
      </w:r>
    </w:p>
  </w:footnote>
  <w:footnote w:id="3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لأمثالها من النوافل العقليّة</w:t>
      </w:r>
      <w:r>
        <w:rPr>
          <w:rFonts w:eastAsia="IRNazanin" w:cs="IRNazanin"/>
          <w:b w:val="false"/>
          <w:bCs w:val="false"/>
          <w:i w:val="false"/>
          <w:iCs w:val="false"/>
          <w:color w:val="333333"/>
          <w:sz w:val="20"/>
          <w:szCs w:val="20"/>
          <w:rtl w:val="true"/>
        </w:rPr>
        <w:t>.</w:t>
      </w:r>
    </w:p>
  </w:footnote>
  <w:footnote w:id="3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لتقرّبها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image" Target="media/image2.jpeg"/><Relationship Id="rId719" Type="http://schemas.openxmlformats.org/officeDocument/2006/relationships/image" Target="media/image2.jpeg"/><Relationship Id="rId720" Type="http://schemas.openxmlformats.org/officeDocument/2006/relationships/footer" Target="footer713.xml"/><Relationship Id="rId721" Type="http://schemas.openxmlformats.org/officeDocument/2006/relationships/footnotes" Target="footnotes.xml"/><Relationship Id="rId722" Type="http://schemas.openxmlformats.org/officeDocument/2006/relationships/numbering" Target="numbering.xml"/><Relationship Id="rId723" Type="http://schemas.openxmlformats.org/officeDocument/2006/relationships/fontTable" Target="fontTable.xml"/><Relationship Id="rId724" Type="http://schemas.openxmlformats.org/officeDocument/2006/relationships/settings" Target="settings.xml"/><Relationship Id="rId7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731</Pages>
  <Words>48103</Words>
  <Characters>203551</Characters>
  <CharactersWithSpaces>249520</CharactersWithSpaces>
  <Paragraphs>2403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2026-08-25T13:26:37Z</dcterms:created>
  <dc:creator>ghaemiyeh.com</dc:creator>
  <dc:description/>
  <dc:language>en-US</dc:language>
  <cp:lastModifiedBy/>
  <dcterms:modified xsi:type="dcterms:W3CDTF">2026-08-25T16:57:21Z</dcterms:modified>
  <cp:revision>1</cp:revision>
  <dc:subject/>
  <dc:title>الرسائل و المسائل جلد 4</dc:title>
</cp:coreProperties>
</file>

<file path=docProps/custom.xml><?xml version="1.0" encoding="utf-8"?>
<Properties xmlns="http://schemas.openxmlformats.org/officeDocument/2006/custom-properties" xmlns:vt="http://schemas.openxmlformats.org/officeDocument/2006/docPropsVTypes"/>
</file>