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55.xml" ContentType="application/vnd.openxmlformats-officedocument.wordprocessingml.footer+xml"/>
  <Override PartName="/word/footer57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التقیة فی فقه أهل البیت علیهم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46461_1280447820">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7246463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246465_1280447820">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7246467_1280447820">
            <w:r>
              <w:rPr>
                <w:webHidden/>
                <w:rStyle w:val="IndexLink"/>
                <w:rtl w:val="true"/>
              </w:rPr>
              <w:t>الفصل العاشر</w:t>
            </w:r>
            <w:r>
              <w:rPr>
                <w:rStyle w:val="IndexLink"/>
                <w:rtl w:val="true"/>
              </w:rPr>
              <w:t xml:space="preserve">: </w:t>
            </w:r>
            <w:r>
              <w:rPr>
                <w:rStyle w:val="IndexLink"/>
              </w:rPr>
              <w:t>8</w:t>
            </w:r>
            <w:r>
              <w:rPr>
                <w:rStyle w:val="IndexLink"/>
                <w:rtl w:val="true"/>
              </w:rPr>
              <w:t xml:space="preserve"> </w:t>
            </w:r>
            <w:r>
              <w:rPr>
                <w:rStyle w:val="IndexLink"/>
                <w:rtl w:val="true"/>
              </w:rPr>
              <w:t>ـ التقية في النكاح</w:t>
            </w:r>
            <w:r>
              <w:rPr>
                <w:rStyle w:val="IndexLink"/>
                <w:rtl w:val="true"/>
              </w:rPr>
              <w:tab/>
            </w:r>
            <w:r>
              <w:rPr>
                <w:rStyle w:val="IndexLink"/>
              </w:rPr>
              <w:t>15</w:t>
            </w:r>
          </w:hyperlink>
        </w:p>
        <w:p>
          <w:pPr>
            <w:pStyle w:val="Contents3"/>
            <w:tabs>
              <w:tab w:val="clear" w:pos="8459"/>
              <w:tab w:val="right" w:pos="9026" w:leader="dot"/>
            </w:tabs>
            <w:rPr/>
          </w:pPr>
          <w:hyperlink w:anchor="__RefHeading___Toc7246469_128044782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7246471_1280447820">
            <w:r>
              <w:rPr>
                <w:webHidden/>
                <w:rStyle w:val="IndexLink"/>
                <w:rtl w:val="true"/>
              </w:rPr>
              <w:t>المدخل</w:t>
            </w:r>
            <w:r>
              <w:rPr>
                <w:rStyle w:val="IndexLink"/>
                <w:rtl w:val="true"/>
              </w:rPr>
              <w:tab/>
            </w:r>
            <w:r>
              <w:rPr>
                <w:rStyle w:val="IndexLink"/>
              </w:rPr>
              <w:t>17</w:t>
            </w:r>
          </w:hyperlink>
        </w:p>
        <w:p>
          <w:pPr>
            <w:pStyle w:val="Contents4"/>
            <w:tabs>
              <w:tab w:val="clear" w:pos="8176"/>
              <w:tab w:val="right" w:pos="9026" w:leader="dot"/>
            </w:tabs>
            <w:rPr/>
          </w:pPr>
          <w:hyperlink w:anchor="__RefHeading___Toc7246473_1280447820">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7246475_1280447820">
            <w:r>
              <w:rPr>
                <w:webHidden/>
                <w:rStyle w:val="IndexLink"/>
                <w:rtl w:val="true"/>
              </w:rPr>
              <w:t>الأول</w:t>
            </w:r>
            <w:r>
              <w:rPr>
                <w:rStyle w:val="IndexLink"/>
                <w:rtl w:val="true"/>
              </w:rPr>
              <w:t xml:space="preserve">: </w:t>
            </w:r>
            <w:r>
              <w:rPr>
                <w:rStyle w:val="IndexLink"/>
                <w:rtl w:val="true"/>
              </w:rPr>
              <w:t>أهمية الزواج من الناحية التكوينية</w:t>
            </w:r>
            <w:r>
              <w:rPr>
                <w:rStyle w:val="IndexLink"/>
                <w:rtl w:val="true"/>
              </w:rPr>
              <w:t>:</w:t>
              <w:tab/>
            </w:r>
            <w:r>
              <w:rPr>
                <w:rStyle w:val="IndexLink"/>
              </w:rPr>
              <w:t>18</w:t>
            </w:r>
          </w:hyperlink>
        </w:p>
        <w:p>
          <w:pPr>
            <w:pStyle w:val="Contents4"/>
            <w:tabs>
              <w:tab w:val="clear" w:pos="8176"/>
              <w:tab w:val="right" w:pos="9026" w:leader="dot"/>
            </w:tabs>
            <w:rPr/>
          </w:pPr>
          <w:hyperlink w:anchor="__RefHeading___Toc7246477_1280447820">
            <w:r>
              <w:rPr>
                <w:webHidden/>
                <w:rStyle w:val="IndexLink"/>
                <w:rtl w:val="true"/>
              </w:rPr>
              <w:t>الثاني</w:t>
            </w:r>
            <w:r>
              <w:rPr>
                <w:rStyle w:val="IndexLink"/>
                <w:rtl w:val="true"/>
              </w:rPr>
              <w:t xml:space="preserve">: </w:t>
            </w:r>
            <w:r>
              <w:rPr>
                <w:rStyle w:val="IndexLink"/>
                <w:rtl w:val="true"/>
              </w:rPr>
              <w:t>أهمية الزواج من الناحية الاجتماعية</w:t>
            </w:r>
            <w:r>
              <w:rPr>
                <w:rStyle w:val="IndexLink"/>
                <w:rtl w:val="true"/>
              </w:rPr>
              <w:t>:</w:t>
              <w:tab/>
            </w:r>
            <w:r>
              <w:rPr>
                <w:rStyle w:val="IndexLink"/>
              </w:rPr>
              <w:t>19</w:t>
            </w:r>
          </w:hyperlink>
        </w:p>
        <w:p>
          <w:pPr>
            <w:pStyle w:val="Contents4"/>
            <w:tabs>
              <w:tab w:val="clear" w:pos="8176"/>
              <w:tab w:val="right" w:pos="9026" w:leader="dot"/>
            </w:tabs>
            <w:rPr/>
          </w:pPr>
          <w:hyperlink w:anchor="__RefHeading___Toc7246479_1280447820">
            <w:r>
              <w:rPr>
                <w:webHidden/>
                <w:rStyle w:val="IndexLink"/>
                <w:rtl w:val="true"/>
              </w:rPr>
              <w:t>الثالث</w:t>
            </w:r>
            <w:r>
              <w:rPr>
                <w:rStyle w:val="IndexLink"/>
                <w:rtl w:val="true"/>
              </w:rPr>
              <w:t xml:space="preserve">: </w:t>
            </w:r>
            <w:r>
              <w:rPr>
                <w:rStyle w:val="IndexLink"/>
                <w:rtl w:val="true"/>
              </w:rPr>
              <w:t>الزواج بين الإسلام والانظمة الأخرى</w:t>
            </w:r>
            <w:r>
              <w:rPr>
                <w:rStyle w:val="IndexLink"/>
                <w:rtl w:val="true"/>
              </w:rPr>
              <w:t>:</w:t>
              <w:tab/>
            </w:r>
            <w:r>
              <w:rPr>
                <w:rStyle w:val="IndexLink"/>
              </w:rPr>
              <w:t>21</w:t>
            </w:r>
          </w:hyperlink>
        </w:p>
        <w:p>
          <w:pPr>
            <w:pStyle w:val="Contents4"/>
            <w:tabs>
              <w:tab w:val="clear" w:pos="8176"/>
              <w:tab w:val="right" w:pos="9026" w:leader="dot"/>
            </w:tabs>
            <w:rPr/>
          </w:pPr>
          <w:hyperlink w:anchor="__RefHeading___Toc7246481_1280447820">
            <w:r>
              <w:rPr>
                <w:webHidden/>
                <w:rStyle w:val="IndexLink"/>
                <w:rtl w:val="true"/>
              </w:rPr>
              <w:t>الرابع</w:t>
            </w:r>
            <w:r>
              <w:rPr>
                <w:rStyle w:val="IndexLink"/>
                <w:rtl w:val="true"/>
              </w:rPr>
              <w:t xml:space="preserve">: </w:t>
            </w:r>
            <w:r>
              <w:rPr>
                <w:rStyle w:val="IndexLink"/>
                <w:rtl w:val="true"/>
              </w:rPr>
              <w:t>في عدم اختصاص التناكح بالإنسان والحيوان</w:t>
            </w:r>
            <w:r>
              <w:rPr>
                <w:rStyle w:val="IndexLink"/>
                <w:rtl w:val="true"/>
              </w:rPr>
              <w:t>:</w:t>
              <w:tab/>
            </w:r>
            <w:r>
              <w:rPr>
                <w:rStyle w:val="IndexLink"/>
              </w:rPr>
              <w:t>29</w:t>
            </w:r>
          </w:hyperlink>
        </w:p>
        <w:p>
          <w:pPr>
            <w:pStyle w:val="Contents4"/>
            <w:tabs>
              <w:tab w:val="clear" w:pos="8176"/>
              <w:tab w:val="right" w:pos="9026" w:leader="dot"/>
            </w:tabs>
            <w:rPr/>
          </w:pPr>
          <w:hyperlink w:anchor="__RefHeading___Toc7246483_1280447820">
            <w:r>
              <w:rPr>
                <w:webHidden/>
                <w:rStyle w:val="IndexLink"/>
                <w:rtl w:val="true"/>
              </w:rPr>
              <w:t>الخامس</w:t>
            </w:r>
            <w:r>
              <w:rPr>
                <w:rStyle w:val="IndexLink"/>
                <w:rtl w:val="true"/>
              </w:rPr>
              <w:t xml:space="preserve">: </w:t>
            </w:r>
            <w:r>
              <w:rPr>
                <w:rStyle w:val="IndexLink"/>
                <w:rtl w:val="true"/>
              </w:rPr>
              <w:t>في كيفية انتشار النسل البشري بعد آدم وحواء</w:t>
            </w:r>
            <w:r>
              <w:rPr>
                <w:rStyle w:val="IndexLink"/>
                <w:rtl w:val="true"/>
              </w:rPr>
              <w:t>(</w:t>
            </w:r>
            <w:r>
              <w:rPr>
                <w:rStyle w:val="IndexLink"/>
                <w:rtl w:val="true"/>
              </w:rPr>
              <w:t>علیهما السلام</w:t>
            </w:r>
            <w:r>
              <w:rPr>
                <w:rStyle w:val="IndexLink"/>
                <w:rtl w:val="true"/>
              </w:rPr>
              <w:t>):</w:t>
              <w:tab/>
            </w:r>
            <w:r>
              <w:rPr>
                <w:rStyle w:val="IndexLink"/>
              </w:rPr>
              <w:t>32</w:t>
            </w:r>
          </w:hyperlink>
        </w:p>
        <w:p>
          <w:pPr>
            <w:pStyle w:val="Contents5"/>
            <w:tabs>
              <w:tab w:val="clear" w:pos="7892"/>
              <w:tab w:val="right" w:pos="9026" w:leader="dot"/>
            </w:tabs>
            <w:rPr/>
          </w:pPr>
          <w:hyperlink w:anchor="__RefHeading___Toc7246485_1280447820">
            <w:r>
              <w:rPr>
                <w:webHidden/>
                <w:rStyle w:val="IndexLink"/>
                <w:rtl w:val="true"/>
              </w:rPr>
              <w:t>اشارة</w:t>
            </w:r>
            <w:r>
              <w:rPr>
                <w:rStyle w:val="IndexLink"/>
                <w:rtl w:val="true"/>
              </w:rPr>
              <w:tab/>
            </w:r>
            <w:r>
              <w:rPr>
                <w:rStyle w:val="IndexLink"/>
              </w:rPr>
              <w:t>32</w:t>
            </w:r>
          </w:hyperlink>
        </w:p>
        <w:p>
          <w:pPr>
            <w:pStyle w:val="Contents5"/>
            <w:tabs>
              <w:tab w:val="clear" w:pos="7892"/>
              <w:tab w:val="right" w:pos="9026" w:leader="dot"/>
            </w:tabs>
            <w:rPr/>
          </w:pPr>
          <w:hyperlink w:anchor="__RefHeading___Toc7246487_1280447820">
            <w:r>
              <w:rPr>
                <w:webHidden/>
                <w:rStyle w:val="IndexLink"/>
                <w:rtl w:val="true"/>
              </w:rPr>
              <w:t>الجهة الأولى</w:t>
            </w:r>
            <w:r>
              <w:rPr>
                <w:rStyle w:val="IndexLink"/>
                <w:rtl w:val="true"/>
              </w:rPr>
              <w:t xml:space="preserve">: </w:t>
            </w:r>
            <w:r>
              <w:rPr>
                <w:rStyle w:val="IndexLink"/>
                <w:rtl w:val="true"/>
              </w:rPr>
              <w:t>في الأقوال</w:t>
            </w:r>
            <w:r>
              <w:rPr>
                <w:rStyle w:val="IndexLink"/>
                <w:rtl w:val="true"/>
              </w:rPr>
              <w:t>:</w:t>
              <w:tab/>
            </w:r>
            <w:r>
              <w:rPr>
                <w:rStyle w:val="IndexLink"/>
              </w:rPr>
              <w:t>32</w:t>
            </w:r>
          </w:hyperlink>
        </w:p>
        <w:p>
          <w:pPr>
            <w:pStyle w:val="Contents5"/>
            <w:tabs>
              <w:tab w:val="clear" w:pos="7892"/>
              <w:tab w:val="right" w:pos="9026" w:leader="dot"/>
            </w:tabs>
            <w:rPr/>
          </w:pPr>
          <w:hyperlink w:anchor="__RefHeading___Toc7246489_1280447820">
            <w:r>
              <w:rPr>
                <w:webHidden/>
                <w:rStyle w:val="IndexLink"/>
                <w:rtl w:val="true"/>
              </w:rPr>
              <w:t>الجهة الثانية</w:t>
            </w:r>
            <w:r>
              <w:rPr>
                <w:rStyle w:val="IndexLink"/>
                <w:rtl w:val="true"/>
              </w:rPr>
              <w:t xml:space="preserve">: </w:t>
            </w:r>
            <w:r>
              <w:rPr>
                <w:rStyle w:val="IndexLink"/>
                <w:rtl w:val="true"/>
              </w:rPr>
              <w:t>في الأدلّة</w:t>
            </w:r>
            <w:r>
              <w:rPr>
                <w:rStyle w:val="IndexLink"/>
                <w:rtl w:val="true"/>
              </w:rPr>
              <w:t>:</w:t>
              <w:tab/>
            </w:r>
            <w:r>
              <w:rPr>
                <w:rStyle w:val="IndexLink"/>
              </w:rPr>
              <w:t>33</w:t>
            </w:r>
          </w:hyperlink>
        </w:p>
        <w:p>
          <w:pPr>
            <w:pStyle w:val="Contents5"/>
            <w:tabs>
              <w:tab w:val="clear" w:pos="7892"/>
              <w:tab w:val="right" w:pos="9026" w:leader="dot"/>
            </w:tabs>
            <w:rPr/>
          </w:pPr>
          <w:hyperlink w:anchor="__RefHeading___Toc7246491_1280447820">
            <w:r>
              <w:rPr>
                <w:webHidden/>
                <w:rStyle w:val="IndexLink"/>
                <w:rtl w:val="true"/>
              </w:rPr>
              <w:t>الجهة الثالثة</w:t>
            </w:r>
            <w:r>
              <w:rPr>
                <w:rStyle w:val="IndexLink"/>
                <w:rtl w:val="true"/>
              </w:rPr>
              <w:t xml:space="preserve">: </w:t>
            </w:r>
            <w:r>
              <w:rPr>
                <w:rStyle w:val="IndexLink"/>
                <w:rtl w:val="true"/>
              </w:rPr>
              <w:t>في النظر في ما يستفاد من كلّ من أدلّة القولين</w:t>
            </w:r>
            <w:r>
              <w:rPr>
                <w:rStyle w:val="IndexLink"/>
                <w:rtl w:val="true"/>
              </w:rPr>
              <w:t>:</w:t>
              <w:tab/>
            </w:r>
            <w:r>
              <w:rPr>
                <w:rStyle w:val="IndexLink"/>
              </w:rPr>
              <w:t>43</w:t>
            </w:r>
          </w:hyperlink>
        </w:p>
        <w:p>
          <w:pPr>
            <w:pStyle w:val="Contents5"/>
            <w:tabs>
              <w:tab w:val="clear" w:pos="7892"/>
              <w:tab w:val="right" w:pos="9026" w:leader="dot"/>
            </w:tabs>
            <w:rPr/>
          </w:pPr>
          <w:hyperlink w:anchor="__RefHeading___Toc7246493_1280447820">
            <w:r>
              <w:rPr>
                <w:webHidden/>
                <w:rStyle w:val="IndexLink"/>
                <w:rtl w:val="true"/>
              </w:rPr>
              <w:t>الجهة الرابعة</w:t>
            </w:r>
            <w:r>
              <w:rPr>
                <w:rStyle w:val="IndexLink"/>
                <w:rtl w:val="true"/>
              </w:rPr>
              <w:t xml:space="preserve">: </w:t>
            </w:r>
            <w:r>
              <w:rPr>
                <w:rStyle w:val="IndexLink"/>
                <w:rtl w:val="true"/>
              </w:rPr>
              <w:t>في علاج التعارض</w:t>
            </w:r>
            <w:r>
              <w:rPr>
                <w:rStyle w:val="IndexLink"/>
                <w:rtl w:val="true"/>
              </w:rPr>
              <w:t>:</w:t>
              <w:tab/>
            </w:r>
            <w:r>
              <w:rPr>
                <w:rStyle w:val="IndexLink"/>
              </w:rPr>
              <w:t>46</w:t>
            </w:r>
          </w:hyperlink>
        </w:p>
        <w:p>
          <w:pPr>
            <w:pStyle w:val="Contents3"/>
            <w:tabs>
              <w:tab w:val="clear" w:pos="8459"/>
              <w:tab w:val="right" w:pos="9026" w:leader="dot"/>
            </w:tabs>
            <w:rPr/>
          </w:pPr>
          <w:hyperlink w:anchor="__RefHeading___Toc7246495_1280447820">
            <w:r>
              <w:rPr>
                <w:webHidden/>
                <w:rStyle w:val="IndexLink"/>
                <w:rtl w:val="true"/>
              </w:rPr>
              <w:t>التقية في النكاح</w:t>
            </w:r>
            <w:r>
              <w:rPr>
                <w:rStyle w:val="IndexLink"/>
                <w:rtl w:val="true"/>
              </w:rPr>
              <w:tab/>
            </w:r>
            <w:r>
              <w:rPr>
                <w:rStyle w:val="IndexLink"/>
              </w:rPr>
              <w:t>53</w:t>
            </w:r>
          </w:hyperlink>
        </w:p>
        <w:p>
          <w:pPr>
            <w:pStyle w:val="Contents4"/>
            <w:tabs>
              <w:tab w:val="clear" w:pos="8176"/>
              <w:tab w:val="right" w:pos="9026" w:leader="dot"/>
            </w:tabs>
            <w:rPr/>
          </w:pPr>
          <w:hyperlink w:anchor="__RefHeading___Toc7246497_1280447820">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7246499_1280447820">
            <w:r>
              <w:rPr>
                <w:webHidden/>
                <w:rStyle w:val="IndexLink"/>
                <w:rtl w:val="true"/>
              </w:rPr>
              <w:t>الجمع بين الروايات</w:t>
            </w:r>
            <w:r>
              <w:rPr>
                <w:rStyle w:val="IndexLink"/>
                <w:rtl w:val="true"/>
              </w:rPr>
              <w:t>:</w:t>
              <w:tab/>
            </w:r>
            <w:r>
              <w:rPr>
                <w:rStyle w:val="IndexLink"/>
              </w:rPr>
              <w:t>78</w:t>
            </w:r>
          </w:hyperlink>
        </w:p>
        <w:p>
          <w:pPr>
            <w:pStyle w:val="Contents4"/>
            <w:tabs>
              <w:tab w:val="clear" w:pos="8176"/>
              <w:tab w:val="right" w:pos="9026" w:leader="dot"/>
            </w:tabs>
            <w:rPr/>
          </w:pPr>
          <w:hyperlink w:anchor="__RefHeading___Toc7246501_1280447820">
            <w:r>
              <w:rPr>
                <w:webHidden/>
                <w:rStyle w:val="IndexLink"/>
                <w:rtl w:val="true"/>
              </w:rPr>
              <w:t>بقي شيء</w:t>
            </w:r>
            <w:r>
              <w:rPr>
                <w:rStyle w:val="IndexLink"/>
                <w:rtl w:val="true"/>
              </w:rPr>
              <w:t>:</w:t>
              <w:tab/>
            </w:r>
            <w:r>
              <w:rPr>
                <w:rStyle w:val="IndexLink"/>
              </w:rPr>
              <w:t>88</w:t>
            </w:r>
          </w:hyperlink>
        </w:p>
        <w:p>
          <w:pPr>
            <w:pStyle w:val="Contents4"/>
            <w:tabs>
              <w:tab w:val="clear" w:pos="8176"/>
              <w:tab w:val="right" w:pos="9026" w:leader="dot"/>
            </w:tabs>
            <w:rPr/>
          </w:pPr>
          <w:hyperlink w:anchor="__RefHeading___Toc7246503_1280447820">
            <w:r>
              <w:rPr>
                <w:webHidden/>
                <w:rStyle w:val="IndexLink"/>
                <w:rtl w:val="true"/>
              </w:rPr>
              <w:t>المقام الرابع</w:t>
            </w:r>
            <w:r>
              <w:rPr>
                <w:rStyle w:val="IndexLink"/>
                <w:rtl w:val="true"/>
              </w:rPr>
              <w:t xml:space="preserve">: </w:t>
            </w:r>
            <w:r>
              <w:rPr>
                <w:rStyle w:val="IndexLink"/>
                <w:rtl w:val="true"/>
              </w:rPr>
              <w:t>في مناكحة المخالف</w:t>
            </w:r>
            <w:r>
              <w:rPr>
                <w:rStyle w:val="IndexLink"/>
                <w:rtl w:val="true"/>
              </w:rPr>
              <w:t>:</w:t>
              <w:tab/>
            </w:r>
            <w:r>
              <w:rPr>
                <w:rStyle w:val="IndexLink"/>
              </w:rPr>
              <w:t>90</w:t>
            </w:r>
          </w:hyperlink>
        </w:p>
        <w:p>
          <w:pPr>
            <w:pStyle w:val="Contents4"/>
            <w:tabs>
              <w:tab w:val="clear" w:pos="8176"/>
              <w:tab w:val="right" w:pos="9026" w:leader="dot"/>
            </w:tabs>
            <w:rPr/>
          </w:pPr>
          <w:hyperlink w:anchor="__RefHeading___Toc7246505_1280447820">
            <w:r>
              <w:rPr>
                <w:webHidden/>
                <w:rStyle w:val="IndexLink"/>
                <w:rtl w:val="true"/>
              </w:rPr>
              <w:t>بقي شيئان</w:t>
            </w:r>
            <w:r>
              <w:rPr>
                <w:rStyle w:val="IndexLink"/>
                <w:rtl w:val="true"/>
              </w:rPr>
              <w:t>:</w:t>
              <w:tab/>
            </w:r>
            <w:r>
              <w:rPr>
                <w:rStyle w:val="IndexLink"/>
              </w:rPr>
              <w:t>109</w:t>
            </w:r>
          </w:hyperlink>
        </w:p>
        <w:p>
          <w:pPr>
            <w:pStyle w:val="Contents4"/>
            <w:tabs>
              <w:tab w:val="clear" w:pos="8176"/>
              <w:tab w:val="right" w:pos="9026" w:leader="dot"/>
            </w:tabs>
            <w:rPr/>
          </w:pPr>
          <w:hyperlink w:anchor="__RefHeading___Toc7246507_1280447820">
            <w:r>
              <w:rPr>
                <w:webHidden/>
                <w:rStyle w:val="IndexLink"/>
                <w:rtl w:val="true"/>
              </w:rPr>
              <w:t>ثم إنّ هاهنا مسائل</w:t>
            </w:r>
            <w:r>
              <w:rPr>
                <w:rStyle w:val="IndexLink"/>
                <w:rtl w:val="true"/>
              </w:rPr>
              <w:t>:</w:t>
              <w:tab/>
            </w:r>
            <w:r>
              <w:rPr>
                <w:rStyle w:val="IndexLink"/>
              </w:rPr>
              <w:t>110</w:t>
            </w:r>
          </w:hyperlink>
        </w:p>
        <w:p>
          <w:pPr>
            <w:pStyle w:val="Contents4"/>
            <w:tabs>
              <w:tab w:val="clear" w:pos="8176"/>
              <w:tab w:val="right" w:pos="9026" w:leader="dot"/>
            </w:tabs>
            <w:rPr/>
          </w:pPr>
          <w:hyperlink w:anchor="__RefHeading___Toc7246509_1280447820">
            <w:r>
              <w:rPr>
                <w:webHidden/>
                <w:rStyle w:val="IndexLink"/>
                <w:rtl w:val="true"/>
              </w:rPr>
              <w:t>المقام الخامس</w:t>
            </w:r>
            <w:r>
              <w:rPr>
                <w:rStyle w:val="IndexLink"/>
                <w:rtl w:val="true"/>
              </w:rPr>
              <w:t xml:space="preserve">: </w:t>
            </w:r>
            <w:r>
              <w:rPr>
                <w:rStyle w:val="IndexLink"/>
                <w:rtl w:val="true"/>
              </w:rPr>
              <w:t>في مناكحة الكفار فيما بينهم</w:t>
            </w:r>
            <w:r>
              <w:rPr>
                <w:rStyle w:val="IndexLink"/>
                <w:rtl w:val="true"/>
              </w:rPr>
              <w:t>:</w:t>
              <w:tab/>
            </w:r>
            <w:r>
              <w:rPr>
                <w:rStyle w:val="IndexLink"/>
              </w:rPr>
              <w:t>115</w:t>
            </w:r>
          </w:hyperlink>
        </w:p>
        <w:p>
          <w:pPr>
            <w:pStyle w:val="Contents3"/>
            <w:tabs>
              <w:tab w:val="clear" w:pos="8459"/>
              <w:tab w:val="right" w:pos="9026" w:leader="dot"/>
            </w:tabs>
            <w:rPr/>
          </w:pPr>
          <w:hyperlink w:anchor="__RefHeading___Toc7246511_1280447820">
            <w:r>
              <w:rPr>
                <w:webHidden/>
                <w:rStyle w:val="IndexLink"/>
                <w:rtl w:val="true"/>
              </w:rPr>
              <w:t>المتعة أو النكاح المنقطع</w:t>
            </w:r>
            <w:r>
              <w:rPr>
                <w:rStyle w:val="IndexLink"/>
                <w:rtl w:val="true"/>
              </w:rPr>
              <w:tab/>
            </w:r>
            <w:r>
              <w:rPr>
                <w:rStyle w:val="IndexLink"/>
              </w:rPr>
              <w:t>123</w:t>
            </w:r>
          </w:hyperlink>
        </w:p>
        <w:p>
          <w:pPr>
            <w:pStyle w:val="Contents4"/>
            <w:tabs>
              <w:tab w:val="clear" w:pos="8176"/>
              <w:tab w:val="right" w:pos="9026" w:leader="dot"/>
            </w:tabs>
            <w:rPr/>
          </w:pPr>
          <w:hyperlink w:anchor="__RefHeading___Toc7246513_1280447820">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7246515_1280447820">
            <w:r>
              <w:rPr>
                <w:webHidden/>
                <w:rStyle w:val="IndexLink"/>
                <w:rtl w:val="true"/>
              </w:rPr>
              <w:t>حكم المتعة</w:t>
            </w:r>
            <w:r>
              <w:rPr>
                <w:rStyle w:val="IndexLink"/>
                <w:rtl w:val="true"/>
              </w:rPr>
              <w:t>:</w:t>
              <w:tab/>
            </w:r>
            <w:r>
              <w:rPr>
                <w:rStyle w:val="IndexLink"/>
              </w:rPr>
              <w:t>126</w:t>
            </w:r>
          </w:hyperlink>
        </w:p>
        <w:p>
          <w:pPr>
            <w:pStyle w:val="Contents4"/>
            <w:tabs>
              <w:tab w:val="clear" w:pos="8176"/>
              <w:tab w:val="right" w:pos="9026" w:leader="dot"/>
            </w:tabs>
            <w:rPr/>
          </w:pPr>
          <w:hyperlink w:anchor="__RefHeading___Toc7246517_1280447820">
            <w:r>
              <w:rPr>
                <w:webHidden/>
                <w:rStyle w:val="IndexLink"/>
                <w:rtl w:val="true"/>
              </w:rPr>
              <w:t>أدلة تحريم المتعة</w:t>
            </w:r>
            <w:r>
              <w:rPr>
                <w:rStyle w:val="IndexLink"/>
                <w:rtl w:val="true"/>
              </w:rPr>
              <w:t>:</w:t>
              <w:tab/>
            </w:r>
            <w:r>
              <w:rPr>
                <w:rStyle w:val="IndexLink"/>
              </w:rPr>
              <w:t>127</w:t>
            </w:r>
          </w:hyperlink>
        </w:p>
        <w:p>
          <w:pPr>
            <w:pStyle w:val="Contents4"/>
            <w:tabs>
              <w:tab w:val="clear" w:pos="8176"/>
              <w:tab w:val="right" w:pos="9026" w:leader="dot"/>
            </w:tabs>
            <w:rPr/>
          </w:pPr>
          <w:hyperlink w:anchor="__RefHeading___Toc7246519_1280447820">
            <w:r>
              <w:rPr>
                <w:webHidden/>
                <w:rStyle w:val="IndexLink"/>
                <w:rtl w:val="true"/>
              </w:rPr>
              <w:t>شبهة ودفع</w:t>
            </w:r>
            <w:r>
              <w:rPr>
                <w:rStyle w:val="IndexLink"/>
                <w:rtl w:val="true"/>
              </w:rPr>
              <w:t>:</w:t>
              <w:tab/>
            </w:r>
            <w:r>
              <w:rPr>
                <w:rStyle w:val="IndexLink"/>
              </w:rPr>
              <w:t>141</w:t>
            </w:r>
          </w:hyperlink>
        </w:p>
        <w:p>
          <w:pPr>
            <w:pStyle w:val="Contents4"/>
            <w:tabs>
              <w:tab w:val="clear" w:pos="8176"/>
              <w:tab w:val="right" w:pos="9026" w:leader="dot"/>
            </w:tabs>
            <w:rPr/>
          </w:pPr>
          <w:hyperlink w:anchor="__RefHeading___Toc7246521_1280447820">
            <w:r>
              <w:rPr>
                <w:webHidden/>
                <w:rStyle w:val="IndexLink"/>
                <w:rtl w:val="true"/>
              </w:rPr>
              <w:t>أدلة حلّية المتعة</w:t>
            </w:r>
            <w:r>
              <w:rPr>
                <w:rStyle w:val="IndexLink"/>
                <w:rtl w:val="true"/>
              </w:rPr>
              <w:t>:</w:t>
              <w:tab/>
            </w:r>
            <w:r>
              <w:rPr>
                <w:rStyle w:val="IndexLink"/>
              </w:rPr>
              <w:t>149</w:t>
            </w:r>
          </w:hyperlink>
        </w:p>
        <w:p>
          <w:pPr>
            <w:pStyle w:val="Contents4"/>
            <w:tabs>
              <w:tab w:val="clear" w:pos="8176"/>
              <w:tab w:val="right" w:pos="9026" w:leader="dot"/>
            </w:tabs>
            <w:rPr/>
          </w:pPr>
          <w:hyperlink w:anchor="__RefHeading___Toc7246523_1280447820">
            <w:r>
              <w:rPr>
                <w:webHidden/>
                <w:rStyle w:val="IndexLink"/>
                <w:rtl w:val="true"/>
              </w:rPr>
              <w:t>أما ما دل على جواز المتعة فعدة روايات</w:t>
            </w:r>
            <w:r>
              <w:rPr>
                <w:rStyle w:val="IndexLink"/>
                <w:rtl w:val="true"/>
              </w:rPr>
              <w:t>:</w:t>
              <w:tab/>
            </w:r>
            <w:r>
              <w:rPr>
                <w:rStyle w:val="IndexLink"/>
              </w:rPr>
              <w:t>153</w:t>
            </w:r>
          </w:hyperlink>
        </w:p>
        <w:p>
          <w:pPr>
            <w:pStyle w:val="Contents4"/>
            <w:tabs>
              <w:tab w:val="clear" w:pos="8176"/>
              <w:tab w:val="right" w:pos="9026" w:leader="dot"/>
            </w:tabs>
            <w:rPr/>
          </w:pPr>
          <w:hyperlink w:anchor="__RefHeading___Toc7246525_1280447820">
            <w:r>
              <w:rPr>
                <w:webHidden/>
                <w:rStyle w:val="IndexLink"/>
                <w:rtl w:val="true"/>
              </w:rPr>
              <w:t>بقي شيء</w:t>
            </w:r>
            <w:r>
              <w:rPr>
                <w:rStyle w:val="IndexLink"/>
                <w:rtl w:val="true"/>
              </w:rPr>
              <w:t>:</w:t>
              <w:tab/>
            </w:r>
            <w:r>
              <w:rPr>
                <w:rStyle w:val="IndexLink"/>
              </w:rPr>
              <w:t>160</w:t>
            </w:r>
          </w:hyperlink>
        </w:p>
        <w:p>
          <w:pPr>
            <w:pStyle w:val="Contents2"/>
            <w:tabs>
              <w:tab w:val="clear" w:pos="8743"/>
              <w:tab w:val="right" w:pos="9026" w:leader="dot"/>
            </w:tabs>
            <w:rPr/>
          </w:pPr>
          <w:hyperlink w:anchor="__RefHeading___Toc7246527_1280447820">
            <w:r>
              <w:rPr>
                <w:webHidden/>
                <w:rStyle w:val="IndexLink"/>
                <w:rtl w:val="true"/>
              </w:rPr>
              <w:t>الفصل الحادي عشر</w:t>
            </w:r>
            <w:r>
              <w:rPr>
                <w:rStyle w:val="IndexLink"/>
                <w:rtl w:val="true"/>
              </w:rPr>
              <w:t xml:space="preserve">: </w:t>
            </w:r>
            <w:r>
              <w:rPr>
                <w:rStyle w:val="IndexLink"/>
              </w:rPr>
              <w:t>9</w:t>
            </w:r>
            <w:r>
              <w:rPr>
                <w:rStyle w:val="IndexLink"/>
                <w:rtl w:val="true"/>
              </w:rPr>
              <w:t xml:space="preserve"> </w:t>
            </w:r>
            <w:r>
              <w:rPr>
                <w:rStyle w:val="IndexLink"/>
                <w:rtl w:val="true"/>
              </w:rPr>
              <w:t>ـ التقية في الطلاق</w:t>
            </w:r>
            <w:r>
              <w:rPr>
                <w:rStyle w:val="IndexLink"/>
                <w:rtl w:val="true"/>
              </w:rPr>
              <w:tab/>
            </w:r>
            <w:r>
              <w:rPr>
                <w:rStyle w:val="IndexLink"/>
              </w:rPr>
              <w:t>167</w:t>
            </w:r>
          </w:hyperlink>
        </w:p>
        <w:p>
          <w:pPr>
            <w:pStyle w:val="Contents3"/>
            <w:tabs>
              <w:tab w:val="clear" w:pos="8459"/>
              <w:tab w:val="right" w:pos="9026" w:leader="dot"/>
            </w:tabs>
            <w:rPr/>
          </w:pPr>
          <w:hyperlink w:anchor="__RefHeading___Toc7246529_1280447820">
            <w:r>
              <w:rPr>
                <w:webHidden/>
                <w:rStyle w:val="IndexLink"/>
                <w:rtl w:val="true"/>
              </w:rPr>
              <w:t>اشارة</w:t>
            </w:r>
            <w:r>
              <w:rPr>
                <w:rStyle w:val="IndexLink"/>
                <w:rtl w:val="true"/>
              </w:rPr>
              <w:tab/>
            </w:r>
            <w:r>
              <w:rPr>
                <w:rStyle w:val="IndexLink"/>
              </w:rPr>
              <w:t>167</w:t>
            </w:r>
          </w:hyperlink>
        </w:p>
        <w:p>
          <w:pPr>
            <w:pStyle w:val="Contents3"/>
            <w:tabs>
              <w:tab w:val="clear" w:pos="8459"/>
              <w:tab w:val="right" w:pos="9026" w:leader="dot"/>
            </w:tabs>
            <w:rPr/>
          </w:pPr>
          <w:hyperlink w:anchor="__RefHeading___Toc7246531_1280447820">
            <w:r>
              <w:rPr>
                <w:webHidden/>
                <w:rStyle w:val="IndexLink"/>
                <w:rtl w:val="true"/>
              </w:rPr>
              <w:t>التقية في الطلاق</w:t>
            </w:r>
            <w:r>
              <w:rPr>
                <w:rStyle w:val="IndexLink"/>
                <w:rtl w:val="true"/>
              </w:rPr>
              <w:tab/>
            </w:r>
            <w:r>
              <w:rPr>
                <w:rStyle w:val="IndexLink"/>
              </w:rPr>
              <w:t>169</w:t>
            </w:r>
          </w:hyperlink>
        </w:p>
        <w:p>
          <w:pPr>
            <w:pStyle w:val="Contents2"/>
            <w:tabs>
              <w:tab w:val="clear" w:pos="8743"/>
              <w:tab w:val="right" w:pos="9026" w:leader="dot"/>
            </w:tabs>
            <w:rPr/>
          </w:pPr>
          <w:hyperlink w:anchor="__RefHeading___Toc7246533_1280447820">
            <w:r>
              <w:rPr>
                <w:webHidden/>
                <w:rStyle w:val="IndexLink"/>
                <w:rtl w:val="true"/>
              </w:rPr>
              <w:t>الفصل الثاني عشر</w:t>
            </w:r>
            <w:r>
              <w:rPr>
                <w:rStyle w:val="IndexLink"/>
                <w:rtl w:val="true"/>
              </w:rPr>
              <w:t xml:space="preserve">: </w:t>
            </w:r>
            <w:r>
              <w:rPr>
                <w:rStyle w:val="IndexLink"/>
              </w:rPr>
              <w:t>10</w:t>
            </w:r>
            <w:r>
              <w:rPr>
                <w:rStyle w:val="IndexLink"/>
                <w:rtl w:val="true"/>
              </w:rPr>
              <w:t xml:space="preserve"> </w:t>
            </w:r>
            <w:r>
              <w:rPr>
                <w:rStyle w:val="IndexLink"/>
                <w:rtl w:val="true"/>
              </w:rPr>
              <w:t>ـ التقية في المكاسب</w:t>
            </w:r>
            <w:r>
              <w:rPr>
                <w:rStyle w:val="IndexLink"/>
                <w:rtl w:val="true"/>
              </w:rPr>
              <w:tab/>
            </w:r>
            <w:r>
              <w:rPr>
                <w:rStyle w:val="IndexLink"/>
              </w:rPr>
              <w:t>235</w:t>
            </w:r>
          </w:hyperlink>
        </w:p>
        <w:p>
          <w:pPr>
            <w:pStyle w:val="Contents3"/>
            <w:tabs>
              <w:tab w:val="clear" w:pos="8459"/>
              <w:tab w:val="right" w:pos="9026" w:leader="dot"/>
            </w:tabs>
            <w:rPr/>
          </w:pPr>
          <w:hyperlink w:anchor="__RefHeading___Toc7246535_1280447820">
            <w:r>
              <w:rPr>
                <w:webHidden/>
                <w:rStyle w:val="IndexLink"/>
                <w:rtl w:val="true"/>
              </w:rPr>
              <w:t>اشارة</w:t>
            </w:r>
            <w:r>
              <w:rPr>
                <w:rStyle w:val="IndexLink"/>
                <w:rtl w:val="true"/>
              </w:rPr>
              <w:tab/>
            </w:r>
            <w:r>
              <w:rPr>
                <w:rStyle w:val="IndexLink"/>
              </w:rPr>
              <w:t>235</w:t>
            </w:r>
          </w:hyperlink>
        </w:p>
        <w:p>
          <w:pPr>
            <w:pStyle w:val="Contents3"/>
            <w:tabs>
              <w:tab w:val="clear" w:pos="8459"/>
              <w:tab w:val="right" w:pos="9026" w:leader="dot"/>
            </w:tabs>
            <w:rPr/>
          </w:pPr>
          <w:hyperlink w:anchor="__RefHeading___Toc7246537_1280447820">
            <w:r>
              <w:rPr>
                <w:webHidden/>
                <w:rStyle w:val="IndexLink"/>
                <w:rtl w:val="true"/>
              </w:rPr>
              <w:t>التقية في المكاسب</w:t>
            </w:r>
            <w:r>
              <w:rPr>
                <w:rStyle w:val="IndexLink"/>
                <w:rtl w:val="true"/>
              </w:rPr>
              <w:tab/>
            </w:r>
            <w:r>
              <w:rPr>
                <w:rStyle w:val="IndexLink"/>
              </w:rPr>
              <w:t>238</w:t>
            </w:r>
          </w:hyperlink>
        </w:p>
        <w:p>
          <w:pPr>
            <w:pStyle w:val="Contents4"/>
            <w:tabs>
              <w:tab w:val="clear" w:pos="8176"/>
              <w:tab w:val="right" w:pos="9026" w:leader="dot"/>
            </w:tabs>
            <w:rPr/>
          </w:pPr>
          <w:hyperlink w:anchor="__RefHeading___Toc7246539_1280447820">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7246541_1280447820">
            <w:r>
              <w:rPr>
                <w:webHidden/>
                <w:rStyle w:val="IndexLink"/>
                <w:rtl w:val="true"/>
              </w:rPr>
              <w:t>المبحث الأول</w:t>
            </w:r>
            <w:r>
              <w:rPr>
                <w:rStyle w:val="IndexLink"/>
                <w:rtl w:val="true"/>
              </w:rPr>
              <w:t xml:space="preserve">: </w:t>
            </w:r>
            <w:r>
              <w:rPr>
                <w:rStyle w:val="IndexLink"/>
                <w:rtl w:val="true"/>
              </w:rPr>
              <w:t>في حكم بيع المصحف للكافر</w:t>
            </w:r>
            <w:r>
              <w:rPr>
                <w:rStyle w:val="IndexLink"/>
                <w:rtl w:val="true"/>
              </w:rPr>
              <w:t>:</w:t>
              <w:tab/>
            </w:r>
            <w:r>
              <w:rPr>
                <w:rStyle w:val="IndexLink"/>
              </w:rPr>
              <w:t>238</w:t>
            </w:r>
          </w:hyperlink>
        </w:p>
        <w:p>
          <w:pPr>
            <w:pStyle w:val="Contents4"/>
            <w:tabs>
              <w:tab w:val="clear" w:pos="8176"/>
              <w:tab w:val="right" w:pos="9026" w:leader="dot"/>
            </w:tabs>
            <w:rPr/>
          </w:pPr>
          <w:hyperlink w:anchor="__RefHeading___Toc7246543_1280447820">
            <w:r>
              <w:rPr>
                <w:webHidden/>
                <w:rStyle w:val="IndexLink"/>
                <w:rtl w:val="true"/>
              </w:rPr>
              <w:t>تنبيه</w:t>
            </w:r>
            <w:r>
              <w:rPr>
                <w:rStyle w:val="IndexLink"/>
                <w:rtl w:val="true"/>
              </w:rPr>
              <w:t>:</w:t>
              <w:tab/>
            </w:r>
            <w:r>
              <w:rPr>
                <w:rStyle w:val="IndexLink"/>
              </w:rPr>
              <w:t>242</w:t>
            </w:r>
          </w:hyperlink>
        </w:p>
        <w:p>
          <w:pPr>
            <w:pStyle w:val="Contents4"/>
            <w:tabs>
              <w:tab w:val="clear" w:pos="8176"/>
              <w:tab w:val="right" w:pos="9026" w:leader="dot"/>
            </w:tabs>
            <w:rPr/>
          </w:pPr>
          <w:hyperlink w:anchor="__RefHeading___Toc7246545_1280447820">
            <w:r>
              <w:rPr>
                <w:webHidden/>
                <w:rStyle w:val="IndexLink"/>
                <w:rtl w:val="true"/>
              </w:rPr>
              <w:t>المبحث الثاني</w:t>
            </w:r>
            <w:r>
              <w:rPr>
                <w:rStyle w:val="IndexLink"/>
                <w:rtl w:val="true"/>
              </w:rPr>
              <w:t xml:space="preserve">: </w:t>
            </w:r>
            <w:r>
              <w:rPr>
                <w:rStyle w:val="IndexLink"/>
                <w:rtl w:val="true"/>
              </w:rPr>
              <w:t>في بيع العبد المسلم للكافر</w:t>
            </w:r>
            <w:r>
              <w:rPr>
                <w:rStyle w:val="IndexLink"/>
                <w:rtl w:val="true"/>
              </w:rPr>
              <w:t>:</w:t>
              <w:tab/>
            </w:r>
            <w:r>
              <w:rPr>
                <w:rStyle w:val="IndexLink"/>
              </w:rPr>
              <w:t>243</w:t>
            </w:r>
          </w:hyperlink>
        </w:p>
        <w:p>
          <w:pPr>
            <w:pStyle w:val="Contents4"/>
            <w:tabs>
              <w:tab w:val="clear" w:pos="8176"/>
              <w:tab w:val="right" w:pos="9026" w:leader="dot"/>
            </w:tabs>
            <w:rPr/>
          </w:pPr>
          <w:hyperlink w:anchor="__RefHeading___Toc7246547_1280447820">
            <w:r>
              <w:rPr>
                <w:webHidden/>
                <w:rStyle w:val="IndexLink"/>
                <w:rtl w:val="true"/>
              </w:rPr>
              <w:t>ثم إنّ ها هنا مسائل</w:t>
            </w:r>
            <w:r>
              <w:rPr>
                <w:rStyle w:val="IndexLink"/>
                <w:rtl w:val="true"/>
              </w:rPr>
              <w:t>:</w:t>
              <w:tab/>
            </w:r>
            <w:r>
              <w:rPr>
                <w:rStyle w:val="IndexLink"/>
              </w:rPr>
              <w:t>250</w:t>
            </w:r>
          </w:hyperlink>
        </w:p>
        <w:p>
          <w:pPr>
            <w:pStyle w:val="Contents4"/>
            <w:tabs>
              <w:tab w:val="clear" w:pos="8176"/>
              <w:tab w:val="right" w:pos="9026" w:leader="dot"/>
            </w:tabs>
            <w:rPr/>
          </w:pPr>
          <w:hyperlink w:anchor="__RefHeading___Toc7246549_1280447820">
            <w:r>
              <w:rPr>
                <w:webHidden/>
                <w:rStyle w:val="IndexLink"/>
                <w:rtl w:val="true"/>
              </w:rPr>
              <w:t>تنبيهان</w:t>
            </w:r>
            <w:r>
              <w:rPr>
                <w:rStyle w:val="IndexLink"/>
                <w:rtl w:val="true"/>
              </w:rPr>
              <w:t>:</w:t>
              <w:tab/>
            </w:r>
            <w:r>
              <w:rPr>
                <w:rStyle w:val="IndexLink"/>
              </w:rPr>
              <w:t>258</w:t>
            </w:r>
          </w:hyperlink>
        </w:p>
        <w:p>
          <w:pPr>
            <w:pStyle w:val="Contents4"/>
            <w:tabs>
              <w:tab w:val="clear" w:pos="8176"/>
              <w:tab w:val="right" w:pos="9026" w:leader="dot"/>
            </w:tabs>
            <w:rPr/>
          </w:pPr>
          <w:hyperlink w:anchor="__RefHeading___Toc7246551_1280447820">
            <w:r>
              <w:rPr>
                <w:webHidden/>
                <w:rStyle w:val="IndexLink"/>
                <w:rtl w:val="true"/>
              </w:rPr>
              <w:t>المبحث الثالث</w:t>
            </w:r>
            <w:r>
              <w:rPr>
                <w:rStyle w:val="IndexLink"/>
                <w:rtl w:val="true"/>
              </w:rPr>
              <w:t xml:space="preserve">: </w:t>
            </w:r>
            <w:r>
              <w:rPr>
                <w:rStyle w:val="IndexLink"/>
                <w:rtl w:val="true"/>
              </w:rPr>
              <w:t>في الغناء</w:t>
            </w:r>
            <w:r>
              <w:rPr>
                <w:rStyle w:val="IndexLink"/>
                <w:rtl w:val="true"/>
              </w:rPr>
              <w:t>:</w:t>
              <w:tab/>
            </w:r>
            <w:r>
              <w:rPr>
                <w:rStyle w:val="IndexLink"/>
              </w:rPr>
              <w:t>259</w:t>
            </w:r>
          </w:hyperlink>
        </w:p>
        <w:p>
          <w:pPr>
            <w:pStyle w:val="Contents4"/>
            <w:tabs>
              <w:tab w:val="clear" w:pos="8176"/>
              <w:tab w:val="right" w:pos="9026" w:leader="dot"/>
            </w:tabs>
            <w:rPr/>
          </w:pPr>
          <w:hyperlink w:anchor="__RefHeading___Toc7246553_1280447820">
            <w:r>
              <w:rPr>
                <w:webHidden/>
                <w:rStyle w:val="IndexLink"/>
                <w:rtl w:val="true"/>
              </w:rPr>
              <w:t>تنبيه</w:t>
            </w:r>
            <w:r>
              <w:rPr>
                <w:rStyle w:val="IndexLink"/>
                <w:rtl w:val="true"/>
              </w:rPr>
              <w:t>:</w:t>
              <w:tab/>
            </w:r>
            <w:r>
              <w:rPr>
                <w:rStyle w:val="IndexLink"/>
              </w:rPr>
              <w:t>291</w:t>
            </w:r>
          </w:hyperlink>
        </w:p>
        <w:p>
          <w:pPr>
            <w:pStyle w:val="Contents2"/>
            <w:tabs>
              <w:tab w:val="clear" w:pos="8743"/>
              <w:tab w:val="right" w:pos="9026" w:leader="dot"/>
            </w:tabs>
            <w:rPr/>
          </w:pPr>
          <w:hyperlink w:anchor="__RefHeading___Toc7246555_1280447820">
            <w:r>
              <w:rPr>
                <w:webHidden/>
                <w:rStyle w:val="IndexLink"/>
                <w:rtl w:val="true"/>
              </w:rPr>
              <w:t>الفصل الثالث عشر</w:t>
            </w:r>
            <w:r>
              <w:rPr>
                <w:rStyle w:val="IndexLink"/>
                <w:rtl w:val="true"/>
              </w:rPr>
              <w:t xml:space="preserve">: </w:t>
            </w:r>
            <w:r>
              <w:rPr>
                <w:rStyle w:val="IndexLink"/>
              </w:rPr>
              <w:t>11</w:t>
            </w:r>
            <w:r>
              <w:rPr>
                <w:rStyle w:val="IndexLink"/>
                <w:rtl w:val="true"/>
              </w:rPr>
              <w:t xml:space="preserve"> </w:t>
            </w:r>
            <w:r>
              <w:rPr>
                <w:rStyle w:val="IndexLink"/>
                <w:rtl w:val="true"/>
              </w:rPr>
              <w:t>ـ التقية في أحكام الذباحة</w:t>
            </w:r>
            <w:r>
              <w:rPr>
                <w:rStyle w:val="IndexLink"/>
                <w:rtl w:val="true"/>
              </w:rPr>
              <w:tab/>
            </w:r>
            <w:r>
              <w:rPr>
                <w:rStyle w:val="IndexLink"/>
              </w:rPr>
              <w:t>316</w:t>
            </w:r>
          </w:hyperlink>
        </w:p>
        <w:p>
          <w:pPr>
            <w:pStyle w:val="Contents3"/>
            <w:tabs>
              <w:tab w:val="clear" w:pos="8459"/>
              <w:tab w:val="right" w:pos="9026" w:leader="dot"/>
            </w:tabs>
            <w:rPr/>
          </w:pPr>
          <w:hyperlink w:anchor="__RefHeading___Toc7246557_1280447820">
            <w:r>
              <w:rPr>
                <w:webHidden/>
                <w:rStyle w:val="IndexLink"/>
                <w:rtl w:val="true"/>
              </w:rPr>
              <w:t>اشارة</w:t>
            </w:r>
            <w:r>
              <w:rPr>
                <w:rStyle w:val="IndexLink"/>
                <w:rtl w:val="true"/>
              </w:rPr>
              <w:tab/>
            </w:r>
            <w:r>
              <w:rPr>
                <w:rStyle w:val="IndexLink"/>
              </w:rPr>
              <w:t>316</w:t>
            </w:r>
          </w:hyperlink>
        </w:p>
        <w:p>
          <w:pPr>
            <w:pStyle w:val="Contents3"/>
            <w:tabs>
              <w:tab w:val="clear" w:pos="8459"/>
              <w:tab w:val="right" w:pos="9026" w:leader="dot"/>
            </w:tabs>
            <w:rPr/>
          </w:pPr>
          <w:hyperlink w:anchor="__RefHeading___Toc7246559_1280447820">
            <w:r>
              <w:rPr>
                <w:webHidden/>
                <w:rStyle w:val="IndexLink"/>
                <w:rtl w:val="true"/>
              </w:rPr>
              <w:t>التقية في أحكام الذباحة</w:t>
            </w:r>
            <w:r>
              <w:rPr>
                <w:rStyle w:val="IndexLink"/>
                <w:rtl w:val="true"/>
              </w:rPr>
              <w:tab/>
            </w:r>
            <w:r>
              <w:rPr>
                <w:rStyle w:val="IndexLink"/>
              </w:rPr>
              <w:t>319</w:t>
            </w:r>
          </w:hyperlink>
        </w:p>
        <w:p>
          <w:pPr>
            <w:pStyle w:val="Contents4"/>
            <w:tabs>
              <w:tab w:val="clear" w:pos="8176"/>
              <w:tab w:val="right" w:pos="9026" w:leader="dot"/>
            </w:tabs>
            <w:rPr/>
          </w:pPr>
          <w:hyperlink w:anchor="__RefHeading___Toc7246561_1280447820">
            <w:r>
              <w:rPr>
                <w:webHidden/>
                <w:rStyle w:val="IndexLink"/>
                <w:rtl w:val="true"/>
              </w:rPr>
              <w:t>اشارة</w:t>
            </w:r>
            <w:r>
              <w:rPr>
                <w:rStyle w:val="IndexLink"/>
                <w:rtl w:val="true"/>
              </w:rPr>
              <w:tab/>
            </w:r>
            <w:r>
              <w:rPr>
                <w:rStyle w:val="IndexLink"/>
              </w:rPr>
              <w:t>319</w:t>
            </w:r>
          </w:hyperlink>
        </w:p>
        <w:p>
          <w:pPr>
            <w:pStyle w:val="Contents4"/>
            <w:tabs>
              <w:tab w:val="clear" w:pos="8176"/>
              <w:tab w:val="right" w:pos="9026" w:leader="dot"/>
            </w:tabs>
            <w:rPr/>
          </w:pPr>
          <w:hyperlink w:anchor="__RefHeading___Toc7246563_1280447820">
            <w:r>
              <w:rPr>
                <w:webHidden/>
                <w:rStyle w:val="IndexLink"/>
                <w:rtl w:val="true"/>
              </w:rPr>
              <w:t>أدلة الأقوال</w:t>
            </w:r>
            <w:r>
              <w:rPr>
                <w:rStyle w:val="IndexLink"/>
                <w:rtl w:val="true"/>
              </w:rPr>
              <w:t>:</w:t>
              <w:tab/>
            </w:r>
            <w:r>
              <w:rPr>
                <w:rStyle w:val="IndexLink"/>
              </w:rPr>
              <w:t>323</w:t>
            </w:r>
          </w:hyperlink>
        </w:p>
        <w:p>
          <w:pPr>
            <w:pStyle w:val="Contents4"/>
            <w:tabs>
              <w:tab w:val="clear" w:pos="8176"/>
              <w:tab w:val="right" w:pos="9026" w:leader="dot"/>
            </w:tabs>
            <w:rPr/>
          </w:pPr>
          <w:hyperlink w:anchor="__RefHeading___Toc7246565_1280447820">
            <w:r>
              <w:rPr>
                <w:webHidden/>
                <w:rStyle w:val="IndexLink"/>
                <w:rtl w:val="true"/>
              </w:rPr>
              <w:t>تنبيه</w:t>
            </w:r>
            <w:r>
              <w:rPr>
                <w:rStyle w:val="IndexLink"/>
                <w:rtl w:val="true"/>
              </w:rPr>
              <w:t>:</w:t>
              <w:tab/>
            </w:r>
            <w:r>
              <w:rPr>
                <w:rStyle w:val="IndexLink"/>
              </w:rPr>
              <w:t>356</w:t>
            </w:r>
          </w:hyperlink>
        </w:p>
        <w:p>
          <w:pPr>
            <w:pStyle w:val="Contents4"/>
            <w:tabs>
              <w:tab w:val="clear" w:pos="8176"/>
              <w:tab w:val="right" w:pos="9026" w:leader="dot"/>
            </w:tabs>
            <w:rPr/>
          </w:pPr>
          <w:hyperlink w:anchor="__RefHeading___Toc7246567_1280447820">
            <w:r>
              <w:rPr>
                <w:webHidden/>
                <w:rStyle w:val="IndexLink"/>
                <w:rtl w:val="true"/>
              </w:rPr>
              <w:t>الجهة الثالثة</w:t>
            </w:r>
            <w:r>
              <w:rPr>
                <w:rStyle w:val="IndexLink"/>
                <w:rtl w:val="true"/>
              </w:rPr>
              <w:t xml:space="preserve">: </w:t>
            </w:r>
            <w:r>
              <w:rPr>
                <w:rStyle w:val="IndexLink"/>
                <w:rtl w:val="true"/>
              </w:rPr>
              <w:t>في حكم ذبائح المجوس</w:t>
            </w:r>
            <w:r>
              <w:rPr>
                <w:rStyle w:val="IndexLink"/>
                <w:rtl w:val="true"/>
              </w:rPr>
              <w:t>:</w:t>
              <w:tab/>
            </w:r>
            <w:r>
              <w:rPr>
                <w:rStyle w:val="IndexLink"/>
              </w:rPr>
              <w:t>357</w:t>
            </w:r>
          </w:hyperlink>
        </w:p>
        <w:p>
          <w:pPr>
            <w:pStyle w:val="Contents4"/>
            <w:tabs>
              <w:tab w:val="clear" w:pos="8176"/>
              <w:tab w:val="right" w:pos="9026" w:leader="dot"/>
            </w:tabs>
            <w:rPr/>
          </w:pPr>
          <w:hyperlink w:anchor="__RefHeading___Toc7246569_1280447820">
            <w:r>
              <w:rPr>
                <w:webHidden/>
                <w:rStyle w:val="IndexLink"/>
                <w:rtl w:val="true"/>
              </w:rPr>
              <w:t>بقي أمران</w:t>
            </w:r>
            <w:r>
              <w:rPr>
                <w:rStyle w:val="IndexLink"/>
                <w:rtl w:val="true"/>
              </w:rPr>
              <w:t>:</w:t>
              <w:tab/>
            </w:r>
            <w:r>
              <w:rPr>
                <w:rStyle w:val="IndexLink"/>
              </w:rPr>
              <w:t>378</w:t>
            </w:r>
          </w:hyperlink>
        </w:p>
        <w:p>
          <w:pPr>
            <w:pStyle w:val="Contents4"/>
            <w:tabs>
              <w:tab w:val="clear" w:pos="8176"/>
              <w:tab w:val="right" w:pos="9026" w:leader="dot"/>
            </w:tabs>
            <w:rPr/>
          </w:pPr>
          <w:hyperlink w:anchor="__RefHeading___Toc7246571_1280447820">
            <w:r>
              <w:rPr>
                <w:webHidden/>
                <w:rStyle w:val="IndexLink"/>
                <w:rtl w:val="true"/>
              </w:rPr>
              <w:t>ثم إن هاهنا مسائل</w:t>
            </w:r>
            <w:r>
              <w:rPr>
                <w:rStyle w:val="IndexLink"/>
                <w:rtl w:val="true"/>
              </w:rPr>
              <w:t>:</w:t>
              <w:tab/>
            </w:r>
            <w:r>
              <w:rPr>
                <w:rStyle w:val="IndexLink"/>
              </w:rPr>
              <w:t>381</w:t>
            </w:r>
          </w:hyperlink>
        </w:p>
        <w:p>
          <w:pPr>
            <w:pStyle w:val="Contents4"/>
            <w:tabs>
              <w:tab w:val="clear" w:pos="8176"/>
              <w:tab w:val="right" w:pos="9026" w:leader="dot"/>
            </w:tabs>
            <w:rPr/>
          </w:pPr>
          <w:hyperlink w:anchor="__RefHeading___Toc7246573_1280447820">
            <w:r>
              <w:rPr>
                <w:webHidden/>
                <w:rStyle w:val="IndexLink"/>
                <w:rtl w:val="true"/>
              </w:rPr>
              <w:t>الموضع الثاني</w:t>
            </w:r>
            <w:r>
              <w:rPr>
                <w:rStyle w:val="IndexLink"/>
                <w:rtl w:val="true"/>
              </w:rPr>
              <w:t xml:space="preserve">: </w:t>
            </w:r>
            <w:r>
              <w:rPr>
                <w:rStyle w:val="IndexLink"/>
                <w:rtl w:val="true"/>
              </w:rPr>
              <w:t>في تذكية حيوان البحر</w:t>
            </w:r>
            <w:r>
              <w:rPr>
                <w:rStyle w:val="IndexLink"/>
                <w:rtl w:val="true"/>
              </w:rPr>
              <w:t>:</w:t>
              <w:tab/>
            </w:r>
            <w:r>
              <w:rPr>
                <w:rStyle w:val="IndexLink"/>
              </w:rPr>
              <w:t>383</w:t>
            </w:r>
          </w:hyperlink>
        </w:p>
        <w:p>
          <w:pPr>
            <w:pStyle w:val="Contents4"/>
            <w:tabs>
              <w:tab w:val="clear" w:pos="8176"/>
              <w:tab w:val="right" w:pos="9026" w:leader="dot"/>
            </w:tabs>
            <w:rPr/>
          </w:pPr>
          <w:hyperlink w:anchor="__RefHeading___Toc7246575_1280447820">
            <w:r>
              <w:rPr>
                <w:webHidden/>
                <w:rStyle w:val="IndexLink"/>
                <w:rtl w:val="true"/>
              </w:rPr>
              <w:t>خاتمة</w:t>
            </w:r>
            <w:r>
              <w:rPr>
                <w:rStyle w:val="IndexLink"/>
                <w:rtl w:val="true"/>
              </w:rPr>
              <w:t xml:space="preserve">: </w:t>
            </w:r>
            <w:r>
              <w:rPr>
                <w:rStyle w:val="IndexLink"/>
                <w:rtl w:val="true"/>
              </w:rPr>
              <w:t>في حكم سوق المسلمين ومقدار أماريته</w:t>
            </w:r>
            <w:r>
              <w:rPr>
                <w:rStyle w:val="IndexLink"/>
                <w:rtl w:val="true"/>
              </w:rPr>
              <w:t>:</w:t>
              <w:tab/>
            </w:r>
            <w:r>
              <w:rPr>
                <w:rStyle w:val="IndexLink"/>
              </w:rPr>
              <w:t>411</w:t>
            </w:r>
          </w:hyperlink>
        </w:p>
        <w:p>
          <w:pPr>
            <w:pStyle w:val="Contents4"/>
            <w:tabs>
              <w:tab w:val="clear" w:pos="8176"/>
              <w:tab w:val="right" w:pos="9026" w:leader="dot"/>
            </w:tabs>
            <w:rPr/>
          </w:pPr>
          <w:hyperlink w:anchor="__RefHeading___Toc7246577_1280447820">
            <w:r>
              <w:rPr>
                <w:webHidden/>
                <w:rStyle w:val="IndexLink"/>
                <w:rtl w:val="true"/>
              </w:rPr>
              <w:t>المقام الثاني</w:t>
            </w:r>
            <w:r>
              <w:rPr>
                <w:rStyle w:val="IndexLink"/>
                <w:rtl w:val="true"/>
              </w:rPr>
              <w:t xml:space="preserve">: </w:t>
            </w:r>
            <w:r>
              <w:rPr>
                <w:rStyle w:val="IndexLink"/>
                <w:rtl w:val="true"/>
              </w:rPr>
              <w:t>في ما تقتضيه الأدلة الخاصة</w:t>
            </w:r>
            <w:r>
              <w:rPr>
                <w:rStyle w:val="IndexLink"/>
                <w:rtl w:val="true"/>
              </w:rPr>
              <w:t>:</w:t>
              <w:tab/>
            </w:r>
            <w:r>
              <w:rPr>
                <w:rStyle w:val="IndexLink"/>
              </w:rPr>
              <w:t>431</w:t>
            </w:r>
          </w:hyperlink>
        </w:p>
        <w:p>
          <w:pPr>
            <w:pStyle w:val="Contents4"/>
            <w:tabs>
              <w:tab w:val="clear" w:pos="8176"/>
              <w:tab w:val="right" w:pos="9026" w:leader="dot"/>
            </w:tabs>
            <w:rPr/>
          </w:pPr>
          <w:hyperlink w:anchor="__RefHeading___Toc7246579_1280447820">
            <w:r>
              <w:rPr>
                <w:webHidden/>
                <w:rStyle w:val="IndexLink"/>
                <w:rtl w:val="true"/>
              </w:rPr>
              <w:t>المقام الثالث</w:t>
            </w:r>
            <w:r>
              <w:rPr>
                <w:rStyle w:val="IndexLink"/>
                <w:rtl w:val="true"/>
              </w:rPr>
              <w:t xml:space="preserve">: </w:t>
            </w:r>
            <w:r>
              <w:rPr>
                <w:rStyle w:val="IndexLink"/>
                <w:rtl w:val="true"/>
              </w:rPr>
              <w:t>في أحكام وخصوصيات المسألة</w:t>
            </w:r>
            <w:r>
              <w:rPr>
                <w:rStyle w:val="IndexLink"/>
                <w:rtl w:val="true"/>
              </w:rPr>
              <w:t>:</w:t>
              <w:tab/>
            </w:r>
            <w:r>
              <w:rPr>
                <w:rStyle w:val="IndexLink"/>
              </w:rPr>
              <w:t>434</w:t>
            </w:r>
          </w:hyperlink>
        </w:p>
        <w:p>
          <w:pPr>
            <w:pStyle w:val="Contents2"/>
            <w:tabs>
              <w:tab w:val="clear" w:pos="8743"/>
              <w:tab w:val="right" w:pos="9026" w:leader="dot"/>
            </w:tabs>
            <w:rPr/>
          </w:pPr>
          <w:hyperlink w:anchor="__RefHeading___Toc7246581_1280447820">
            <w:r>
              <w:rPr>
                <w:webHidden/>
                <w:rStyle w:val="IndexLink"/>
                <w:rtl w:val="true"/>
              </w:rPr>
              <w:t>الفصل الرابع عشر</w:t>
            </w:r>
            <w:r>
              <w:rPr>
                <w:rStyle w:val="IndexLink"/>
                <w:rtl w:val="true"/>
              </w:rPr>
              <w:t xml:space="preserve">: </w:t>
            </w:r>
            <w:r>
              <w:rPr>
                <w:rStyle w:val="IndexLink"/>
              </w:rPr>
              <w:t>12</w:t>
            </w:r>
            <w:r>
              <w:rPr>
                <w:rStyle w:val="IndexLink"/>
                <w:rtl w:val="true"/>
              </w:rPr>
              <w:t xml:space="preserve"> </w:t>
            </w:r>
            <w:r>
              <w:rPr>
                <w:rStyle w:val="IndexLink"/>
                <w:rtl w:val="true"/>
              </w:rPr>
              <w:t>ـ التقية في الفرائض</w:t>
            </w:r>
            <w:r>
              <w:rPr>
                <w:rStyle w:val="IndexLink"/>
                <w:rtl w:val="true"/>
              </w:rPr>
              <w:tab/>
            </w:r>
            <w:r>
              <w:rPr>
                <w:rStyle w:val="IndexLink"/>
              </w:rPr>
              <w:t>449</w:t>
            </w:r>
          </w:hyperlink>
        </w:p>
        <w:p>
          <w:pPr>
            <w:pStyle w:val="Contents3"/>
            <w:tabs>
              <w:tab w:val="clear" w:pos="8459"/>
              <w:tab w:val="right" w:pos="9026" w:leader="dot"/>
            </w:tabs>
            <w:rPr/>
          </w:pPr>
          <w:hyperlink w:anchor="__RefHeading___Toc7246583_1280447820">
            <w:r>
              <w:rPr>
                <w:webHidden/>
                <w:rStyle w:val="IndexLink"/>
                <w:rtl w:val="true"/>
              </w:rPr>
              <w:t>اشارة</w:t>
            </w:r>
            <w:r>
              <w:rPr>
                <w:rStyle w:val="IndexLink"/>
                <w:rtl w:val="true"/>
              </w:rPr>
              <w:tab/>
            </w:r>
            <w:r>
              <w:rPr>
                <w:rStyle w:val="IndexLink"/>
              </w:rPr>
              <w:t>449</w:t>
            </w:r>
          </w:hyperlink>
        </w:p>
        <w:p>
          <w:pPr>
            <w:pStyle w:val="Contents3"/>
            <w:tabs>
              <w:tab w:val="clear" w:pos="8459"/>
              <w:tab w:val="right" w:pos="9026" w:leader="dot"/>
            </w:tabs>
            <w:rPr/>
          </w:pPr>
          <w:hyperlink w:anchor="__RefHeading___Toc7246585_1280447820">
            <w:r>
              <w:rPr>
                <w:webHidden/>
                <w:rStyle w:val="IndexLink"/>
                <w:rtl w:val="true"/>
              </w:rPr>
              <w:t>التقية في الفرائض</w:t>
            </w:r>
            <w:r>
              <w:rPr>
                <w:rStyle w:val="IndexLink"/>
                <w:rtl w:val="true"/>
              </w:rPr>
              <w:tab/>
            </w:r>
            <w:r>
              <w:rPr>
                <w:rStyle w:val="IndexLink"/>
              </w:rPr>
              <w:t>451</w:t>
            </w:r>
          </w:hyperlink>
        </w:p>
        <w:p>
          <w:pPr>
            <w:pStyle w:val="Contents4"/>
            <w:tabs>
              <w:tab w:val="clear" w:pos="8176"/>
              <w:tab w:val="right" w:pos="9026" w:leader="dot"/>
            </w:tabs>
            <w:rPr/>
          </w:pPr>
          <w:hyperlink w:anchor="__RefHeading___Toc7246587_1280447820">
            <w:r>
              <w:rPr>
                <w:webHidden/>
                <w:rStyle w:val="IndexLink"/>
                <w:rtl w:val="true"/>
              </w:rPr>
              <w:t>اشارة</w:t>
            </w:r>
            <w:r>
              <w:rPr>
                <w:rStyle w:val="IndexLink"/>
                <w:rtl w:val="true"/>
              </w:rPr>
              <w:tab/>
            </w:r>
            <w:r>
              <w:rPr>
                <w:rStyle w:val="IndexLink"/>
              </w:rPr>
              <w:t>451</w:t>
            </w:r>
          </w:hyperlink>
        </w:p>
        <w:p>
          <w:pPr>
            <w:pStyle w:val="Contents4"/>
            <w:tabs>
              <w:tab w:val="clear" w:pos="8176"/>
              <w:tab w:val="right" w:pos="9026" w:leader="dot"/>
            </w:tabs>
            <w:rPr/>
          </w:pPr>
          <w:hyperlink w:anchor="__RefHeading___Toc7246589_1280447820">
            <w:r>
              <w:rPr>
                <w:webHidden/>
                <w:rStyle w:val="IndexLink"/>
                <w:rtl w:val="true"/>
              </w:rPr>
              <w:t>المقام الأول</w:t>
            </w:r>
            <w:r>
              <w:rPr>
                <w:rStyle w:val="IndexLink"/>
                <w:rtl w:val="true"/>
              </w:rPr>
              <w:t xml:space="preserve">: </w:t>
            </w:r>
            <w:r>
              <w:rPr>
                <w:rStyle w:val="IndexLink"/>
                <w:rtl w:val="true"/>
              </w:rPr>
              <w:t>في التعصيب</w:t>
            </w:r>
            <w:r>
              <w:rPr>
                <w:rStyle w:val="IndexLink"/>
                <w:rtl w:val="true"/>
              </w:rPr>
              <w:t>:</w:t>
              <w:tab/>
            </w:r>
            <w:r>
              <w:rPr>
                <w:rStyle w:val="IndexLink"/>
              </w:rPr>
              <w:t>451</w:t>
            </w:r>
          </w:hyperlink>
        </w:p>
        <w:p>
          <w:pPr>
            <w:pStyle w:val="Contents4"/>
            <w:tabs>
              <w:tab w:val="clear" w:pos="8176"/>
              <w:tab w:val="right" w:pos="9026" w:leader="dot"/>
            </w:tabs>
            <w:rPr/>
          </w:pPr>
          <w:hyperlink w:anchor="__RefHeading___Toc7246591_1280447820">
            <w:r>
              <w:rPr>
                <w:webHidden/>
                <w:rStyle w:val="IndexLink"/>
                <w:rtl w:val="true"/>
              </w:rPr>
              <w:t>الأقوال في المسألة</w:t>
            </w:r>
            <w:r>
              <w:rPr>
                <w:rStyle w:val="IndexLink"/>
                <w:rtl w:val="true"/>
              </w:rPr>
              <w:t>:</w:t>
              <w:tab/>
            </w:r>
            <w:r>
              <w:rPr>
                <w:rStyle w:val="IndexLink"/>
              </w:rPr>
              <w:t>453</w:t>
            </w:r>
          </w:hyperlink>
        </w:p>
        <w:p>
          <w:pPr>
            <w:pStyle w:val="Contents4"/>
            <w:tabs>
              <w:tab w:val="clear" w:pos="8176"/>
              <w:tab w:val="right" w:pos="9026" w:leader="dot"/>
            </w:tabs>
            <w:rPr/>
          </w:pPr>
          <w:hyperlink w:anchor="__RefHeading___Toc7246593_1280447820">
            <w:r>
              <w:rPr>
                <w:webHidden/>
                <w:rStyle w:val="IndexLink"/>
                <w:rtl w:val="true"/>
              </w:rPr>
              <w:t>أدلة القائلين بالتعصيب</w:t>
            </w:r>
            <w:r>
              <w:rPr>
                <w:rStyle w:val="IndexLink"/>
                <w:rtl w:val="true"/>
              </w:rPr>
              <w:t>:</w:t>
              <w:tab/>
            </w:r>
            <w:r>
              <w:rPr>
                <w:rStyle w:val="IndexLink"/>
              </w:rPr>
              <w:t>454</w:t>
            </w:r>
          </w:hyperlink>
        </w:p>
        <w:p>
          <w:pPr>
            <w:pStyle w:val="Contents4"/>
            <w:tabs>
              <w:tab w:val="clear" w:pos="8176"/>
              <w:tab w:val="right" w:pos="9026" w:leader="dot"/>
            </w:tabs>
            <w:rPr/>
          </w:pPr>
          <w:hyperlink w:anchor="__RefHeading___Toc7246595_1280447820">
            <w:r>
              <w:rPr>
                <w:webHidden/>
                <w:rStyle w:val="IndexLink"/>
                <w:rtl w:val="true"/>
              </w:rPr>
              <w:t>أدلّة النافين</w:t>
            </w:r>
            <w:r>
              <w:rPr>
                <w:rStyle w:val="IndexLink"/>
                <w:rtl w:val="true"/>
              </w:rPr>
              <w:t>:</w:t>
              <w:tab/>
            </w:r>
            <w:r>
              <w:rPr>
                <w:rStyle w:val="IndexLink"/>
              </w:rPr>
              <w:t>469</w:t>
            </w:r>
          </w:hyperlink>
        </w:p>
        <w:p>
          <w:pPr>
            <w:pStyle w:val="Contents4"/>
            <w:tabs>
              <w:tab w:val="clear" w:pos="8176"/>
              <w:tab w:val="right" w:pos="9026" w:leader="dot"/>
            </w:tabs>
            <w:rPr/>
          </w:pPr>
          <w:hyperlink w:anchor="__RefHeading___Toc7246597_1280447820">
            <w:r>
              <w:rPr>
                <w:webHidden/>
                <w:rStyle w:val="IndexLink"/>
                <w:rtl w:val="true"/>
              </w:rPr>
              <w:t>المقام الثاني في العول</w:t>
            </w:r>
            <w:r>
              <w:rPr>
                <w:rStyle w:val="IndexLink"/>
                <w:rtl w:val="true"/>
              </w:rPr>
              <w:t>:</w:t>
              <w:tab/>
            </w:r>
            <w:r>
              <w:rPr>
                <w:rStyle w:val="IndexLink"/>
              </w:rPr>
              <w:t>497</w:t>
            </w:r>
          </w:hyperlink>
        </w:p>
        <w:p>
          <w:pPr>
            <w:pStyle w:val="Contents4"/>
            <w:tabs>
              <w:tab w:val="clear" w:pos="8176"/>
              <w:tab w:val="right" w:pos="9026" w:leader="dot"/>
            </w:tabs>
            <w:rPr/>
          </w:pPr>
          <w:hyperlink w:anchor="__RefHeading___Toc7246599_1280447820">
            <w:r>
              <w:rPr>
                <w:webHidden/>
                <w:rStyle w:val="IndexLink"/>
                <w:rtl w:val="true"/>
              </w:rPr>
              <w:t>الأول</w:t>
            </w:r>
            <w:r>
              <w:rPr>
                <w:rStyle w:val="IndexLink"/>
                <w:rtl w:val="true"/>
              </w:rPr>
              <w:t xml:space="preserve">: </w:t>
            </w:r>
            <w:r>
              <w:rPr>
                <w:rStyle w:val="IndexLink"/>
                <w:rtl w:val="true"/>
              </w:rPr>
              <w:t>الأقوال في المسألة</w:t>
            </w:r>
            <w:r>
              <w:rPr>
                <w:rStyle w:val="IndexLink"/>
                <w:rtl w:val="true"/>
              </w:rPr>
              <w:tab/>
            </w:r>
            <w:r>
              <w:rPr>
                <w:rStyle w:val="IndexLink"/>
              </w:rPr>
              <w:t>500</w:t>
            </w:r>
          </w:hyperlink>
        </w:p>
        <w:p>
          <w:pPr>
            <w:pStyle w:val="Contents4"/>
            <w:tabs>
              <w:tab w:val="clear" w:pos="8176"/>
              <w:tab w:val="right" w:pos="9026" w:leader="dot"/>
            </w:tabs>
            <w:rPr/>
          </w:pPr>
          <w:hyperlink w:anchor="__RefHeading___Toc7246601_1280447820">
            <w:r>
              <w:rPr>
                <w:webHidden/>
                <w:rStyle w:val="IndexLink"/>
                <w:rtl w:val="true"/>
              </w:rPr>
              <w:t>الموضع الثاني</w:t>
            </w:r>
            <w:r>
              <w:rPr>
                <w:rStyle w:val="IndexLink"/>
                <w:rtl w:val="true"/>
              </w:rPr>
              <w:t xml:space="preserve">: </w:t>
            </w:r>
            <w:r>
              <w:rPr>
                <w:rStyle w:val="IndexLink"/>
                <w:rtl w:val="true"/>
              </w:rPr>
              <w:t>في الأدلة</w:t>
            </w:r>
            <w:r>
              <w:rPr>
                <w:rStyle w:val="IndexLink"/>
                <w:rtl w:val="true"/>
              </w:rPr>
              <w:tab/>
            </w:r>
            <w:r>
              <w:rPr>
                <w:rStyle w:val="IndexLink"/>
              </w:rPr>
              <w:t>502</w:t>
            </w:r>
          </w:hyperlink>
        </w:p>
        <w:p>
          <w:pPr>
            <w:pStyle w:val="Contents4"/>
            <w:tabs>
              <w:tab w:val="clear" w:pos="8176"/>
              <w:tab w:val="right" w:pos="9026" w:leader="dot"/>
            </w:tabs>
            <w:rPr/>
          </w:pPr>
          <w:hyperlink w:anchor="__RefHeading___Toc7246603_1280447820">
            <w:r>
              <w:rPr>
                <w:webHidden/>
                <w:rStyle w:val="IndexLink"/>
                <w:rtl w:val="true"/>
              </w:rPr>
              <w:t>أدلة المثبتين</w:t>
            </w:r>
            <w:r>
              <w:rPr>
                <w:rStyle w:val="IndexLink"/>
                <w:rtl w:val="true"/>
              </w:rPr>
              <w:t>:</w:t>
              <w:tab/>
            </w:r>
            <w:r>
              <w:rPr>
                <w:rStyle w:val="IndexLink"/>
              </w:rPr>
              <w:t>502</w:t>
            </w:r>
          </w:hyperlink>
        </w:p>
        <w:p>
          <w:pPr>
            <w:pStyle w:val="Contents4"/>
            <w:tabs>
              <w:tab w:val="clear" w:pos="8176"/>
              <w:tab w:val="right" w:pos="9026" w:leader="dot"/>
            </w:tabs>
            <w:rPr/>
          </w:pPr>
          <w:hyperlink w:anchor="__RefHeading___Toc7246605_1280447820">
            <w:r>
              <w:rPr>
                <w:webHidden/>
                <w:rStyle w:val="IndexLink"/>
                <w:rtl w:val="true"/>
              </w:rPr>
              <w:t>أدلة النافين</w:t>
            </w:r>
            <w:r>
              <w:rPr>
                <w:rStyle w:val="IndexLink"/>
                <w:rtl w:val="true"/>
              </w:rPr>
              <w:t>:</w:t>
              <w:tab/>
            </w:r>
            <w:r>
              <w:rPr>
                <w:rStyle w:val="IndexLink"/>
              </w:rPr>
              <w:t>521</w:t>
            </w:r>
          </w:hyperlink>
        </w:p>
        <w:p>
          <w:pPr>
            <w:pStyle w:val="Contents4"/>
            <w:tabs>
              <w:tab w:val="clear" w:pos="8176"/>
              <w:tab w:val="right" w:pos="9026" w:leader="dot"/>
            </w:tabs>
            <w:rPr/>
          </w:pPr>
          <w:hyperlink w:anchor="__RefHeading___Toc7246607_1280447820">
            <w:r>
              <w:rPr>
                <w:webHidden/>
                <w:rStyle w:val="IndexLink"/>
                <w:rtl w:val="true"/>
              </w:rPr>
              <w:t>المقام الثالث</w:t>
            </w:r>
            <w:r>
              <w:rPr>
                <w:rStyle w:val="IndexLink"/>
                <w:rtl w:val="true"/>
              </w:rPr>
              <w:t xml:space="preserve">: </w:t>
            </w:r>
            <w:r>
              <w:rPr>
                <w:rStyle w:val="IndexLink"/>
                <w:rtl w:val="true"/>
              </w:rPr>
              <w:t>في مسائل أخرى في الميراث</w:t>
            </w:r>
            <w:r>
              <w:rPr>
                <w:rStyle w:val="IndexLink"/>
                <w:rtl w:val="true"/>
              </w:rPr>
              <w:t>:</w:t>
              <w:tab/>
            </w:r>
            <w:r>
              <w:rPr>
                <w:rStyle w:val="IndexLink"/>
              </w:rPr>
              <w:t>538</w:t>
            </w:r>
          </w:hyperlink>
        </w:p>
        <w:p>
          <w:pPr>
            <w:pStyle w:val="Contents4"/>
            <w:tabs>
              <w:tab w:val="clear" w:pos="8176"/>
              <w:tab w:val="right" w:pos="9026" w:leader="dot"/>
            </w:tabs>
            <w:rPr/>
          </w:pPr>
          <w:hyperlink w:anchor="__RefHeading___Toc7246609_1280447820">
            <w:r>
              <w:rPr>
                <w:webHidden/>
                <w:rStyle w:val="IndexLink"/>
                <w:rtl w:val="true"/>
              </w:rPr>
              <w:t>المسألة الأولى</w:t>
            </w:r>
            <w:r>
              <w:rPr>
                <w:rStyle w:val="IndexLink"/>
                <w:rtl w:val="true"/>
              </w:rPr>
              <w:t xml:space="preserve">: </w:t>
            </w:r>
            <w:r>
              <w:rPr>
                <w:rStyle w:val="IndexLink"/>
                <w:rtl w:val="true"/>
              </w:rPr>
              <w:t>في ميراث الجد</w:t>
            </w:r>
            <w:r>
              <w:rPr>
                <w:rStyle w:val="IndexLink"/>
                <w:rtl w:val="true"/>
              </w:rPr>
              <w:t>:</w:t>
              <w:tab/>
            </w:r>
            <w:r>
              <w:rPr>
                <w:rStyle w:val="IndexLink"/>
              </w:rPr>
              <w:t>538</w:t>
            </w:r>
          </w:hyperlink>
        </w:p>
        <w:p>
          <w:pPr>
            <w:pStyle w:val="Contents4"/>
            <w:tabs>
              <w:tab w:val="clear" w:pos="8176"/>
              <w:tab w:val="right" w:pos="9026" w:leader="dot"/>
            </w:tabs>
            <w:rPr/>
          </w:pPr>
          <w:hyperlink w:anchor="__RefHeading___Toc7246611_1280447820">
            <w:r>
              <w:rPr>
                <w:webHidden/>
                <w:rStyle w:val="IndexLink"/>
                <w:rtl w:val="true"/>
              </w:rPr>
              <w:t>المسألة الثانية</w:t>
            </w:r>
            <w:r>
              <w:rPr>
                <w:rStyle w:val="IndexLink"/>
                <w:rtl w:val="true"/>
              </w:rPr>
              <w:t xml:space="preserve">: </w:t>
            </w:r>
            <w:r>
              <w:rPr>
                <w:rStyle w:val="IndexLink"/>
                <w:rtl w:val="true"/>
              </w:rPr>
              <w:t>في ميراث الزوجة</w:t>
            </w:r>
            <w:r>
              <w:rPr>
                <w:rStyle w:val="IndexLink"/>
                <w:rtl w:val="true"/>
              </w:rPr>
              <w:t>:</w:t>
              <w:tab/>
            </w:r>
            <w:r>
              <w:rPr>
                <w:rStyle w:val="IndexLink"/>
              </w:rPr>
              <w:t>551</w:t>
            </w:r>
          </w:hyperlink>
        </w:p>
        <w:p>
          <w:pPr>
            <w:pStyle w:val="Contents4"/>
            <w:tabs>
              <w:tab w:val="clear" w:pos="8176"/>
              <w:tab w:val="right" w:pos="9026" w:leader="dot"/>
            </w:tabs>
            <w:rPr/>
          </w:pPr>
          <w:hyperlink w:anchor="__RefHeading___Toc7246613_1280447820">
            <w:r>
              <w:rPr>
                <w:webHidden/>
                <w:rStyle w:val="IndexLink"/>
                <w:rtl w:val="true"/>
              </w:rPr>
              <w:t>المسألة الثالثة</w:t>
            </w:r>
            <w:r>
              <w:rPr>
                <w:rStyle w:val="IndexLink"/>
                <w:rtl w:val="true"/>
              </w:rPr>
              <w:t xml:space="preserve">: </w:t>
            </w:r>
            <w:r>
              <w:rPr>
                <w:rStyle w:val="IndexLink"/>
                <w:rtl w:val="true"/>
              </w:rPr>
              <w:t>في الحبوة</w:t>
            </w:r>
            <w:r>
              <w:rPr>
                <w:rStyle w:val="IndexLink"/>
                <w:rtl w:val="true"/>
              </w:rPr>
              <w:t>:</w:t>
              <w:tab/>
            </w:r>
            <w:r>
              <w:rPr>
                <w:rStyle w:val="IndexLink"/>
              </w:rPr>
              <w:t>553</w:t>
            </w:r>
          </w:hyperlink>
        </w:p>
        <w:p>
          <w:pPr>
            <w:pStyle w:val="Contents4"/>
            <w:tabs>
              <w:tab w:val="clear" w:pos="8176"/>
              <w:tab w:val="right" w:pos="9026" w:leader="dot"/>
            </w:tabs>
            <w:rPr/>
          </w:pPr>
          <w:hyperlink w:anchor="__RefHeading___Toc7246615_1280447820">
            <w:r>
              <w:rPr>
                <w:webHidden/>
                <w:rStyle w:val="IndexLink"/>
                <w:rtl w:val="true"/>
              </w:rPr>
              <w:t>المقام الرابع</w:t>
            </w:r>
            <w:r>
              <w:rPr>
                <w:rStyle w:val="IndexLink"/>
                <w:rtl w:val="true"/>
              </w:rPr>
              <w:t xml:space="preserve">: </w:t>
            </w:r>
            <w:r>
              <w:rPr>
                <w:rStyle w:val="IndexLink"/>
                <w:rtl w:val="true"/>
              </w:rPr>
              <w:t>في أحكام التقية في الميراث</w:t>
            </w:r>
            <w:r>
              <w:rPr>
                <w:rStyle w:val="IndexLink"/>
                <w:rtl w:val="true"/>
              </w:rPr>
              <w:tab/>
            </w:r>
            <w:r>
              <w:rPr>
                <w:rStyle w:val="IndexLink"/>
              </w:rPr>
              <w:t>555</w:t>
            </w:r>
          </w:hyperlink>
        </w:p>
        <w:p>
          <w:pPr>
            <w:pStyle w:val="Contents2"/>
            <w:tabs>
              <w:tab w:val="clear" w:pos="8743"/>
              <w:tab w:val="right" w:pos="9026" w:leader="dot"/>
            </w:tabs>
            <w:rPr/>
          </w:pPr>
          <w:hyperlink w:anchor="__RefHeading___Toc7246617_1280447820">
            <w:r>
              <w:rPr>
                <w:webHidden/>
                <w:rStyle w:val="IndexLink"/>
                <w:rtl w:val="true"/>
              </w:rPr>
              <w:t>خاتمة في مستثنيات التقية</w:t>
            </w:r>
            <w:r>
              <w:rPr>
                <w:rStyle w:val="IndexLink"/>
                <w:rtl w:val="true"/>
              </w:rPr>
              <w:tab/>
            </w:r>
            <w:r>
              <w:rPr>
                <w:rStyle w:val="IndexLink"/>
              </w:rPr>
              <w:t>561</w:t>
            </w:r>
          </w:hyperlink>
        </w:p>
        <w:p>
          <w:pPr>
            <w:pStyle w:val="Contents2"/>
            <w:tabs>
              <w:tab w:val="clear" w:pos="8743"/>
              <w:tab w:val="right" w:pos="9026" w:leader="dot"/>
            </w:tabs>
            <w:rPr/>
          </w:pPr>
          <w:hyperlink w:anchor="__RefHeading___Toc7246619_1280447820">
            <w:r>
              <w:rPr>
                <w:webHidden/>
                <w:rStyle w:val="IndexLink"/>
                <w:rtl w:val="true"/>
              </w:rPr>
              <w:t>الفهرس</w:t>
            </w:r>
            <w:r>
              <w:rPr>
                <w:rStyle w:val="IndexLink"/>
                <w:rtl w:val="true"/>
              </w:rPr>
              <w:tab/>
            </w:r>
            <w:r>
              <w:rPr>
                <w:rStyle w:val="IndexLink"/>
              </w:rPr>
              <w:t>571</w:t>
            </w:r>
          </w:hyperlink>
        </w:p>
        <w:p>
          <w:pPr>
            <w:pStyle w:val="Contents2"/>
            <w:tabs>
              <w:tab w:val="clear" w:pos="8743"/>
              <w:tab w:val="right" w:pos="9026" w:leader="dot"/>
            </w:tabs>
            <w:rPr/>
          </w:pPr>
          <w:hyperlink w:anchor="__RefHeading___Toc7246621_1280447820">
            <w:r>
              <w:rPr>
                <w:webHidden/>
                <w:rStyle w:val="IndexLink"/>
                <w:rtl w:val="true"/>
              </w:rPr>
              <w:t>فهرس المصادر</w:t>
            </w:r>
            <w:r>
              <w:rPr>
                <w:rStyle w:val="IndexLink"/>
                <w:rtl w:val="true"/>
              </w:rPr>
              <w:tab/>
            </w:r>
            <w:r>
              <w:rPr>
                <w:rStyle w:val="IndexLink"/>
              </w:rPr>
              <w:t>573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06_258378"/>
      <w:bookmarkStart w:id="1" w:name="pg16406_258378"/>
      <w:bookmarkEnd w:id="1"/>
    </w:p>
    <w:p>
      <w:pPr>
        <w:pStyle w:val="Heading2"/>
        <w:numPr>
          <w:ilvl w:val="1"/>
          <w:numId w:val="1"/>
        </w:numPr>
        <w:rPr/>
      </w:pPr>
      <w:bookmarkStart w:id="2" w:name="pg16406_258378"/>
      <w:bookmarkStart w:id="3" w:name="__RefHeading___Toc7246461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التقية في فقه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تقريراً لبحث سماحة آية الله الحاج الشيخ مسلم الداوري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محمّد علي المعلّم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46463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التقية في فقه أهل البيت عليهم السلام ج</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تقريراً 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آية الله الشيخ مسلم الداوري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علي صالح المعلم</w:t>
      </w:r>
    </w:p>
    <w:p>
      <w:pPr>
        <w:pStyle w:val="BookText"/>
        <w:rPr/>
      </w:pPr>
      <w:r>
        <w:rPr>
          <w:rFonts w:ascii="IRNazanin" w:hAnsi="IRNazanin" w:eastAsia="IRNazanin"/>
          <w:color w:val="111111"/>
          <w:sz w:val="28"/>
          <w:sz w:val="28"/>
          <w:szCs w:val="28"/>
          <w:rtl w:val="true"/>
          <w:lang w:bidi="fa-IR"/>
        </w:rPr>
        <w:t>الاخراج الفني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فاخر البطاط</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الؤلف</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العلمیة</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الأولی</w:t>
      </w:r>
    </w:p>
    <w:p>
      <w:pPr>
        <w:pStyle w:val="BookText"/>
        <w:rPr/>
      </w:pPr>
      <w:r>
        <w:rPr>
          <w:rFonts w:ascii="Amiri" w:hAnsi="Amiri" w:eastAsia="Amiri" w:cs="Amiri"/>
          <w:color w:val="111111"/>
          <w:sz w:val="28"/>
          <w:sz w:val="28"/>
          <w:szCs w:val="28"/>
          <w:rtl w:val="true"/>
          <w:lang w:bidi="ar-SA"/>
        </w:rPr>
        <w:t>عدد 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 xml:space="preserve">الشابك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90950</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964-90950-3-9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محرر رقمي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میثم حیدري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الصورة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406_258384"/>
      <w:bookmarkStart w:id="8" w:name="pg16406_258384"/>
      <w:bookmarkEnd w:id="8"/>
    </w:p>
    <w:p>
      <w:pPr>
        <w:pStyle w:val="Heading2"/>
        <w:numPr>
          <w:ilvl w:val="1"/>
          <w:numId w:val="1"/>
        </w:numPr>
        <w:rPr/>
      </w:pPr>
      <w:bookmarkStart w:id="9" w:name="pg16406_258384"/>
      <w:bookmarkStart w:id="10" w:name="__RefHeading___Toc7246465_1280447820"/>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محمد وآله الطيبين الطاهرين، واللعن الدائم على أعدائهم أجمعين إلى قيام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الكتاب ـ عزيزي القارىء ـ هو الجزء الثالث والأخير من سلسلة البحوث الفقهية حول التقية في فقه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والتي كان يتفضّل بها سماحة الأستاذ آية الله الحاج الشيخ مسلم الداوري دام ظلّه في بحثه اليومي في الحوزة العلمية في عشّ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ويضمّ الكتاب بين دفّتيه بقية المباحث الفقهية التي اشتملت على أحكام التقية،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والطلاق، والمكاسب، والصيد، والذباحة، والفرائض، وما يلحق بها من مباحث كما يضمّ خاتمة تشتمل على ذكر بقيّة مستثنيات التقيّة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يتمّ الكتاب ويكمل نظامه بأجزائه الثلاثة في سبق علمي متميّز، عالج هذه المسألة من جميع جوانبها، فإنه أول كتاب يتناول هذا الموضوع بهذا النحو من الدراسة والتحليل في جميع أبواب الفقه، إذ أنّ الدراسات الفقهية العليا وإن بحثت المسألة إلاّ أنها لم تكن بهذه الصورة من الاستيعاب والحصر والتنظيم، وكانت أغلب الدراسات التي تناولت التقية قد جاءت في بحوث استطرادية </w:t>
      </w:r>
    </w:p>
    <w:p>
      <w:pPr>
        <w:pStyle w:val="BookText"/>
        <w:rPr/>
      </w:pPr>
      <w:r>
        <w:rPr>
          <w:rFonts w:ascii="Amiri" w:hAnsi="Amiri" w:eastAsia="Amiri" w:cs="Amiri"/>
          <w:color w:val="111111"/>
          <w:sz w:val="28"/>
          <w:sz w:val="28"/>
          <w:szCs w:val="28"/>
          <w:rtl w:val="true"/>
          <w:lang w:bidi="ar-SA"/>
        </w:rPr>
        <w:t>اقتضتها المناسبة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ومما تجدر الإشارة إليه أنّ هذا الجزء قد تميّز بالتوسع في عرض أدلةالعامة ومناقشتها على ضوء المباني الفقهية والرجالية المعتمدة لديهم، والموثقة بمصادرهم الكثيرة، مضافاً إلى مقارنتها بالمباني العلمية الدقيقة التي يعتمدها فقهاء شيعة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حصيلة ذلك نتائج مهمة تعين الباحثين في الفقه المقارن، وتكون رافداً لهم في دراساتهم المختلفة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تناول الكتاب مسألة المتعة أو النكاح المنقطع واستعرض فيها الجانبين التاريخي والاجتماعي عدا الجانبين الفقهي والروائي ورصد جميع أدلّتها ووضع النقاط فيها على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موضوع الطلاق بمسائله الخلافيّة المتعددة، وما يرتبط بها من فروع فقهيّة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تناول الكتاب موضوع الغناء وبيان حدوده وموارده والأحكام المتعلّقة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وبحث الكتاب مسألة سوق المسلمين بحثاً تفصيلياً دقيقاً واضعاً في الاعتبار أنّ المسألة من أكثر المسائل ابتلاءً وغموضاً في 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واحتلّ موضوع الإرث ـ ولا سيما مسألتا التعصيب والعول ـ نصيباً كبيراً من الكتاب مستعرضاً الأدلة ومناقشتها على ضوء الكتاب والسنّة والعقل، إلى غير ذلك من المسائل المهمّة التي تناولها الكتاب وسيقف عليها القارىء العزيز</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كانت الخطّة الموضوعة للكتاب تقضي بتقديم مبحث التقية في المكاسب كما هو المتعارف في ترتيب أبواب الفقه، وكما أشرنا إلى ذلك في آخر الجزء الثاني، إلاّ أنّ سماحة الشيخ الأستاذ دام ظلّه رأى تقديم مبحثي التقية في النكاح والطلاق نظراً لأهمّيتهما وأهميّة المسائل المتعلّقة بهما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قدّمنا دراسة مختصرة شاملة حول النكاح وأهمّيته في المجالين التكويني والاجتماعي والإلماح إلى نظرة الشريعة المقدسة في موضوع الزواج ومعالجة قضاياه بأبعاده المختلفة وسيادته على سائر الأنظمة الأخرى، بالإضافة إلى بيان انّ النكاح لا ينحصر بالإنسان أو الحيوان بل يشمل جميع ما في عالم الإمكان، ومن ثمّ البحث حول كيفيّة بدء النسل والتكاثر في البشر على ضوء الأدلّة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وأرجو أنّي وفقت في عرض نظرات سماحة الشيخ الأستاذ وبيان مراده، وأسأل الله تعالى أن يجعله عملاً خالصاً لوجهه الكريم، مرعيّاً بنظر ولي الأمر وحجّة الزمان أرواحنا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وأبتهل إليه تعالى أن يمدّ في عمر شيخنا الأستاذ في خير وعافية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ينفع بعلومه طلاّب العلم والمعرفة في الحوزات العلمية المباركة، وأن يوفّقنا جميعاً لمراضيه، إنّه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المعلم</w:t>
      </w:r>
    </w:p>
    <w:p>
      <w:pPr>
        <w:pStyle w:val="BookText"/>
        <w:rPr/>
      </w:pPr>
      <w:r>
        <w:rPr>
          <w:rFonts w:ascii="IRNazanin" w:hAnsi="IRNazanin" w:eastAsia="IRNazanin"/>
          <w:color w:val="111111"/>
          <w:sz w:val="28"/>
          <w:sz w:val="28"/>
          <w:szCs w:val="28"/>
          <w:rtl w:val="true"/>
          <w:lang w:bidi="fa-IR"/>
        </w:rPr>
        <w:t xml:space="preserve">قم المقدّسة وعش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406_258388"/>
      <w:bookmarkStart w:id="13" w:name="pg16406_258388"/>
      <w:bookmarkEnd w:id="13"/>
    </w:p>
    <w:p>
      <w:pPr>
        <w:pStyle w:val="Heading2"/>
        <w:numPr>
          <w:ilvl w:val="1"/>
          <w:numId w:val="1"/>
        </w:numPr>
        <w:rPr/>
      </w:pPr>
      <w:bookmarkStart w:id="14" w:name="pg16406_258388"/>
      <w:bookmarkStart w:id="15" w:name="__RefHeading___Toc7246467_1280447820"/>
      <w:bookmarkStart w:id="16" w:name="_Toc4"/>
      <w:bookmarkEnd w:id="14"/>
      <w:bookmarkEnd w:id="15"/>
      <w:r>
        <w:rPr>
          <w:rtl w:val="true"/>
        </w:rPr>
        <w:t>الفصل العاشر</w:t>
      </w:r>
      <w:r>
        <w:rPr>
          <w:rtl w:val="true"/>
        </w:rPr>
        <w:t xml:space="preserve">: </w:t>
      </w:r>
      <w:r>
        <w:rPr/>
        <w:t>8</w:t>
      </w:r>
      <w:r>
        <w:rPr>
          <w:rtl w:val="true"/>
        </w:rPr>
        <w:t xml:space="preserve"> </w:t>
      </w:r>
      <w:r>
        <w:rPr>
          <w:rtl w:val="true"/>
        </w:rPr>
        <w:t>ـ التقية في النكاح</w:t>
      </w:r>
      <w:bookmarkEnd w:id="16"/>
    </w:p>
    <w:p>
      <w:pPr>
        <w:pStyle w:val="Heading3"/>
        <w:numPr>
          <w:ilvl w:val="2"/>
          <w:numId w:val="1"/>
        </w:numPr>
        <w:rPr/>
      </w:pPr>
      <w:bookmarkStart w:id="17" w:name="__RefHeading___Toc7246469_1280447820"/>
      <w:bookmarkStart w:id="18" w:name="_Toc5"/>
      <w:bookmarkEnd w:id="17"/>
      <w:r>
        <w:rPr>
          <w:rtl w:val="true"/>
        </w:rPr>
        <w:t>اشارة</w:t>
      </w:r>
      <w:bookmarkEnd w:id="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النكاح حاجة روحية وجسدية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أهمية النكاح في المجالين التكويني والاجتماعي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معالجة الإسلام لجميع قضايا النكاح بأبعاده المختلفة، وعجز الأنظمة الأخرى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التناكح بين جميع الممكنات، وعدم اختصاصه بالإنسان والحيوان والنبات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حدث انتشار النسل البشري؟ نقد وتحليل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تقسيم البحث إلى مقامات خمسة وحكم كلّ منها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نكاح الكتابيّة وعدمه على ضوء الأدلّة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التحقيق حول زواج الخليفة الثاني من ابنة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ثبوت حلية نكاح المتعة بالكتاب والسنة والإجماع والاعتبار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بقاء</w:t>
      </w:r>
    </w:p>
    <w:p>
      <w:pPr>
        <w:pStyle w:val="BookText"/>
        <w:rPr/>
      </w:pPr>
      <w:r>
        <w:rPr>
          <w:rFonts w:ascii="IRNazanin" w:hAnsi="IRNazanin" w:eastAsia="IRNazanin"/>
          <w:color w:val="111111"/>
          <w:sz w:val="28"/>
          <w:sz w:val="28"/>
          <w:szCs w:val="28"/>
          <w:rtl w:val="true"/>
          <w:lang w:bidi="fa-IR"/>
        </w:rPr>
        <w:t xml:space="preserve">حلّية المتعة ومشروعيتها وأهمّيتها في نظر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والتأكيد عليها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تزييف دعوى نسخ حلّية المتعة واستعراض أدلّة التحريم وتقييمها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الخليفة الثاني هو أول من نهى عن المتعة واعتراض الصحابة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الزبير مولود من نكاح المتعة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المتعة درع واقية لصيانة المجتمع عن الانحراف، وإفتاء بعض علماء السنّة بحلّيتها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التقية المتعلّقة بالنكاح</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خاتمة المطاف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6406_258390"/>
      <w:bookmarkStart w:id="20" w:name="pg16406_258390"/>
      <w:bookmarkEnd w:id="20"/>
    </w:p>
    <w:p>
      <w:pPr>
        <w:pStyle w:val="BookText"/>
        <w:rPr/>
      </w:pPr>
      <w:bookmarkStart w:id="21" w:name="pg16406_258390"/>
      <w:bookmarkEnd w:id="21"/>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محمد وآله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واللعن الدائم على أعدائهم أجمعين إلى قيام يوم الدين</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7246471_1280447820"/>
      <w:bookmarkStart w:id="23" w:name="_Toc6"/>
      <w:bookmarkEnd w:id="22"/>
      <w:r>
        <w:rPr>
          <w:rtl w:val="true"/>
        </w:rPr>
        <w:t>المدخل</w:t>
      </w:r>
      <w:bookmarkEnd w:id="23"/>
    </w:p>
    <w:p>
      <w:pPr>
        <w:pStyle w:val="Heading4"/>
        <w:numPr>
          <w:ilvl w:val="3"/>
          <w:numId w:val="1"/>
        </w:numPr>
        <w:rPr/>
      </w:pPr>
      <w:bookmarkStart w:id="24" w:name="__RefHeading___Toc7246473_1280447820"/>
      <w:bookmarkStart w:id="25" w:name="_Toc7"/>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إنّ الحديث عن الزواج واقتران الذكر بالأنثى من أهم الأحاديث إلى القلوب وأحبّها إلى النفوس، ذلك لأنّ الزواج يشكّل الحاجة الجسدية والروحية بالنسبة إلى الإنسان، أوجدها الخالق الحكيم فيه لحفظ النوع وعمران الأرض، وإدراك حكم ومصالح أرادها الله تعالى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أولته الشريعة المقدّسة عناية خاصّة، فأكّدت عليه نصوص الكتاب العزيز وروايات أهل بيت العصمة والطهارة، واعتبرته أمراً يحبّه الله ورسوله، ورغّبت في الإقدام عليه، وسعت إلى تيسير أمره وتسهيله، وجعلته أحد الأسباب المهمّة في صيانة الإنسان ـ الرجل والمرأة ـ عن الانحراف، ولم تأل جهداً في الترغيب فيه، بل عدّت الإعراض عنه نوعاً من الشذوذ وخروجاً عن السنن الطبيعية الفطرية التي فطر الله الناس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الزواج لا ينحصر في الإنسان والحيوان والنبات، بل يتعدّاه إلى سائر الممكنات حتى الجمادات وغيرها، على ما سيأتي بيانه</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ونظراً لما ينطوي عليه هذا الموضوع من أسرار تسترعي الالتفات، وتثير </w:t>
      </w:r>
      <w:bookmarkStart w:id="26" w:name="pg16406_258391"/>
    </w:p>
    <w:p>
      <w:pPr>
        <w:pStyle w:val="BookText"/>
        <w:rPr/>
      </w:pPr>
      <w:bookmarkEnd w:id="26"/>
      <w:r>
        <w:rPr>
          <w:rFonts w:ascii="Amiri" w:hAnsi="Amiri" w:eastAsia="Amiri" w:cs="Amiri"/>
          <w:color w:val="111111"/>
          <w:sz w:val="28"/>
          <w:sz w:val="28"/>
          <w:szCs w:val="28"/>
          <w:rtl w:val="true"/>
          <w:lang w:bidi="ar-SA"/>
        </w:rPr>
        <w:t>التساؤلات، وهي أمور تتجلّى فيها عظمة الخالق وحكمته، رأينا أنّ منالمناسب أن نستجلي ـ في هذا المدخل ـ بعض تلكم الأسرار، وأن نجيب عن بعض تلكم التساؤلات بما يتناسب مع ما نحن بصدده من البحث الفقهي حول جانب من جوانب هذا الموضوع، وهو التقية في النكاح، وسيقع البحث في أمور خمسة</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7246475_1280447820"/>
      <w:bookmarkStart w:id="28" w:name="_Toc8"/>
      <w:bookmarkEnd w:id="27"/>
      <w:r>
        <w:rPr>
          <w:rtl w:val="true"/>
        </w:rPr>
        <w:t>الأول</w:t>
      </w:r>
      <w:r>
        <w:rPr>
          <w:rtl w:val="true"/>
        </w:rPr>
        <w:t xml:space="preserve">: </w:t>
      </w:r>
      <w:r>
        <w:rPr>
          <w:rtl w:val="true"/>
        </w:rPr>
        <w:t>أهمية الزواج من الناحية التكوينية</w:t>
      </w:r>
      <w:r>
        <w:rPr>
          <w:rtl w:val="true"/>
        </w:rPr>
        <w:t>:</w:t>
      </w:r>
      <w:bookmarkEnd w:id="28"/>
    </w:p>
    <w:p>
      <w:pPr>
        <w:pStyle w:val="BookText"/>
        <w:rPr/>
      </w:pPr>
      <w:r>
        <w:rPr>
          <w:rFonts w:ascii="Amiri" w:hAnsi="Amiri" w:eastAsia="Amiri" w:cs="Amiri"/>
          <w:color w:val="111111"/>
          <w:sz w:val="28"/>
          <w:sz w:val="28"/>
          <w:szCs w:val="28"/>
          <w:rtl w:val="true"/>
          <w:lang w:bidi="ar-SA"/>
        </w:rPr>
        <w:t>إنّ حدث التوالد والتناسل وإيجاد المثل الذي هو ركن العالم وأساسه في البقاء والدوام لهو من أعظم الأحداث وأهمّها بعد خلق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نظام التكوين إنما يتمّ باستمرار بقاء النوع الإنساني في هذا العالم على نحو يطابق مقتضى حكمة الخالق الحكيم، فإنّه تعالى بعد أن أوجد الإنسان الأول ـ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وأحسن خلقه بدأ بخلق حواء وأنشأها لتكون زوجاً وسكناً له، وجعل بينهما الألفة والمودة، وفي ذلك تمهيد وإعداد لبدء التناسل والتكاثر،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 إِنَّ فِي ذَلِكَ لآيَاتٍ لِقَوْمٍ يَتَفَكَّرُونَ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خَلَقَكُمْ مِنْ نَفْسٍ وَاحِدَةٍ وَجَعَلَ مِنْهَا زَوْجَهَا لِيَسْكُنَ إِلَيْهَا</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خَلَقَكُمْ مِنْ نَفْسٍ وَاحِدَةٍوَخَلَقَ مِنْهَا زَوْجَهَا وَبَثَّ مِنْهُمَا رِجَالاً كَثِيراً وَنِسَاءً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ندرك أهمية هذا الأمر وخطورته، حتى أنه سبحانه وتعالى جبل الفطرة الإنسانية على الميل إليه والرغبة فيه، وأودع في الطباع البشرية الشوق </w:t>
      </w:r>
      <w:bookmarkStart w:id="29" w:name="pg16406_258392"/>
    </w:p>
    <w:p>
      <w:pPr>
        <w:pStyle w:val="BookText"/>
        <w:rPr/>
      </w:pPr>
      <w:bookmarkEnd w:id="29"/>
      <w:r>
        <w:rPr>
          <w:rFonts w:ascii="Amiri" w:hAnsi="Amiri" w:eastAsia="Amiri" w:cs="Amiri"/>
          <w:color w:val="111111"/>
          <w:sz w:val="28"/>
          <w:sz w:val="28"/>
          <w:szCs w:val="28"/>
          <w:rtl w:val="true"/>
          <w:lang w:bidi="ar-SA"/>
        </w:rPr>
        <w:t>الأكيد إليه، وكأنّه إحدى الضرورات التي لا يستغني عنها الإنسان في حياته، ولذلك عدّ الإعراض عنه خللاً تكوينيّاً وخروجاً عن الفطرة السليمة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أودع في الإنسان كلّ ذلك من أجل حتميّة تحقيقه على نحو مستمر لا توقّف فيه، وإن كان من دون شعور واختيار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القوى الشهوانية والرغبات النفسانية إلاّ معدّات وآلات تمهيديّة غرزت في المخلوقات لتحقيق هذا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وللتأكيد على ما أودع في الفطرة البشرية من ميل كلّ من الذكر والأنثى للآخر، يتوسّل كل منهما لإثارة الرغبة وتحريكها نحوه، فقد جبلت كلّ أنثى على إبراز مظاهر الجمال والزينة عندها لإحداث رغبة الرجل فيها واستجلاب مشاعره نحوها، كما أنّ همّ كلّ ذكر هو التحبّب والتودد لامتلاك قلب الأنثى بالأساليب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أمر قد فطر كلّ منهما عليه، فيمارسه بصورة عفوية 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أغلب الناس في غفلة عن السبب والغاية، ولا يلتفت إلى أنّ وراء ذلك حكمة بالغة، فيقصر نظره وشعوره على الظاهر المحسوس، ويحسب أنّ هذا مجرّدلعب، ولهو وعبث، ويتصرّف على خلاف ما تقتضيه الحكمة والغرض الأسنى</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7246477_1280447820"/>
      <w:bookmarkStart w:id="31" w:name="_Toc9"/>
      <w:bookmarkEnd w:id="30"/>
      <w:r>
        <w:rPr>
          <w:rtl w:val="true"/>
        </w:rPr>
        <w:t>الثاني</w:t>
      </w:r>
      <w:r>
        <w:rPr>
          <w:rtl w:val="true"/>
        </w:rPr>
        <w:t xml:space="preserve">: </w:t>
      </w:r>
      <w:r>
        <w:rPr>
          <w:rtl w:val="true"/>
        </w:rPr>
        <w:t>أهمية الزواج من الناحية الاجتماعية</w:t>
      </w:r>
      <w:r>
        <w:rPr>
          <w:rtl w:val="true"/>
        </w:rPr>
        <w:t>:</w:t>
      </w:r>
      <w:bookmarkEnd w:id="3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استقرار الحياة الزوجية بين الرجل والمرأة وقيام نظامها على أسس صحيحة علامة بارزة على استقرار نظام المجتمع، ذلك لأنّ المجتمع يتألف من الأسر التي تعيش حياة مشتركة في بيئة ذات منافع عامة مشتركة، وقوام هذه الأسر إنّما هو بالأفراد، ولاشكّ في أنّ صلاح الأفراد بصلاح الأصل والمنشأ، </w:t>
      </w:r>
    </w:p>
    <w:p>
      <w:pPr>
        <w:pStyle w:val="BookText"/>
        <w:rPr/>
      </w:pPr>
      <w:r>
        <w:rPr>
          <w:rFonts w:ascii="Amiri" w:hAnsi="Amiri" w:eastAsia="Amiri" w:cs="Amiri"/>
          <w:color w:val="111111"/>
          <w:sz w:val="28"/>
          <w:sz w:val="28"/>
          <w:szCs w:val="28"/>
          <w:rtl w:val="true"/>
          <w:lang w:bidi="ar-SA"/>
        </w:rPr>
        <w:t>فإن كان المنشأ زاكياً عفيفاً كان نتاجه قويماً صالحاً ذا نفع، فإنّ الفروع ـ في الأعم الأغلب ـ تحمل خصائص الأصول، وإنّ لعامل الوراثة دوراً كبيراً في ذلك، وسيكون المجتمع المتألّف من الأصل الطيب صالحاً مستقيماً في جميع شؤونه وأحواله، وأما إذا كان الأمر بالعكس فإنّ النتائج تتبع أخسّ مقدماتها، إذ أنّ اختلال الأسر ناشىء عن اختلال في الأفراد وهو يعود بالمآل إلى الأساس والمنشأ، وفي ذلك فساد النظام الاجتماعي وتلاشيه، إذ يترتب عليه الاعوجاج في السلوك فتتحكّم الأهواء الشخصية، والنوازع الفردية والخروج عن ضوابط العدالة، والتمرد على القانون للانحراف في أصله ومنشأه عن جادة 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ما عانته البشرية من ويلات الدمار والخراب وهلاك النفوس وهتك الأعراض، إنما هو نتيجة لتمرّد بعض الأفراد على الضوابط المقرّرة الناشىء عن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التاريخ صفحات حمراء كتبها أبطال الجريمة قديماً وحديثاً بسطور من دماء الأبرياء، وملؤوها بقصص الرعب والدماء والفساد والخديعة والخيانة،ولا يبعد أن يكون السبب في ذلك هو أن بعض أولئك المجرمين قد انحدروا من أصول فاسدة غير زاكية، فهم ثمرات لعلاقات غير مشروعة، وطبيعي أنه إذا انحرف الأصل تبعه الفرع في الانحراف</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في ما يحدّثنا به التاريخ عن بعض هؤلاء ممّن كانوا نتائج لتلك العلاقات كزياد بن أبيه</w:t>
      </w:r>
      <w:r>
        <w:rPr>
          <w:rStyle w:val="FootnoteAnchor"/>
          <w:rtl w:val="true"/>
        </w:rPr>
        <w:footnoteReference w:id="5"/>
      </w:r>
      <w:r>
        <w:rPr>
          <w:rFonts w:ascii="IRNazanin" w:hAnsi="IRNazanin" w:eastAsia="IRNazanin"/>
          <w:color w:val="111111"/>
          <w:sz w:val="28"/>
          <w:sz w:val="28"/>
          <w:szCs w:val="28"/>
          <w:rtl w:val="true"/>
          <w:lang w:bidi="fa-IR"/>
        </w:rPr>
        <w:t>وعمرو بن العاص</w:t>
      </w:r>
      <w:r>
        <w:rPr>
          <w:rStyle w:val="FootnoteAnchor"/>
          <w:rtl w:val="true"/>
        </w:rPr>
        <w:footnoteReference w:id="6"/>
      </w:r>
      <w:r>
        <w:rPr>
          <w:rFonts w:ascii="Amiri" w:hAnsi="Amiri" w:eastAsia="Amiri" w:cs="Amiri"/>
          <w:color w:val="111111"/>
          <w:sz w:val="28"/>
          <w:sz w:val="28"/>
          <w:szCs w:val="28"/>
          <w:rtl w:val="true"/>
          <w:lang w:bidi="ar-SA"/>
        </w:rPr>
        <w:t>وغيرهما</w:t>
      </w:r>
      <w:r>
        <w:rPr>
          <w:rStyle w:val="FootnoteAnchor"/>
          <w:rtl w:val="true"/>
        </w:rPr>
        <w:footnoteReference w:id="7"/>
      </w:r>
      <w:r>
        <w:rPr>
          <w:rFonts w:ascii="IRNazanin" w:hAnsi="IRNazanin" w:eastAsia="IRNazanin"/>
          <w:color w:val="111111"/>
          <w:sz w:val="28"/>
          <w:sz w:val="28"/>
          <w:szCs w:val="28"/>
          <w:rtl w:val="true"/>
          <w:lang w:bidi="fa-IR"/>
        </w:rPr>
        <w:t xml:space="preserve">شاهداً على ما نقول، </w:t>
      </w:r>
      <w:bookmarkStart w:id="32" w:name="pg16406_258394"/>
    </w:p>
    <w:p>
      <w:pPr>
        <w:pStyle w:val="BookText"/>
        <w:rPr/>
      </w:pPr>
      <w:bookmarkEnd w:id="32"/>
      <w:r>
        <w:rPr>
          <w:rFonts w:ascii="Amiri" w:hAnsi="Amiri" w:eastAsia="Amiri" w:cs="Amiri"/>
          <w:color w:val="111111"/>
          <w:sz w:val="28"/>
          <w:sz w:val="28"/>
          <w:szCs w:val="28"/>
          <w:rtl w:val="true"/>
          <w:lang w:bidi="ar-SA"/>
        </w:rPr>
        <w:t>فقد عاثوا في الأرض فساداً، وهتكوا الحرمات وأهلكوا الحرث والنسل، وكانوا سبباً في حرمان البشر من الخير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التاريخ المعاصر ذكروا أنّ ادولف هتلر وأضرابه ممّن قادوا العالم بالحديد والنار إلى هاوية الدمار والخراب كانوا ثمرات فجّة لعلاقات غير مشروعة</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ندرك ضرورة أن يكون هناك نظام دقيق محكم ينظّم علاقة الرجل بالمرأة على أساس تراعى فيه جميع الأبعاد النفسية والأخلاقية وغيرها لإيجاد نسل صالح ينفع البشرية ويكون سبباً في العمران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النظريات التي تناولت هذه المسألة متعددة ومختلفة، ونظراً لأهميّتها وأهمية آثارها فلابدّ من تسليط  الأضواء على الأنظمة الموجودة ونظراتها حول هذه المسألة الخطيرة ومعرفة أيّ منها أحقّ بالاتباع</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7246479_1280447820"/>
      <w:bookmarkStart w:id="34" w:name="_Toc10"/>
      <w:bookmarkEnd w:id="33"/>
      <w:r>
        <w:rPr>
          <w:rtl w:val="true"/>
        </w:rPr>
        <w:t>الثالث</w:t>
      </w:r>
      <w:r>
        <w:rPr>
          <w:rtl w:val="true"/>
        </w:rPr>
        <w:t xml:space="preserve">: </w:t>
      </w:r>
      <w:r>
        <w:rPr>
          <w:rtl w:val="true"/>
        </w:rPr>
        <w:t>الزواج بين الإسلام والانظمة الأخرى</w:t>
      </w:r>
      <w:r>
        <w:rPr>
          <w:rtl w:val="true"/>
        </w:rPr>
        <w:t>:</w:t>
      </w:r>
      <w:bookmarkEnd w:id="3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استقصاء جميع الأنظمة ونظراتها حول مسألة الزواج وبيان قواعده وضوابطه ولوازمه يخرجنا عن الغرض المقصود، ونكتفي بالإشارة الإجمالية </w:t>
      </w:r>
    </w:p>
    <w:p>
      <w:pPr>
        <w:pStyle w:val="BookText"/>
        <w:rPr/>
      </w:pPr>
      <w:r>
        <w:rPr>
          <w:rFonts w:ascii="Amiri" w:hAnsi="Amiri" w:eastAsia="Amiri" w:cs="Amiri"/>
          <w:color w:val="111111"/>
          <w:sz w:val="28"/>
          <w:sz w:val="28"/>
          <w:szCs w:val="28"/>
          <w:rtl w:val="true"/>
          <w:lang w:bidi="ar-SA"/>
        </w:rPr>
        <w:t>إليها، ونحيلك ـ عزيزي القارىء ـ على المصادر التي تناولت هذه المسألة بالدراسة والتحليل</w:t>
      </w:r>
      <w:r>
        <w:rPr>
          <w:rStyle w:val="FootnoteAnchor"/>
          <w:rtl w:val="true"/>
        </w:rPr>
        <w:footnoteReference w:id="9"/>
      </w:r>
      <w:r>
        <w:rPr>
          <w:rFonts w:ascii="Amiri" w:hAnsi="Amiri" w:eastAsia="Amiri" w:cs="Amiri"/>
          <w:color w:val="111111"/>
          <w:sz w:val="28"/>
          <w:sz w:val="28"/>
          <w:szCs w:val="28"/>
          <w:rtl w:val="true"/>
          <w:lang w:bidi="ar-SA"/>
        </w:rPr>
        <w:t>، على أن يكون أكثر اهتمامنا بالنظرة الشرعية المتمثلة في الدين الإسلامي، حيث راعت قواعده وضوابطه في هذه المسألة جميع المصالح والحكم التكوينية والتشريعية الفردية منها والاجتماعية، وكان بدّقته وشموليته فوق أن يقارن بسائر القوانين والأنظمة الأخرى في هذه المسألة أو غيرها، وأما النظريات الدينية السماوية ـ غير الإسلام ـ فهي وإن كانت في حدّ ذاتها صحيحةإلاّ أنها لما كانت محدودة قد لوحظ في تشريعها زمن معيّن فلا تصلح لأن تكون منهجاً متبعاً كما لا تصحّ مقارنتها بنظرة الإسلام لعدم وفائها بالأغراض والمصالح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أهم الأنظمة</w:t>
      </w:r>
      <w:r>
        <w:rPr>
          <w:rStyle w:val="FootnoteAnchor"/>
          <w:rtl w:val="true"/>
        </w:rPr>
        <w:footnoteReference w:id="10"/>
      </w:r>
      <w:r>
        <w:rPr>
          <w:rFonts w:ascii="Amiri" w:hAnsi="Amiri" w:eastAsia="Amiri" w:cs="Amiri"/>
          <w:color w:val="111111"/>
          <w:sz w:val="28"/>
          <w:sz w:val="28"/>
          <w:szCs w:val="28"/>
          <w:rtl w:val="true"/>
          <w:lang w:bidi="ar-SA"/>
        </w:rPr>
        <w:t>التي تناولت مسألة الزواج واقتران الذكر بالأنثى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دينية وبشرية وإباحية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وتسمية الإباحية نظاماً من باب المجاز، وإلاّ فهي في الواقع إشاعة للفوضى وعدم النظام، ولذا لن نعتني بالحديث عنها لكونها انسلاخاً عن الإنسانية وانحداراً إلى حضيض البهيمية، والذي يعنينا هو النظام الديني المتمثل بالإسلام كما أشرنا وسيأتي الحديث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النظام البشري فقد ذكر بعض المحقّقين أنّ هناك عدة أساليب اتخذها البشر في كيفية اقتران الرجل بالمرأة، وأهمها ثلاثة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الأسر والاستيلاء، وقد كان هذا الأسلوب هو الطريق الوحيد والمتبع في ابتداء هذا الأمر عند البشر، فعلى أثر النزاعات والحروب بين </w:t>
      </w:r>
    </w:p>
    <w:p>
      <w:pPr>
        <w:pStyle w:val="BookText"/>
        <w:rPr/>
      </w:pPr>
      <w:r>
        <w:rPr>
          <w:rFonts w:ascii="Amiri" w:hAnsi="Amiri" w:eastAsia="Amiri" w:cs="Amiri"/>
          <w:color w:val="111111"/>
          <w:sz w:val="28"/>
          <w:sz w:val="28"/>
          <w:szCs w:val="28"/>
          <w:rtl w:val="true"/>
          <w:lang w:bidi="ar-SA"/>
        </w:rPr>
        <w:t>القبائل يستولي الأقوياء على الضعفاء ويأخذون أموالهم ويأسرون نساءهم ويتخذونهنّ أزواجاً لهم، أو يتم ذلك عن طريق اختطاف القويّ امرأة الضعيف أو ابنته وتبقى القبيلة الضعيفة مسلوبة الكرامة محرومة من حقوقها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البيع والشراء فتباع المرأة كما تباع سائر السلع والبضائع،وتصبح مملوكة للمشتري، وقد ذكرت المصادر أنّ ظهور هذا الأسلوب كان متبعاً في روما، ويتمّ بحضور أشخاص معينين وحامل الميزان، ومعهم الولي أو القيّم على المرأة ويعطى ثمنها على حسب ما يتقرّر بين البائع والمشتري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هذه الطريقة مألوفة عند الشعوب الأوربية قبل المسيحية، ولا تزال آثارها باقية إلى اليوم في جنوب أسبانيا عند الفلاحين، وبعض قبائل سومطرة، والقبائل الصينية، حتى أنّ المرأة قد تباع أكثر من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الإجارة، فإنه إذا عجز الرجل عن دفع ثمن المرأة أو مهرها آجر نفسه عند أوليائها للعمل لهم مدة من الزمن، وبذلك تصبح المرأة زوجاً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الأسلوب كان متبعاً في زمان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إحدى ابنتي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الطريق، كما أشار إلى ذلك القرآن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إِنِّي أُرِيدُ أَنْ أُنكِحَكَ إِحْدَى ابْنَتَيَّ هَاتَيْنِ عَلَى أَنْ تَأْجُرَنِي ثَمَانِيَةَ حِجَجٍ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من الواضح عدم صلاحية أيّ من هذه الأساليب لاقتران الرجل بالمرأة، فإنّ فيها حطّاً من قدر المرأة وشأنها إلى درجة تصبح فيها المرأة سلعة بل أخس قدراً، مضافاً إلى ما يترتّب على ذلك من هدم أساس الأسرة وعدم إمكان التربية الصحيحة لأولاد صالحين، وفي ذلك فساد المجتمع واختلال نظامه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واعطف على ما ذكرنا ما كان عليه أهل الجاهلية من قانون الزواج، فإنه وإنكان يتمّ عن تعاقد بين الرجل والمرأة إلاّ أنّ النظرة الجاهلية للمرأة نظرة سقيمة، حيث تعامل المرأة بالعسف والجور، وهي عندهم كالبهيمة أو أحطّ قدراً، فإنها تورث كما يورث المتاع، وتحرم من أبسط حقوقها، وإذا مات زوج المرأة جاء وليّه فألقى عليها ثوبه ليعلم أنها من مختصاته إن شاء نكحها بغير مهر، وإن شاء زوّجها وأخذ مهرها، بل تجاوز جورهم الحدّ فكانوا ينظرون إلى المرأة على أساس أنها مصدر العار والفضيحة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بُشِّرَ أَحَدُهُمْ بِالأُنثَى ظَلَّ وَجْهُهُ مُسْوَدّاً وَهُوَ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يَتَوَارَى مِنْ الْقَوْمِ مِنْ سُوءِ مَا بُشِّرَ بِهِ أَيُمْسِكُهُ عَلَى هُونٍ أَمْ يَدُسُّهُ فِي التُّرَابِ أَلا سَاءَ مَا يَحْكُمُونَ</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كلّه يتبيّن أنّ ما وضعه البشر من أنظمة تتعلّق بمسألة الزواج كلّها فاشلة، ولا تصلح لمعالجة هذه القضية الخطيرة، عدا أنّها تنزل بقدر المرأة إلى مستوى الحضيض</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نظرة الشريعة المقدّسة المتمثّلة في الإسلام فقد أشرنا فيما تقدم إلى أنّ الإسلام قد راعى جميع المصالح والأغراض على ما تقتضيه الحكمة الإلهية، ووضع نظاماً دقيقاً كاملاً، وعالج هذه القضية كغيرها من القضايا الأخرى بل بلغ قمّة الكمال، فأعطى كل ذي حقّ حقه، مضافاً إلى أنه أبطل جميع النظريات الخاطئة والأنظمة الفاسدة التي تناولت هذه المسألة، ووضع الحلول بدقّة وإحكام على أساس من العدالة والإنصاف، مراعياً جميع الجوانب النفسية والفرديّة والاجتماعية، وذلك لأنّ هذا النظام إلهي من الخالق العالم بجميعالأشياء وكنهها، ظاهرها وباطنها ومقادير قابلياتها واستعدادتها، فجاءت الأحكام المتعلّقة بها </w:t>
      </w:r>
    </w:p>
    <w:p>
      <w:pPr>
        <w:pStyle w:val="BookText"/>
        <w:rPr/>
      </w:pPr>
      <w:r>
        <w:rPr>
          <w:rFonts w:ascii="Amiri" w:hAnsi="Amiri" w:eastAsia="Amiri" w:cs="Amiri"/>
          <w:color w:val="111111"/>
          <w:sz w:val="28"/>
          <w:sz w:val="28"/>
          <w:szCs w:val="28"/>
          <w:rtl w:val="true"/>
          <w:lang w:bidi="ar-SA"/>
        </w:rPr>
        <w:t>على وفق الحكمة والمصالح الواقعية والآداب الأخلاقية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كان ذلك يدلّ على شيء فإنّما يدلّ على عظمة المشرّع وحكمته وصلاحية الشريعة وانسجامها مع الفطرة التي فطر الناس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بيان ذلك كلّه في كتابه العزيز، وفي ما أثر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شروح وبيانات، فبيّن تعالى أنه خلق الرجل والمرأة من أصل واحد، وأنّ كلاًّ منهما يكمّل نقص الآخر، وجعل المرأة سكناً ومستقراً يأوي إليه الرجل، وأوجد بينهما الألفة والمودّة ليدوم الترابط بينهما على أساس من احتياج كلّ منهما للآخر، وبيّن ما لكلّ منهما من الحقوق وما عليهما من الواجبات، وفي ذلك بيان لمكانة المرأة وإعزاز لشأنها ومقامها اللائق بها وأنّها أحد الأسس التي يقوم عليها بناء المجتمع، فقال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خَلَقَكُمْ مِنْ نَفْسٍ وَاحِدَةٍ وَجَعَلَ مِنْهَا زَوْجَهَا لِيَسْكُنَ إِلَيْهَا</w:t>
      </w:r>
      <w:r>
        <w:rPr>
          <w:rFonts w:eastAsia="IRNazanin" w:cs="IRNazanin"/>
          <w:color w:val="111111"/>
          <w:sz w:val="28"/>
          <w:szCs w:val="28"/>
          <w:rtl w:val="true"/>
          <w:lang w:bidi="fa-IR"/>
        </w:rPr>
        <w:t>»</w:t>
      </w:r>
      <w:r>
        <w:rPr>
          <w:rStyle w:val="FootnoteAnchor"/>
          <w:rtl w:val="true"/>
        </w:rPr>
        <w:footnoteReference w:id="13"/>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وقال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لِبَاسٌ لَكُمْ وَأَنْتُمْ لِبَاسٌ لَهُنَّ</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إلى غير ذلك من الآيات الشريفة الدالّة على أهميّة الارتباط بين الرجل والمرأة وقدسيته في نظر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بيان الحقوق والواجبات فقد ذكرت في آيات أخرى وشرحها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أحاديثهم الكثيرة التي تناولت هذا الموضوع ولا غرو بعد هذا إذا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ربع الفقه يتعلّق بهذا الأمر، ولا بأس بالإشارة إليها على سبيل الإجمال في ضمن المراحل التالية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بأمر الزواج، والترغيب فيه والحثّ عليه، وتأكيده </w:t>
      </w:r>
    </w:p>
    <w:p>
      <w:pPr>
        <w:pStyle w:val="BookText"/>
        <w:rPr/>
      </w:pPr>
      <w:r>
        <w:rPr>
          <w:rFonts w:ascii="Amiri" w:hAnsi="Amiri" w:eastAsia="Amiri" w:cs="Amiri"/>
          <w:color w:val="111111"/>
          <w:sz w:val="28"/>
          <w:sz w:val="28"/>
          <w:szCs w:val="28"/>
          <w:rtl w:val="true"/>
          <w:lang w:bidi="ar-SA"/>
        </w:rPr>
        <w:t>من نواح شتّى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بيان فضله، حيث ورد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بني في الإسلام بناء أحبّ إلى الله تعالى من التزويج</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وأنه من سنته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رغب عنه فقد رغب عن سنّته</w:t>
      </w:r>
      <w:r>
        <w:rPr>
          <w:rStyle w:val="FootnoteAnchor"/>
          <w:rtl w:val="true"/>
        </w:rPr>
        <w:footnoteReference w:id="17"/>
      </w:r>
      <w:r>
        <w:rPr>
          <w:rFonts w:ascii="Amiri" w:hAnsi="Amiri" w:eastAsia="Amiri" w:cs="Amiri"/>
          <w:color w:val="111111"/>
          <w:sz w:val="28"/>
          <w:sz w:val="28"/>
          <w:szCs w:val="28"/>
          <w:rtl w:val="true"/>
          <w:lang w:bidi="ar-SA"/>
        </w:rPr>
        <w:t>، وأنّ في التزويج إحراز نصف الدين</w:t>
      </w:r>
      <w:r>
        <w:rPr>
          <w:rStyle w:val="FootnoteAnchor"/>
          <w:rtl w:val="true"/>
        </w:rPr>
        <w:footnoteReference w:id="18"/>
      </w:r>
      <w:r>
        <w:rPr>
          <w:rFonts w:ascii="Amiri" w:hAnsi="Amiri" w:eastAsia="Amiri" w:cs="Amiri"/>
          <w:color w:val="111111"/>
          <w:sz w:val="28"/>
          <w:sz w:val="28"/>
          <w:szCs w:val="28"/>
          <w:rtl w:val="true"/>
          <w:lang w:bidi="ar-SA"/>
        </w:rPr>
        <w:t xml:space="preserve">، وأنّ من سرّه أن يلقى الله طاهراً مطهّراً فليلقه بزوجة </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ذمّ العزوبة وترك الزواج، حيث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رذال موتاكم العزّاب</w:t>
      </w:r>
      <w:r>
        <w:rPr>
          <w:rStyle w:val="FootnoteAnchor"/>
          <w:rtl w:val="true"/>
        </w:rPr>
        <w:footnoteReference w:id="20"/>
      </w:r>
      <w:r>
        <w:rPr>
          <w:rFonts w:ascii="Amiri" w:hAnsi="Amiri" w:eastAsia="Amiri" w:cs="Amiri"/>
          <w:color w:val="111111"/>
          <w:sz w:val="28"/>
          <w:sz w:val="28"/>
          <w:szCs w:val="28"/>
          <w:rtl w:val="true"/>
          <w:lang w:bidi="ar-SA"/>
        </w:rPr>
        <w:t>، وشرار موتاكم العزّاب</w:t>
      </w:r>
      <w:r>
        <w:rPr>
          <w:rStyle w:val="FootnoteAnchor"/>
          <w:rtl w:val="true"/>
        </w:rPr>
        <w:footnoteReference w:id="21"/>
      </w:r>
      <w:r>
        <w:rPr>
          <w:rFonts w:ascii="Amiri" w:hAnsi="Amiri" w:eastAsia="Amiri" w:cs="Amiri"/>
          <w:color w:val="111111"/>
          <w:sz w:val="28"/>
          <w:sz w:val="28"/>
          <w:szCs w:val="28"/>
          <w:rtl w:val="true"/>
          <w:lang w:bidi="ar-SA"/>
        </w:rPr>
        <w:t>، وأكثر أهلالنار العزّاب</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السعي بالشفاعة في إنجاز الزواج بين الرجل والمرأة، حيث ورد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زوّج أعزباً كان ممّن ينظر الله إليه يوم القيامة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الشفاعات أن يشفع بين اثنين في نكاح</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يستظلّون بظلّ عرش الله يوم لا ظلّ إلاّ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زوّج أخاه المسلم </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كراهية الانفصال والطلاق، حيث ورد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تزوّجوا وزوّجوا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شيء أبغض إلى الله عزّوجلّ من بيت يخرب في الإسلام بالفرقة يعني الطلاق</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أوصاف كل من الزوج والزوجة، وقد وردت في هذا المجال روايات كثيرة تؤكّد على اختيار المرأة العفيفة المأمونة الجميلة ذات الدين،وكذا الرجل بأن يكون مرضيّ الدين والخلق، وتضمّنت هذه الروايات ما يجوز نكاحه من الرجال والنساء وما لا يجوز، وما يكون راجحاً وما يكون مرجوحاً من الشرائط والأوصاف في كلّ من الرجل والمرأة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ذلك ما ورد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سعادة المرء الزوجة الصالحة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جاءكم من ترضون خلقه ودينه فزوّجوه إلاّ تفعلوا تكن فتنة في الأرض وفساد كبير</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رضى كلّ من الزوجين بالآخر واقعاً، وما يترتب عليه من الأحكام، فقد 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تستأمر البكر وغيرها، ولا تنكح إلاّ بأمرها</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حقوق كلّ من الزوجين على الآخر ولزوم رعايتها كالاستمتاع والإنفاق وغيرهما، فقد ورد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صلّت المرأة خمسها، وصامت شهرها، وحجّت بيت ربّها، وأطاعت زوجها، وعرفت حقّ علي، فلتدخل من أي أبواب الجنة شاءت</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أكدت النصوص على الحقوق المفروضة لكلّ من الزوجين على الآخروربما تبلغ إلى عشرة حقوق أساسية ذكرت تفاصيلها في مواضعها من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المرحلة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آداب طلب النسل وبيان حقوق الوالدين على الولد وحقوقه عليهما قبل الولادة وبعدها، فقد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أنكحوا الأكفاء وانكحوا فيهم، واختاروا لنطفكم</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سعادة الرجل الولد الصالح</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عال ثلاث بنات أو ثلاث أخوات وجبت له الجنّة </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الوالد على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يسمّيه، ولا يمشي بين يديه، ولا يجلس قبله، ولا يستسب به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حقوق للولد على الوالد مذكورة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معالجة ما يقع بين الزوجين من المشاكل والدعاوى كما في حالات الظهار والنشوز واللعان وغيرها وما يترتب عليها من الأحكام،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خِفْتُمْ شِقَاقَ بَيْنِهِمَا فَابْعَثُوا حَكَماً مِنْ أَهْلِهِ وَحَكَماً مِنْ أَهْلِهَا إِنْيُرِيدَا إِصْلاحاً يُوَفِّقْ اللَّهُ بَيْنَهُمَا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كانت له امرأتان فلم يعدل بينهما في القسم من نفسه وماله، جاء يوم القيامة مغلولاً مائلاً شقّه حتى يدخل النار</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الانفصال بين الزوجين وكيفية مراعاة الحقوق </w:t>
      </w:r>
      <w:bookmarkStart w:id="35" w:name="pg16406_258402"/>
    </w:p>
    <w:p>
      <w:pPr>
        <w:pStyle w:val="BookText"/>
        <w:rPr/>
      </w:pPr>
      <w:bookmarkEnd w:id="35"/>
      <w:r>
        <w:rPr>
          <w:rFonts w:ascii="Amiri" w:hAnsi="Amiri" w:eastAsia="Amiri" w:cs="Amiri"/>
          <w:color w:val="111111"/>
          <w:sz w:val="28"/>
          <w:sz w:val="28"/>
          <w:szCs w:val="28"/>
          <w:rtl w:val="true"/>
          <w:lang w:bidi="ar-SA"/>
        </w:rPr>
        <w:t>بينهما آنئذ، فقد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مَرَّتَانِ فَإمْسَاكٌ بِمَعْرُوفٍ أَوْ تَسْرِيحٌ بِإِحْسَانٍ </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تُمْسِكُوهُنَّ ضِرَاراً</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المرحلة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أحكام مفارقة أحد الزوجين بالموت وكيفية التوارث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وَلَكُمْ نِصْفُ مَا تَرَكَ أَزْوَاجُكُمْ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وَلَهُنَّ الرُّبُعُ مِمَّا تَرَكْتُمْ </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وغيرها من الآيات حيث حكم الشارع بالتوارث بين الزوجين وفي ذلك إسقاط لأحكام الجاهلية الجائرة التي حرمت المرأة من الميراث وجعلته من مختصات الرجل، بل جعلت المرأة كسائر ما يورث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وبملاحظة هذه المراحل وما انطوت عليه من دقّة وإحكام ومراعاة كافة الحقوق والآداب بأدق تفاصيلها، لا يبقى مجال للمقايسة بين هذا النظام الإلهيوبين غيره من سائر الأنظمة التي وضعها البشر من خلال تصورات قاصرة تزيد الأمور تعقيداً وغموضاً وتكون منشأ للفساد والإفساد</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7246481_1280447820"/>
      <w:bookmarkStart w:id="37" w:name="_Toc11"/>
      <w:bookmarkEnd w:id="36"/>
      <w:r>
        <w:rPr>
          <w:rtl w:val="true"/>
        </w:rPr>
        <w:t>الرابع</w:t>
      </w:r>
      <w:r>
        <w:rPr>
          <w:rtl w:val="true"/>
        </w:rPr>
        <w:t xml:space="preserve">: </w:t>
      </w:r>
      <w:r>
        <w:rPr>
          <w:rtl w:val="true"/>
        </w:rPr>
        <w:t>في عدم اختصاص التناكح بالإنسان والحيوان</w:t>
      </w:r>
      <w:r>
        <w:rPr>
          <w:rtl w:val="true"/>
        </w:rPr>
        <w:t>:</w:t>
      </w:r>
      <w:bookmarkEnd w:id="37"/>
    </w:p>
    <w:p>
      <w:pPr>
        <w:pStyle w:val="BookText"/>
        <w:rPr/>
      </w:pPr>
      <w:r>
        <w:rPr>
          <w:rFonts w:ascii="Amiri" w:hAnsi="Amiri" w:eastAsia="Amiri" w:cs="Amiri"/>
          <w:color w:val="111111"/>
          <w:sz w:val="28"/>
          <w:sz w:val="28"/>
          <w:szCs w:val="28"/>
          <w:rtl w:val="true"/>
          <w:lang w:bidi="ar-SA"/>
        </w:rPr>
        <w:t>قد أشرنا في مطلع الحديث إلى ذلك، وقلنا بأنّ التناكح لا ينحصر بالإنسان والحيوان، بل هو جار في سائر الممكنات، ويمكن الاستدلال على ذلك</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 فإنه مضافاً إلى ما ورد في الآيات الكثيرة الدالة على وقوع التزاوج بين الطوائف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والحيوان والنبات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مِنْهُ الزَّوْجَيْنِ الذَّكَرَ وَالأُنثَى</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احْمِلْ فِيهَا مِنْ كُلٍّ زَوْجَيْنِ اثْنَيْنِ</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كُلِّ الثَّمَرَاتِ جَعَلَ فِيهَا زَوْجَيْنِ اثْنَيْنِ</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خَلَقَ الزَّوْجَيْنِ الذَّكَرَ وَالأُنْثَى</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وغيرها من الآيات، وردت أيضاً آيات أخرى تدلّ على أنه ثابت في جميع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كُلِّ شَيْءٍ خَلَقْنَا زَوْجَيْنِ لَعَلَّكُمْ تَذَكَّرُونَ</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خَلَقَ الأَزْوَاجَ كُلَّهَا مِمَّا تُنْبِتُ الأَرْضُ وَمِنْ أَنفُسِهِمْ وَمِمَّا لا يَعْلَمُونَ</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فأشار سبحانه وتعالى إلى أنّ توالد الأشياء وتكاثرها من فاعل وقابل وهما بمثابة الذكر والأنثى من الإنسان والحيوان والنبات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في جريان هذا الأمر في غير الثلاثة من سائر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قرّره الفلاسفة، وخلاصته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المتأمّل في ما حواه هذا الكون ليشاهد التمازج بين الممكنات والتفاعل فيما بينها، وما يترتب على ذلك من وقوع التوالد والتكاثر فيها، وقد عبّروا عن الإنسان والحيوان والمعدن بالمواليد الثلاثة، وهي نتيجة تزاوج أو فعل وانفعال حاصل بين العناصر الأربعة ـ الماء والتراب والهواء والنار ـ المعبّر عنها عندهم بالأمهات الأربع، كما هي نظرية قدماء الفلاسفة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وقرّروا أنّ كل ما سوى الله تعالى ممكن، وكل ممكن زوج تركيبي، فإن لوحظت الممكنات من قوسها النزولي فعالم العقول المجردة ـ بناء على القول به ـ وإن كان لا كثرة فيه، وأنّ كلّ نوع منحصر في فرد، إذ الكثرات إنما تنشأ من المادة ومقارناتها، إلاّ أنه لا يخرج عن دائرة الإمكان، فيكون مركباً من ماهية ووجود، والماهية وإن كانت أمراً اعتبارياً إلاّ أنه من الاعتبار النفس الأمري، وهي عبارة </w:t>
      </w:r>
    </w:p>
    <w:p>
      <w:pPr>
        <w:pStyle w:val="BookText"/>
        <w:rPr/>
      </w:pPr>
      <w:r>
        <w:rPr>
          <w:rFonts w:ascii="Amiri" w:hAnsi="Amiri" w:eastAsia="Amiri" w:cs="Amiri"/>
          <w:color w:val="111111"/>
          <w:sz w:val="28"/>
          <w:sz w:val="28"/>
          <w:szCs w:val="28"/>
          <w:rtl w:val="true"/>
          <w:lang w:bidi="ar-SA"/>
        </w:rPr>
        <w:t xml:space="preserve">عن حدّ الوجود والدلالة على الإمكان والاحتياج، فهو ثنائي بهذا الاعتبار، وأما وصفه بالوحدة فهو وصف إضافي بالقياس إلى ما يتلوه من عالم النفوس، فإنّها ثوالث في المرتبة من جهة أنّ النفوس وإن كانت مجردة عن المادة ذاتاً إلاّ أنّ لهاماهية ولها تعلّق تدبيري بالأبدان، ويتلوها الروابع وهي الصور النوعية، فإنّ لها بالإضافة إلى ما تقدّم حلولاً وانطباعاً في المادة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لوحظت الممكنات من قوسها الصعودي فالأمر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الوحدة الحقّة الحقيقية فهي من الصفات الذاتية للباري الأحد الفرد الصمد الذي لم يلد ولم يولد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ذلك ما ذهب إليه العرفاء من أنّ دائرة مفهوم النكاح ـ عندهم ـ واسعة جدّاً بحيث تشمل الكليات فضلاً عن الجزئيات، فقد فسّروه بأنه ازدواج شيئين لإنتاج ثالث، أو توجّه نحو الإنتاج أيّاً كان ذلك التوجّه، فالنكاح في عالم العناصر هو الاتصال بين ذكر وأنثى لإنتاج النسل، وقد يصدق على اتحاد عنصرين أيّاً كانا لإنتاج عنصر ثالث، والنكاح في عالم الأرواح هو التوجّه الإلهي نحو  الطبيعة وفتح صور العالم فيها، والنكاح في عالم المعاني هو الإنتاج العقلي، أو توليد النتيجة من المقدمات في القياس المنطقي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وبغض النظر عن صحّة ما قرروه وعدمها ولكن المستفاد أنّ التناكح جار في جميع الممكنات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قرّره الحكماء أيضاً في مباحث القوة والفعل من أنّ بقاء العالم دليل على التوالد الناتج عن التزاوج بين الأشياء ولولاه لم يبق العالم، إذ من الضروري أنّ كل مادة حادثة لها قوة محدودة وأمد محدود طال أو قصر، ومن المعلوم أنّ المادة في حدّ ذاتها لا فعلية لها، وإنما فعليتها باقترانها بالصورة، وبانتهاء أمدها يزول أثرها وتأثيرها، فإما أن ترتفع فعليتها لتصبح أساساً لفعلية </w:t>
      </w:r>
      <w:bookmarkStart w:id="38" w:name="pg16406_258405"/>
    </w:p>
    <w:p>
      <w:pPr>
        <w:pStyle w:val="BookText"/>
        <w:rPr/>
      </w:pPr>
      <w:bookmarkEnd w:id="38"/>
      <w:r>
        <w:rPr>
          <w:rFonts w:ascii="Amiri" w:hAnsi="Amiri" w:eastAsia="Amiri" w:cs="Amiri"/>
          <w:color w:val="111111"/>
          <w:sz w:val="28"/>
          <w:sz w:val="28"/>
          <w:szCs w:val="28"/>
          <w:rtl w:val="true"/>
          <w:lang w:bidi="ar-SA"/>
        </w:rPr>
        <w:t>أخرى، وإما أن تكون في حركة اشتدادية طولية أي مع الاحتفاظ بخصائصالفعلية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بطريق اللبس بعد الخلع كما هو مذهب فلاسفة المشّاء، وإما بطريق اللبس بعد اللبس كما هو مذهب الحكمة المتعالية وعلى كلا التقديرين فلابدّ من صورة تقارن المادة وإلاّ لزم من انتهاء أمدها وزوال أثرها وتأثيرها من دون أحد الأمرين فناء العالم وزواله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يؤكّد ذلك ما قرره علماء الطبيعة من أنّ الذرّة التي هي أصل الأشياء عندهم، تتألف من جزئين متزاوجين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أنّ التزاوج والفعل والانفعال وإيجاد المثل أمور حتمية وضرورية لبقاء العالم بمقتضى قانون السببية الذي أودعه الباري تعالى في كلّ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والعمدة في المقام هو ما ذكرناه أولاً وهو كاف في إثبات المطلوب</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7246483_1280447820"/>
      <w:bookmarkStart w:id="40" w:name="_Toc12"/>
      <w:bookmarkEnd w:id="39"/>
      <w:r>
        <w:rPr>
          <w:rtl w:val="true"/>
        </w:rPr>
        <w:t>الخامس</w:t>
      </w:r>
      <w:r>
        <w:rPr>
          <w:rtl w:val="true"/>
        </w:rPr>
        <w:t xml:space="preserve">: </w:t>
      </w:r>
      <w:r>
        <w:rPr>
          <w:rtl w:val="true"/>
        </w:rPr>
        <w:t>في كيفية انتشار النسل البشري بعد آدم وحواء</w:t>
      </w:r>
      <w:r>
        <w:rPr>
          <w:rtl w:val="true"/>
        </w:rPr>
        <w:t>(</w:t>
      </w:r>
      <w:r>
        <w:rPr>
          <w:rtl w:val="true"/>
        </w:rPr>
        <w:t>علیهما السلام</w:t>
      </w:r>
      <w:r>
        <w:rPr>
          <w:rtl w:val="true"/>
        </w:rPr>
        <w:t>):</w:t>
      </w:r>
      <w:bookmarkEnd w:id="40"/>
    </w:p>
    <w:p>
      <w:pPr>
        <w:pStyle w:val="Heading5"/>
        <w:numPr>
          <w:ilvl w:val="4"/>
          <w:numId w:val="1"/>
        </w:numPr>
        <w:rPr/>
      </w:pPr>
      <w:bookmarkStart w:id="41" w:name="__RefHeading___Toc7246485_1280447820"/>
      <w:bookmarkStart w:id="42" w:name="_Toc13"/>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والبحث فيه يقع من جهات</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7246487_1280447820"/>
      <w:bookmarkStart w:id="44" w:name="_Toc14"/>
      <w:bookmarkEnd w:id="43"/>
      <w:r>
        <w:rPr>
          <w:rtl w:val="true"/>
        </w:rPr>
        <w:t>الجهة الأولى</w:t>
      </w:r>
      <w:r>
        <w:rPr>
          <w:rtl w:val="true"/>
        </w:rPr>
        <w:t xml:space="preserve">: </w:t>
      </w:r>
      <w:r>
        <w:rPr>
          <w:rtl w:val="true"/>
        </w:rPr>
        <w:t>في الأقوال</w:t>
      </w:r>
      <w:r>
        <w:rPr>
          <w:rtl w:val="true"/>
        </w:rPr>
        <w:t>:</w:t>
      </w:r>
      <w:bookmarkEnd w:id="44"/>
    </w:p>
    <w:p>
      <w:pPr>
        <w:pStyle w:val="BookText"/>
        <w:rPr/>
      </w:pPr>
      <w:r>
        <w:rPr>
          <w:rFonts w:ascii="Amiri" w:hAnsi="Amiri" w:eastAsia="Amiri" w:cs="Amiri"/>
          <w:color w:val="111111"/>
          <w:sz w:val="28"/>
          <w:sz w:val="28"/>
          <w:szCs w:val="28"/>
          <w:rtl w:val="true"/>
          <w:lang w:bidi="ar-SA"/>
        </w:rPr>
        <w:t>اختلف الخاصّة والعامة في كيفية انتشار النسل، وفي المسألة نظريتان مشهورتان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فالمشهور عند الخاصة هو أنه بعد أن كبر أولاد آدم وبلغوا مبالغ الرجال أنزل الله سبحانه وتعالى حوريتين من الجنة فتزوج شيث أو هبة الله من واحدة وتزوج يافث من الأخرى، أو أنه تعالى أنزل حورية وجنية فتزوّج شيث أو هابيل من الحورية كما تزوج هبة الله أو قابيل من الجنية، وولد لكلّ منهما ذكر وأنثى، </w:t>
      </w:r>
      <w:bookmarkStart w:id="45" w:name="pg16406_258406"/>
    </w:p>
    <w:p>
      <w:pPr>
        <w:pStyle w:val="BookText"/>
        <w:rPr/>
      </w:pPr>
      <w:bookmarkEnd w:id="45"/>
      <w:r>
        <w:rPr>
          <w:rFonts w:ascii="Amiri" w:hAnsi="Amiri" w:eastAsia="Amiri" w:cs="Amiri"/>
          <w:color w:val="111111"/>
          <w:sz w:val="28"/>
          <w:sz w:val="28"/>
          <w:szCs w:val="28"/>
          <w:rtl w:val="true"/>
          <w:lang w:bidi="ar-SA"/>
        </w:rPr>
        <w:t>فلما بلغ هؤلاء الأربعة تزوج ابن العمّ من ابنة عمّه، وهكذا نشأت طبقات النسل، وإليه ذهب بعض العامة كما نسبه الرازي إلى بعض مشايخه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المشهور عند العامة كما ذكره الطبري في تاريخه وتفسيره</w:t>
      </w:r>
      <w:r>
        <w:rPr>
          <w:rStyle w:val="FootnoteAnchor"/>
          <w:rtl w:val="true"/>
        </w:rPr>
        <w:footnoteReference w:id="47"/>
      </w:r>
      <w:r>
        <w:rPr>
          <w:rFonts w:ascii="Amiri" w:hAnsi="Amiri" w:eastAsia="Amiri" w:cs="Amiri"/>
          <w:color w:val="111111"/>
          <w:sz w:val="28"/>
          <w:sz w:val="28"/>
          <w:szCs w:val="28"/>
          <w:rtl w:val="true"/>
          <w:lang w:bidi="ar-SA"/>
        </w:rPr>
        <w:t>، وابن الأثير في كامله</w:t>
      </w:r>
      <w:r>
        <w:rPr>
          <w:rStyle w:val="FootnoteAnchor"/>
          <w:rtl w:val="true"/>
        </w:rPr>
        <w:footnoteReference w:id="48"/>
      </w:r>
      <w:r>
        <w:rPr>
          <w:rFonts w:ascii="Amiri" w:hAnsi="Amiri" w:eastAsia="Amiri" w:cs="Amiri"/>
          <w:color w:val="111111"/>
          <w:sz w:val="28"/>
          <w:sz w:val="28"/>
          <w:szCs w:val="28"/>
          <w:rtl w:val="true"/>
          <w:lang w:bidi="ar-SA"/>
        </w:rPr>
        <w:t>، والمسعودي في مروجه</w:t>
      </w:r>
      <w:r>
        <w:rPr>
          <w:rStyle w:val="FootnoteAnchor"/>
          <w:rtl w:val="true"/>
        </w:rPr>
        <w:footnoteReference w:id="49"/>
      </w:r>
      <w:r>
        <w:rPr>
          <w:rFonts w:ascii="Amiri" w:hAnsi="Amiri" w:eastAsia="Amiri" w:cs="Amiri"/>
          <w:color w:val="111111"/>
          <w:sz w:val="28"/>
          <w:sz w:val="28"/>
          <w:szCs w:val="28"/>
          <w:rtl w:val="true"/>
          <w:lang w:bidi="ar-SA"/>
        </w:rPr>
        <w:t>، والرازي في تفسيره</w:t>
      </w:r>
      <w:r>
        <w:rPr>
          <w:rStyle w:val="FootnoteAnchor"/>
          <w:rtl w:val="true"/>
        </w:rPr>
        <w:footnoteReference w:id="50"/>
      </w:r>
      <w:r>
        <w:rPr>
          <w:rFonts w:ascii="IRNazanin" w:hAnsi="IRNazanin" w:eastAsia="IRNazanin"/>
          <w:color w:val="111111"/>
          <w:sz w:val="28"/>
          <w:sz w:val="28"/>
          <w:szCs w:val="28"/>
          <w:rtl w:val="true"/>
          <w:lang w:bidi="fa-IR"/>
        </w:rPr>
        <w:t xml:space="preserve">، فهو أنّ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كل ابن له من ابنته من بطن آخر، ونشأ النسل عن طريق التناكح بين الأخوة والأخوات، ثم حرّم هذا النكاح بعد ذلك، وإليه ذهب بعض الخاصة كالمقداد السيوري في لوامعه</w:t>
      </w:r>
      <w:r>
        <w:rPr>
          <w:rStyle w:val="FootnoteAnchor"/>
          <w:rtl w:val="true"/>
        </w:rPr>
        <w:footnoteReference w:id="51"/>
      </w:r>
      <w:r>
        <w:rPr>
          <w:rFonts w:ascii="Amiri" w:hAnsi="Amiri" w:eastAsia="Amiri" w:cs="Amiri"/>
          <w:color w:val="111111"/>
          <w:sz w:val="28"/>
          <w:sz w:val="28"/>
          <w:szCs w:val="28"/>
          <w:rtl w:val="true"/>
          <w:lang w:bidi="ar-SA"/>
        </w:rPr>
        <w:t>، والعلامة الطباطبائي في ميزانه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احتمال ثالث تأتي الإشارة إليه</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7246489_1280447820"/>
      <w:bookmarkStart w:id="47" w:name="_Toc15"/>
      <w:bookmarkEnd w:id="46"/>
      <w:r>
        <w:rPr>
          <w:rtl w:val="true"/>
        </w:rPr>
        <w:t>الجهة الثانية</w:t>
      </w:r>
      <w:r>
        <w:rPr>
          <w:rtl w:val="true"/>
        </w:rPr>
        <w:t xml:space="preserve">: </w:t>
      </w:r>
      <w:r>
        <w:rPr>
          <w:rtl w:val="true"/>
        </w:rPr>
        <w:t>في الأدلّة</w:t>
      </w:r>
      <w:r>
        <w:rPr>
          <w:rtl w:val="true"/>
        </w:rPr>
        <w:t>:</w:t>
      </w:r>
      <w:bookmarkEnd w:id="47"/>
    </w:p>
    <w:p>
      <w:pPr>
        <w:pStyle w:val="BookText"/>
        <w:rPr/>
      </w:pPr>
      <w:r>
        <w:rPr>
          <w:rFonts w:ascii="Amiri" w:hAnsi="Amiri" w:eastAsia="Amiri" w:cs="Amiri"/>
          <w:color w:val="111111"/>
          <w:sz w:val="28"/>
          <w:sz w:val="28"/>
          <w:szCs w:val="28"/>
          <w:rtl w:val="true"/>
          <w:lang w:bidi="ar-SA"/>
        </w:rPr>
        <w:t>وقد استند كلّ من الطرفين إلى أدلة تدعم موقفه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 العامة فقد استدل له بعدة روايات، وهي من طرق العامة والخاصة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الروايات الواردة من طرق العامة فهي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الطبري في تفسيره،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هارون، ثنا عمرو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أسباط، عن السدي، فيما ذكر عن أبي مالك، وعن أبي صالح، عن ابن عباس، وعن مرّة عن ابن مسعود، وعن ناس من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لا يولد لآدم مولود إلاّ ولد معه جارية، فكان يزوّج غلام هذا البطن </w:t>
      </w:r>
    </w:p>
    <w:p>
      <w:pPr>
        <w:pStyle w:val="BookText"/>
        <w:rPr/>
      </w:pPr>
      <w:r>
        <w:rPr>
          <w:rFonts w:ascii="Amiri" w:hAnsi="Amiri" w:eastAsia="Amiri" w:cs="Amiri"/>
          <w:color w:val="111111"/>
          <w:sz w:val="28"/>
          <w:sz w:val="28"/>
          <w:szCs w:val="28"/>
          <w:rtl w:val="true"/>
          <w:lang w:bidi="ar-SA"/>
        </w:rPr>
        <w:t>جارية هذا البطن الآخر، ويزوج جارية هذا البطن غلام هذا البطن الآخر</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الطبري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حجاج عن ابن جريح،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عثمان بن خثيم،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مع سعيد بن جبير أرمي الجمرة، وهو متقنّع متوكىء على يدي حتى إذا وازينا بمنزل سمرة الصراف وقف يحدّثني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أن ينكح المرأة أخوها توأمها، وينكحها غيره من أخوتها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بنو آدم على ذلك حتى مضى أربعة آباء فنكح ابنة عمّه، وذهب نكاح الأخوات</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وهاتان الروايتان نقلهما السيوطي في  الدر المنثور</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عن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سلمة، عن ابن إسحاق، عن بعض أهل العلم بالكتاب الأول، أنّ آدم أمر ابنه قابيل أن ينكح أخته توأمة هابيل،وأمر هابيل أن ينكح أخته توأمة قابيل </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السيوطي عن ابن إسحاق بن بشر في المبتدأ، وابن عساكر في تاريخه من طريق جويبر ومقاتل، 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لآدم أربعون ولداً، عشرون  غلاماً وعشرون جارية </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ورد من طرق الخاصة فروايتان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الحميري في قرب الإسناد بسنده عن أحمد بن محمد 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الناس كيف تناسلوا من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 حواء هابيل وأختاً له في بطن، ثم حملت في البطن الثاني قابيل وأختاً له </w:t>
      </w:r>
    </w:p>
    <w:p>
      <w:pPr>
        <w:pStyle w:val="BookText"/>
        <w:rPr/>
      </w:pPr>
      <w:r>
        <w:rPr>
          <w:rFonts w:ascii="Amiri" w:hAnsi="Amiri" w:eastAsia="Amiri" w:cs="Amiri"/>
          <w:color w:val="111111"/>
          <w:sz w:val="28"/>
          <w:sz w:val="28"/>
          <w:szCs w:val="28"/>
          <w:rtl w:val="true"/>
          <w:lang w:bidi="ar-SA"/>
        </w:rPr>
        <w:t>في بطن، فتزوّج هابيل التي مع قابيل، وتزوّج قابيل التي مع هابيل، ثم حدث التحريم بعد ذلك</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الطبرسي في الاحتجاج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يحدّث رجلاً من قريش،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تاب الله على آدم واقع حواء ولم يكن غشيها منذ خلق وخلقت إلاّ في الأرض، وذلك بعدما تاب الله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آدم يعظّم البيت وما حوله من حرمة البيت، وكان إذا أراد أن يغشى حوّاء خرج من الحرم وأخرجها معه، فإذا جاز الحرم غشيها في الحلّ ثميغتسلان إعظاماً منه للحرم، ثم يرجع إلى فناء 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لآدم من حواء عشرون ولداً ذكراً وعشرون أنثى، فولد له في كل بطن ذكر وأنثى، فأول بطن ولدت حواء هابيل ومعه جارية يقال لها إقليما،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وولدت في البطن الثاني قابيل ومعه جارية يقال لها لوزا، وكانت لوزا أجمل بنات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أدركوا خاف عليهم آدم الفتنة فدعاهم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أنكحك يا هابيل لوزا، وأنكحك يا قابيل إقليما، قال 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أرضى بهذا أتنكحني أخت هابيل القبيحة وتنكح هابيل أختي الجميلة؟ 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أقرع بينكما فإن خرج سهمك يا قابيل على لوزا وخرج سهمك يا هابيل على إقليما زوّجت كلّ واحد منكما التي خرج سهمه عليها،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فرضيا بذلك فاقترعا،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سهم هابيل على لوزا أخت قابيل، وخرج سهل قابيل على اقليما أخت هابيل،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فزوّجهما على ما خرج لهما من عند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حرّم الله نكاح الأخوات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فعل المجوس اليوم،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المجوس إنما فعلوا ذلك بعد التحريم من الله، ثم 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تنكر هذا، أليس الله قد خلق زوجة آدم منه، ثم أحلّها له؟ </w:t>
      </w:r>
    </w:p>
    <w:p>
      <w:pPr>
        <w:pStyle w:val="BookText"/>
        <w:rPr/>
      </w:pPr>
      <w:r>
        <w:rPr>
          <w:rFonts w:ascii="Amiri" w:hAnsi="Amiri" w:eastAsia="Amiri" w:cs="Amiri"/>
          <w:color w:val="111111"/>
          <w:sz w:val="28"/>
          <w:sz w:val="28"/>
          <w:szCs w:val="28"/>
          <w:rtl w:val="true"/>
          <w:lang w:bidi="ar-SA"/>
        </w:rPr>
        <w:t>فكان ذلك شريعة من شرائعهم، ثم أنزل الله التحريم بعد ذلك</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كلها واضحة الدلالة على ما ذهب إليه مشهور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أنها موافقة لظاهر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الَّذِي خَلَقَكُمْ مِنْنَفْسٍ وَاحِدَةٍ وَخَلَقَ مِنْهَا زَوْجَهَا وَبَثَّ مِنْهُمَا رِجَالاً كَثِيراً وَنِسَاءً</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الظاهر من البثّ هو التفريق والانتشار، ومفاد الآية الشريفة أنّه من آدم وحواء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واسطة كما عليه القول الآخر، وإلاّ لزم التأويل في الآية وتكلّف حملها على غير ظاهرها، إذ الانتشار حينئذ منهما ومن 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إنما هي وعاء للحمل، ولا دخل لها في تكوّن الولد وخلقته، فوجود الواسطة لا أثر له، وعليه فالأولاد ينتسبون للأب وحده لأنهم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كذلك فلماذا نسب البثّ إلى حواء أيضاً؟ حيث ثنّي الضمير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وَبَثَّ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يعود على آدم وحواء معاً، ونتيجة ذلك أنّ لوعاء الحمل دخلاً في خلق الولد وتكوّنه، وحيث إنّ البثّ منحصر في آدم وحواء كما هو ظاهر الآية فلا واسطة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الخاصة فقد استدلّ له بعدّة من الروايات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بسنده عن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له شيث، وأنّ اسمه هبة الله، وهو أوّل وصي أوصى إليه من الآدميين في الأرض، ثم ولد له بعد شيث يافث، فلما أدركا أراد الله عزوجل أن يبلغ بالنسل ما ترون وأن يكون ما قد جرى به القلم من تحريم ما حرّم الله عزوجل من الأخوات على الأخوة، أنزل بعد العصر في يوم خميس حوراء من الجنة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الله عزوجل آدم أن يزوّجها من شيث فزوّجها منه،ثم أنزل بعد العصر من الغد حوراء من الجنة واسمها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الله عزوجل آدم أن يزوجها من </w:t>
      </w:r>
    </w:p>
    <w:p>
      <w:pPr>
        <w:pStyle w:val="BookText"/>
        <w:rPr/>
      </w:pPr>
      <w:r>
        <w:rPr>
          <w:rFonts w:ascii="Amiri" w:hAnsi="Amiri" w:eastAsia="Amiri" w:cs="Amiri"/>
          <w:color w:val="111111"/>
          <w:sz w:val="28"/>
          <w:sz w:val="28"/>
          <w:szCs w:val="28"/>
          <w:rtl w:val="true"/>
          <w:lang w:bidi="ar-SA"/>
        </w:rPr>
        <w:t>يافث فزوّجها منه، فولد لشيث غلام، وولد ليافث جارية، فأمر الله عزوجل آدم حين أدركا أن يزوّج ابنة يافث من ابن شيث ففعل، فولد الصفوة من النبيين والمرسلين، ومعاذ الله أن يكون ذلك على ما قالوا من أمر الأخوة والأخوات</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فيه أيضاً بسنده عن القاسم بن عروة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أنزل على آدم حوراء من الجنة فزوّجها أحد ابنيه، وتزوج الآخر ابنة الجانّ، فما كان في الناس من جمال كثير أو حسن خلق فهو من الحوراء، وما كان فيهم من سوء خلق فهو من ابنة الجانّ</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الكليني في الصحيح عن خالد بن إسماعيل عن رجل من أصحابنا من أهل الجبل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له المجوس وأنهم يقولون نكاح كنكاح ولد آدم، وأنّهم يحاجّونا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أنتم فلا يحاجّونكم به، لما أدرك هبة الله 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زوج هبة الله، فأهبط الله عزوجل له حوراء فولدت له أربعة غلمة، ثم رفعها الله، فلما أدرك ولد هبة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زوج ولد هبة الله، فأوحى الله عزوجل إليه أن يخطب إلى رجل من الجنّ وكان مسلماً أربع بنات له على ولد هبة الله، فزوّجهنّ، فما كان من جمال وحلمفمن قبل الحوراء والنبوّة، وما كان من سفه أو حدّة فمن الجنّ</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بسنده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بدء النسل من ذرية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عندنا أناس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أوحى إلى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يزوج بناته من بنيه، إنّ هذا الخلق كلّه أصله من الأخوة </w:t>
      </w:r>
    </w:p>
    <w:p>
      <w:pPr>
        <w:pStyle w:val="BookText"/>
        <w:rPr/>
      </w:pPr>
      <w:r>
        <w:rPr>
          <w:rFonts w:ascii="IRNazanin" w:hAnsi="IRNazanin" w:eastAsia="IRNazanin"/>
          <w:color w:val="111111"/>
          <w:sz w:val="28"/>
          <w:sz w:val="28"/>
          <w:szCs w:val="28"/>
          <w:rtl w:val="true"/>
          <w:lang w:bidi="fa-IR"/>
        </w:rPr>
        <w:t xml:space="preserve">والاخوات،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وتعالى عن ذلك علوّاً كبيراً، يقول من يقول هذا إنّ الله عزوجل جعل أصل صفوة خلقه وأحبائه وأنبيائه ورسله وحججه والمؤمنين والمؤمنات والمسلمين والمسلمات من حرام، ولم يكن له من القدرة ما يخلقهم من الحلال، وقد أخذ ميثاقهم على  الحلال والطهر الطاهر الطيب، والله لقد نبئت أنّ بعض البهائم تنكّرت له أخته فلما نزا عليها ونزل كشف له عنها وعلم أنها أخته، أخرج عزمو له ثم قبض عليه بأسنانه ثم قلعه ثمّ خرّ ميتاً</w:t>
      </w:r>
      <w:r>
        <w:rPr>
          <w:rStyle w:val="FootnoteAnchor"/>
          <w:rtl w:val="true"/>
        </w:rPr>
        <w:footnoteReference w:id="6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رسالة المحكم والمتشابه نقلاً من تفسير النعماني بسنده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المحكم من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 وَالدَّمُ وَلَحْمُ الْخِنزِيرِ وَمَا أُهِلَّ لِغَيْرِ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فتأويله في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عَلَيْكُمْ أُمَّهَاتُكُمْ وَبَنَاتُكُمْ وَأَخَوَاتُكُمْ وَعَمَّاتُكُمْ وَخَالاتُكُمْ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فهذا كلّه محكم لم ينسخه شيءقد استغني بتنزيله عن تأويله، وكل ما يجري هذا المجرى</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بأسناده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جلس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الخلافة وبايعه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تفقدوني، فقام إليه الأشعث بن قيس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كيف تؤخذ من المجوس الجزية ولم ينزل عليهم كتاب ولم يبعث إليهم نبي؟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أشعث قد أنزل الله عليهم كتاباً وبعث إليهم نبياً، وكان لهم ملك سكر ذات ليلة فدعا بابنته إلى فراشه فارتكبها، فلما أصبح تسامع به قومه فاجتمعوا إلى بابه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 دنّست علينا ديننا وأهلكته فاخرج نطهّرك ونقم عليك الحدّ،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اجتمعوا واسمعوا كلامي فإن </w:t>
      </w:r>
    </w:p>
    <w:p>
      <w:pPr>
        <w:pStyle w:val="BookText"/>
        <w:rPr/>
      </w:pPr>
      <w:r>
        <w:rPr>
          <w:rFonts w:ascii="Amiri" w:hAnsi="Amiri" w:eastAsia="Amiri" w:cs="Amiri"/>
          <w:color w:val="111111"/>
          <w:sz w:val="28"/>
          <w:sz w:val="28"/>
          <w:szCs w:val="28"/>
          <w:rtl w:val="true"/>
          <w:lang w:bidi="ar-SA"/>
        </w:rPr>
        <w:t>يكن لي مخرج مما ارتكبت وإلاّ فشأنكم، فاجتمعوا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علمتم أنّ الله لم يخلق خلقاً أكرم عليه من أبينا آدم وأمنا حواء؟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أيها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قد زوّج بنيه من بناته؟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هذا هو الدين، فتعاقدوا على ذلك، فمحا الله ما في صدورهم من العلم، ورفع عنهم الكتاب، فهم الكفرة يدخلون النار بلا حساب، والمنافقون أشدّ حالاً منهم، 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سمعت بمثل هذا الجواب، والله لا عدت إلى مثلها أبداً</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 المفيد في الاختصاص</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صاحب المستدرك من كتاب المختصر للشيخ حسن بن سليمان الحلّي تلميذ الشهيد الأول نقلاً من كتاب الشفاء والجلاء بإسناده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آدم أبي البشر أكان زوّج ابنته من 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لو فعل ذلك آدم لما رغب عنه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كان آدم إلاّ على دين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الخلق من ولد من هم ولم يكن إلاّ آدم وحواء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اتَّقُوا رَبَّكُمْ الَّذِي خَلَقَكُمْ مِنْ نَفْسٍ وَاحِدَةٍ وَخَلَقَ مِنْهَا زَوْجَهَا وَبَثَّ مِنْهُمَا رِجَالاً كَثِيراً وَنِسَاءً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فأخبرنا أنّ هذا الخلق من آدم وحواء،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وبلّغت رسله وأنا على ذلك من الشاهدين،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ففسّر لي يابن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لمّا أهبط آدم وحواء إلى الأرض وجمع بينهما ولدت حواء بنتاً فسمّاها عناقا، فكانت أول من بغى على وجه الأرض، فسلط عليها ذئباً كالفيل ونسراً كالحمار فقتلاها، ثم ولد له إثر عناق قابيل بن آدم، فلما أدرك قابيل ما يدرك الرجل أظهر الله عزوجل جنّية من </w:t>
      </w:r>
    </w:p>
    <w:p>
      <w:pPr>
        <w:pStyle w:val="BookText"/>
        <w:rPr/>
      </w:pPr>
      <w:r>
        <w:rPr>
          <w:rFonts w:ascii="Amiri" w:hAnsi="Amiri" w:eastAsia="Amiri" w:cs="Amiri"/>
          <w:color w:val="111111"/>
          <w:sz w:val="28"/>
          <w:sz w:val="28"/>
          <w:szCs w:val="28"/>
          <w:rtl w:val="true"/>
          <w:lang w:bidi="ar-SA"/>
        </w:rPr>
        <w:t>ولد الجان يقال لها جهانة في صورة الإنسية، فلما رآها قابيل ومقها، فأوحى الله إلى آدم أن زوّج جهانة من قابيل فزوجها من قابيل، ثم ولد لآدم هابيل، فلما أدرك هابيل ما يدرك الرجل أهبط الله إلى آدم حوراء واسمها ترك الحوراء، فلما رآها هابيل ومقها، فأوحى الله إلى آدم أن زوّج تركاًمن هابيل ففعل ذلك، فكانت ترك الحوراء زوجة هابيل من آدم</w:t>
      </w:r>
      <w:r>
        <w:rPr>
          <w:rStyle w:val="FootnoteAnchor"/>
          <w:rtl w:val="true"/>
        </w:rPr>
        <w:footnoteReference w:id="68"/>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أيضاً من أصل من أصول قدمائنا عن عمرو بن أبي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مولاي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زوّج آدم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يقول هذا الخلق المنكوس؟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كان ولد آدم ولداً جعل بينهما بطناً بطناً، ثم يزوّج بطنه من البطن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كذبوا هذه المجوسية محضاً، أخبرني أبي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وهب آدم هابيل وهبة الله بعث إليهما حورائين ناعمة ومدية، وأمره أن يزوج ناعمة من هابيل ومدية من هبة الله فزوّجهما إياهما فتزاوجا، فكانت تزويج بنات العم</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العياشي في تفسيره بسنده عن أبي بكر الحضرمي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 الناس في تزويج آدم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حواء كانت تلد لآدم في كل بطن غلاماً وجارية فتزوج الغلام الجارية التي من البطن الآخر الثاني، وتزوج الجارية الغلام الذي من البطن الآخر الثاني حتى توالدوا،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هذا كذلك، ولكنّه لما ولد آدم هبة الله وكبر سأل الله أن يزوّجه فأنزل الله له حوراء من الجنة فزوجها إياه فولد له أربعة بنين، ثم ولد لآدم ابن آخر فلما كبر أمره فتزوّج إلى الجان فولد له أربع بنات، فتزوج بنو هذا بنات هذا، فما كان من جمال فمن قبل الحوراء، وما كان من حلم فمن </w:t>
      </w:r>
    </w:p>
    <w:p>
      <w:pPr>
        <w:pStyle w:val="BookText"/>
        <w:rPr/>
      </w:pPr>
      <w:r>
        <w:rPr>
          <w:rFonts w:ascii="Amiri" w:hAnsi="Amiri" w:eastAsia="Amiri" w:cs="Amiri"/>
          <w:color w:val="111111"/>
          <w:sz w:val="28"/>
          <w:sz w:val="28"/>
          <w:szCs w:val="28"/>
          <w:rtl w:val="true"/>
          <w:lang w:bidi="ar-SA"/>
        </w:rPr>
        <w:t>قبل آدم، وما كان من خفّة فمن قبل الجان، فلماتوالدوا صعدت الحوراء إلى  السماء</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تفسيره بسنده عنه أيضاً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له أربعة ذكور فأهبط الله إليهم أربعة من الحور العين فزوّج كلّ واحد منهم واحدة فتوالدوا، ثم إنّ الله رفعهنّ وزوّج هؤلاء  الأربعة أربعة من الجنّ فصار النسل فيهم، فما كان من حلم فمن آدم، وما كان من جمال فمن قبل الحور العين، وما كان من قبح أو سوء خلق فمن الجنّ</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الحادية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في تفسيره أيضاً بسنده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 الناس يزعمون أنّ آدم زوّج ابنته من ابنه،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الناس ذلك، ولكن يا سليمان أما علمت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أنّ آدم زوج ابنته من ابنه لزوّجت زينب من القاسم، وما كنت لأرغب عن دين آدم،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إنهم يزعمون أنّ قابيل إنما قتل هابيل لأنهما تغايرا على أختهما،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سليمان تقول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تستحي أن تروي هذا على نبي الله آدم؟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ففيم قتل قابيل هابيل؟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الوصية،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سليمان إنّ الله تبارك وتعالى أوحى إلى آدم أن يدفع الوصية واسم الله الأعظم إلى هابيل، وكان قابيل أكبر منه، فبلغ ذلك قابيل فغضب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أولى بالكرامة والوصية، فأمرهما أن يقرّبا قرباناً بوحي من الله إليه ففعلا، فقبل الله قربان هابيل فحسدهقابيل فقتله،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فممّن تناسل ولد آدم؟ هل كانت أنثى غير حواء؟ وهل كان ذكر غير 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سليمان إنّ الله تبارك وتعالى رزق آدم من حواء قابيل، وكان ذكر ولده من بعده هابيل، فلما </w:t>
      </w:r>
    </w:p>
    <w:p>
      <w:pPr>
        <w:pStyle w:val="BookText"/>
        <w:rPr/>
      </w:pPr>
      <w:r>
        <w:rPr>
          <w:rFonts w:ascii="Amiri" w:hAnsi="Amiri" w:eastAsia="Amiri" w:cs="Amiri"/>
          <w:color w:val="111111"/>
          <w:sz w:val="28"/>
          <w:sz w:val="28"/>
          <w:szCs w:val="28"/>
          <w:rtl w:val="true"/>
          <w:lang w:bidi="ar-SA"/>
        </w:rPr>
        <w:t>أدرك قابيل ما يدرك الرجال أظهر الله له جنية وأوحى إلى آدم أن يزوجها قابيل ففعل ذلك آدم ورضي بها قابيل وقنع، فلما أدرك هابيل ما يدرك الرجال أظهر الله له حوراء وأوحى الله إلى آدم أن يزوّجها من هابيل ففعل ذلك، فقتل هابيل والحوراء حامل فولدت حوراء غلاماً فسمّاه آدم هبة الله، فأوحى الله إلى آدم أن ادفع إليه الوصية واسم الله الأعظم، وولدت حواء غلاماً فسماه آدم شيث بن آدم، فلما أدرك ما يدرك الرجال أهبط الله له حوراء وأوحى إلى آدم أن يزوجها من شيث بن آدم ففعل فولدت الحوراء جارية فسماها آدم حورة، فلما أدركت الجارية زوج آدم حورة بنت شيث من هبة الله بن هابيل فنسل آدم منهما، فمات هبة الله بن هابيل فأوحى الله إلى آدم أن ادفع الوصية واسم الله الأعظم وما أظهرتك عليه من علم النبوة وما علمتك من الأسماء إلى شيث بن آدم، فهذا حديثهم يا سليمان</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في الأمالي بسنده عن مقاتل بن سليمان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أوحى الله عزوجل إليه يا آدم أوص إلى شيث، فأوصى آدم إلى شيث وهو هبة الله بن آدم، وأوصى شيث إلى ابنه شبان وهو ابن نزلة الحوراء التي أنزلها الله على آدممن الجنة فزوّجها ابنه شيثاً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المسعودي مضمونها في إثبات الوصية</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صحيفة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إلى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ما يقول الناس أنّ آدم زوّج </w:t>
      </w:r>
      <w:bookmarkStart w:id="48" w:name="pg16406_258416"/>
    </w:p>
    <w:p>
      <w:pPr>
        <w:pStyle w:val="BookText"/>
        <w:rPr/>
      </w:pPr>
      <w:bookmarkEnd w:id="48"/>
      <w:r>
        <w:rPr>
          <w:rFonts w:ascii="IRNazanin" w:hAnsi="IRNazanin" w:eastAsia="IRNazanin"/>
          <w:color w:val="111111"/>
          <w:sz w:val="28"/>
          <w:sz w:val="28"/>
          <w:szCs w:val="28"/>
          <w:rtl w:val="true"/>
          <w:lang w:bidi="fa-IR"/>
        </w:rPr>
        <w:t>هذه البنت من هذا الإبن؟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لله، كان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ابنان وهو شيث وعبد الله، فأخرج الله لشيث حوراء من الجنة، وأخرج لعبد الله امرأة من الجنّ، فولد لهذا وولد لذاك، فما كان من حسن وجمال فمن ولد الحوراء، وما كان من قبح وبذاء فمن ولد الجنية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كلّها تدل على عدم وقوع التناكح بين الأخوة والأخوات، وتشدد النكير عليه وأنه لا يقع بين البهائم فضلاً عن أن يشرّعه الله لعباده، وأنّ في فعله تبريراً لما سلكه المجوس، مضافاً إلى أن فيه خدشاً لمقامات الأنبياء والأولياء وتدنيساً لساحات شرفهم، تعالوا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ومدلول هذه الروايات يعارض ما استدل به على  القول الأول</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7246491_1280447820"/>
      <w:bookmarkStart w:id="50" w:name="_Toc16"/>
      <w:bookmarkEnd w:id="49"/>
      <w:r>
        <w:rPr>
          <w:rtl w:val="true"/>
        </w:rPr>
        <w:t>الجهة الثالثة</w:t>
      </w:r>
      <w:r>
        <w:rPr>
          <w:rtl w:val="true"/>
        </w:rPr>
        <w:t xml:space="preserve">: </w:t>
      </w:r>
      <w:r>
        <w:rPr>
          <w:rtl w:val="true"/>
        </w:rPr>
        <w:t>في النظر في ما يستفاد من كلّ من أدلّة القولين</w:t>
      </w:r>
      <w:r>
        <w:rPr>
          <w:rtl w:val="true"/>
        </w:rPr>
        <w:t>:</w:t>
      </w:r>
      <w:bookmarkEnd w:id="50"/>
    </w:p>
    <w:p>
      <w:pPr>
        <w:pStyle w:val="BookText"/>
        <w:rPr/>
      </w:pPr>
      <w:r>
        <w:rPr>
          <w:rFonts w:ascii="Amiri" w:hAnsi="Amiri" w:eastAsia="Amiri" w:cs="Amiri"/>
          <w:color w:val="111111"/>
          <w:sz w:val="28"/>
          <w:sz w:val="28"/>
          <w:szCs w:val="28"/>
          <w:rtl w:val="true"/>
          <w:lang w:bidi="ar-SA"/>
        </w:rPr>
        <w:t>ومع الإغماض عن وقوع التعارض بين الأدلة فقد يناقش في كل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استدل به للقول الأول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الالتزام بحلية نكاح الأخت من أخيها لحرمته في الكتب السماوية، مضافاً إلى أنّه في عداد الفواحش، وله أثر وضعي سيّىء ينزّه عنه الأنبياء والأولياء وصفوة الصالحين بل سائر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المستفاد من الروايات أنّ كل ما يفعله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كما في الحج وغيره ـ فهو مشروع وأسوة لمن بعده، وذلك لأنّه خليفة الله في أرضه وحجّته على البشر، فإذا كان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زوّج الأخت من أخيها فينبغي أن يكون ذلك جائزاً وحلالاً إلى الأبد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يجاب عن كلتا المناقشتين بأنّ هذا النكاح لم يكن محرّماً لمكان </w:t>
      </w:r>
    </w:p>
    <w:p>
      <w:pPr>
        <w:pStyle w:val="BookText"/>
        <w:rPr/>
      </w:pPr>
      <w:r>
        <w:rPr>
          <w:rFonts w:ascii="Amiri" w:hAnsi="Amiri" w:eastAsia="Amiri" w:cs="Amiri"/>
          <w:color w:val="111111"/>
          <w:sz w:val="28"/>
          <w:sz w:val="28"/>
          <w:szCs w:val="28"/>
          <w:rtl w:val="true"/>
          <w:lang w:bidi="ar-SA"/>
        </w:rPr>
        <w:t>الحاجة والاضطرار، ثم حرّم بعد ذلك كما نطقت به بعض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يبقى في المقام إشكالان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الاضطرار هو المناط في حلية الأخت لأخيها فلابدّ من الالتزام بذلك في كل مورد لا يكون فيه غير الأخوات، فيقال بجواز نكاح الأخوات عند الاضطرار، والحال أنه لا يمكن تصوّر صدور الحكم أو الالتزام به من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الإغماض عن جميع ذلك إلاّ أنّ الاضطرار يرتفع بتزويج اثنين أي أخ من أخته في حين أنّ الروايات المذكورة قد صرّحت بأن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يزوّج غلام هذا البطن جارية البطن الآخر، ويزوج جارية هذا البطن غلام هذا البطن الآخر، وأنه لم يزل بنو آدم على ذلك حتى مضى أربعة آباء، وأين الاضطرار في ذلك؟وأما ما استدل به على القول الثاني ففيه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الكثيرة المذكورة وإن كانت تتفق في النتيجة إلاّ أنها في أنفسها مختلفة، فإنّ بعضها يدلّ على إنزال حوريتين من الجنّة، وبعضها يدلّ على إنزال حورية واحدة، كما أنّ بعضها يدل على أن قابيل هو الذي تزوج الجنية، وبعضها يدل على أنّ الذي تزوج الجنية غيره، بل في بعضها أنّهن أربع وغيرهما من الاختلافات، ومع ذلك فكيف يمكن الاعتماد على شيء منها؟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الحور والجن طبيعتان مغايرتان لطبيعة البشر، فهما غير قابلتين للحمل والولادة مع أنّ ظاهر الأمر أنه كان على النحو العادي الطبيعي، ولو كان على نحو الإعجاز لأمكن أن يخلق الله تعالى نساء ابتداءً كما خلق نفس آدم وحواء من دون تزاوج بين الذكر والأنثى، ثم بعد ذلك ينتشر النسل عن طريق التناكح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هناك طريقاً آخر للتوالد من الحلال من دون حاجة إلى إنزال الحورية من الجنة وتزويجها أو التزويج من الجنية، وهو الطريق الذي تمّت به ولادة مريم بنت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 وجه انتخاب الحورية والجنية بدلاً عن هذا الطريق الأسهل؟</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قد تضمنت أمراً لا يمكن تصديقه،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حواء ولدت بنتاً اسمها عناق، وكانت أول من بغى على وجه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يمكن قبوله إذ لم يكن هناك موجود آخر غير آدم وحواء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عن هذه المناقشات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الروايات وإن كانت مختلفة في نفسها إلاّ أنها كلّها تتفقعلى عدم زواج الأخت من أخيها وهو كاف في إثبات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أنّ الاختلاف في الروايات قابل للتوجيه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التزويج قد وقع أكثر من مرة، واختلاف الروايات إشارة إلى التعدد، وإنّ المستفاد من صحيحة زرارة أنّ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ابنيه شيثاً ويافث من حوريتين من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ويظهر من مرسلة الكافي أنّ هبة الله تزوج من حورية فولدت له أربعة غلمان تزوجوا بأربع من بنات الجن، وفي بعض الروايات أن قابيل هو الذي تزوّج من الجنية، وعلى أي تقدير فهذا الاختلاف لا يستدعي ردّ الروايات لإمكان توجيهها بما ذكرنا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من اشتباه الراوي في النقل وليس ذلك بعزيز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هذه الروايات تشترك في نفي زواج الأخ من أخته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الإشكال بعدم قابلية الحورية والجنية للحمل والولادة غير وارد، وذلك لأنّ القرآن الكريم قد نصّ على قابلية الحور للزواج </w:t>
      </w:r>
      <w:bookmarkStart w:id="51" w:name="pg16406_258419"/>
    </w:p>
    <w:p>
      <w:pPr>
        <w:pStyle w:val="BookText"/>
        <w:rPr/>
      </w:pPr>
      <w:bookmarkEnd w:id="51"/>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وَزَوَّجْنَاهُمْ بِحُورٍ عِينٍ</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على أنّ بعض الروايات قد ورد فيها أنّ الله تعالى لما أنزل الحورية من الجنة خلق لها رحماً</w:t>
      </w:r>
      <w:r>
        <w:rPr>
          <w:rStyle w:val="FootnoteAnchor"/>
          <w:rtl w:val="true"/>
        </w:rPr>
        <w:footnoteReference w:id="77"/>
      </w:r>
      <w:r>
        <w:rPr>
          <w:rFonts w:ascii="Amiri" w:hAnsi="Amiri" w:eastAsia="Amiri" w:cs="Amiri"/>
          <w:color w:val="111111"/>
          <w:sz w:val="28"/>
          <w:sz w:val="28"/>
          <w:szCs w:val="28"/>
          <w:rtl w:val="true"/>
          <w:lang w:bidi="ar-SA"/>
        </w:rPr>
        <w:t>، وذلك مما يرفع الاستبعاد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اختلاف الجنس والطبيعة فقد أجاب القرآن الكريم عنه في قضية هاروت وماروت</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عن الثالث فلعلّ عدم انتخاب الطريق الذي تمّت به ولادة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من أجل اختصاصهما بهذه المعجزة دون غيرهما، أو لأنّ الظرف الذي كانا فيه اقتضى أن تكون ولادة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النحو من الإعجاز أو لغير ذلك من الأسرار والمصالح التي لا نعلمها، وهذا لا يوجب نقض ما دلّت عليه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الرابع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قصة عناق قد وردت في رواية واحدة فقط، على أنها ضعيفة السند، وهذا لا يوجب الإشكال في غيرها من سائر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عدم موجود آخر غير آدم وحواء بل الدليل قائم على العكس، وأنّ هناك موجودات أخرى كما سنشير إلى ذلك قريباً</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7246493_1280447820"/>
      <w:bookmarkStart w:id="53" w:name="_Toc17"/>
      <w:bookmarkEnd w:id="52"/>
      <w:r>
        <w:rPr>
          <w:rtl w:val="true"/>
        </w:rPr>
        <w:t>الجهة الرابعة</w:t>
      </w:r>
      <w:r>
        <w:rPr>
          <w:rtl w:val="true"/>
        </w:rPr>
        <w:t xml:space="preserve">: </w:t>
      </w:r>
      <w:r>
        <w:rPr>
          <w:rtl w:val="true"/>
        </w:rPr>
        <w:t>في علاج التعارض</w:t>
      </w:r>
      <w:r>
        <w:rPr>
          <w:rtl w:val="true"/>
        </w:rPr>
        <w:t>:</w:t>
      </w:r>
      <w:bookmarkEnd w:id="5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فرض التسليم بأدلة كل من القولين يقع التعارض فيما بينها، ومقتضى القاعدة ـ في التعارض ـ تقديم ما يقترن بالمرجّح ـ بناء على جريانه في مثل المقام ـ ومع عدمه يسقط كلّ من الطرفين عن الحجيّة ويكون المرجع حينئذ إلى </w:t>
      </w:r>
    </w:p>
    <w:p>
      <w:pPr>
        <w:pStyle w:val="BookText"/>
        <w:rPr/>
      </w:pPr>
      <w:r>
        <w:rPr>
          <w:rFonts w:ascii="Amiri" w:hAnsi="Amiri" w:eastAsia="Amiri" w:cs="Amiri"/>
          <w:color w:val="111111"/>
          <w:sz w:val="28"/>
          <w:sz w:val="28"/>
          <w:szCs w:val="28"/>
          <w:rtl w:val="true"/>
          <w:lang w:bidi="ar-SA"/>
        </w:rPr>
        <w:t>الأصول اللفظية أو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ملاحظة وقوع التعارض بين الطائفتين لاشتمال كل منهما على الصحيح السند إذ أنّ رواية قرب الإسناد الدالة على القول الأول صحيحة، كما أنّ رواية زرارة في الفقيه الدالة على القول الثاني صحيحة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أنّ المرجحات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تكون من جهة الراوي ككونه أعدلأو أفقه أو نحو ذلك، وإما أن تكون من جهة شهرة الرواية، وإما أن تكون من جهةالموافقة للكتاب، وإما أن تكون من جهة المخالفة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المرجّح الأول فهو في جانب الطائفة الثانية لأنّ العمدة فيها هي الصحيحة، وراويها زرارة، وهو من أجلّ  الأصحاب، وأعلاهم كعباً، وأرفعهم مقاماً، وأكثرهم علماً، وهو من القوّامين بالقسط القوّالين بالصدق</w:t>
      </w:r>
      <w:r>
        <w:rPr>
          <w:rStyle w:val="FootnoteAnchor"/>
          <w:rtl w:val="true"/>
        </w:rPr>
        <w:footnoteReference w:id="79"/>
      </w:r>
      <w:r>
        <w:rPr>
          <w:rFonts w:ascii="Amiri" w:hAnsi="Amiri" w:eastAsia="Amiri" w:cs="Amiri"/>
          <w:color w:val="111111"/>
          <w:sz w:val="28"/>
          <w:sz w:val="28"/>
          <w:szCs w:val="28"/>
          <w:rtl w:val="true"/>
          <w:lang w:bidi="ar-SA"/>
        </w:rPr>
        <w:t xml:space="preserve">، وهو من أحبّ الناس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وميّتاً</w:t>
      </w:r>
      <w:r>
        <w:rPr>
          <w:rStyle w:val="FootnoteAnchor"/>
          <w:rtl w:val="true"/>
        </w:rPr>
        <w:footnoteReference w:id="80"/>
      </w:r>
      <w:r>
        <w:rPr>
          <w:rFonts w:ascii="IRNazanin" w:hAnsi="IRNazanin" w:eastAsia="IRNazanin"/>
          <w:color w:val="111111"/>
          <w:sz w:val="28"/>
          <w:sz w:val="28"/>
          <w:szCs w:val="28"/>
          <w:rtl w:val="true"/>
          <w:lang w:bidi="fa-IR"/>
        </w:rPr>
        <w:t xml:space="preserve">، وقد ترحّم عليه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زرارة بن أعين، لولا زرارة ونظراؤه لاندرست أحاديث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زرارة لظننت أنّ أحاديث أبي ستذهب</w:t>
      </w:r>
      <w:r>
        <w:rPr>
          <w:rStyle w:val="FootnoteAnchor"/>
          <w:rtl w:val="true"/>
        </w:rPr>
        <w:footnoteReference w:id="82"/>
      </w:r>
      <w:r>
        <w:rPr>
          <w:rFonts w:ascii="Amiri" w:hAnsi="Amiri" w:eastAsia="Amiri" w:cs="Amiri"/>
          <w:color w:val="111111"/>
          <w:sz w:val="28"/>
          <w:sz w:val="28"/>
          <w:szCs w:val="28"/>
          <w:rtl w:val="true"/>
          <w:lang w:bidi="ar-SA"/>
        </w:rPr>
        <w:t>، إلى غير ذلك من الروايات الدالة على جلالة قدره وأنه من السابقين المقرّبين</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المرجّح الثاني فهو في جانب الطائفة الثانية أيضاً، فإنّ عدد رواياتها أكثر من اثني عشر رواية، ولم نقف على أكثر من روايتين من طرق الخاصة في الطائفة الأولى</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المرجّح الثالث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جانب الطائفة الأولى؛ لأنّها موافقة </w:t>
      </w:r>
    </w:p>
    <w:p>
      <w:pPr>
        <w:pStyle w:val="BookText"/>
        <w:rPr/>
      </w:pPr>
      <w:r>
        <w:rPr>
          <w:rFonts w:ascii="Amiri" w:hAnsi="Amiri" w:eastAsia="Amiri" w:cs="Amiri"/>
          <w:color w:val="111111"/>
          <w:sz w:val="28"/>
          <w:sz w:val="28"/>
          <w:szCs w:val="28"/>
          <w:rtl w:val="true"/>
          <w:lang w:bidi="ar-SA"/>
        </w:rPr>
        <w:t>لظاهر الكتاب حيث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وَبَثَّ مِنْهُمَا رِجَالاً كَثِيراً وَنِسَاءً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ذلك أنه لم يكن لغير آدم وحواء دخل في البثّ وانتشار النسل كما تقدم بيان ذلك، وأما بناء على القول الثاني فليس البثّ منحصراً فيهما بل معهما غيرهما من الحور والجن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بالبث هو انتشار النسل على نحو الإطلاق أي الشامل للطبقات المتأخرة أيضاً فالكلام تام، ويكون المرجّح في جانب 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المراد بالبثّ هو الانتشار الأول أي انتشار الرجال والنساء من آدم وحواء فقط ولا يشمل الطبقات المتأخرة فليست روايات الطائفة الثانية مخالفة له، كما أنّ روايتي الطائفة الأولى ليستا موافقتين له، بل الآية ساكتة عن الطبقات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واستفادة هذا المعنى من الآية الشريفة قريبة جداً، فإنه قد ورد في بعض الأخبار المتقدمة أنّ حواء قد ولدت لآدم عشرين بطناً في كل بطن ذكر وأنثى، وفي بعضها أنها قد ولدت ماءة وعشرين بطناً وفي كل بطن ذكر وأنثى، وفي رواية العلل أنّ آدم ولد له سبعون بطناً في كل بطن غلام وجارية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عدد الذكور والإناث ماءتين وأربعين، أو ماءة وأربعين، أو أربعين فإنه يصدق عليه أنّ البثّ من آدم وحواء ولا يتوقّف على شموله للطبقاتالمتأخرة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الظاهر من بعض تفاسير العامة، فإنّ السيوطي في درّه المنثور قد اكتفى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وَبَثَّ مِنْهُمَا رِجَالاً كَثِيراً وَنِسَاءً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ابن عباس </w:t>
      </w:r>
    </w:p>
    <w:p>
      <w:pPr>
        <w:pStyle w:val="BookText"/>
        <w:rPr/>
      </w:pPr>
      <w:r>
        <w:rPr>
          <w:rFonts w:ascii="Amiri" w:hAnsi="Amiri" w:eastAsia="Amiri" w:cs="Amiri"/>
          <w:color w:val="111111"/>
          <w:sz w:val="28"/>
          <w:sz w:val="28"/>
          <w:szCs w:val="28"/>
          <w:rtl w:val="true"/>
          <w:lang w:bidi="ar-SA"/>
        </w:rPr>
        <w:t>الدالّة على أنّ حواء ولدت لآدم عشرين بطناً في كل بطن ذكر وأنثى</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المراغي في تفسيره بعد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وَبَثَّ مِنْهُمَا رِجَالاً كَثِيراً وَنِسَاءً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ونشر من آدم وحواء نوعي جنس الإنس وهما الذكور والإناث فجعل النسل من الزوجين كليهما </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أنّ وصف الرجال بالكثرة دون النساء يؤيّد أنّ المراد بالبثّ هو الانتشار الأول، وذلك لأنّ الله تعالى عوّض آدم بعد مقتل هابيل بشيث ويافث كما في بعض الروايات، فصار عدد الرجال أكثر من عدد النساء، ولو كان الملحوظ في الآية جميع الطبقات لم يصدق ذلك، إذ قد يكون النساء أكثر عدداً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المرجّح ـ وهو العمدة في ما ذهب إليه العلامة الطباطبائي في  الميزان ـ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المرجّح الرابع فهو في جانب الطائفة الثانية أيضاً كما هو واضح، لأنه مخالف للمشهور عند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والنتيجة أنّ المرجحات كلّها تقتضي تقديم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المرجّح الثالث فإنّه ليس مع أحدهما، فالظاهر هو صحّة القول الثاني الموافق لقواعد الشرائع، ومذاق أهل الشرع، والموجب لتطهير ساحة الأنبياء والأولياء وصفوة الخلق من دنس الفحشاء والمنكر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ما رجّحناه، ما ثبت علمياً كقاعدة مسلّمة بين علماء الطب المتخصّصين في أمراض الدم، من أنّ فصائل دم الأولاد تابعة لدم أحد الوالدين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 أو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يمكن أن يخرج عن أحدهما، فلو كان تكاثر طبقات البشر ناشئاً من التناكح بين  الأخوة والأخوات للزم أن تكون جميع فصائل دم أفراد </w:t>
      </w:r>
    </w:p>
    <w:p>
      <w:pPr>
        <w:pStyle w:val="BookText"/>
        <w:rPr/>
      </w:pPr>
      <w:r>
        <w:rPr>
          <w:rFonts w:ascii="Amiri" w:hAnsi="Amiri" w:eastAsia="Amiri" w:cs="Amiri"/>
          <w:color w:val="111111"/>
          <w:sz w:val="28"/>
          <w:sz w:val="28"/>
          <w:szCs w:val="28"/>
          <w:rtl w:val="true"/>
          <w:lang w:bidi="ar-SA"/>
        </w:rPr>
        <w:t>البشر لا تتجاوز فصيلتين مع أنها متعددة بلا إشكال كما هو مقرّر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التعدّد في فصائل الدم ناشىء من التزاوج الحاصل بين الإنسان وبين غيره من الأجناس الأخرى كالحور أو الجن في بداية التناسل البشري، على 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ويعضد ذلك ما سنذكره قريباً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هناك نظرية ثالثة في كيفية تكاثر البشر وتناسلهم وقد ذكرت على أنها مجرّد احتمال، وحاصلها أنّ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زوّج أبناءه من بقايا السلالات البشرية السابقة عليه التي كانت تعيش على  الأرض قبل أن يهبط آدم إليها من الجنة، فقد ورد في بعض الروايات أنّ الله تعالى خلق ألف ألف عالم وألف ألفآدم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تلك العوالم وأولئك الآدميين</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يؤيّد ذلك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الفترة الزمنية الفاصلة بيننا وبين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تتجاوز عشرة آلاف سنة، وهي فترة زمنية قصيرة بالنسبة إلى ما قرره علماء طبقات الأرض وما توصّلوا إليه من مكتشفات قدّروا أعمارها بمئات الآلاف من السنين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وردت بعض الروايات تدلّ على وجود بعض المخلوقات كانت تعيش على الأرض قبل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بزمن طويل، ومن ذلك ما ورد في معتبرة جابر بن يزيد الجعفي عن أبي جعفر محمد بن علي بن الحسين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أراد أن يخلق خلقاً بيده وذلك بعدما مضى من الجنّ والنسناس في الأرض سبعة آلاف سنة، وكان من شأنه خلق آدم </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 من الروايات</w:t>
      </w:r>
      <w:r>
        <w:rPr>
          <w:rStyle w:val="FootnoteAnchor"/>
          <w:rtl w:val="true"/>
        </w:rPr>
        <w:footnoteReference w:id="89"/>
      </w:r>
      <w:r>
        <w:rPr>
          <w:rFonts w:ascii="IRNazanin" w:hAnsi="IRNazanin" w:eastAsia="IRNazanin"/>
          <w:color w:val="111111"/>
          <w:sz w:val="28"/>
          <w:sz w:val="28"/>
          <w:szCs w:val="28"/>
          <w:rtl w:val="true"/>
          <w:lang w:bidi="fa-IR"/>
        </w:rPr>
        <w:t xml:space="preserve">الدالة على وجود الحياة على الأرض قبل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وهذه النظرية وإن ذكرناها على أنها مجرد احتمال وهي من جهة الثبوت تامة، ويرتفع بها كثير من الإشكالات، إلاّ أن الكلام في جهة الإثبات وقيام الدليلعليها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أردناه في هذا 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المقصود بالذات فهو ما سيأتي في ضمن الفصول القادمة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16406_258426"/>
      <w:bookmarkStart w:id="55" w:name="pg16406_258426"/>
      <w:bookmarkEnd w:id="55"/>
    </w:p>
    <w:p>
      <w:pPr>
        <w:pStyle w:val="Heading3"/>
        <w:numPr>
          <w:ilvl w:val="2"/>
          <w:numId w:val="1"/>
        </w:numPr>
        <w:rPr/>
      </w:pPr>
      <w:bookmarkStart w:id="56" w:name="pg16406_258426"/>
      <w:bookmarkStart w:id="57" w:name="__RefHeading___Toc7246495_1280447820"/>
      <w:bookmarkStart w:id="58" w:name="_Toc18"/>
      <w:bookmarkEnd w:id="56"/>
      <w:bookmarkEnd w:id="57"/>
      <w:r>
        <w:rPr>
          <w:rtl w:val="true"/>
        </w:rPr>
        <w:t>التقية في النكاح</w:t>
      </w:r>
      <w:bookmarkEnd w:id="58"/>
    </w:p>
    <w:p>
      <w:pPr>
        <w:pStyle w:val="Heading4"/>
        <w:numPr>
          <w:ilvl w:val="3"/>
          <w:numId w:val="1"/>
        </w:numPr>
        <w:rPr/>
      </w:pPr>
      <w:bookmarkStart w:id="59" w:name="__RefHeading___Toc7246497_1280447820"/>
      <w:bookmarkStart w:id="60" w:name="_Toc19"/>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وهي من المسائل الابتلائية ولا سيّما في زماننا هذا، ونظراً لأهمّيتها وكثرة الابتلاء بها لابدّ من البحث حولها بما يناسب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أولاً تعيين مواضع البحث من هذه المسألة، وثانياً بيان الأحكام المتعلّقة بها على ضوء الأدلة الأولية والثانوية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مواضع البحث فهي مناكحة الكافر والمخالف، وذلك لأنّها تارة تكون مع الكافر الكتابي أو مع من له شبهة كتاب كالمجوسي، وأخرى مع الكافر غير الكتابي، وثالثة مع من حكم بكفره كالنواصب والغلاة والخوارج، ورابعة مع المخالف غير من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الأقسام الأربعة تارة يكون النكاح فيها ابتدائياً، وأخرى بقائياً كما أنه تارة يكون نكاحاً دائماً، وأخرى منقطعاً، والزوج تارة يكون رجلاً وأخرى امرأة والحاصل من ذلك ستة عشر قسماً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بيان أحكام هذه المواضع فيقع الكلام فيها في مقامات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المشرك والكافر غير الكتابي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 له شبهة كتاب كالصابئة والمجوس والسامرة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المخالف</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مناكحة هذه الأصناف فيما بينهم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الكافر غير الكتابي ـ رجلاً كان الزوج أو امرأة ـ فمناكحته باطلة بجميع أقسامها الثمانية، بإجماع المسلمين فضلاً عن المؤمنين كما في الجواهر</w:t>
      </w:r>
      <w:r>
        <w:rPr>
          <w:rStyle w:val="FootnoteAnchor"/>
          <w:rtl w:val="true"/>
        </w:rPr>
        <w:footnoteReference w:id="90"/>
      </w:r>
      <w:r>
        <w:rPr>
          <w:rFonts w:ascii="Amiri" w:hAnsi="Amiri" w:eastAsia="Amiri" w:cs="Amiri"/>
          <w:color w:val="111111"/>
          <w:sz w:val="28"/>
          <w:sz w:val="28"/>
          <w:szCs w:val="28"/>
          <w:rtl w:val="true"/>
          <w:lang w:bidi="ar-SA"/>
        </w:rPr>
        <w:t>، مضافاً إلى دلالة الكتاب والسنة المستفيضة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الكافر الكتابي فقد اختلفت كلمات الخاصة على ستّة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مطلقاً وهو مذهب المرتضى</w:t>
      </w:r>
      <w:r>
        <w:rPr>
          <w:rStyle w:val="FootnoteAnchor"/>
          <w:rtl w:val="true"/>
        </w:rPr>
        <w:footnoteReference w:id="91"/>
      </w:r>
      <w:r>
        <w:rPr>
          <w:rFonts w:ascii="Amiri" w:hAnsi="Amiri" w:eastAsia="Amiri" w:cs="Amiri"/>
          <w:color w:val="111111"/>
          <w:sz w:val="28"/>
          <w:sz w:val="28"/>
          <w:szCs w:val="28"/>
          <w:rtl w:val="true"/>
          <w:lang w:bidi="ar-SA"/>
        </w:rPr>
        <w:t>، والشيخ المفيد في أحد قوليه</w:t>
      </w:r>
      <w:r>
        <w:rPr>
          <w:rStyle w:val="FootnoteAnchor"/>
          <w:rtl w:val="true"/>
        </w:rPr>
        <w:footnoteReference w:id="92"/>
      </w:r>
      <w:r>
        <w:rPr>
          <w:rFonts w:ascii="Amiri" w:hAnsi="Amiri" w:eastAsia="Amiri" w:cs="Amiri"/>
          <w:color w:val="111111"/>
          <w:sz w:val="28"/>
          <w:sz w:val="28"/>
          <w:szCs w:val="28"/>
          <w:rtl w:val="true"/>
          <w:lang w:bidi="ar-SA"/>
        </w:rPr>
        <w:t>، وهو أحد قولي الشيخ الطوسي أيضاً</w:t>
      </w:r>
      <w:r>
        <w:rPr>
          <w:rStyle w:val="FootnoteAnchor"/>
          <w:rtl w:val="true"/>
        </w:rPr>
        <w:footnoteReference w:id="93"/>
      </w:r>
      <w:r>
        <w:rPr>
          <w:rFonts w:ascii="Amiri" w:hAnsi="Amiri" w:eastAsia="Amiri" w:cs="Amiri"/>
          <w:color w:val="111111"/>
          <w:sz w:val="28"/>
          <w:sz w:val="28"/>
          <w:szCs w:val="28"/>
          <w:rtl w:val="true"/>
          <w:lang w:bidi="ar-SA"/>
        </w:rPr>
        <w:t>، وقواه ابن إدريس</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انفردت به الإمامية حظر نكاح الكتابيات</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المحصّلون من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نكاح من خالف الإسلام لا اليهود ولا النصارى ولا غيرهم، وقال قوم من أصحاب الحديث من أصحابنا يجوز ذلك، وأختار في كتابي الأخبار التحريم أيضاً مطلقاً</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 وهو منقول عن الشيخ علي بن الحسين بن بابويه</w:t>
      </w:r>
      <w:r>
        <w:rPr>
          <w:rStyle w:val="FootnoteAnchor"/>
          <w:rtl w:val="true"/>
        </w:rPr>
        <w:footnoteReference w:id="97"/>
      </w:r>
      <w:r>
        <w:rPr>
          <w:rFonts w:ascii="IRNazanin" w:hAnsi="IRNazanin" w:eastAsia="IRNazanin"/>
          <w:color w:val="111111"/>
          <w:sz w:val="28"/>
          <w:sz w:val="28"/>
          <w:szCs w:val="28"/>
          <w:rtl w:val="true"/>
          <w:lang w:bidi="fa-IR"/>
        </w:rPr>
        <w:t>وابنه</w:t>
      </w:r>
      <w:r>
        <w:rPr>
          <w:rStyle w:val="FootnoteAnchor"/>
          <w:rtl w:val="true"/>
        </w:rPr>
        <w:footnoteReference w:id="98"/>
      </w:r>
      <w:r>
        <w:rPr>
          <w:rFonts w:ascii="Amiri" w:hAnsi="Amiri" w:eastAsia="Amiri" w:cs="Amiri"/>
          <w:color w:val="111111"/>
          <w:sz w:val="28"/>
          <w:sz w:val="28"/>
          <w:szCs w:val="28"/>
          <w:rtl w:val="true"/>
          <w:lang w:bidi="ar-SA"/>
        </w:rPr>
        <w:t>وابن عقيل</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علي  على ما نقله عنه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تزوجت يهودية أو </w:t>
      </w:r>
    </w:p>
    <w:p>
      <w:pPr>
        <w:pStyle w:val="BookText"/>
        <w:rPr/>
      </w:pPr>
      <w:r>
        <w:rPr>
          <w:rFonts w:ascii="Amiri" w:hAnsi="Amiri" w:eastAsia="Amiri" w:cs="Amiri"/>
          <w:color w:val="111111"/>
          <w:sz w:val="28"/>
          <w:sz w:val="28"/>
          <w:szCs w:val="28"/>
          <w:rtl w:val="true"/>
          <w:lang w:bidi="ar-SA"/>
        </w:rPr>
        <w:t>نصرانية فامنعها من شرب  الخمر، وأكل لحم الخنزير</w:t>
      </w:r>
      <w:r>
        <w:rPr>
          <w:rStyle w:val="FootnoteAnchor"/>
          <w:rtl w:val="true"/>
        </w:rPr>
        <w:footnoteReference w:id="100"/>
      </w:r>
      <w:r>
        <w:rPr>
          <w:rFonts w:ascii="IRNazanin" w:hAnsi="IRNazanin" w:eastAsia="IRNazanin"/>
          <w:color w:val="111111"/>
          <w:sz w:val="28"/>
          <w:sz w:val="28"/>
          <w:szCs w:val="28"/>
          <w:rtl w:val="true"/>
          <w:lang w:bidi="fa-IR"/>
        </w:rPr>
        <w:t>، وقواه صاحب الجواهر</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المتعة اختياراً والدوام اضطراراً، وهو مذهب الشيخ في النهاية</w:t>
      </w:r>
      <w:r>
        <w:rPr>
          <w:rStyle w:val="FootnoteAnchor"/>
          <w:rtl w:val="true"/>
        </w:rPr>
        <w:footnoteReference w:id="102"/>
      </w:r>
      <w:r>
        <w:rPr>
          <w:rFonts w:ascii="Amiri" w:hAnsi="Amiri" w:eastAsia="Amiri" w:cs="Amiri"/>
          <w:color w:val="111111"/>
          <w:sz w:val="28"/>
          <w:sz w:val="28"/>
          <w:szCs w:val="28"/>
          <w:rtl w:val="true"/>
          <w:lang w:bidi="ar-SA"/>
        </w:rPr>
        <w:t>، وابن حمزة</w:t>
      </w:r>
      <w:r>
        <w:rPr>
          <w:rStyle w:val="FootnoteAnchor"/>
          <w:rtl w:val="true"/>
        </w:rPr>
        <w:footnoteReference w:id="103"/>
      </w:r>
      <w:r>
        <w:rPr>
          <w:rFonts w:ascii="IRNazanin" w:hAnsi="IRNazanin" w:eastAsia="IRNazanin"/>
          <w:color w:val="111111"/>
          <w:sz w:val="28"/>
          <w:sz w:val="28"/>
          <w:szCs w:val="28"/>
          <w:rtl w:val="true"/>
          <w:lang w:bidi="fa-IR"/>
        </w:rPr>
        <w:t>، وابن البرّاج</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العقد بحال، وجواز الوطىء بملك اليمين، وهو مذهب الشيخ المفيد</w:t>
      </w:r>
      <w:r>
        <w:rPr>
          <w:rStyle w:val="FootnoteAnchor"/>
          <w:rtl w:val="true"/>
        </w:rPr>
        <w:footnoteReference w:id="105"/>
      </w:r>
      <w:r>
        <w:rPr>
          <w:rFonts w:ascii="Amiri" w:hAnsi="Amiri" w:eastAsia="Amiri" w:cs="Amiri"/>
          <w:color w:val="111111"/>
          <w:sz w:val="28"/>
          <w:sz w:val="28"/>
          <w:szCs w:val="28"/>
          <w:rtl w:val="true"/>
          <w:lang w:bidi="ar-SA"/>
        </w:rPr>
        <w:t>في قوله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المتعة وملك اليمين وتحريم  الدوام، ونقل عن أبي الصلاح</w:t>
      </w:r>
      <w:r>
        <w:rPr>
          <w:rStyle w:val="FootnoteAnchor"/>
          <w:rtl w:val="true"/>
        </w:rPr>
        <w:footnoteReference w:id="106"/>
      </w:r>
      <w:r>
        <w:rPr>
          <w:rFonts w:ascii="Amiri" w:hAnsi="Amiri" w:eastAsia="Amiri" w:cs="Amiri"/>
          <w:color w:val="111111"/>
          <w:sz w:val="28"/>
          <w:sz w:val="28"/>
          <w:szCs w:val="28"/>
          <w:rtl w:val="true"/>
          <w:lang w:bidi="ar-SA"/>
        </w:rPr>
        <w:t>وسلاّر وهو ظاهر الشيخ في المبسوط</w:t>
      </w:r>
      <w:r>
        <w:rPr>
          <w:rStyle w:val="FootnoteAnchor"/>
          <w:rtl w:val="true"/>
        </w:rPr>
        <w:footnoteReference w:id="107"/>
      </w:r>
      <w:r>
        <w:rPr>
          <w:rFonts w:ascii="IRNazanin" w:hAnsi="IRNazanin" w:eastAsia="IRNazanin"/>
          <w:color w:val="111111"/>
          <w:sz w:val="28"/>
          <w:sz w:val="28"/>
          <w:szCs w:val="28"/>
          <w:rtl w:val="true"/>
          <w:lang w:bidi="fa-IR"/>
        </w:rPr>
        <w:t>واختاره المتأخرون</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نكاحهن مطلقاً اختياراً، وتجويزه مطلقاً اضطراراً، وتجويز الوطي بملك اليمين، ونقل عن ابن الجنيد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العامة فقد نقل الشيخ في الخلاف بعض ما هم عليه، قال بعد أن ذكر مذهب الخاصّة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 جميع الفقهاء التزويج بالكتابيّات، وهو المروي عن عمر، وعثمان، وطلحة، وحذيفة، وجابر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عماراً نكح نصرانية، ونكح طلحة نصرانية، ونكح حذيفة 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عمر كراهية ذلك، وإليه ذهب </w:t>
      </w:r>
    </w:p>
    <w:p>
      <w:pPr>
        <w:pStyle w:val="BookText"/>
        <w:rPr/>
      </w:pPr>
      <w:r>
        <w:rPr>
          <w:rFonts w:ascii="Amiri" w:hAnsi="Amiri" w:eastAsia="Amiri" w:cs="Amiri"/>
          <w:color w:val="111111"/>
          <w:sz w:val="28"/>
          <w:sz w:val="28"/>
          <w:szCs w:val="28"/>
          <w:rtl w:val="true"/>
          <w:lang w:bidi="ar-SA"/>
        </w:rPr>
        <w:t>الشافعي</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للمسلم نكاح أمة كتابية، حرّاً كان أو عبداً، وبه قال في  الصحابة عمر، وابن مسعود، وفي التابعين الحسن البصري، ومجاهد، والزهري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الفقهاء مالك والشافعي، والأوزاعي، والليث بن سعد، والثوري، وأحمد، وإسحاق</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والفرق بين الموضعين أنّ الأول في نكاح الحرائر، والثاني في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أهل العلم بحمد الله اختلاف في حلّ حرائر نساء أهل الكتاب، وممّن روي عنه ذلك عمر، وعثمان، وطلحة، وحذيفة، وسلمان، وجابر، وغيرهم، وقال ابن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عن أحد من الأوائل أنه حرّم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سائر أهل العلم، وحرمته الإماميّة تمسكاً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وَلاتَنكِحُوا الْمُشْرِكَاتِ حَتَّى يُؤْمِنَّ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تُمْسِكُوا بِعِصَمِ الْكَوَافِرِ</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للمسلم نكاح الكتابية، وهي اليهودية والنصرانية والمجوسية بالزواج، ولا يحلّ له وطىء أمة غير مسلمة بملك اليمين، ولا نكاح كافرة غير كتابية أصلاً، قال عليّ روينا عن ابن عمر تحريم نكاح نساء أهل الكتاب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وأباح أبو حنيفة ومالك والشافعي نكاح اليهودية والنصرانية ووطىء الأمة اليهودية والنصرانية بملك اليمين، وحرّموا نكاح المجوسية جملة ووطئها بملك اليمين، إلاّ أنّ مالك حرّم زواج الأمة اليهودية والنصرانية، وأباح نكاح المجوسية بملك  اليمين</w:t>
      </w:r>
      <w:r>
        <w:rPr>
          <w:rStyle w:val="FootnoteAnchor"/>
          <w:rtl w:val="true"/>
        </w:rPr>
        <w:footnoteReference w:id="11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لمسلم نكاح غير مسلم أصلاً</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في الفقه على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المخالفون للمسلمين في العقيدة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كتاب لهم سماوي ولا شبهة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بهؤلاء المرتدون الذين ينكرون المعلوم من الدين الإسلامي بالضرورة، والرافضة الذين يعتقدون أنّ جبرئيل غلط في الوحي، فأوحى إلى محمد مع أنّ الله أمره بالإيحاء إلى علي، أو يعتقدون أنّ علياً إلهاً، أو يكذب بعض آيات القرآن فيقذف عائشة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لهم شبهة كتاب، وهؤلاء هم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لهم كتاب محقّق تؤمن به كاليهود الذين يؤمنون بالتوراة، والنصارى الذين يؤمنون بالتوراة والإنجيل، فهؤلاء تصحّ مناكحتهم بمعنى أنهيحلّ للمؤمن أن يتزوّج الكتابية ولا يحلّ للمسلمة أن تتزوّج الكتابي، كما لا يحلّ لها أن تتزوّج غيره، فالشرط في صحّة نكاح المسلمة أن يكون الزوج مسلماً </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يتبين أنّ نكاح الكتابية عندهم جائز بل عليه دعوى إجماعهم، كما أنّ المشهور عندهم عدم جواز نكاح المسلمة للكتابي، وأنّ في نكاح الأمة الكتابية بملك اليمين خلافاً ولعلّ المشهور عندهم فيه هو الجواز</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يثير الدهشة والعجب ما نسبه صاحب الفقه على المذاهب الأربعة إلى الرافضة من اعتقادهم بغلط الوحي وتأليه علي وقذف عائشة، فإن كان مراده الشيعة الإمامية فليته أشار إلى مصدر من مصادرهم ذكروا فيه ذلك، وكان على هذا الكاتب بدل أن يلقي الكلام على عواهنه ويجترّ ما سطّره أسلافه أن يتثبّت في الأمر ونحن في عصر الانفتاح ـ كما يُدّعى ـ وهو من المعاصرين، وكان بإمكانه أن يتعرّف على عقائد الشيعة عن كثب، فليست النجف الأشرف </w:t>
      </w:r>
    </w:p>
    <w:p>
      <w:pPr>
        <w:pStyle w:val="BookText"/>
        <w:rPr/>
      </w:pPr>
      <w:r>
        <w:rPr>
          <w:rFonts w:ascii="Amiri" w:hAnsi="Amiri" w:eastAsia="Amiri" w:cs="Amiri"/>
          <w:color w:val="111111"/>
          <w:sz w:val="28"/>
          <w:sz w:val="28"/>
          <w:szCs w:val="28"/>
          <w:rtl w:val="true"/>
          <w:lang w:bidi="ar-SA"/>
        </w:rPr>
        <w:t>حاضرة العلم الشيعي، أو قم المقدسة عش آل محمد بعيدتين عن مصر التي ألف فيها الكاتب كتابه وأهداه إلى شيخ الأزهر، فهل هذا هو مقتضى الأمانة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ما فعله هذا الكاتب أسلوباً من أساليب الخداع والتضليل وتشويه الحقائق والتدليس، ولو رجع هذا الكاتب إلى مصادر الشيعة لرأى أنّ فقهاء الشيعة يفتون بكفر من يقول بذلك ويعتقد به، وكم فرق بين الأمرين، ولكن كلّ إناء بالذي فيه ينضح، وتلك شكاة ظاهر عنك عارها، وإنها لشنشنة نعرفها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نعوذ بالله من الخذلان والزور والبهتان والظلم والعدوان، وإنا للهوإنّا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المشهور عند الإمامية هو القول الأول والخامس، وهو عدم جواز نكاح الكتابية مطلقاً، والتفصيل بين النكاح الدائم وبين المنقطع وملك اليمين فلا يجوز في الأول دون الأخيرين، نعم قوّى صاحب الجواهر القول الثاني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استدلّ لكل من الحرمة والجواز بالآيات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استدلّ به على الحرمة من الكتاب فعدة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تَنكِحُوا الْمُشْرِكَاتِ حَتَّى يُؤْمِنَّ وَلأَمَةٌ مُؤْمِنَةٌ خَيْرٌ مِنْ مُشْرِكَةٍ وَلَوْ أَعْجَبَتْكُمْ وَلا تُنكِحُوا الْمُشْرِكِينَ حَتَّى يُؤْمِنُوا وَلَعَبْدٌ مُؤْمِنٌ خَيْرٌ مِنْ مُشْرِكٍ وَلَوْ أَعْجَبَكُمْ أُوْلَئِكَ يَدْعُونَ إِلَى النَّارِ وَاللَّهُ يَدْعُو إِلَى الْجَنَّةِ وَالْمَغْفِرَةِ </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واضحة الدلالة في النهي عن نكاح المؤمنين للمشركات ونكاح المؤمنات للمشركين، والآية وإن كان ظاهرها يختصّ بالمشركين والمشركات إلاّ أنّ شمولها لليهود والنصارى إما لجهة أنهم مشركون في الواقع كما يظهر من بعض الآيات الأخرى على ما حققناه في محلّه في الجزء الأول من هذا الكتاب، وإما من جهة تعليق المنع على الغاية وهو الإيمان فيدلّ على اشتراطه </w:t>
      </w:r>
    </w:p>
    <w:p>
      <w:pPr>
        <w:pStyle w:val="BookText"/>
        <w:rPr/>
      </w:pPr>
      <w:r>
        <w:rPr>
          <w:rFonts w:ascii="Amiri" w:hAnsi="Amiri" w:eastAsia="Amiri" w:cs="Amiri"/>
          <w:color w:val="111111"/>
          <w:sz w:val="28"/>
          <w:sz w:val="28"/>
          <w:szCs w:val="28"/>
          <w:rtl w:val="true"/>
          <w:lang w:bidi="ar-SA"/>
        </w:rPr>
        <w:t>في النكاح، وإما من جهة ما ورد في ذيل الآية الشريفة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يَدْعُونَ إِلَىالنَّارِ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فالعلّة عامة لا تختصّ بالمشرك بل تشمل اليهود والنصارى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جَاءَكُمْ الْمُؤْمِنَاتُ مُهَاجِرَاتٍ فَامْتَحِنُوهُنَّ اللَّهُ أَعْلَمُ بِإِيمَانِهِنَّ فَإِنْ عَلِمْتُمُوهُنَّ مُؤْمِنَاتٍ فَلا تَرْجِعُوهُنَّ إِلَى الْكُفَّارِ لا هُنَّ حِلٌّ لَهُمْ وَلا هُمْ يَحِلُّونَ لَهُنَّ وَآتُوهُمْ مَا أَنفَقُوا وَلا جُنَاحَ عَلَيْكُمْ أَنْ تَنكِحُوهُنَّ إِذَا آتَيْتُمُوهُنَّ أُجُورَهُنَّ وَلا تُمْسِكُوا بِعِصَمِ الْكَوَافِرِ</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ومحل الشاهد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تُمْسِكُوا بِعِصَمِ الْكَوَافِرِ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العصم جمع عصمة وهو ما يعتصم به من عقد وسبب</w:t>
      </w:r>
      <w:r>
        <w:rPr>
          <w:rStyle w:val="FootnoteAnchor"/>
          <w:rtl w:val="true"/>
        </w:rPr>
        <w:footnoteReference w:id="118"/>
      </w:r>
      <w:r>
        <w:rPr>
          <w:rFonts w:ascii="Amiri" w:hAnsi="Amiri" w:eastAsia="Amiri" w:cs="Amiri"/>
          <w:color w:val="111111"/>
          <w:sz w:val="28"/>
          <w:sz w:val="28"/>
          <w:szCs w:val="28"/>
          <w:rtl w:val="true"/>
          <w:lang w:bidi="ar-SA"/>
        </w:rPr>
        <w:t>كملك اليمين، والنهي في  الآية عن الإمساك بعصم الكوافر مطلق لا يختصّ بالمشركة فيشمل الكتابية أيضاً، وعليه فدلالة الآية واضحة، ويؤكدها ما ورد في الآية الشريفة، وهو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تَرْجِعُوهُنَّ إِلَى الْكُفَّارِ لا هُنَّ حِلٌّ لَهُمْ وَلا هُمْ يَحِلُّونَ لَهُنَّ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يَسْتَطِعْ مِنْكُمْ طَوْلاً أَنْ يَنكِحَ الْمُحْصَنَاتِ الْمُؤْمِنَاتِ فَمِنْ مَا مَلَكَتْ أَيْمَانُكُمْ مِنْ فَتَيَاتِكُمْ الْمُؤْمِنَاتِ</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بهذه الآية على عدم جواز نكاح الكتابيات بوجوه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بمفهوم المخالفة، وذلك لأنّ منطوق الآية يدلّ على أنّ من لم يستطع نكاح المحصنات المؤمنات فعليه بنكاح الإماء المؤمنات، ومفهومه عدم جواز نكاح غير المؤمنات، ولو كان نكاح غير المؤمنات جائزاً لما كانت حاجة إلى تعيينالنكاح بالإماء المؤمنات، ولكانت الكتابيات عدلاً للمؤمنات، ولم يقل بذلك أحد، فالاختصاص بالإماء المؤمنات عند عدم التمكّن من نكاح </w:t>
      </w:r>
    </w:p>
    <w:p>
      <w:pPr>
        <w:pStyle w:val="BookText"/>
        <w:rPr/>
      </w:pPr>
      <w:r>
        <w:rPr>
          <w:rFonts w:ascii="Amiri" w:hAnsi="Amiri" w:eastAsia="Amiri" w:cs="Amiri"/>
          <w:color w:val="111111"/>
          <w:sz w:val="28"/>
          <w:sz w:val="28"/>
          <w:szCs w:val="28"/>
          <w:rtl w:val="true"/>
          <w:lang w:bidi="ar-SA"/>
        </w:rPr>
        <w:t>الحرائر يدلّ على عدم جواز نكاح غير 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بمفهوم الموافقة وذلك لأنّه إذا كان مع عدم الطول لا يجوز نكاح الكتابية فعدم الجواز مع الطول من باب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بمفهوم الوصف ـ في خصوص المورد ـ 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مَا مَلَكَتْ أَيْمَانُكُمْ مِنْ فَتَيَاتِكُمْ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جواز نكاح غير 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وَلَوْ كَانُوا آبَاءَهُمْ أَوْ أَبْنَاءَهُمْ أَوْ إِخْوَانَهُمْ أَوْ عَشِيرَتَهُمْ </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والآية الشريفة تنهى عن موادة الكافر، وإنّ من أجلى مصاديق الموادّة الزواج كما أشير إلى 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 بَيْنَكُمْ مَوَدَّةً وَرَحْمَةً </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أَصْحَابُ النَّارِ وَأَصْحَابُ الْجَنَّةِ</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والآية الشريفة تنفي الاستواء مطلقاً من جميع الجهات ومنها المناكحة، فإنّ المعتبر في المناكحة الكفاءة والاستواء ولا أقل من جهة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هذه الآيات عدم جواز نكاح الكتابيات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استدلّ به من الكتاب على حلّية نكاح نساء أهل الكتاب فهو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أُحِلَّ لَكُمْ الطَّيِّبَاتُ وَطَعَامُ الَّذِينَ أُوتُوا الْكِتَابَ حِلٌّ لَكُمْ وَطَعَامُكُمْ حِلٌّ لَهُمْ وَالْمُحْصَنَاتُ مِنْ الْمُؤْمِنَاتِ وَالْمُحْصَنَاتُ مِنْ الَّذِينَ أُوتُوا الْكِتَابَ مِنْ قَبْلِكُمْ إِذَا آتَيْتُمُوهُنَّ أُجُورَهُنَّ مُحْصِنِينَ غَيْرَ مُسَافِحِينَ وَلا مُتَّخِذِي أَخْدَانٍ</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ناسخة للآيات المتقدمة، وهي تدلّ على جواز نكاح الكتابية، ودلالتها واضحة على ذلك، فلا مناص عن الأخذ بها دون الآيات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منسوخة لا ناسخة، ويدلّ على ذلك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وَالْمُحْصَنَاتُ مِنْ الَّذِينَ أُوتُوا الْكِتَابَ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منسوخة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تُمْسِكُوا بِعِصَمِ الْكَوَافِرِ</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واضحة في دلالتها وتامة في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تقول في رجل تزوج نصرانية على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قولي بين يديك؟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لتقولنّ فإنّ ذلك يعلم به قولي،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تزويج النصرانية على مسلمة ولا غير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الْمُشْرِكَاتِ حَتَّى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وَالْمُحْصَنَاتُ مِنْ الَّذِينَ أُوتُوا الْكِتَابَ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الْمُشْرِكَاتِ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هذه الآية، فتبسم ثم سكت</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 هذه الرواية حيث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قرّر كلام الحسن بن الجهم بتبسّمه وسكوته، أنّ الآية منسوخة، وسند الرواية معتبر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الأمر أنّ الناسخ للآية في هذه الرواية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الْمُشْرِكَاتِ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صحيحة زرارة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تُمْسِكُوا بِعِصَمِ الْكَوَافِرِ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لا يوجب الإشكال فإن النسخ متحقق على كل حال بإحدى الآيتين والثانية تأكيد لها، على أنه سيأتي في بعض الروايات أنّ كلتا الآيتين ناسختان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هاتين الروايتين عدة روايات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أخرى لزرارة بن أعين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نكاح أهل الكتاب،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وأين تحريمه؟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تُمْسِكُوا بِعِصَمِ الْكَوَافِرِ</w:t>
      </w:r>
      <w:r>
        <w:rPr>
          <w:rFonts w:eastAsia="Amiri" w:cs="Amiri" w:ascii="Amiri" w:hAnsi="Amiri"/>
          <w:color w:val="111111"/>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والرواية من جهة دلالتها واضحة، إلاّ أنها من جهة السند غير تامة، فإنّ أحمد بن عمر الواقع في سندها ـ وهو ابن كيسبة</w:t>
      </w:r>
      <w:r>
        <w:rPr>
          <w:rStyle w:val="FootnoteAnchor"/>
          <w:rtl w:val="true"/>
        </w:rPr>
        <w:footnoteReference w:id="127"/>
      </w:r>
      <w:r>
        <w:rPr>
          <w:rFonts w:ascii="Amiri" w:hAnsi="Amiri" w:eastAsia="Amiri" w:cs="Amiri"/>
          <w:color w:val="111111"/>
          <w:sz w:val="28"/>
          <w:sz w:val="28"/>
          <w:szCs w:val="28"/>
          <w:rtl w:val="true"/>
          <w:lang w:bidi="ar-SA"/>
        </w:rPr>
        <w:t>بقرينة أنه الراوي لكتاب درست الواسطي ـ لم يرد فيه توثيق، فهي ضعيفة السند فتكون مؤيدة لما تقدم، نعم يمكن تصحيح الرواية ـ بناء على أنها من كتاب درست كما هو الظاهر ـ عن طريق حميد بن زياد الواقع في طريقي الشيخ</w:t>
      </w:r>
      <w:r>
        <w:rPr>
          <w:rStyle w:val="FootnoteAnchor"/>
          <w:rtl w:val="true"/>
        </w:rPr>
        <w:footnoteReference w:id="128"/>
      </w:r>
      <w:r>
        <w:rPr>
          <w:rFonts w:ascii="Amiri" w:hAnsi="Amiri" w:eastAsia="Amiri" w:cs="Amiri"/>
          <w:color w:val="111111"/>
          <w:sz w:val="28"/>
          <w:sz w:val="28"/>
          <w:szCs w:val="28"/>
          <w:rtl w:val="true"/>
          <w:lang w:bidi="ar-SA"/>
        </w:rPr>
        <w:t>والنجاشي</w:t>
      </w:r>
      <w:r>
        <w:rPr>
          <w:rStyle w:val="FootnoteAnchor"/>
          <w:rtl w:val="true"/>
        </w:rPr>
        <w:footnoteReference w:id="129"/>
      </w:r>
      <w:r>
        <w:rPr>
          <w:rFonts w:ascii="Amiri" w:hAnsi="Amiri" w:eastAsia="Amiri" w:cs="Amiri"/>
          <w:color w:val="111111"/>
          <w:sz w:val="28"/>
          <w:sz w:val="28"/>
          <w:szCs w:val="28"/>
          <w:rtl w:val="true"/>
          <w:lang w:bidi="ar-SA"/>
        </w:rPr>
        <w:t>إلى كتاب درست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الطبرسي في مجمع البيان عند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وَالْمُحْصَنَاتُ مِنْ الَّذِينَ 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منسوخ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الْمُشْرِكَاتِ حَتَّى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تُمْسِكُوا بِعِصَمِ الْكَوَافِرِ</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واضحة الدلالة وقد ذكر فيها أنّ كلتا الآيتين ناسختان، كما أشرنا إلى ذلك فيما تقدم، إلاّ أنها من جهة السند غير تامة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العياشي في تفسيره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وَالْمُحْصَنَاتُ مِنْ الَّذِينَ 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تُمْسِكُوا بِعِصَمِ الْكَوَافِرِ</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تزويج اليهودية والنصرانية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وَالْمُحْصَنَاتُ مِنْ الَّذِينَ أُوتُوا الْكِتَابَ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منسوخة، نسخها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تُمْسِكُوا بِعِصَمِ الْكَوَافِرِ</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الدعائم عن جعفر بن محمد عن أبيه عن آبائه عن علي صلوات الله عليهم،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أحلّ الله نساء أهل الكتاب للمسلمين إذا كان في نساء المسلمين قلة، فلما كثرت المسلمات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الْمُشْرِكَاتِ حَتَّى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تُمْسِكُوا بِعِصَمِ الْكَوَافِرِ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يتزوّج المسلم غير المسلمة وهو يجد مسلمة، ولا ينكح مشرك مسلمة</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واضحة الدلالة، وقد اشتملت على بيان العلّة في الحلّية والتحريم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منسوخة ولا تنافي بينها وبين الآيات الدالة على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للمناقشة في دلالة هذه الآيات مجال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الآية الأولى 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ظاهرها مختصّ بالمشركة، فإنّ المتبادر من لفظ المشركات ـ كما في الآية الشريفة ـ في إطلاق أهل الشرع غير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ويؤيده عطف المشركين على أهل </w:t>
      </w:r>
    </w:p>
    <w:p>
      <w:pPr>
        <w:pStyle w:val="BookText"/>
        <w:rPr/>
      </w:pPr>
      <w:r>
        <w:rPr>
          <w:rFonts w:ascii="Amiri" w:hAnsi="Amiri" w:eastAsia="Amiri" w:cs="Amiri"/>
          <w:color w:val="111111"/>
          <w:sz w:val="28"/>
          <w:sz w:val="28"/>
          <w:szCs w:val="28"/>
          <w:rtl w:val="true"/>
          <w:lang w:bidi="ar-SA"/>
        </w:rPr>
        <w:t>الكتاب وبالعكس في آيات عديدة من القرآن على ما بيّنا في البحث حول نجاسة الكفار في  الجزء الأول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أهل الكتاب وإن كانوا مشركين في  العقيدة على ما يظهر من بعض الآيات، إلاّ أن الكلام في إطلاق لفظ المشرك عليهم لا نفي الشرك عنهم في عقيدتهم، ولا ملازمة بين الأمرين بمعنى صحّة إطلاق لفظ المشرك على كلّ مشرك في العقيدة، وإلاّ لزم إطلاق لفظ المشرك على المرائي في عبادته أيضاً لرجوع الرياء إلى الشرك في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التمسك بالغاية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المنع علّق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الإيمان هنا هو المعنى المقابل للشرك أي الإقرار والاعتراف بالله تعالى، وأما أن يكون المراد به خصوص الإسلام فغير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التمسك بذيل الآية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يَدْعُونَ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هذه العلة لا تختصّ بالشرك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الصغرى ممنوعة، ولا نصّ على أنّ ذلك هو العلّة في التحريم، ولعلّ هناك مصالح أخرى للحكم بحرمة التزوّج من المشركة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الآية الثانية 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إبقاء النكاح والتمسّك بعقد الذمية بعد إسلام الزوج مما لا إشكال فيه بل هو مورد وفاق، وعليه فلابدّ من حمل النهي في الآية على التنزيه، وإذا كانت دلالة الآية على الحرمة في موردها غير تامة فكيف يمكن التمسّك بها في غير موردها وهو النكاح الابتدائي، ومنه يظهر ما في التأكيد بصدر الآية الشريفة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الآية الثالثة فدلالتها غير ثابتة، لاحتمال اهتمام الشارع بالفتيات المؤمنات والترغيب في نكاحهنّ وإن كنّ إماءً دون الكافرات وإن كن حرائر، مضافاً إلى أنّ عدم الطول ربما يقتضي بنفسه عدم التمكّن من نكاح حرائر أهل الكتاب أيضاً كالمسلمات، وعلى فرض التمكّن فيأتي احتمال الخصوصية المتقدم، لعدم الشكّ في أنّ نكاح الكتابيات مرغوب عنه في نظر  الشرع، ومن ذلك تظهر الفائدة في الوصف بالمؤمنات فإنه لا مفهوم له في المقام، وبذلك تبطل الأولوية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الرابعة 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الموادّة من جهة المحادة لله لا مطلقاً، والنكاح وإن كان مقتضياً للموادة لكن لا من هذه الجهة فلا تدل على الحرمة، مضافاً إلى منع أن تكون جميع أفراد النكاح توجب المودّة دائماً وفي جميع الأحوال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الآية الخامسة 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منها هو الإخبار عن عدم الاستواء في المرتبة والمقام عند الله كما يظهر من نظائر هذه الآية،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هَلْ يَسْتَوِي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الْقَاعِدُونَ مِنْ الْمُؤْمِنِينَ غَيْرُ أُوْلِي الضَّرَرِ وَالْمُجَاهِدُونَ فِي سَبِيلِ اللَّهِ</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يَسْتَوِي الْخَبِيثُ وَالطَّيِّبُ وَلَوْ أَعْجَبَكَ كَثْرَةُ الْخَبِيثِ</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الأَعْمَى وَالْبَصِيرُ أَفَلا تَتَفَكَّرُونَ</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يَسْتَوِي الأَحْيَاءُوَلا الأَمْوَاتُ</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مِنْكُمْ مَنْ أَنْفَقَ مِنْ قَبْلِ الْفَتْحِ وَقَاتَلَ أُوْلَئِكَ أَعْظَمُ دَرَجَةً مِنْ الَّذِينَ أَنْفَقُوا مِنْ بَعْدُ وَقَاتَلُوا</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xml:space="preserve">وغيرها من الآيات </w:t>
      </w:r>
    </w:p>
    <w:p>
      <w:pPr>
        <w:pStyle w:val="BookText"/>
        <w:rPr/>
      </w:pPr>
      <w:r>
        <w:rPr>
          <w:rFonts w:ascii="Amiri" w:hAnsi="Amiri" w:eastAsia="Amiri" w:cs="Amiri"/>
          <w:color w:val="111111"/>
          <w:sz w:val="28"/>
          <w:sz w:val="28"/>
          <w:szCs w:val="28"/>
          <w:rtl w:val="true"/>
          <w:lang w:bidi="ar-SA"/>
        </w:rPr>
        <w:t>الكثيرة، ولولا ذلك لشمل العصاة من المؤمنين أيضاً، ويترتب عليه عدم جواز المناكحة، ولم يقل بذلك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الأخيرة فقد نوقش في كونها منسوخة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الآية جزء من سورة المائدة وهي آخر سورة نزلت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فإنها نزلت قبل أن يقبض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بشهرين كما في صحيحة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نزلت المائدة قبل أن يقبض بشهرين</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نزلت المائدة قبل أن يقبض بشهرين أو ثلاثة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في بعض الروايات أن هذه السورة نزلت كملاً ونزل معها سبعون ألف ملك</w:t>
      </w:r>
      <w:r>
        <w:rPr>
          <w:rStyle w:val="FootnoteAnchor"/>
          <w:rtl w:val="true"/>
        </w:rPr>
        <w:footnoteReference w:id="142"/>
      </w:r>
      <w:r>
        <w:rPr>
          <w:rFonts w:ascii="Amiri" w:hAnsi="Amiri" w:eastAsia="Amiri" w:cs="Amiri"/>
          <w:color w:val="111111"/>
          <w:sz w:val="28"/>
          <w:sz w:val="28"/>
          <w:szCs w:val="28"/>
          <w:rtl w:val="true"/>
          <w:lang w:bidi="ar-SA"/>
        </w:rPr>
        <w:t>وهي مدنية كلها إلاّ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نزلفي يوم غدير خم بعد منصرف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حجة الوداع</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يؤيد أن سورة المائدة هي آخر ما نزل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العياشي في تفسيره بإسناده عن قيس بن عبد الله عن أبيه عن جدّه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القرآن ينسخ بعضه بعضاً، وإنما كان يؤخذ من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آخر ما نزل عليه سورة  المائدة نسخت ما قبلها ولم ينسخها شيء، ولقد نزلت عليه وهو على بغلة شهباء، وثقل عليها الوحي حتى وقفت وتدلّى بطنها حتى رأيت سرّتها تكاد تمس الأرض، وأغمي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وضع يده على ذؤابة شيبة بن وهب الجمحي، ثم رفع ذلك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فقرأ علينا سورة المائدة، فعمل رسول الله وعملنا</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العياشي أيضاً عن زرارة وأبي حنيفة جميعاً عن أبي بكر بن حزم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 رجل فمسح على خفّيه فدخل المسجد يصلّي فجاء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فوطأ على رقبته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تصلّي على غير وضوء،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به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به فانتهى به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يروي هذا عليك، ورفع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أنا أمرته،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على خفّيه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المائدة أو بعدها؟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تفتي وأنت لا تدري؟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الكتاب الخفين</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السيد المرتضى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تفسير النعماني بإسناده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الآيات التي نصفها منسوخ ونصفها متروك بحاله لم ينسخ وما جاء من الرخصة في العزيمة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الْمُشْرِكَاتِ حَتَّى يُؤْمِنَّ وَلأَمَةٌ مُؤْمِنَةٌ خَيْرٌ مِنْ مُشْرِكَةٍ وَلَوْ أَعْجَبَتْكُمْ وَلا تُنكِحُوا الْمُشْرِكِينَ حَتَّى يُؤْمِنُوا وَلَعَبْدٌ مُؤْمِنٌ خَيْرٌ مِنْ مُشْرِكٍ وَلَوْ أَعْجَبَكُمْ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المسلمين كانوا ينكحون في أهل الكتاب من اليهود والنصارى وينكحونهم حتى نزلت هذه الآية نهياً أن ينكح المسلم من المشرك أو ينكحونه، ثم قال تعالى في سورة المائدة ما نسخ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وَطَعَامُ الَّذِينَ أُوتُوا الْكِتَابَ حِلٌّ لَكُمْ وَطَعَامُكُمْ حِلٌّ لَهُمْ وَالْمُحْصَنَاتُ مِنْ الْمُؤْمِنَاتِ وَالْمُحْصَنَاتُ مِنْ الَّذِينَ أُوتُوا الْكِتَابَ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 الله مناكحتهن بعد أن كان نهى، وترك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الْمُشْرِكِينَ حَتَّى 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 لم ينسخه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 ما ذكره علي بن إبراهيم القمي في تفسيره</w:t>
      </w:r>
      <w:r>
        <w:rPr>
          <w:rStyle w:val="FootnoteAnchor"/>
          <w:rtl w:val="true"/>
        </w:rPr>
        <w:footnoteReference w:id="147"/>
      </w:r>
      <w:r>
        <w:rPr>
          <w:rFonts w:ascii="IRNazanin" w:hAnsi="IRNazanin" w:eastAsia="IRNazanin"/>
          <w:color w:val="111111"/>
          <w:sz w:val="28"/>
          <w:sz w:val="28"/>
          <w:szCs w:val="28"/>
          <w:rtl w:val="true"/>
          <w:lang w:bidi="fa-IR"/>
        </w:rPr>
        <w:t xml:space="preserve">وهو وإن لم يسنده إلى المعصوم إلاّ أنّ الظاهر أن ما يورده في كتابه هو من تفسير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هي طريقة المحدثين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السيوطي في الدر المنثور أنّ سورة المائدة هي آخر ما نزل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صليالله علیه وآله</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الأمر كذلك فكيف تكون الآية 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من صحيحة زرارة وموثقة الحسن بن الجهم وغيرهما من الروايات الدالة على أنها منسوخة فهي وإن كانت معارضة لهذه الروايات إلاّ أنّ الظاهر أنّ الترجيح لهذه الروايات لكونها منسجمة مع زمان نزول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دلالة الروايات الدالة على أنّ هذه الآية منسوخة ضعفاً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التنافي بينها فإنّ رواية زرارة تدل على أنّ الناسخ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الْمُشْرِكَاتِ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وموثقة الحسن بن الجهم تدل على أنّ الناسخ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تُمْسِكُوا بِعِصَمِ الْكَوَافِرِ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يمكن الجمع بينهما لأنّ النسخ لا يقع مرتين إلاّ أن يُأَوّل بأنّ النسخ يتحقق بإحداهما ويكون إطلاق النسخ على الأخرى من باب التوسع لكونه بمنزلة الناسخ من حيث الدلالة على الحكم المخالف للمنسوخ، أو بمعنى أنّ لها شأنية النسخ وإن لم تكن ناسخة بالفعل، أو يقال بتكرر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تخلو هذه الوجوه عن تكلّف ظاهر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الآيتين في نفسهما ليس فيهما اقتضاء للنسخ وذلك؛ لأنّ آية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تُمْسِكُوا بِعِصَمِ الْكَوَافِرِ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واردة في مقام النهي عن الإبقاء إذ الإمساك ظاهر في الإبقاء على النكاح وهو ليس بمحرم إجماعاً فكيف يكون ناسخاً؟وأما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الْمُشْرِكَاتِ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اقتضاء النسخ فيها من جهة اختلاف الموضوع، فإنّ مورد هذه الآية النهي عن نكاح المشركات، وأما آية المائدة فموردها نساء أهل الكتاب، وظاهر الإطلاق في الآيات أنّ بينهما فرقاً كما ذكرنا، وعلى فرض التعميم يدور الأمر بين النسخ والتخصيص ولا إشكال أنّ التخصيص أولى من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الْمُشْرِكَاتِ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ناسخاً لآية المائدة؛ بناء على إطلاق لفظ المشركات على نساء أهل الكتاب بمقتضى عمومها، وإما أن تكون آية المائدة مخصّصة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الْمُشْرِكَاتِ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والحمل على التخصيص أولى من الحمل على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المائدة لا تحتمل أن تكون منسوخة وذلك لجهتين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سياق الآية حيث صدّرت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أُحِلَّ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أنّه كان محرّماً من قبل ثم حكم بحليته، وكان الحكم بالحلية حادث بعد الحرمة فالمناسبة تقتضي أنّ الآية ناسخة لا 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الآية أنها واردة في مقام الامتنان والحكم الامتناني لا يحتمل فيه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موافقة للروايات الكثيرة الدالة على جواز نكاح الكتابيات، حتى أنّ صاحب الجواهر احتمل تواترها بخلاف صحيحة زرارة وموثقة الحسن بن الجهم والروايات المؤيدة لهما الدالّة على المنع، ومقتضى القاعدة في المقام هو إما أن تُأَوّل وإما أن يردّ علمها إلى أهلها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حرمة نكاح حرائر أهل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الآيات تارة تلحظ في أنفسها مع قطع النظر عن الروايات، وأخرى مع ملاحظة الروايات، فإن كان النظر فيها على النحو الأول فلا نسخ لأيّ من هذه الآيات الثلاث للأخرى، وذلك لأنّ آية البقرة وردت في النهي عن نكاح المشركات فموردها يختلف عن مورد آية المائدة الواردة في جواز نكاح الكتابيات، ولا تنافي بينهما حتى يوجب نسخ أحدهما بالأخرى، وعلى فرض التعميم وشمول آية البقرة للكتابيات أيضاً فهي مخصّصة بآية المائدة كما تقدم، والمستفاد من ذلك حلّية نكاح الكتابية مطلقاً أي دائماً ومنقطعاً أو خصوص المنقطع، بناء على ما قيل من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آتَيْتُمُوهُنَّ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إرادة النكاح المنقطع دون الدائم، وعلى أي تقدير يكون إطلاق النسخ على آية المائدة ليس على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آية الممتحنة فهي مختصّة بالدوام وأن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تُمْسِكُوا بِعِصَمِ الْكَوَافِرِ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جواز النكاح الدائم حدوثاً وبقاء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آية المائدة فعلى فرض كونها ظاهرة في النكاح المنقطع فموردها أيضاً يختلف عن مورد آية الممتحنة، ولعلّ تقييد الحكم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ذكر المحصنات من المؤمنات، قرينة على تشريع حكم النكاح المنقطع، وعليه فلا تنافي بين الآيتين، وعلى فرض التعميم وشمول آية المائدة للنكاح الدائم تكون النسبة بين الآيتين عموم من وجه حيث إنّ آية الممتحنة أعمّ من جهة الكفر وأخصّ من جهة الدوام وآية المائدة بالعكس فهي أعم من جهة الدوام والانقطاع وأخصّ من جهة الكتابية، ومورد الاجتماع هو نكاح الكتابية دواماً، وبناء على ذلك فإمّا أن يقال بتقديم آية المائدة لكونها متأخرة زماناً وهي ناسخةلآية الممتحنة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أن يقال بالتساقط والمرجع حينئذ إلى أصالة الحل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وإن كان النظر إلى الآيات مع ملاحظة الروايات الواردة وقطع النظر عن التعارض بين الآيتين فيحكم ـ بمقتضى صحيحة زرارة المؤيدة بعدة روايات أخرى ـ بأنّ آية الممتحنة هي الناسخة للتصريح بذلك في الرواية، بخلاف موثقة الحسن بن الجهم فإنّ سكوت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يدلّ على أصل الحكم وهو الحرمة، إلاّ أن استدلال الحسن بن الجهم بآية البقرة على النسخ ليس في صراحة صحيحة زرارة فدلالتها على ذلك ضعيفة، ولم يرد في رواية معتبرة أخرى أنّ آية البقرة هي الناسخة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قلنا بأنّ آية الممتحنة هي الناسخة ودلالتها على الحرمة تامة فلابدّ من التعويل عليها، وحينئذ يمكن القول إنّ ظاهر الكتاب يدل على الحرمة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يقال من أنّ سورة المائدة هي آخر ما نزل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على أنّ المراد به هو المجموع لا الجميع أو لغيره من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دلالة آية الممتحنة على  الحرمة لقيام الإجماع والنصوص على عدم الحرمة في موردها وهو النكاح البقائي، وكذا بناء على القول بتحقّق التعارض بين الروايات فلا تصحّ لأن تكون ناسخة، ولابدّ من التماس طرق المعالجة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التي استدل بها على ذلك فهي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الحرمة مطلقاً وهي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بن أعين</w:t>
      </w:r>
      <w:r>
        <w:rPr>
          <w:rStyle w:val="FootnoteAnchor"/>
          <w:rtl w:val="true"/>
        </w:rPr>
        <w:footnoteReference w:id="149"/>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الحسن بن الجهم</w:t>
      </w:r>
      <w:r>
        <w:rPr>
          <w:rStyle w:val="FootnoteAnchor"/>
          <w:rtl w:val="true"/>
        </w:rPr>
        <w:footnoteReference w:id="150"/>
      </w:r>
      <w:r>
        <w:rPr>
          <w:rFonts w:ascii="IRNazanin" w:hAnsi="IRNazanin" w:eastAsia="IRNazanin"/>
          <w:color w:val="111111"/>
          <w:sz w:val="28"/>
          <w:sz w:val="28"/>
          <w:szCs w:val="28"/>
          <w:rtl w:val="true"/>
          <w:lang w:bidi="fa-IR"/>
        </w:rPr>
        <w:t xml:space="preserve">المتقدمة أيضاً، فإنها تدلّ على الحرمة من تقرير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لتقولنّ فإنّ ذلك يعلم به قولي</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نصارى العرب أتؤكل ذبائحهم؟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ينهى عن ذبائحهم، وعن صيدهم، وعن مناكحتهم</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وإن رواها الكليني</w:t>
      </w:r>
      <w:r>
        <w:rPr>
          <w:rStyle w:val="FootnoteAnchor"/>
          <w:rtl w:val="true"/>
        </w:rPr>
        <w:footnoteReference w:id="152"/>
      </w:r>
      <w:r>
        <w:rPr>
          <w:rFonts w:ascii="Amiri" w:hAnsi="Amiri" w:eastAsia="Amiri" w:cs="Amiri"/>
          <w:color w:val="111111"/>
          <w:sz w:val="28"/>
          <w:sz w:val="28"/>
          <w:szCs w:val="28"/>
          <w:rtl w:val="true"/>
          <w:lang w:bidi="ar-SA"/>
        </w:rPr>
        <w:t>عن سهل بن زياد، إلاّ أن الشيخ</w:t>
      </w:r>
      <w:r>
        <w:rPr>
          <w:rStyle w:val="FootnoteAnchor"/>
          <w:rtl w:val="true"/>
        </w:rPr>
        <w:footnoteReference w:id="153"/>
      </w:r>
      <w:r>
        <w:rPr>
          <w:rFonts w:ascii="Amiri" w:hAnsi="Amiri" w:eastAsia="Amiri" w:cs="Amiri"/>
          <w:color w:val="111111"/>
          <w:sz w:val="28"/>
          <w:sz w:val="28"/>
          <w:szCs w:val="28"/>
          <w:rtl w:val="true"/>
          <w:lang w:bidi="ar-SA"/>
        </w:rPr>
        <w:t>قد رواها بسند صحيح، فلا إشكال في اعتبار الرواية من حيث السند، كما أنها من جهة الدلالة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زرارة بن أعين</w:t>
      </w:r>
      <w:r>
        <w:rPr>
          <w:rStyle w:val="FootnoteAnchor"/>
          <w:rtl w:val="true"/>
        </w:rPr>
        <w:footnoteReference w:id="154"/>
      </w:r>
      <w:r>
        <w:rPr>
          <w:rFonts w:ascii="Amiri" w:hAnsi="Amiri" w:eastAsia="Amiri" w:cs="Amiri"/>
          <w:color w:val="111111"/>
          <w:sz w:val="28"/>
          <w:sz w:val="28"/>
          <w:szCs w:val="28"/>
          <w:rtl w:val="true"/>
          <w:lang w:bidi="ar-SA"/>
        </w:rPr>
        <w:t>المتقدمة وفي سندها أحمد بن عمر بن كيسبة،وقد تقدم الكلام فيه، وقلنا بإمكان تصحيح سندها وذكرنا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غيرها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الجواز وهي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كراهة نكاح الكتابية، وهي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أحبّ للرجل المسلم أن يتزوّج اليهودية ولا النصرانية، مخافة أن يتهوّد ولده أو يتنصّر</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وهي ظاهرة في الكراهة،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ذلك</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معاوية بن وهب وغيره جميعاً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المؤمن يتزوّج اليهودية والنصرانية،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المسلمة فما يصنع باليهودية والنصرانية؟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له فيها الهوى،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فعل فليمنعها من </w:t>
      </w:r>
    </w:p>
    <w:p>
      <w:pPr>
        <w:pStyle w:val="BookText"/>
        <w:rPr/>
      </w:pPr>
      <w:r>
        <w:rPr>
          <w:rFonts w:ascii="Amiri" w:hAnsi="Amiri" w:eastAsia="Amiri" w:cs="Amiri"/>
          <w:color w:val="111111"/>
          <w:sz w:val="28"/>
          <w:sz w:val="28"/>
          <w:szCs w:val="28"/>
          <w:rtl w:val="true"/>
          <w:lang w:bidi="ar-SA"/>
        </w:rPr>
        <w:t>شرب الخمر وأكل لحم الخنزير، واعلم أنّ عليه في دينه غضاضة</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ومحل الشاهد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عليه في دينه غضاضة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ظاهر في الكراهة بقرينة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فعل فليمنعها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لاينبغي للمسلم أن يتزوّج يهودية ولا نصرانية وهو يجد مسلمة حرّة أو أمة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يونس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للمسلم المؤسر أن يتزوج الأمة إلاّ أن لا يجد حرّة، وكذلك لا ينبغي له أن يتزوج امرأة من أهل الكتاب إلاّ في حال ضرورة حيث لا يجد مسلمة حرّة ولا أمة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كلتا الروايتين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الجواز على كراهية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قيّد الجواز في الرواية الثانية بحال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حفص بن غياث،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بعض إخواني أن أسأل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مسائل، فسألته عن الأسير هل يتزوّج في دار الحرب؟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أكره ذلك، فإن فعل في بلاد الروم فليس هو بحرام هو نكاح، وأما في الترك والديلم والخزر فلا يحلّ له ذلك</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والمستفاد من الرواية هو التفصيل بين المشركات والكتابيات فيجوز في الثاني دون الأول،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في الدلالة على الكراهة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يؤيد ذلك رواية أبي البختري عن جعفر عن أبيه أنه كره مناكحة أهل الحرب</w:t>
      </w:r>
      <w:r>
        <w:rPr>
          <w:rStyle w:val="FootnoteAnchor"/>
          <w:rtl w:val="true"/>
        </w:rPr>
        <w:footnoteReference w:id="160"/>
      </w:r>
      <w:r>
        <w:rPr>
          <w:rFonts w:ascii="Amiri" w:hAnsi="Amiri" w:eastAsia="Amiri" w:cs="Amiri"/>
          <w:color w:val="111111"/>
          <w:sz w:val="28"/>
          <w:sz w:val="28"/>
          <w:szCs w:val="28"/>
          <w:rtl w:val="true"/>
          <w:lang w:bidi="ar-SA"/>
        </w:rPr>
        <w:t>والرواية بإطلاقها شاملة لنكاح الكتابيات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جواز نكاح البله من الكتابيات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زرارة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نكاح اليهودية والنصرانية،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للمسلم أن ينكح يهودية ولا نصرانية، إنما يحلّ منهنّ نكاح البله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حمران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بعض أهله يريد التزويج فلم يجد مسلمة موافقة، فذكرت ذلك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أنت من البله الذين لا يعرفون شيئاً</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يدل على جواز نكاح الكتابية مطلقاً استشهاداً بعمل بعض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أبي مريم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طعام أهل الكتاب، ونكاحهم حلال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كانت تحت طلحة يهودية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ومحل الشاهد هو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فعل طلحة وإن كان ليس بحجة إلاّ أنه لما كان بمرأى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وسكوته عن ذلك فيعلم من ذلك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ويدلّ على ذلك 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نكاح اليهودية والنصرانية،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أما علمت أنه كانت تحت طلحة بن عبيد الله يهودية على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والشاهد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لفعل طلحة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وكلتا الروايتين بإطلاقهما تدلاّن على الجواز سواء كان النكاح بقائياً أو ابتدائياً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جواز نكاح المسلمة على الذمية، وهي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اليهودية والنصرانية أيتزوجها الرجل على  المسلمة؟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ويتزوج المسلمة على اليهودية والنصرانية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عبد الرحمن بن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للرجل أن يتزوّج النصرانية على المسلمة والأمة على الحرّة؟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تزوج واحدة منهما على المسلمة، وتزوج المسلمة على الأمة والنصرانية، وللمسلمة الثلثان، وللأمة والنصرانية الثلث</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من حيث الدلالة تامة، وأما من جهة السند ففيه عبد الله بن محمد، والظاهر أنه عبد الله بن محمد بن عيسى المسمى بنان</w:t>
      </w:r>
      <w:r>
        <w:rPr>
          <w:rStyle w:val="FootnoteAnchor"/>
          <w:rtl w:val="true"/>
        </w:rPr>
        <w:footnoteReference w:id="167"/>
      </w:r>
      <w:r>
        <w:rPr>
          <w:rFonts w:ascii="Amiri" w:hAnsi="Amiri" w:eastAsia="Amiri" w:cs="Amiri"/>
          <w:color w:val="111111"/>
          <w:sz w:val="28"/>
          <w:sz w:val="28"/>
          <w:szCs w:val="28"/>
          <w:rtl w:val="true"/>
          <w:lang w:bidi="ar-SA"/>
        </w:rPr>
        <w:t>لرواية محمد بن يحيى عنه</w:t>
      </w:r>
      <w:r>
        <w:rPr>
          <w:rStyle w:val="FootnoteAnchor"/>
          <w:rtl w:val="true"/>
        </w:rPr>
        <w:footnoteReference w:id="168"/>
      </w:r>
      <w:r>
        <w:rPr>
          <w:rFonts w:ascii="Amiri" w:hAnsi="Amiri" w:eastAsia="Amiri" w:cs="Amiri"/>
          <w:color w:val="111111"/>
          <w:sz w:val="28"/>
          <w:sz w:val="28"/>
          <w:szCs w:val="28"/>
          <w:rtl w:val="true"/>
          <w:lang w:bidi="ar-SA"/>
        </w:rPr>
        <w:t>وهو وإن لم يرد فيه توثيق إلاّ أنه واقع في أسناد كتاب نوادر الحكمة</w:t>
      </w:r>
      <w:r>
        <w:rPr>
          <w:rStyle w:val="FootnoteAnchor"/>
          <w:rtl w:val="true"/>
        </w:rPr>
        <w:footnoteReference w:id="169"/>
      </w:r>
      <w:r>
        <w:rPr>
          <w:rFonts w:ascii="Amiri" w:hAnsi="Amiri" w:eastAsia="Amiri" w:cs="Amiri"/>
          <w:color w:val="111111"/>
          <w:sz w:val="28"/>
          <w:sz w:val="28"/>
          <w:szCs w:val="28"/>
          <w:rtl w:val="true"/>
          <w:lang w:bidi="ar-SA"/>
        </w:rPr>
        <w:t>، ولم يستثنه ابن الوليد وذلك كاف للحكم بوثاقته، وعليه فالرواية معتبرة من حيث السند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وردت هذه الرواية في نوادر أحمد بن محمد بن عيسى بسند آخر معتبر ليس فيه عبد الله بن محمد، وهو عن القاسم عن أبان عن عبد الرحمن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يذكر فيها القسمة إلى الثلثين والثلث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إنّ الرواية بإطلاقها تدلّ على الجواز سواء كان النكاح ابتدائياً أو بقائياً، وأصرح منها في الدلالة على ذلك صحيحة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تزوّج ذمية على مسلمة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يفرّق بينهما، ويضرب ثمن حدّ الزاني اثنا عشر سوطاً ونصفاً، فإن رضيت المسلمة ضرب ثمن الحد ولم يفرّق بينهما،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يضرب النصف؟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يؤخذ السوط بالنصف فيضرب به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الرواية تدل على صحة النكاح مع رضا المسلمة، ومن سؤال الراوي وجواب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أنّ النكاح ابتدائي لا بقائي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أبي بصير ـ المرادي ـ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له امرأة نصرانية، له أن يتزوج عليها يهودية؟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الكتاب مماليك للإمام، وذلك موسّع منا عليكم خاصة، فلا بأس أن يتزوج،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تزوج عليها أمة،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له أن يتزوج ثلاث إماء، فإن تزوج عليهما حرةمسلمة ولم تعلم أن له امرأة نصرانية ويهودية ثم دخل بها فإنّ لها ما أخذت من المهر، فإن شاءت أن تقيم بعدُ معه أقامت، وإن شاءت أن تذهب إلى أهلها ذهبت، وإذا حاضت ثلاث حيض أو مرّت لها ثلاثة أشهر حلّت للأزواج،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طلق عليها اليهودية والنصرانية قبل أن تنقضي عدّة المسلمة، له عليها سبيل أن يردها إلى منزله؟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واضحة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جواز التمتع بالكتابية في الجملة وهي عدّة روايات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إسماعيل بن سعيد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يتمتع </w:t>
      </w:r>
    </w:p>
    <w:p>
      <w:pPr>
        <w:pStyle w:val="BookText"/>
        <w:rPr/>
      </w:pPr>
      <w:r>
        <w:rPr>
          <w:rFonts w:ascii="Amiri" w:hAnsi="Amiri" w:eastAsia="Amiri" w:cs="Amiri"/>
          <w:color w:val="111111"/>
          <w:sz w:val="28"/>
          <w:sz w:val="28"/>
          <w:szCs w:val="28"/>
          <w:rtl w:val="true"/>
          <w:lang w:bidi="ar-SA"/>
        </w:rPr>
        <w:t>من اليهودية والنصرانية،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بذلك بأساً،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فالمجوسية؟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المجوسية فلا</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من حيث الدلالة واضحة، وأما من حيث السند فهي وإن كانت مضمرة إلاّ أنها لا تقصر عن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يتزوّج اليهودية والنصرانية متعة وعنده امرأة</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واضحة الدلالة، وأما من جهة السند ففيه محمد بن سنان وقد رجّحنا الأخذ بروايته، فلا إشكال فيه من هذه الجهة، وأما الإضمار فيها فهوأيضاً مما لا يضر باعتبار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محمد بن سنان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نكاح اليهودية والنصرانية،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فمجوسية؟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يعني متعة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هذه الرواية جواز نكاح المجوسية متعة بخلاف ما دلت عليه مضمرة الأشعري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يؤيّد ذلك مرسلة ابن فضّال 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يتمتع الرجل باليهودية والنصرانية وعنده حرّة</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ورواية الحسن التفليسي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أيتمتع من اليهودية والنصرانية؟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يتمتع من الحرّة المؤمنة أحبّ إليّ وهي أعظم حرمة منهما</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61" w:name="pg16406_258451"/>
    </w:p>
    <w:p>
      <w:pPr>
        <w:pStyle w:val="BookText"/>
        <w:rPr/>
      </w:pPr>
      <w:bookmarkEnd w:id="61"/>
      <w:r>
        <w:rPr>
          <w:rFonts w:ascii="Amiri" w:hAnsi="Amiri" w:eastAsia="Amiri" w:cs="Amiri"/>
          <w:color w:val="111111"/>
          <w:sz w:val="28"/>
          <w:sz w:val="28"/>
          <w:szCs w:val="28"/>
          <w:rtl w:val="true"/>
          <w:lang w:bidi="ar-SA"/>
        </w:rPr>
        <w:t>والرواية بظاهرها تدل على الجواز، وإنما جعلناها مؤيدة لما تقدم لأنّ الحسن التفليسي لم يرد فيه 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الطوائف من الروايات كلها تدلّ على جواز نكاح المرأة الكتابية وهي في مقابل روايات القسم الأول الدالّة على الحرمة، وظاهر ذلك هو وقوع التعارض بين القسمين</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7246499_1280447820"/>
      <w:bookmarkStart w:id="63" w:name="_Toc20"/>
      <w:bookmarkEnd w:id="62"/>
      <w:r>
        <w:rPr>
          <w:rtl w:val="true"/>
        </w:rPr>
        <w:t>الجمع بين الروايات</w:t>
      </w:r>
      <w:r>
        <w:rPr>
          <w:rtl w:val="true"/>
        </w:rPr>
        <w:t>:</w:t>
      </w:r>
      <w:bookmarkEnd w:id="63"/>
    </w:p>
    <w:p>
      <w:pPr>
        <w:pStyle w:val="BookText"/>
        <w:rPr/>
      </w:pPr>
      <w:r>
        <w:rPr>
          <w:rFonts w:ascii="Amiri" w:hAnsi="Amiri" w:eastAsia="Amiri" w:cs="Amiri"/>
          <w:color w:val="111111"/>
          <w:sz w:val="28"/>
          <w:sz w:val="28"/>
          <w:szCs w:val="28"/>
          <w:rtl w:val="true"/>
          <w:lang w:bidi="ar-SA"/>
        </w:rPr>
        <w:t>ويمكن الجمع بينها بأحد الوجوه الخمسة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الروايات المجوزة على الضرورة، وشاهد الحمل على ذلك هو روايات الطائفة الأولى من القسم الثاني، وهو مستند القائلين بالجواز حال الضرورة كابن الجنيد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الروايات المجوّزة على جواز نكاح البله والمستضعفات، وشاهد الحمل على ذلك هو روايات الطائفة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الروايات المجوّزة على المتعة وملك اليمين دون الدوام، وشاهد الحمل على ذلك هو روايات الطائفة الخامسة، وهو مستند القائلين بذلك كأبي الصلاح، وسلار، وظاهر الشيخ في المبسوط، وخيرة المتأخرين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روايات الجواز على التقية لكونها موافقة للعامة بقرينة التعليل الوارد في بعض رواياتها واستنكاف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التصريح بالحكم كما يظهر من موثقة الحسن بن الجهم، وعليه فيقال بالحرمة مطلقاً وهو مستند القائلين بذلك كالسيد المرتضى والشيخ المفيد والشيخ الطوسي في أحد قوليهم وهو ما قوّاه ابن إدريس</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هذا ينافي ما ورد في الطائفة الأخيرة الدالة على جواز المتعة </w:t>
      </w:r>
    </w:p>
    <w:p>
      <w:pPr>
        <w:pStyle w:val="BookText"/>
        <w:rPr/>
      </w:pPr>
      <w:r>
        <w:rPr>
          <w:rFonts w:ascii="Amiri" w:hAnsi="Amiri" w:eastAsia="Amiri" w:cs="Amiri"/>
          <w:color w:val="111111"/>
          <w:sz w:val="28"/>
          <w:sz w:val="28"/>
          <w:szCs w:val="28"/>
          <w:rtl w:val="true"/>
          <w:lang w:bidi="ar-SA"/>
        </w:rPr>
        <w:t>بالكتابية؛ لعدم احتمال التقية فيها، وكذا ينافي ما ورد في الطائفة الثانية للتصريح بأنهنّ لا يعرفن شيئاً كما تقدّم، وفي بعضها إنّهن لا يعرفن ما أنتم عليه</w:t>
      </w:r>
      <w:r>
        <w:rPr>
          <w:rStyle w:val="FootnoteAnchor"/>
          <w:rtl w:val="true"/>
        </w:rPr>
        <w:footnoteReference w:id="178"/>
      </w:r>
      <w:r>
        <w:rPr>
          <w:rFonts w:ascii="Amiri" w:hAnsi="Amiri" w:eastAsia="Amiri" w:cs="Amiri"/>
          <w:color w:val="111111"/>
          <w:sz w:val="28"/>
          <w:sz w:val="28"/>
          <w:szCs w:val="28"/>
          <w:rtl w:val="true"/>
          <w:lang w:bidi="ar-SA"/>
        </w:rPr>
        <w:t>، وهذا لا يجتمعمع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روايات المنع على الحكم التنزيهي، ويقال بالجواز مطلقاً ويحمل الاختلاف في روايات الجواز على تعدد مراتب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هذا الجمع هو أن مورد بعض روايات المنع كصحيحة زرارة بن أعين</w:t>
      </w:r>
      <w:r>
        <w:rPr>
          <w:rStyle w:val="FootnoteAnchor"/>
          <w:rtl w:val="true"/>
        </w:rPr>
        <w:footnoteReference w:id="179"/>
      </w:r>
      <w:r>
        <w:rPr>
          <w:rFonts w:ascii="Amiri" w:hAnsi="Amiri" w:eastAsia="Amiri" w:cs="Amiri"/>
          <w:color w:val="111111"/>
          <w:sz w:val="28"/>
          <w:sz w:val="28"/>
          <w:szCs w:val="28"/>
          <w:rtl w:val="true"/>
          <w:lang w:bidi="ar-SA"/>
        </w:rPr>
        <w:t>هو النهي التنزيهي، وأما المعتبرتان الأخريان</w:t>
      </w:r>
      <w:r>
        <w:rPr>
          <w:rStyle w:val="FootnoteAnchor"/>
          <w:rtl w:val="true"/>
        </w:rPr>
        <w:footnoteReference w:id="180"/>
      </w:r>
      <w:r>
        <w:rPr>
          <w:rFonts w:ascii="Amiri" w:hAnsi="Amiri" w:eastAsia="Amiri" w:cs="Amiri"/>
          <w:color w:val="111111"/>
          <w:sz w:val="28"/>
          <w:sz w:val="28"/>
          <w:szCs w:val="28"/>
          <w:rtl w:val="true"/>
          <w:lang w:bidi="ar-SA"/>
        </w:rPr>
        <w:t>فلا تأبيان عن ذلك مع فرض أنّ روايات الجواز صريحة في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التعارض وعدم إمكان الجمع بهذا الوجه فلابدّ من ملاحظة المرجحات، وهي إما الشهرة، وإما موافقة الكتاب، وإما مخالفة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الشهرة فهي مفقودة في المقام، وأما الموافقة للكتاب فقد تقدم الكلام في ما يمكن استفادته من الآيات،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استفادة الجواز في صورتين واستفادة المنع في صورة واحدة وهي غير تامة، وبناء على ذلك فتكون روايات الجواز موافقة للكتاب، فلا تصل النوبة إلى المرجح الثالث وهو مخالفة العامة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يؤيد هذا المرجح أنّ علي بن إبراهيم القمي مع أنه يروي بعض روايات المنع كصحيحة زرارة إلاّ أنه قال في تفسيره</w:t>
      </w:r>
      <w:r>
        <w:rPr>
          <w:rStyle w:val="FootnoteAnchor"/>
          <w:rtl w:val="true"/>
        </w:rPr>
        <w:footnoteReference w:id="181"/>
      </w:r>
      <w:r>
        <w:rPr>
          <w:rFonts w:ascii="Amiri" w:hAnsi="Amiri" w:eastAsia="Amiri" w:cs="Amiri"/>
          <w:color w:val="111111"/>
          <w:sz w:val="28"/>
          <w:sz w:val="28"/>
          <w:szCs w:val="28"/>
          <w:rtl w:val="true"/>
          <w:lang w:bidi="ar-SA"/>
        </w:rPr>
        <w:t>بعد أن ذكر قوله تعالى من سورة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وَالْمُحْصَنَاتُ مِنْ الَّذِينَ أُوتُوا الْكِتَابَ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أحلّ الله نكاح أهل الكتاب بعد تحريمه في قوله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تَنكِحُوا </w:t>
      </w:r>
    </w:p>
    <w:p>
      <w:pPr>
        <w:pStyle w:val="BookText"/>
        <w:rPr/>
      </w:pPr>
      <w:r>
        <w:rPr>
          <w:rFonts w:ascii="Amiri" w:hAnsi="Amiri" w:eastAsia="Amiri" w:cs="Amiri"/>
          <w:color w:val="111111"/>
          <w:sz w:val="28"/>
          <w:sz w:val="28"/>
          <w:szCs w:val="28"/>
          <w:rtl w:val="true"/>
          <w:lang w:bidi="ar-SA"/>
        </w:rPr>
        <w:t xml:space="preserve">الْمُشْرِكَاتِ حَتَّىيُؤْمِنَّ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القاعدة في المقام هو تقديم روايات الجواز، وهو ما ذهب إليه الصدوقان وابن أبي عقيل وقواه صاحب الجواهر كما تقدم، وهو الظاهر من السيد الأستاذ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مع دعوى السيد المرتضى الإجماع</w:t>
      </w:r>
      <w:r>
        <w:rPr>
          <w:rStyle w:val="FootnoteAnchor"/>
          <w:rtl w:val="true"/>
        </w:rPr>
        <w:footnoteReference w:id="183"/>
      </w:r>
      <w:r>
        <w:rPr>
          <w:rFonts w:ascii="Amiri" w:hAnsi="Amiri" w:eastAsia="Amiri" w:cs="Amiri"/>
          <w:color w:val="111111"/>
          <w:sz w:val="28"/>
          <w:sz w:val="28"/>
          <w:szCs w:val="28"/>
          <w:rtl w:val="true"/>
          <w:lang w:bidi="ar-SA"/>
        </w:rPr>
        <w:t>على المنع مطلقاً ونفي الخلاف عنه في الغنية</w:t>
      </w:r>
      <w:r>
        <w:rPr>
          <w:rStyle w:val="FootnoteAnchor"/>
          <w:rtl w:val="true"/>
        </w:rPr>
        <w:footnoteReference w:id="184"/>
      </w:r>
      <w:r>
        <w:rPr>
          <w:rFonts w:ascii="IRNazanin" w:hAnsi="IRNazanin" w:eastAsia="IRNazanin"/>
          <w:color w:val="111111"/>
          <w:sz w:val="28"/>
          <w:sz w:val="28"/>
          <w:szCs w:val="28"/>
          <w:rtl w:val="true"/>
          <w:lang w:bidi="fa-IR"/>
        </w:rPr>
        <w:t>وقد يستظهر من قول الحسن بن الجهم في محاورته مع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مضافاً إلى أنه لم يذهب أحد من القدماء إلى القول بالجواز مطلقاً إلاّ الصدوقان وابن أبي عقيل فالاحتياط في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نكاح من له شبهة كتاب كالمجوس والصابئة والسامرة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فقد اختلف في المجوس هل أنّ حكمهم حكم أهل الكتاب أو لا؟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جماعة منهم الشيخ في النهاية</w:t>
      </w:r>
      <w:r>
        <w:rPr>
          <w:rStyle w:val="FootnoteAnchor"/>
          <w:rtl w:val="true"/>
        </w:rPr>
        <w:footnoteReference w:id="185"/>
      </w:r>
      <w:r>
        <w:rPr>
          <w:rFonts w:ascii="Amiri" w:hAnsi="Amiri" w:eastAsia="Amiri" w:cs="Amiri"/>
          <w:color w:val="111111"/>
          <w:sz w:val="28"/>
          <w:sz w:val="28"/>
          <w:szCs w:val="28"/>
          <w:rtl w:val="true"/>
          <w:lang w:bidi="ar-SA"/>
        </w:rPr>
        <w:t>، والمحقق في الشرائع</w:t>
      </w:r>
      <w:r>
        <w:rPr>
          <w:rStyle w:val="FootnoteAnchor"/>
          <w:rtl w:val="true"/>
        </w:rPr>
        <w:footnoteReference w:id="186"/>
      </w:r>
      <w:r>
        <w:rPr>
          <w:rFonts w:ascii="Amiri" w:hAnsi="Amiri" w:eastAsia="Amiri" w:cs="Amiri"/>
          <w:color w:val="111111"/>
          <w:sz w:val="28"/>
          <w:sz w:val="28"/>
          <w:szCs w:val="28"/>
          <w:rtl w:val="true"/>
          <w:lang w:bidi="ar-SA"/>
        </w:rPr>
        <w:t xml:space="preserve">، والشيخ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رسالة التحريم من جهة المصاهرة</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إلى أنهم من أهل الكتاب، وإن كان مختارهم في الكتابية جواز التمتع والوطي بملك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جماعة آخرون كصاحب الجواهر</w:t>
      </w:r>
      <w:r>
        <w:rPr>
          <w:rStyle w:val="FootnoteAnchor"/>
          <w:rtl w:val="true"/>
        </w:rPr>
        <w:footnoteReference w:id="188"/>
      </w:r>
      <w:r>
        <w:rPr>
          <w:rFonts w:ascii="Amiri" w:hAnsi="Amiri" w:eastAsia="Amiri" w:cs="Amiri"/>
          <w:color w:val="111111"/>
          <w:sz w:val="28"/>
          <w:sz w:val="28"/>
          <w:szCs w:val="28"/>
          <w:rtl w:val="true"/>
          <w:lang w:bidi="ar-SA"/>
        </w:rPr>
        <w:t>، وصاحب الرياض</w:t>
      </w:r>
      <w:r>
        <w:rPr>
          <w:rStyle w:val="FootnoteAnchor"/>
          <w:rtl w:val="true"/>
        </w:rPr>
        <w:footnoteReference w:id="189"/>
      </w:r>
      <w:r>
        <w:rPr>
          <w:rFonts w:ascii="Amiri" w:hAnsi="Amiri" w:eastAsia="Amiri" w:cs="Amiri"/>
          <w:color w:val="111111"/>
          <w:sz w:val="28"/>
          <w:sz w:val="28"/>
          <w:szCs w:val="28"/>
          <w:rtl w:val="true"/>
          <w:lang w:bidi="ar-SA"/>
        </w:rPr>
        <w:t>، إلى الثاني، وأنهم ليسوا من أهل الكتاب 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 الشهرة على </w:t>
      </w:r>
    </w:p>
    <w:p>
      <w:pPr>
        <w:pStyle w:val="BookText"/>
        <w:rPr/>
      </w:pPr>
      <w:r>
        <w:rPr>
          <w:rFonts w:ascii="IRNazanin" w:hAnsi="IRNazanin" w:eastAsia="IRNazanin"/>
          <w:color w:val="111111"/>
          <w:sz w:val="28"/>
          <w:sz w:val="28"/>
          <w:szCs w:val="28"/>
          <w:rtl w:val="true"/>
          <w:lang w:bidi="fa-IR"/>
        </w:rPr>
        <w:t>الخلاف</w:t>
      </w:r>
      <w:r>
        <w:rPr>
          <w:rStyle w:val="FootnoteAnchor"/>
          <w:rtl w:val="true"/>
        </w:rPr>
        <w:footnoteReference w:id="190"/>
      </w:r>
      <w:r>
        <w:rPr>
          <w:rFonts w:ascii="Amiri" w:hAnsi="Amiri" w:eastAsia="Amiri" w:cs="Amiri"/>
          <w:color w:val="111111"/>
          <w:sz w:val="28"/>
          <w:sz w:val="28"/>
          <w:szCs w:val="28"/>
          <w:rtl w:val="true"/>
          <w:lang w:bidi="ar-SA"/>
        </w:rPr>
        <w:t>، وفي التبيان</w:t>
      </w:r>
      <w:r>
        <w:rPr>
          <w:rStyle w:val="FootnoteAnchor"/>
          <w:rtl w:val="true"/>
        </w:rPr>
        <w:footnoteReference w:id="191"/>
      </w:r>
      <w:r>
        <w:rPr>
          <w:rFonts w:ascii="IRNazanin" w:hAnsi="IRNazanin" w:eastAsia="IRNazanin"/>
          <w:color w:val="111111"/>
          <w:sz w:val="28"/>
          <w:sz w:val="28"/>
          <w:szCs w:val="28"/>
          <w:rtl w:val="true"/>
          <w:lang w:bidi="fa-IR"/>
        </w:rPr>
        <w:t>والسرائر</w:t>
      </w:r>
      <w:r>
        <w:rPr>
          <w:rStyle w:val="FootnoteAnchor"/>
          <w:rtl w:val="true"/>
        </w:rPr>
        <w:footnoteReference w:id="192"/>
      </w:r>
      <w:r>
        <w:rPr>
          <w:rFonts w:ascii="Amiri" w:hAnsi="Amiri" w:eastAsia="Amiri" w:cs="Amiri"/>
          <w:color w:val="111111"/>
          <w:sz w:val="28"/>
          <w:sz w:val="28"/>
          <w:szCs w:val="28"/>
          <w:rtl w:val="true"/>
          <w:lang w:bidi="ar-SA"/>
        </w:rPr>
        <w:t>دعوى الإجماع عليه وعدم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الأول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من الروايات على أنّ المجوس من أهل الكتاب وهي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أبي يحيى الواسطي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المجوس أكان لهم نبي؟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بلغك كتاب رسول الله إلى أهل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أسلموا وإلاّ نابذتكم بحرب، فكتبوا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خذ منّا الجزية ودعنا على عبادة الأوثان، فكتب إليهم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لست آخذ الجزية إلاّ من أهل الكتاب، فكتبوا إليه يريدون بذلك تكذيبه، زعمت أنّك لا تأخذ الجزية إلاّ من أهل الكتاب ثم أخذت الجزية من مجوس هجر، فكتب إليهم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المجوس كان لهم نبي فقتلوه، وكتاب أحرقوه أتاهم نبيهم بكتابهم في اثني عشر ألف جلد ثور</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الرواية تدلّ على أنّ لهم كتاباً وأنّ حكمهم حكم أهل الكتاب</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الأصبغ بن نباتة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تفقدوني، فقام إليه الأشعث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كيف يؤخذ الجزية من المجوس ولم ينزل عليهم كتاب ولم يبعث إليهم نبي؟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أشعث، قد أنزل الله عليهم كتاباً وبعث إليهم نبياً</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المفيد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المجوس إنما ألحقوا باليهود والنصارى في الجزية والديات، لأنه قد كان لهم فيما مضى كتاب</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علي بن علي بن دعبل ـ أخي دعبل بن علي ـ عن علي بن موسى الرضا عن أبيه عن آبائه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 بهم سنّة أهل الكتاب، يعني المجوس</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جواز المتعة بالمجوسيات ووطيهن بملك اليمين وهي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محمد بن سنان</w:t>
      </w:r>
      <w:r>
        <w:rPr>
          <w:rStyle w:val="FootnoteAnchor"/>
          <w:rtl w:val="true"/>
        </w:rPr>
        <w:footnoteReference w:id="197"/>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منصور الصيقل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بأسبالرجل أن يتمتع بالمجوسية</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ومثلها مرسلة حمّاد بن عيسى</w:t>
      </w:r>
      <w:r>
        <w:rPr>
          <w:rStyle w:val="FootnoteAnchor"/>
          <w:rtl w:val="true"/>
        </w:rPr>
        <w:footnoteReference w:id="199"/>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ـ الواردة في الوطي بملك اليمين ـ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المسلم يتزوّج المجوسية؟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ولكن إذا كانت له أمة مجوسية فلا بأس أن يطأها ويعزل عنها ولا يطلب ولدها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هذه الروايات أنّ المجوس من أهل الكتاب وأنه يجوز نكاح نسائهم متعة أو بملك اليمين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أشكل في الجواهر</w:t>
      </w:r>
      <w:r>
        <w:rPr>
          <w:rStyle w:val="FootnoteAnchor"/>
          <w:rtl w:val="true"/>
        </w:rPr>
        <w:footnoteReference w:id="201"/>
      </w:r>
      <w:r>
        <w:rPr>
          <w:rFonts w:ascii="Amiri" w:hAnsi="Amiri" w:eastAsia="Amiri" w:cs="Amiri"/>
          <w:color w:val="111111"/>
          <w:sz w:val="28"/>
          <w:sz w:val="28"/>
          <w:szCs w:val="28"/>
          <w:rtl w:val="true"/>
          <w:lang w:bidi="ar-SA"/>
        </w:rPr>
        <w:t>على كلا الوجهين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جهتين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السند فإنّ الروايات المذكورة كلها ضعيفة الأسناد وليست منجبرة بعمل المشهور، بل المشهور على خلافها، بل قد ورد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ناكحي نسائهم ولا آكلي ذبائحهم</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سنّوا بهم سنّة أهل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في الجزية والديات، كما دلّت عليه مرسلة المفيد لا في جميع الأحكام، ومنه يعلم أنّهم ليسوا بأهل كتاب، مضافاً إلى أنّ المتبادر من إطلاق أهل الكتاب انصرافه إلى اليهود والنصارى لا غير، على أنّ المراد بأهل الكتاب من أظهر اتّباعه والانقياد له، لا من أحرقه وأعرض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نكاح المجوسيات إلاّ بملك اليمين بمقتضى صحيحة محمد بن مسلم</w:t>
      </w:r>
      <w:r>
        <w:rPr>
          <w:rStyle w:val="FootnoteAnchor"/>
          <w:rtl w:val="true"/>
        </w:rPr>
        <w:footnoteReference w:id="203"/>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إشكاله على الوجه الثاني فبأنّ الروايات التي استدلّ بها على الجواز كلّها ضعيفة، والصحيح هو ما دلّ على عدم جواز نكاح المجوسية إلاّ بملك اليمين كما دلّت عليه صحيحة محمد بن مسلم</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الظاهر أنّ الإشكال ـ بكلا شقيه ـ غير وارد على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الإشكال بالنسبة إلى ضعف السند ففيه أنّه قد وردت بعض الروايات المعتبرة تدل على أنّ المجوس من أهل الكتاب وأنّ حكمهم حكم اليهود والنصارى</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سماعة بن مهران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الوليد إلى البحرين فأصاب بها دماء قوم من اليهود والنصارى والمجوس، فكتب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أصبت دماء قوم من اليهود والنصارى </w:t>
      </w:r>
    </w:p>
    <w:p>
      <w:pPr>
        <w:pStyle w:val="BookText"/>
        <w:rPr/>
      </w:pPr>
      <w:r>
        <w:rPr>
          <w:rFonts w:ascii="IRNazanin" w:hAnsi="IRNazanin" w:eastAsia="IRNazanin"/>
          <w:color w:val="111111"/>
          <w:sz w:val="28"/>
          <w:sz w:val="28"/>
          <w:szCs w:val="28"/>
          <w:rtl w:val="true"/>
          <w:lang w:bidi="fa-IR"/>
        </w:rPr>
        <w:t xml:space="preserve">فوديتهم ثمانمائة درهم ثمانمائة، وأصبت دماء قوم من المجوس ولم تكن عهدت إليّ فيهم عهداً، فكتب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ديتهم مثل دية اليهود والنصارى،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أهلالكتاب</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صريحة في دلالتها ومعتبرة في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رواية أبي يحيى الواسطي المتقدمة</w:t>
      </w:r>
      <w:r>
        <w:rPr>
          <w:rStyle w:val="FootnoteAnchor"/>
          <w:rtl w:val="true"/>
        </w:rPr>
        <w:footnoteReference w:id="206"/>
      </w:r>
      <w:r>
        <w:rPr>
          <w:rFonts w:ascii="Amiri" w:hAnsi="Amiri" w:eastAsia="Amiri" w:cs="Amiri"/>
          <w:color w:val="111111"/>
          <w:sz w:val="28"/>
          <w:sz w:val="28"/>
          <w:szCs w:val="28"/>
          <w:rtl w:val="true"/>
          <w:lang w:bidi="ar-SA"/>
        </w:rPr>
        <w:t>وإن وردت مرسلة إلاّ أن الشيخ</w:t>
      </w:r>
      <w:r>
        <w:rPr>
          <w:rStyle w:val="FootnoteAnchor"/>
          <w:rtl w:val="true"/>
        </w:rPr>
        <w:footnoteReference w:id="207"/>
      </w:r>
      <w:r>
        <w:rPr>
          <w:rFonts w:ascii="IRNazanin" w:hAnsi="IRNazanin" w:eastAsia="IRNazanin"/>
          <w:color w:val="111111"/>
          <w:sz w:val="28"/>
          <w:sz w:val="28"/>
          <w:szCs w:val="28"/>
          <w:rtl w:val="true"/>
          <w:lang w:bidi="fa-IR"/>
        </w:rPr>
        <w:t xml:space="preserve">قد رواها بسند متصل لا إرسال فيه، وينتهي إلى أبي يحيى الواسطي الذي يروي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زكريا بن يحيى الثقة</w:t>
      </w:r>
      <w:r>
        <w:rPr>
          <w:rStyle w:val="FootnoteAnchor"/>
          <w:rtl w:val="true"/>
        </w:rPr>
        <w:footnoteReference w:id="208"/>
      </w:r>
      <w:r>
        <w:rPr>
          <w:rFonts w:ascii="Amiri" w:hAnsi="Amiri" w:eastAsia="Amiri" w:cs="Amiri"/>
          <w:color w:val="111111"/>
          <w:sz w:val="28"/>
          <w:sz w:val="28"/>
          <w:szCs w:val="28"/>
          <w:rtl w:val="true"/>
          <w:lang w:bidi="ar-SA"/>
        </w:rPr>
        <w:t>، ومن القوي أنها رواية أخرى غير تلك المرسلة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 ذلك رواية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دية اليهودي والنصراني أربعة آلاف، ودية المجوسي ثمانمائة درهم، 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للمجوس كتاباً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جاماس</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من جهة الدلالة واضحة إلاّ أنها من جهة السند اشتملت على علي عن أبي بصير، فإن كان هو ابن أبي حمزة البطائني كما هو الظاهر فالرواية ضعيفة السند ولذلك جعلناها مؤيدة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استفادة ذلك من صحيحة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الجزية،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حرّم الله الجزية من مشركي العرب</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يعلم أنّ أخذ الجزية من المجوس لأنهم أهل كتاب لا أنهم مشركون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أورده صاحب الجواهر من أنّ جميع الروايات ضعيفة الأسناد في غير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على الدلالة من أنّ المنصرف عند الإطلاق هم اليهود والنصارى، وأنّ المستفاد من مفهوم بعض الروايات عدم شمول جميع أحكام أهل الكتاب للمجوس بل بعضها كالجزية والديات وغير ذلك من المناقشات فهي ضعيفة جداً، إذ بعد أن ثبت في الروايات المعتبرة أنهم أهل الكتاب فهي حاكمة على الإطلاقات التي يُتبادر منها اليهود والنصارى، وكذا بالنسبة إلى اختصاص المجوس ببعض الأحكام دون بعض، بل إنما جاز أخذ الجزية منهم ومساواتهم باليهود والنصارى في الديات لأنهم أهل الكتاب في جميع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على الوجه الثاني فهو غير وارد أيضاً، وذلك بناء على ما تقدّم من اعتبار رواية محمد بن سنان الدالّة على جواز نكاح المجوسية متعة المؤيدة بحسنة منصور الصيقل ومرسلة حماد بن عيسى، ومقتضى الجمع بينها وبين صحيحة الأشعري هو الحمل على الكراهة بالنسبة إلى المتعة وجواز الوطي بملك اليمين بمقتضى صحيحة محمد بن مسلم بلا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المجوس حكم اليهود والنصارى في أصل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 وهم الصابئة فالكلام يقع فيه تارة في أصل دينهم ومعتقدهم وأخرى في حكمهم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اختلفت الكلمات فيه على أقوال كثيرة، فقيل ـ كما في المصباح المنير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طائفة من الكفار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تعبد الكواكب في  الباطن وتنسب إلى النصرانية في الظاهر، ويدّعون أنّهم علي دين صابىء بن شيث بن آدم</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وقيل ـ كما في المجمع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دينهم دين نوح فمالوا عنه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ـ كما في الكشّاف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عدلوا عن دين اليهودية والنصرانية وعبدوا الملائكة</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ـ كما في الصحاح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جنس من أهل الكتاب</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يزعمون أنّهم على دين نوح، وقبلتهم من مهب الشمال عند منتصف النهار</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يعبدون الملائكة، ويصلّون إلى القبلة، ويقرأون الزبور</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أنهم قوم من النصارى</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التبيان</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ليسوا من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الخلاف الإجماع على عدم جريان حكم أهل الكتاب عليهم</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وذكرهم صاحب الملل والنحل وفصّل في بيان معتقداتهم،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والصابئون كلّهم يصلّون ثلاث صلوات، ويغتسلون من الجنابة، ومن مس  الميت، وحرّموا أكل الجزور والخنزير والكلب، ومن الطير كل ما له مخلب والحمام، ونهوا عن السكر في الشراب، وعن الاختتان، وأمروا بالتزويج بوليّ وشهود، ولا يجوزون الطلاق إلاّ بحكم حاكم، ولا يجمعون بين امرأتين</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كلّ فلم يظهر من هذه الأقوال أنهم من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يؤكد ذلك ما ورد في تفسيرالقمي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الصابئون لا مجوس ولا يهود ولا نصارى ولا مسلمون، وهم يعبدون الكواكب والنجوم</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في المجمع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 الصابئون لأنهم صبوا إلى تعطيل الأنبياء والرسل والشرائع،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جاؤا به باطل، فجحدوا توحيد الله ونبوة الأنبياء ورسالة المرسلين ووصية الأوصياء،فهم بلا شريعة ولا كتاب ولا رسول</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ورد ذكرهم في ثلاثة مواضع من القرآن الكريم</w:t>
      </w:r>
      <w:r>
        <w:rPr>
          <w:rStyle w:val="FootnoteAnchor"/>
          <w:rtl w:val="true"/>
        </w:rPr>
        <w:footnoteReference w:id="223"/>
      </w:r>
      <w:r>
        <w:rPr>
          <w:rFonts w:ascii="Amiri" w:hAnsi="Amiri" w:eastAsia="Amiri" w:cs="Amiri"/>
          <w:color w:val="111111"/>
          <w:sz w:val="28"/>
          <w:sz w:val="28"/>
          <w:szCs w:val="28"/>
          <w:rtl w:val="true"/>
          <w:lang w:bidi="ar-SA"/>
        </w:rPr>
        <w:t>، وفي جميع هذه الموارد ذكروا بالعطف على اليهود تارة وعلى النصارى أخرى، وفي ذلك إشعار بأنهم ليسوا من إحدى الفئتين، فإنّ ظاهر العطف يقتضي المغايرة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إجراء حكم أهل الكتاب عليهم مشكل، وعلى فرض الشك فالشبهة مصداقية ولا يمكن التمسك فيها بالعام على ما قرر في محله من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والمرجع حينئذ هو الأصل العملي وهو يقتضي الفساد، فالقول بصحة مناكحتهم مما لا دليل عليه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 وهم السامرة فالكلام فيهم على غرار ما تقدم</w:t>
      </w:r>
      <w:r>
        <w:rPr>
          <w:rFonts w:eastAsia="Amiri" w:cs="Amiri" w:ascii="Amiri" w:hAnsi="Amiri"/>
          <w:color w:val="111111"/>
          <w:sz w:val="28"/>
          <w:szCs w:val="28"/>
          <w:rtl w:val="true"/>
          <w:lang w:bidi="ar-SA"/>
        </w:rPr>
        <w:t xml:space="preserve">. </w:t>
      </w:r>
      <w:bookmarkStart w:id="64" w:name="pg16406_258461"/>
    </w:p>
    <w:p>
      <w:pPr>
        <w:pStyle w:val="BookText"/>
        <w:rPr/>
      </w:pPr>
      <w:bookmarkEnd w:id="64"/>
      <w:r>
        <w:rPr>
          <w:rFonts w:ascii="Amiri" w:hAnsi="Amiri" w:eastAsia="Amiri" w:cs="Amiri"/>
          <w:color w:val="111111"/>
          <w:sz w:val="28"/>
          <w:sz w:val="28"/>
          <w:szCs w:val="28"/>
          <w:rtl w:val="true"/>
          <w:lang w:bidi="ar-SA"/>
        </w:rPr>
        <w:t>والظاهر ـ كما في الجواهر ـ أنهم قوم من اليهود يسكنون بيت المقدس وقرايا من أعمال مصر، يتقشّفون في الطهارة أكثر من سائر اليهود، أثبتوا نبوّة موسى وهارون ويوشع، وأنكروا من بعدهم رأساً إلاّ نبياً واحداً،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إنمابشّرت بنبي واحد يأتي بعد موسى يصدّق ما بين يديه من التوراة ويحكم بحكمها، ولا يخالفها البتّة، وقبلتهم الطور الذي كلّم الله تعالى عليه موسى </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والسامرة فرقة من اليهود</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قبلتهم جبل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غريزم بين بيت المقدس ونابلس،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على أربع فرق كبار أحدها السامرة</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ذلك فحكمهم حكم أهل الكتاب وقد تقدّم بيانه مفصّلاً</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7246501_1280447820"/>
      <w:bookmarkStart w:id="66" w:name="_Toc21"/>
      <w:bookmarkEnd w:id="65"/>
      <w:r>
        <w:rPr>
          <w:rtl w:val="true"/>
        </w:rPr>
        <w:t>بقي شيء</w:t>
      </w:r>
      <w:r>
        <w:rPr>
          <w:rtl w:val="true"/>
        </w:rPr>
        <w:t>:</w:t>
      </w:r>
      <w:bookmarkEnd w:id="66"/>
    </w:p>
    <w:p>
      <w:pPr>
        <w:pStyle w:val="BookText"/>
        <w:rPr/>
      </w:pPr>
      <w:r>
        <w:rPr>
          <w:rFonts w:ascii="IRNazanin" w:hAnsi="IRNazanin" w:eastAsia="IRNazanin"/>
          <w:color w:val="111111"/>
          <w:sz w:val="28"/>
          <w:sz w:val="28"/>
          <w:szCs w:val="28"/>
          <w:rtl w:val="true"/>
          <w:lang w:bidi="fa-IR"/>
        </w:rPr>
        <w:t>وهو هل أنّ المعتبر في إجراء أحكام أهل الكتاب على شخص ما، أن يكون دينه أصلياً بمعنى أنه نشأ وتربّى عليه، لا ما إذا كان انتقالياً كما إذا كان وثنياً أو بلا دين ثم تهوّد أو تنصّر فلا تجري عليه أحكام أهل الكتاب مطلقاً؟ أو أنّ عدم إجراء أحكام أهل الكتاب مخصوص بما إذا كان الانتقال بعد مجيء الإسلام وبعثة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زماننا، أو في زمان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دون ما إذا كان الانتقال قبل ذلك؟</w:t>
      </w:r>
    </w:p>
    <w:p>
      <w:pPr>
        <w:pStyle w:val="BookText"/>
        <w:rPr/>
      </w:pPr>
      <w:r>
        <w:rPr>
          <w:rFonts w:ascii="IRNazanin" w:hAnsi="IRNazanin" w:eastAsia="IRNazanin"/>
          <w:color w:val="111111"/>
          <w:sz w:val="28"/>
          <w:sz w:val="28"/>
          <w:szCs w:val="28"/>
          <w:rtl w:val="true"/>
          <w:lang w:bidi="fa-IR"/>
        </w:rPr>
        <w:t>وجوه بل أقوال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من الجواهر</w:t>
      </w:r>
      <w:r>
        <w:rPr>
          <w:rStyle w:val="FootnoteAnchor"/>
          <w:rtl w:val="true"/>
        </w:rPr>
        <w:footnoteReference w:id="227"/>
      </w:r>
      <w:r>
        <w:rPr>
          <w:rFonts w:ascii="Amiri" w:hAnsi="Amiri" w:eastAsia="Amiri" w:cs="Amiri"/>
          <w:color w:val="111111"/>
          <w:sz w:val="28"/>
          <w:sz w:val="28"/>
          <w:szCs w:val="28"/>
          <w:rtl w:val="true"/>
          <w:lang w:bidi="ar-SA"/>
        </w:rPr>
        <w:t>وكشف اللثام</w:t>
      </w:r>
      <w:r>
        <w:rPr>
          <w:rStyle w:val="FootnoteAnchor"/>
          <w:rtl w:val="true"/>
        </w:rPr>
        <w:footnoteReference w:id="228"/>
      </w:r>
      <w:r>
        <w:rPr>
          <w:rFonts w:ascii="Amiri" w:hAnsi="Amiri" w:eastAsia="Amiri" w:cs="Amiri"/>
          <w:color w:val="111111"/>
          <w:sz w:val="28"/>
          <w:sz w:val="28"/>
          <w:szCs w:val="28"/>
          <w:rtl w:val="true"/>
          <w:lang w:bidi="ar-SA"/>
        </w:rPr>
        <w:t>هو الأخير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في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عبرة عندنا بمن تهوّد أو تنصّر بعد البعثة، لأنّ كلّ من انتقل من الإسلام أو من دين من أديان الكفر إلى دين أهل الكتاب بعد مبعث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يقبل منه عندنا من غير خلاف يعرف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 بعضهم دعوى الإجماع عليه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الشيخ إلى إقرار الكتابي المنتقل إلى غير ملّته إذا كان الثاني مما يقرّ عليه مدّعياً الإجماع على ذلك</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لما ذهب إليه صاحب الجواهر بثلاثة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الإِسْلامِ دِيناً فَلَنْ يُقْبَلَ مِنْهُ</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وهو بعمومه يشمل من كان له دين أو ليس له دين، واختار غير الإسلام فإنه لا يقبل منه إلاّ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بدّل دينه فاقتلوه</w:t>
      </w:r>
      <w:r>
        <w:rPr>
          <w:rFonts w:eastAsia="IRNazanin" w:cs="IRNazanin"/>
          <w:color w:val="111111"/>
          <w:sz w:val="28"/>
          <w:szCs w:val="28"/>
          <w:rtl w:val="true"/>
          <w:lang w:bidi="fa-IR"/>
        </w:rPr>
        <w:t xml:space="preserve">» </w:t>
      </w:r>
      <w:r>
        <w:rPr>
          <w:rStyle w:val="FootnoteAnchor"/>
          <w:rtl w:val="true"/>
        </w:rPr>
        <w:footnoteReference w:id="232"/>
      </w:r>
      <w:r>
        <w:rPr>
          <w:rFonts w:ascii="Amiri" w:hAnsi="Amiri" w:eastAsia="Amiri" w:cs="Amiri"/>
          <w:color w:val="111111"/>
          <w:sz w:val="28"/>
          <w:sz w:val="28"/>
          <w:szCs w:val="28"/>
          <w:rtl w:val="true"/>
          <w:lang w:bidi="ar-SA"/>
        </w:rPr>
        <w:t>وهو شامل لمن انتقل عن دينه إلى دين آخر غير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دين ـ ما عدا الإسلام ـ منسوخ فلا تبقى له حرمة، والانتقال إلى ما عدا الإسلام من سائر الأديان غير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للمناقشة في هذه الأدلة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معنى عدم القبول هو عدم القبول في  الواقع وفي الآخرة ومن جهة الثواب والعقاب</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ذيل الآية الشريفة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فِي الآخِرَةِ مِنْ الْخَاسِرِينَ</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67" w:name="pg16406_258463"/>
    </w:p>
    <w:p>
      <w:pPr>
        <w:pStyle w:val="BookText"/>
        <w:rPr/>
      </w:pPr>
      <w:bookmarkEnd w:id="67"/>
      <w:r>
        <w:rPr>
          <w:rFonts w:ascii="Amiri" w:hAnsi="Amiri" w:eastAsia="Amiri" w:cs="Amiri"/>
          <w:color w:val="111111"/>
          <w:sz w:val="28"/>
          <w:sz w:val="28"/>
          <w:szCs w:val="28"/>
          <w:rtl w:val="true"/>
          <w:lang w:bidi="ar-SA"/>
        </w:rPr>
        <w:t>وأما الثاني فمضافاً إلى أنّ الرواية ضعيفة السند بالإرسال، أنّ الظاهر منها أنّ المراد هو المرتد عن فطرة لا كل من بدل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عدم بقاء الحرمة وكون الدين منسوخاً لا ينافي إجراء أحكام الذمة وجواز المناكحة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فإن تمّ هناك إجماع على عدم إجراء أحكام أهل الكتاب فهو، وإلاّ فمقتضى إطلاقات الأدلة الدالة على جواز نكاح الذمية مطلقاً هو ما اختاره الشيخ من عدم الفرق بين كون الانتقال للدين الآخر قبل البعثة أو بعدها فضلاً عن اعتبار كونه أصلياً، فالمناط هو صدق كونها من أهل الكتاب وعدّها منأتباعه، وإن كان الاحتياط في ذلك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مسلماً ثم تهوّد أو تنصّر فهو ارتداد ويجري عليه حكمه من القتل أو الحبس إذا كان الارتداد عن فطرة، أو الاستتابة إذا كان عن ملّة وهو واضح</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7246503_1280447820"/>
      <w:bookmarkStart w:id="69" w:name="_Toc22"/>
      <w:bookmarkEnd w:id="68"/>
      <w:r>
        <w:rPr>
          <w:rtl w:val="true"/>
        </w:rPr>
        <w:t>المقام الرابع</w:t>
      </w:r>
      <w:r>
        <w:rPr>
          <w:rtl w:val="true"/>
        </w:rPr>
        <w:t xml:space="preserve">: </w:t>
      </w:r>
      <w:r>
        <w:rPr>
          <w:rtl w:val="true"/>
        </w:rPr>
        <w:t>في مناكحة المخالف</w:t>
      </w:r>
      <w:r>
        <w:rPr>
          <w:rtl w:val="true"/>
        </w:rPr>
        <w:t>:</w:t>
      </w:r>
      <w:bookmarkEnd w:id="69"/>
    </w:p>
    <w:p>
      <w:pPr>
        <w:pStyle w:val="BookText"/>
        <w:rPr/>
      </w:pPr>
      <w:r>
        <w:rPr>
          <w:rFonts w:ascii="Amiri" w:hAnsi="Amiri" w:eastAsia="Amiri" w:cs="Amiri"/>
          <w:color w:val="111111"/>
          <w:sz w:val="28"/>
          <w:sz w:val="28"/>
          <w:szCs w:val="28"/>
          <w:rtl w:val="true"/>
          <w:lang w:bidi="ar-SA"/>
        </w:rPr>
        <w:t>والكلام يقع فيه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نكاح المؤمن للمرأة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العكس،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المخالف للمرأة المؤمنة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مناكحة الناصبي ومن بحكمه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فقد ذكر صاحب الجواهر أنه لا خلاف في جوازه، كما اعترف به في كشف اللثام،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يحك أحد هنا الخلاف في ذلك عمّن علم أنّ مذهبه كفر المخالفين ونجاستهم، كالمرتضى وابن إدريس وغيرهما، نعم ربما حكي عن سلاّر عدم جواز ذلك، ولم نتحققه إذ المحكي عنه أنه إنما منع من </w:t>
      </w:r>
    </w:p>
    <w:p>
      <w:pPr>
        <w:pStyle w:val="BookText"/>
        <w:rPr/>
      </w:pPr>
      <w:r>
        <w:rPr>
          <w:rFonts w:ascii="Amiri" w:hAnsi="Amiri" w:eastAsia="Amiri" w:cs="Amiri"/>
          <w:color w:val="111111"/>
          <w:sz w:val="28"/>
          <w:sz w:val="28"/>
          <w:szCs w:val="28"/>
          <w:rtl w:val="true"/>
          <w:lang w:bidi="ar-SA"/>
        </w:rPr>
        <w:t>المعانِدة وهي المناصبة التي ستعرف كفرها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ذهب صاحب الحدائق إلى عدم الجواز، ونسب القول بالجواز إلى أكثر المتأخرين</w:t>
      </w:r>
      <w:r>
        <w:rPr>
          <w:rStyle w:val="FootnoteAnchor"/>
          <w:rtl w:val="true"/>
        </w:rPr>
        <w:footnoteReference w:id="23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مذهب المتقدمين القائلين بكفر المخالفين ونصبهموعدم جواز إجراء شيء من أحكام الإسلام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بل يجب الحكم بعدم صحّة مناكحتهم كسائر أفراد الكفّار</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قد استدلّ للقول بالجواز ـ كما في التذكرة</w:t>
      </w:r>
      <w:r>
        <w:rPr>
          <w:rStyle w:val="FootnoteAnchor"/>
          <w:rtl w:val="true"/>
        </w:rPr>
        <w:footnoteReference w:id="237"/>
      </w:r>
      <w:r>
        <w:rPr>
          <w:rFonts w:ascii="Amiri" w:hAnsi="Amiri" w:eastAsia="Amiri" w:cs="Amiri"/>
          <w:color w:val="111111"/>
          <w:sz w:val="28"/>
          <w:sz w:val="28"/>
          <w:szCs w:val="28"/>
          <w:rtl w:val="true"/>
          <w:lang w:bidi="ar-SA"/>
        </w:rPr>
        <w:t xml:space="preserve"> ـ بالأصل، وبما ورد من الروايات الدالة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بن أعين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تزوّجوا في الشكّاك ولا تزوّجوهم، فإنّ المرأة تأخذ من أدب زوجها ويقهرها على دينه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 الشكّاك الذين لا يكونون معاندين للحق ولا تحملهم العصبية على ردّه وإن كانوا غير عارفين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صحيحته الأخرى</w:t>
      </w:r>
      <w:r>
        <w:rPr>
          <w:rStyle w:val="FootnoteAnchor"/>
          <w:rtl w:val="true"/>
        </w:rPr>
        <w:footnoteReference w:id="2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بمرجية أو حرورية؟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بالبله من النساء،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هي إلاّ مؤمنة أو كافرة،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أهل ثنوى الله عزوجل، قول الله أصدق من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الْمُسْتَضْعَفِينَ مِنْ الرِّجَالِ وَالنِّسَاءِوَالْوِلْدَانِ لا يَسْتَطِيعُونَ حِيلَةً وَلا يَهْتَدُونَ سَبِيلاً</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وبمضمونها صحيحته الثالثة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أخشى أن لا </w:t>
      </w:r>
    </w:p>
    <w:p>
      <w:pPr>
        <w:pStyle w:val="BookText"/>
        <w:rPr/>
      </w:pPr>
      <w:r>
        <w:rPr>
          <w:rFonts w:ascii="Amiri" w:hAnsi="Amiri" w:eastAsia="Amiri" w:cs="Amiri"/>
          <w:color w:val="111111"/>
          <w:sz w:val="28"/>
          <w:sz w:val="28"/>
          <w:szCs w:val="28"/>
          <w:rtl w:val="true"/>
          <w:lang w:bidi="ar-SA"/>
        </w:rPr>
        <w:t>يحلّ لي أن أتزوّج ممن لم يكن على أمري،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يمنعك من البله،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البله؟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المستضعفات من اللاتي لا ينصبن ولا يعرفن ما أنتم عليه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موثقته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مناكحة الناس فإنّي بلغت ما ترى وما تزوجت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يمنعك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يمنعني إلاّ أنّي أخشى أن يكون لاتحلّ لي مناكحتهم فما 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وأنت شابّ أتصبر؟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 الجواري،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 الآن فبم تستحلّ الجواري؟ أخبرني،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الأمة ليست بمنزلة الحرّة إن رابتني الأمة بشيء بعتها أو اعتزلتها،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فبم تستحلّها؟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عندي جواب،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ما ترى أتزوّج؟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أن تفعل،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قولك ما أبالي أن تفعل فإنّ ذلك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أبالي أن تأثم أنت من غير أن آمرك، فما تأمرني أفعل ذلك عن أمرك؟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 وكان من امرأة نوح وامرأة لوط ما قصّ الله عزوجل، وقد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 اِمْرَأَةَنُوحٍ وَاِمْرَأَةَ لُوطٍ كَانَتَا تَحْتَ عَبْدَيْنِ مِنْ عِبَادِنَا صَالِحَيْنِ فَخَانَتَاهُمَا</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في ذلك مثل منزلته، إنما هي تحت يديه وهي مقرّة بحكمه مظهرة دينه،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ماعنى بذلك إلاّ في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فَخَانَتَاهُمَا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عنى بذلك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الفاحشة</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 وقد زوّج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فما </w:t>
      </w:r>
    </w:p>
    <w:p>
      <w:pPr>
        <w:pStyle w:val="BookText"/>
        <w:rPr/>
      </w:pPr>
      <w:r>
        <w:rPr>
          <w:rFonts w:ascii="Amiri" w:hAnsi="Amiri" w:eastAsia="Amiri" w:cs="Amiri"/>
          <w:color w:val="111111"/>
          <w:sz w:val="28"/>
          <w:sz w:val="28"/>
          <w:szCs w:val="28"/>
          <w:rtl w:val="true"/>
          <w:lang w:bidi="ar-SA"/>
        </w:rPr>
        <w:t>تأمرني أنطلق فأتزوج بأمرك؟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فاعلاً فعليك بالبلهاء من النساء،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البلهاء؟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الخدور العفائف،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هي على دين سالم بن أبي حفصة؟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هي على دين ربيعة الرأي؟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العواتق اللاتي لا ينصبن ولا يعرفن ما تعرفون</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ولعلّ مراد العلاّمة الحلي من الأصل هو العمومات الدالة على صحة التناكح بالإسلام، وهي روايات كثيرة عبّر عنها صاحب الجواهر</w:t>
      </w:r>
      <w:r>
        <w:rPr>
          <w:rStyle w:val="FootnoteAnchor"/>
          <w:rtl w:val="true"/>
        </w:rPr>
        <w:footnoteReference w:id="245"/>
      </w:r>
      <w:r>
        <w:rPr>
          <w:rFonts w:ascii="Amiri" w:hAnsi="Amiri" w:eastAsia="Amiri" w:cs="Amiri"/>
          <w:color w:val="111111"/>
          <w:sz w:val="28"/>
          <w:sz w:val="28"/>
          <w:szCs w:val="28"/>
          <w:rtl w:val="true"/>
          <w:lang w:bidi="ar-SA"/>
        </w:rPr>
        <w:t>بالنصوصالمتواترة الدالة على اشتراك المسلم والمؤمن في بعض الأحكام كالمناكحة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الإسلام والإيمان أهما مختلفان؟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الإيمان يشارك الإسلام، والإسلام لا يشارك الإيمان،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فصفهما 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شهادة أن لا إله إلاّ الله والتصديق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حقنت الدماء وجرت عليه المناكح والمواريث وعلى ظاهره جماعة الناس </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حمران بن أعين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ما استقرّ في القلب وأفضي به إلى الله عزوجل وصدّقه العلم بالطاعة لله والتسليم لأمره، والإسلام ما ظهر من قول أو فعل وهو الذي عليه جماعة الناس من الفرق كلها، وبه حقنت الدماء وعليه جرت المواريث وجاز النكاح</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 xml:space="preserve">الإيمان يشارك الإسلام ولا يشاركه الإسلام، إنّ الإيمان ما وقر في القلوب والإسلام ما عليه المناكح والمواريث وحقن الدماء </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يكون الرجل مسلماً تحلّ مناكحته وموارثته وبم يحرم دمه؟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دمه بالإسلام إذا ظهر، وتحلّ مناكحته وموارثته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الإيمان،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ما كان في القلب، والإسلام ما كان عليه التناكح والمواريث وتحقن به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حمران بن أعين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ما استقرّ في القلب وأفضي به إلى الله عزوجل وصدّقه العلم بالطاعة لله والتسليم لأمره، والإسلام ما ظهر من قول أو فعل وهو الذي عليه جماعة الناس من الفرق كلها، وبه حقنت الدماء وعليه جرت المواريث وجاز النكاح</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الإيمان يشارك الإسلام ولا يشاركه الإسلام، إنّ الإيمان ما وقر في القلوب والإسلام ما عليه المناكح والمواريث وحقن الدماء </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يكون الرجل مسلماً تحلّ مناكحته وموارثته وبم يحرم دمه؟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دمه بالإسلام إذا ظهر، وتحلّ مناكحته وموارثته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الإيمان،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ما كان في القلب، والإسلام ما كان عليه التناكح والمواريث وتحقن به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العلاء بن رزين أنه سأل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جمهور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اليوم في هدنة، تردّ ضالّتهم، وتؤدّى أمانتهم، وتحقن دماؤهم، وتجوز مناكحتهم وموارثتهم في هذه الحال</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الروايات وغيرها واضحة الدلالة على جواز نكاح غير المؤمنة ما لم تكن ناصبة معاندة وإن لم تكن عارفة بما عليه أهل الحق من أمر الولاية وغيرها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يدلّ على ذلك أيضاً ما ورد في موثّقة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لامرأتي أختاً مسلمة لا بأس بها، وليس بالبصرة أحد فما ترى في تزويجها من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تزوجها إلاّ ممن هو على رأيها وتزويج المرأة التي ليست بناصبية لا بأس به</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والرواية تامة سنداً وهي تدلّ على جواز نكاح المرأة المخالفة ما لم تكن ناصبة، بل هي أصرح من الروايات السابقة في الدلالة، وصدرها موافق لصحيحة الفضيل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روي أنّ سلمان الفارسي خطب إلى عمر فأجابه إلى ذلك، فكره عبد الله بن عمر ذلك، فقال له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 فلقي عمرو بن العاص سلمان الفارسي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ليهنئك يا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لك أميرالمؤمنين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لمثلي يقال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نكحتها أبداً</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وسلمان كان من العجم، فأجابه عمر إلى التزويج، وابن عمر لم ينكر وإنما كرهه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وإن كانت واردة في الكفاءة في النسب إلاّ أنه يمكن استفادة الجواز في ما نحن فيه، فإنّ سلمان من أهل الولاية والإيمان ومع ذلك خطب إلى عمر ابنته، ومن البعيد أن تكون ابنة عمر على خلاف رأي أبيها وأخيها، نعم الكلام في سندها فإن الرواية عامية ونقلها الشيخ في الخلاف وأشار إليها السيد المرتضى في المسائل الناصريات</w:t>
      </w:r>
      <w:r>
        <w:rPr>
          <w:rStyle w:val="FootnoteAnchor"/>
          <w:rtl w:val="true"/>
        </w:rPr>
        <w:footnoteReference w:id="259"/>
      </w:r>
      <w:r>
        <w:rPr>
          <w:rFonts w:ascii="Amiri" w:hAnsi="Amiri" w:eastAsia="Amiri" w:cs="Amiri"/>
          <w:color w:val="111111"/>
          <w:sz w:val="28"/>
          <w:sz w:val="28"/>
          <w:szCs w:val="28"/>
          <w:rtl w:val="true"/>
          <w:lang w:bidi="ar-SA"/>
        </w:rPr>
        <w:t>ولذا جعلناها مؤيدة لما تقدّم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ورد من  النهي عن نكاح المرجئة والحرورية كما في صحيحة زرارة المتقدمة</w:t>
      </w:r>
      <w:r>
        <w:rPr>
          <w:rStyle w:val="FootnoteAnchor"/>
          <w:rtl w:val="true"/>
        </w:rPr>
        <w:footnoteReference w:id="260"/>
      </w:r>
      <w:r>
        <w:rPr>
          <w:rFonts w:ascii="IRNazanin" w:hAnsi="IRNazanin" w:eastAsia="IRNazanin"/>
          <w:color w:val="111111"/>
          <w:sz w:val="28"/>
          <w:sz w:val="28"/>
          <w:szCs w:val="28"/>
          <w:rtl w:val="true"/>
          <w:lang w:bidi="fa-IR"/>
        </w:rPr>
        <w:t>فلا يكون مانعاً عما ذكرنا لأنّ المرجئة والحرورية محكومتان بالكفر كما في صحيحة أبي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أهل البصرة،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مرجئة وقدرية وحرورية،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w:t>
      </w:r>
    </w:p>
    <w:p>
      <w:pPr>
        <w:pStyle w:val="BookText"/>
        <w:rPr/>
      </w:pPr>
      <w:r>
        <w:rPr>
          <w:rFonts w:ascii="Amiri" w:hAnsi="Amiri" w:eastAsia="Amiri" w:cs="Amiri"/>
          <w:color w:val="111111"/>
          <w:sz w:val="28"/>
          <w:sz w:val="28"/>
          <w:szCs w:val="28"/>
          <w:rtl w:val="true"/>
          <w:lang w:bidi="ar-SA"/>
        </w:rPr>
        <w:t>تلك الملل الكافرة المشركة التي لا تعبد الله على شيء</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ورد من الروايات الدالة على أنّ جميع المخالفين نواصب وأنّهم بحكم الكفار، إنما هو بحسب الواقع ونفس الأمر لا بحسب الظاهر، إلى أن يأذن الله تعالى في ظهور الحجة ابن الحسن أرواحنا فداه، كما تدلّ عليه بعض الروايات، ومنها رواية العلاء بن رزين المتقدمة، وهذا هو مقتضى الجمع بين الطائفتين من الروايات، وبناء على ذلك فما استدلّ به صاحب الحدائق</w:t>
      </w:r>
      <w:r>
        <w:rPr>
          <w:rStyle w:val="FootnoteAnchor"/>
          <w:rtl w:val="true"/>
        </w:rPr>
        <w:footnoteReference w:id="262"/>
      </w:r>
      <w:r>
        <w:rPr>
          <w:rFonts w:ascii="Amiri" w:hAnsi="Amiri" w:eastAsia="Amiri" w:cs="Amiri"/>
          <w:color w:val="111111"/>
          <w:sz w:val="28"/>
          <w:sz w:val="28"/>
          <w:szCs w:val="28"/>
          <w:rtl w:val="true"/>
          <w:lang w:bidi="ar-SA"/>
        </w:rPr>
        <w:t>من الروايات على عدم جواز مناكحتهم مطلقاً وإن كان من طرف المرأة المخالفة وتشدّده في النكير على من أجاز ذلك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الثاني وهو تزوّج المرأة المؤمنة من الرجل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وهو المنسوب إلى مشهور المتأخرين، بل في الرياض</w:t>
      </w:r>
      <w:r>
        <w:rPr>
          <w:rStyle w:val="FootnoteAnchor"/>
          <w:rtl w:val="true"/>
        </w:rPr>
        <w:footnoteReference w:id="263"/>
      </w:r>
      <w:r>
        <w:rPr>
          <w:rFonts w:ascii="Amiri" w:hAnsi="Amiri" w:eastAsia="Amiri" w:cs="Amiri"/>
          <w:color w:val="111111"/>
          <w:sz w:val="28"/>
          <w:sz w:val="28"/>
          <w:szCs w:val="28"/>
          <w:rtl w:val="true"/>
          <w:lang w:bidi="ar-SA"/>
        </w:rPr>
        <w:t>عن الخلاف والمبسوط والسرائر وسلار والغنية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على كراهة وهو المنسوب إلى المفيد وابن حمزة والمحقق</w:t>
      </w:r>
      <w:r>
        <w:rPr>
          <w:rStyle w:val="FootnoteAnchor"/>
          <w:rtl w:val="true"/>
        </w:rPr>
        <w:footnoteReference w:id="264"/>
      </w:r>
      <w:r>
        <w:rPr>
          <w:rFonts w:ascii="IRNazanin" w:hAnsi="IRNazanin" w:eastAsia="IRNazanin"/>
          <w:color w:val="111111"/>
          <w:sz w:val="28"/>
          <w:sz w:val="28"/>
          <w:szCs w:val="28"/>
          <w:rtl w:val="true"/>
          <w:lang w:bidi="fa-IR"/>
        </w:rPr>
        <w:t>واختاره صاحب الجواهر</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الجواز بالزوج دون الزوجة</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واستدل للقول الأول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الإجماعات المستفيضة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الإجماع لم يثبت على اعتبار الإيمان بالمعنى الأخص، بل المراد بالإيمان في كلام المجمعين هو الإسلام، ويدلّ على ذلك قرائن،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قرره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المسائل الناصرية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يذهب إليه أصحابنا أنّ الكفاءة في الدين معتبرة، لأنه لا خلاف في أنه لا يجوز أن تتزوج المرأة المسلمة المؤمنة بالكفار</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ذلك أنّ المعتبر عند الجميع هو الإسلام، وعلى فرض التسليم لا يكون الإجماع حجة في المقام لذهاب جماعة إلى خلاف ذلك كما تقدم واحتمال أن يكون مدركه ما يأتي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الكثيرة الدالة على كفر المخالفين</w:t>
      </w:r>
      <w:r>
        <w:rPr>
          <w:rStyle w:val="FootnoteAnchor"/>
          <w:rtl w:val="true"/>
        </w:rPr>
        <w:footnoteReference w:id="268"/>
      </w:r>
      <w:r>
        <w:rPr>
          <w:rFonts w:ascii="Amiri" w:hAnsi="Amiri" w:eastAsia="Amiri" w:cs="Amiri"/>
          <w:color w:val="111111"/>
          <w:sz w:val="28"/>
          <w:sz w:val="28"/>
          <w:szCs w:val="28"/>
          <w:rtl w:val="true"/>
          <w:lang w:bidi="ar-SA"/>
        </w:rPr>
        <w:t>، ومن المعلوم عدم جواز مناكحة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في الأمر السابق بأنهم كفار في الواقع وفي الآخرة وأما في دار الدنيا وزمان الهدنة فيعدّون من المسلمين وتجري عليهم أحكام الإسلام منالمناكحة والتوارث وحرمة دمائهم وأموالهم كما صرّحت بذلك الروايات المعتبرة وقد تقدمت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عدم جواز مناكحة الناصبي وأنه كافر بل شرّ من اليهودي</w:t>
      </w:r>
      <w:r>
        <w:rPr>
          <w:rStyle w:val="FootnoteAnchor"/>
          <w:rtl w:val="true"/>
        </w:rPr>
        <w:footnoteReference w:id="269"/>
      </w:r>
      <w:r>
        <w:rPr>
          <w:rFonts w:ascii="Amiri" w:hAnsi="Amiri" w:eastAsia="Amiri" w:cs="Amiri"/>
          <w:color w:val="111111"/>
          <w:sz w:val="28"/>
          <w:sz w:val="28"/>
          <w:szCs w:val="28"/>
          <w:rtl w:val="true"/>
          <w:lang w:bidi="ar-SA"/>
        </w:rPr>
        <w:t>، وبانضمام هذه الروايات إلى ما دلّ على أنّ كل مخالف ناصبي ـ</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في الوسائل عن مستطرفات السرائر نقلاً من كتاب مسائل </w:t>
      </w:r>
    </w:p>
    <w:p>
      <w:pPr>
        <w:pStyle w:val="BookText"/>
        <w:rPr/>
      </w:pPr>
      <w:r>
        <w:rPr>
          <w:rFonts w:ascii="IRNazanin" w:hAnsi="IRNazanin" w:eastAsia="IRNazanin"/>
          <w:color w:val="111111"/>
          <w:sz w:val="28"/>
          <w:sz w:val="28"/>
          <w:szCs w:val="28"/>
          <w:rtl w:val="true"/>
          <w:lang w:bidi="fa-IR"/>
        </w:rPr>
        <w:t>الرجال عن محمد بن أحمد بن زياد وموسى بن محمد بن علي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إليه يعني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الناصب، هل أحتاج في امتحانه إلى أكثر من تقديمه الجبت والطاغوت واعتقاد إمامتهما؟ فرجع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على هذا فهو ناصب</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الناصب من نصب لنا أهل البيت، لأنك لا تجد رجلاً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أبغض محمداً وآل محمد، ولكن الناصب من نصب لكم وهو يعلم أنكم تتولونا وأنكم من شيعتنا</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المعلى بن خنيس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الناصب من نصب لنا أهل البيت، لأنك لا تجد أحداً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أبغض آل محمد، ولكن الناصب من نصب لكم وهو يعلم أنكم تتولونا وتبرأون منأعدائنا،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أشبع عدوّاً لنا فقد قتل ولياً لنا</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 ـ يستفاد عدم جواز مناكحة المخالف لكونه ناصبياً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مضافاً إلى المناقشة في أسناد هذه الروايات، أنّ المراد هو الناصب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المخالف، وأما الروايات الدالة على كفر المخالف فهي محمولة على أنّ الكفر في الواقع وفي الآخرة لا في الدنيا، وذلك لما ورد من الروايات الدالة على الفرق بين المخالف والناصب</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العارفة هل أزوّجها الناصب؟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 الناصب كافر،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فأزوّجها الرجل غير الناصب ولا العارف؟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غيره أحبّ إليّ منه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وغيرها من الروايات والمستفاد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صنفاً ثالثاً وليس هو إلاّ المخالف ولكنه بعيد وسيأتي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أنّ المؤمنين بعضهم أكفاء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عني 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لم يترك شيئاً مما يحتاج إليه إلاّ وعلّمه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 من تعليمه إياه أنه صعد المنبر ذات يوم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جبرئيل أتاني عن اللطيف الخبير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الأبكار بمنزلة الثمر على الشجر إذا أدركثمارها فلم تجتن أفسدته الشمس، ونثرته الرياح، وكذلك الأبكار إذا أدركن ما يدرك النساء فليس لهنّ دواء إلاّ البعولة وإلاّ لم يؤمن عليهنّ الفساد لأنّهنّ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فمن نزوّج؟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الأكفاء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الأكفاء؟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بعضهم أكفاء بعض، المؤمنون بعضهم أكفاء بعض</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 وهي تدلّ على أنّ المؤمنة كفؤها المؤمن ومن المعلوم أنّ المخالف ليس كفؤاً للمؤمنة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من الإيمان في هذه الروايات ولا سيّما ما ورد على لسان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الإسلام، وأما الإيمان بالمعنى الأخصّ فهو اصطلاح حادث فلا تحمل عليه الروايات الواردة في ذلك الظرف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تزويج البنت ممن يُرضى خلقه ودينه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علي 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علي بن أسباط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أمر بناته، وأنه لا يجد أحداً مثله، فكتب إليه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فهمت ما ذكرت من أمر بناتك، وأنك لا تجد أحداً مثلك، فلا تنظر في ذلك رحمك الله،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جاءكم من ترضون خلقه ودينه فزوّجوه، إلاّ تفعلوه </w:t>
      </w:r>
    </w:p>
    <w:p>
      <w:pPr>
        <w:pStyle w:val="BookText"/>
        <w:rPr/>
      </w:pPr>
      <w:r>
        <w:rPr>
          <w:rFonts w:ascii="Amiri" w:hAnsi="Amiri" w:eastAsia="Amiri" w:cs="Amiri"/>
          <w:color w:val="111111"/>
          <w:sz w:val="28"/>
          <w:sz w:val="28"/>
          <w:szCs w:val="28"/>
          <w:rtl w:val="true"/>
          <w:lang w:bidi="ar-SA"/>
        </w:rPr>
        <w:t>تكن فتنة في الأرض وفساد كبير</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 ومن المعلوم أنّ المخالف ممّن لا يرضى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محمولة على الإرشاد بقرينة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ترضون خلقه والخلق هو السجية، وهو غير شرط في صحة النكاح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الخلق قد يأتي بمعنى الدين</w:t>
      </w:r>
      <w:r>
        <w:rPr>
          <w:rStyle w:val="FootnoteAnchor"/>
          <w:rtl w:val="true"/>
        </w:rPr>
        <w:footnoteReference w:id="276"/>
      </w:r>
      <w:r>
        <w:rPr>
          <w:rFonts w:ascii="Amiri" w:hAnsi="Amiri" w:eastAsia="Amiri" w:cs="Amiri"/>
          <w:color w:val="111111"/>
          <w:sz w:val="28"/>
          <w:sz w:val="28"/>
          <w:szCs w:val="28"/>
          <w:rtl w:val="true"/>
          <w:lang w:bidi="ar-SA"/>
        </w:rPr>
        <w:t>والملة أيضاً فيكون تأكيداً، وليس معناه منحصراً في السجية حتى تحمل الروايات على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على التأكيد خلاف الظاهر، بل الظاهر أنه بمعنى السجية وهو يقوّي الحمل على الإرشاد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الرواية واردة على لسان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تقدم أنّ المراد بالإيمان في زمانه هو الإسلام لا الإيمان بالمعنى الأخص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فرض التسليم إلاّ أنّ الأمر بتزويج من يرضى دينه لا يدلّ على فساد التزويج من غيره، مضافاً إلى أنه قد ورد في بعض الروايات</w:t>
      </w:r>
      <w:r>
        <w:rPr>
          <w:rStyle w:val="FootnoteAnchor"/>
          <w:rtl w:val="true"/>
        </w:rPr>
        <w:footnoteReference w:id="277"/>
      </w:r>
      <w:r>
        <w:rPr>
          <w:rFonts w:ascii="Amiri" w:hAnsi="Amiri" w:eastAsia="Amiri" w:cs="Amiri"/>
          <w:color w:val="111111"/>
          <w:sz w:val="28"/>
          <w:sz w:val="28"/>
          <w:szCs w:val="28"/>
          <w:rtl w:val="true"/>
          <w:lang w:bidi="ar-SA"/>
        </w:rPr>
        <w:t>اشتراط الأمانة أيضاً وهي ليست شرطاً في صحة النكاح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النصوص الدالة على النهي عن تزويج المؤمنة من الشاك معللاً أنّ المرأة تأخذ من أدب زوجها، كما في موثقة زرارة بن أعين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تزوّجوا في الشكّاك ولا تزوّجوهم، فإنّ المرأة تأخذ من أدب زوجها ويقهرها على دينه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لا يجوز تزويج المؤمنة من الشاك وهو الجاهل المتردّد في </w:t>
      </w:r>
    </w:p>
    <w:p>
      <w:pPr>
        <w:pStyle w:val="BookText"/>
        <w:rPr/>
      </w:pPr>
      <w:r>
        <w:rPr>
          <w:rFonts w:ascii="Amiri" w:hAnsi="Amiri" w:eastAsia="Amiri" w:cs="Amiri"/>
          <w:color w:val="111111"/>
          <w:sz w:val="28"/>
          <w:sz w:val="28"/>
          <w:szCs w:val="28"/>
          <w:rtl w:val="true"/>
          <w:lang w:bidi="ar-SA"/>
        </w:rPr>
        <w:t>عقيدته ودينه فبطريق أولى لا يجوز من المعتقد بالخلاف الثابت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التعليل بأنّ المرأة تأخذ من أدب زوجها جار في المخالف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بالشكّاك في الرواية مجمل غير معلوم، فإن كان المراد به هو المستضعف فالتعليل يناسب الأمر بالتزويج، إذ ربما يكون ذلك سبباً لهدايته ونجاته، ولا يناسب النهي، لأنّ المستضعف لا يخشى منه القهر والغلبة، مضافاً إلى أنّ  الرواية معارضة بما دلّ على جواز مناكحة المستضعف، والمناسب هو حمل الرواية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وهو العمدة في المقام ـ النصوص الخاصة الدالة على المنع من تزويج المؤمنة من المخالف وهي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الفضيل</w:t>
      </w:r>
      <w:r>
        <w:rPr>
          <w:rStyle w:val="FootnoteAnchor"/>
          <w:rtl w:val="true"/>
        </w:rPr>
        <w:footnoteReference w:id="279"/>
      </w:r>
      <w:r>
        <w:rPr>
          <w:rFonts w:ascii="Amiri" w:hAnsi="Amiri" w:eastAsia="Amiri" w:cs="Amiri"/>
          <w:color w:val="111111"/>
          <w:sz w:val="28"/>
          <w:sz w:val="28"/>
          <w:szCs w:val="28"/>
          <w:rtl w:val="true"/>
          <w:lang w:bidi="ar-SA"/>
        </w:rPr>
        <w:t>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لامرأتي اختاً عارفة على رأينا، وليس على رأينا بالبصرة إلاّ قليل فأزوجها من لا يرى رأيها؟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نعمة، 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تَرْجِعُوهُنَّ إِلَى الْكُفَّارِ لا هُنَّ حِلٌّ لَهُمْ وَلا هُمْ يَحِلُّونَ لَهُنَّ</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على رأينا بالبصرة إلاّ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شموله للمخالف، لا أنّ كل من في البصرة ناصبي أو خارجي، فالرواية بظاهرها تدل على عدمالجواز</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صحيحته الأخرى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نكاح الناصب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يحلّ، قال 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سألته مرة أخرى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تقول في نكاحهم؟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والمرأة عارفة،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العارفة لا </w:t>
      </w:r>
    </w:p>
    <w:p>
      <w:pPr>
        <w:pStyle w:val="BookText"/>
        <w:rPr/>
      </w:pPr>
      <w:r>
        <w:rPr>
          <w:rFonts w:ascii="IRNazanin" w:hAnsi="IRNazanin" w:eastAsia="IRNazanin"/>
          <w:color w:val="111111"/>
          <w:sz w:val="28"/>
          <w:sz w:val="28"/>
          <w:szCs w:val="28"/>
          <w:rtl w:val="true"/>
          <w:lang w:bidi="fa-IR"/>
        </w:rPr>
        <w:t>توضع إلاّ عند عارف</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ومورد السؤال في الرواية وإن كان هو الناصب إلاّ أنّ الحصر في الجواب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العارفة لا توضع إلاّ عند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عدم جواز تزويج المؤمنة من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الناصب الذي قد عرف نصبه وعداوته، هل يزوّجه المؤمن وهو قادر على ردّه، وهو لا يعلم بردّه؟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يتزوج المؤمن الناصبة، ولا يتزوّج الناصب المؤمنة، ولا يتزوّج المستضعف مؤمنة</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ومحل الشاهد من هذه الرواية الجملة الأخيرة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يتزوج المستضعف مؤمنة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الروايات وغيرها تدل على عدم جواز تزويج المرأة المؤمنة من الرجل المخالف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ولكن ورد في مقابل هذه الروايات ما يدل على الجواز 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العارفة هل أزوّجها الناصب؟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 الناصب كافر،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فأزوجها الرجل غير الناصب ولا العارف؟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غيره أحبّ إليّ منه</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والرواية تدلّ على أنّ هناك صنفاً ثالثاً لا يكون ناصباً ولا عارفاً وهو المخالف، إلاّ أن يقال إنّ الضمير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غيره أحبّ إليّ، راجع إلى الناصب فيدلّ على جواز التزويج من غير العارف، وأما إرجاع الضمير على الناصب وغير العارف معاً فهو بعيد وإلاّ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ومعتبرة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الْمُسْتَضْعَفِينَ</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الولاية،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ولاية؟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أنها ليست بولاية في الدين، ولكنّها الولاية في المناكحة والموارثة والمخالطة، وهم ليسوا بالمؤمنين ولا بالكفّار وهم المرجون لأمر الله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وبمضمونها صحيحة عمر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المستضعفين،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الولاية،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ولاية؟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أنها ليست بالولاية في الدين ولكنّها الولاية في المناكحة والموارثة والمخالطة، وهمليسوا بالمؤمنين ولا بالكفّار، منهم المرجون لأمر الله عزّوجلّ</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الروايات تدل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الأولى ضعيفة السند والروايتان الأخريان وإن كانتا معتبرتين من حيث السند إلاّ أنّ حكمهما من حيث الدلالة حكم الروايات الدالة على جواز المناكحة والتوارث جرياً على ظاهر الإسلام كما تقدّم، فتكون هاتان الروايتان ملحقتين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بأنّ الروايات الخاصة مخصصة لتلك الروايات فمقتضى القاعدة عدم جواز نكاح المؤمنة من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آبية عن التخصيص كما ادّعاه صاحب الجواهر</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إذ جواز المناكحة والتوارث لكلا الطرفين، فلابدّ من حمل الروايات الخاصة على الكراهة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يجوز للمرأة المؤمنة أن تتزوّج من الرجل </w:t>
      </w:r>
    </w:p>
    <w:p>
      <w:pPr>
        <w:pStyle w:val="BookText"/>
        <w:rPr/>
      </w:pPr>
      <w:r>
        <w:rPr>
          <w:rFonts w:ascii="IRNazanin" w:hAnsi="IRNazanin" w:eastAsia="IRNazanin"/>
          <w:color w:val="111111"/>
          <w:sz w:val="28"/>
          <w:sz w:val="28"/>
          <w:szCs w:val="28"/>
          <w:rtl w:val="true"/>
          <w:lang w:bidi="fa-IR"/>
        </w:rPr>
        <w:t xml:space="preserve">المخالف مطلقاً إلاّ مع الاطمئنان بأنها لا تأخذ من دينه، ولا تقهر على متابعته في معتقده، وذلك لما ورد في صحيحة زرارة بن أعين المتقدمة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تزوّجوا في الشكّاك ولا تزوّجوهم، فإنّ المرأة تأخذ من أدب زوجها ويقهرها على دينه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وردت بطريقين صحيحين أحدهما عن زرارة والآخر عن أبيبصير، ورواها في النوادر عنهما كليهما</w:t>
      </w:r>
      <w:r>
        <w:rPr>
          <w:rStyle w:val="FootnoteAnchor"/>
          <w:rtl w:val="true"/>
        </w:rPr>
        <w:footnoteReference w:id="289"/>
      </w:r>
      <w:r>
        <w:rPr>
          <w:rFonts w:ascii="Amiri" w:hAnsi="Amiri" w:eastAsia="Amiri" w:cs="Amiri"/>
          <w:color w:val="111111"/>
          <w:sz w:val="28"/>
          <w:sz w:val="28"/>
          <w:szCs w:val="28"/>
          <w:rtl w:val="true"/>
          <w:lang w:bidi="ar-SA"/>
        </w:rPr>
        <w:t>فهي من حيث السند في غاية الاعتبار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من حيث الدلالة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فصّل بين جواز تزويج غير المؤمنة من الرجل المؤمن، وعدم جواز تزوّج المؤمنة من غير المؤمن، وعلّل عدم الجواز بأنّ المرأة تأخذ من أدب زوجها ويقهرها على دينه، فالحمل على عدم الجواز يتوقف على أمرين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معنى الشكّاك، وقد فسره المجلسي الأول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الشكّاك هم غالب الناس منهم ممن ليس له عداوة، فإنّه يقبل  التشكيك والرجوع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المستضعف الذي ليس له عداوة مع الأئمة ولا مع شيعتهم، ولكن لا يلعنون الصحابة فإنّهم يرجعون إلى الحق بالنصيحة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عقل له ولا عداوة فإنّهم أيضاً يمكن رجوعهم</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والأظهر من هذه المعاني هو الأول، ويدلّ عليه صحيحة فضيل بن يسار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نصب علياً علماً بينه وبين خلقه، فمن </w:t>
      </w:r>
    </w:p>
    <w:p>
      <w:pPr>
        <w:pStyle w:val="BookText"/>
        <w:rPr/>
      </w:pPr>
      <w:r>
        <w:rPr>
          <w:rFonts w:ascii="Amiri" w:hAnsi="Amiri" w:eastAsia="Amiri" w:cs="Amiri"/>
          <w:color w:val="111111"/>
          <w:sz w:val="28"/>
          <w:sz w:val="28"/>
          <w:szCs w:val="28"/>
          <w:rtl w:val="true"/>
          <w:lang w:bidi="ar-SA"/>
        </w:rPr>
        <w:t>عرفه كان مؤمناً، ومن أنكره كان كافراً، ومن جهله كان ضالاًّ، ومن نصب معه شيئاً كان مشركاً، ومن جاء بولايته دخل الجنة، ومن جاء بعداوته دخلالنار</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والمراد بالمشرك في الرواية هو المتردد الذي لم يتيقّن بإمامته، وبناء على هذا فالمستفاد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الشكّاك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غالب الناس من العامة الجاهلين بأمر الإمامة، وهذا هو محل الكلام ونتيجته عدم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المراد هو المعنيين الأخيرين فيدلّ بطريق أولى على عدم جواز تزويج المرأة المؤمنة من الرجل المخالف الذي لا يكون مستضعفاً، أو له عقل، وعلى كلا التقديرين فدلالة الرواية واضحة على عدم جواز تزويج المرأة المؤمنة من الرجل المخالف على الإطلاق، والتعليل الوارد في الرواية من أنها تأخذ من أدب زوجها ويقهرها على دينه هو وجه الجمع، فإنّ المستفاد منه أنّ المنع ليس من جهة الكفر كما في الناصب، بل من جهة أخذها من أدبه وقهرها على دينه، فلابدّ من الحكم بالحرمة مطلقاً بمقتضى هذه الرواية إلاّ إذا حصل الاطمئنان بأنها لا تأخذ من أدبه ولا يتمكّن من قهرها بأن كانت عالمة مثقفة محصّنة بالمعارف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ذهب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بالجواز على كراهة إلاّ مع خوف الضلال فيحرم</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الاستدلال على الجواز بفعل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وتزويجه أمّ كلثوم من عمر فغير تام وذلك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ورد من الروايات الصحيحة أنّ ذلك كان عن تقيّة واضطرار، كما في صحيحة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تزويج أمّ كلثوم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w:t>
      </w:r>
    </w:p>
    <w:p>
      <w:pPr>
        <w:pStyle w:val="BookText"/>
        <w:rPr/>
      </w:pPr>
      <w:r>
        <w:rPr>
          <w:rFonts w:ascii="IRNazanin" w:hAnsi="IRNazanin" w:eastAsia="IRNazanin"/>
          <w:color w:val="111111"/>
          <w:sz w:val="28"/>
          <w:sz w:val="28"/>
          <w:szCs w:val="28"/>
          <w:rtl w:val="true"/>
          <w:lang w:bidi="fa-IR"/>
        </w:rPr>
        <w:t>فرج غصبناه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خطب إليه 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صبيّة،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أبي بأس؟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 إلى ابن أخيك فردّني، أما والله لأغورنّ زمزم، ولا أدع لكم مكرمة إلاّ هدمتها، ولأقيمنّ عليه شاهدين بأنّه سرق، ولأقطعنّ يمينه، فأتاه العباس فأخبره وسأله أن يجعل الأمر إليه فجعله إليه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هاتين الروايتين دلالة على أنّ الأمر ـ على فرض وقوعه ـ لم يكن عن اختيار وإنما كان عن تقية ودفعاً لما هو أشد، وقد ذكر صاحب الاستغاثة</w:t>
      </w:r>
      <w:r>
        <w:rPr>
          <w:rStyle w:val="FootnoteAnchor"/>
          <w:rtl w:val="true"/>
        </w:rPr>
        <w:footnoteReference w:id="295"/>
      </w:r>
      <w:r>
        <w:rPr>
          <w:rFonts w:ascii="Amiri" w:hAnsi="Amiri" w:eastAsia="Amiri" w:cs="Amiri"/>
          <w:color w:val="111111"/>
          <w:sz w:val="28"/>
          <w:sz w:val="28"/>
          <w:szCs w:val="28"/>
          <w:rtl w:val="true"/>
          <w:lang w:bidi="ar-SA"/>
        </w:rPr>
        <w:t>القضية بالتفصيل، وناقش الشيخ المفيد في ثبوت القضية سنداً ودلالة ثم وجهها ـ على فرض صحّتها ـ بوجهين لا ينافيان مذهب الشيعة وعقيدتهم</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نقله صاحب الوافي في رواية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زوّج عمر بامرأة يهودية ولم يزوجه بأم كلثوم</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مناكحة الناصبي ومن بحكمه كالغالي ومن حكم بكفره لإنكاره ضرورياً من ضرويات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 في عدم جواز مناكحة هذه الأصناف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ذكره في الجواهر من عدم الخلاف، بل الإجماع بقسميه على ذلك</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المتواترة أو القريبة من التواتر الدالّة على كفرهم وعدمجواز مناكحتهم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للروايات الخاصة الناهية عن مناكحتهم وهي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الناصب الذي قد عرف نصبه وعداوته، هل يزوّجه المؤمن وهو قادر على ردّه، وهو لا يعلم بردّه؟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يتزوج المؤمن الناصبة، ولا يتزوج الناصب المؤمنة ولا يتزوّج المستضعف مؤمنة</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ومحلّ الشاهد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يتزوج المؤمن الناصبة، ولا يتزوج الناصب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واضح الدلالة في النهي عن مناكحة الناصبي والناصبية، كما أنّ الرواية تامة من حيث السند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فضيل بن يسار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النصّاب،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تناكحهم ولا تأكل ذبيحتهم ولا تسكن معهم</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موثقته الأخرى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يتزوج المؤمن الناصبة المعروفة بذلك</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واردة في خصوص نكاح المرأة الناصبة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موثقته الثالثة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نكاح الناصب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يحلّ، قال 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سألته مرة أخرى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ماتقول في نكاحهم؟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والمرأة عارفة؟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العارفة لا توضع إلاّ عند عارف</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واردة في خصوص نكاح الناصب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صحيحته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أزوّج الناصب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كرامة،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والله إنّي لأقول لك هذا ولو جاءني بيت ملآن دراهم ما فعلت</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 الدالة على النهي عن تزوج المؤمن من المرأة الناصبة أو تزوج المرأة المؤمنة من الناصبي فلا إشكال في المسألة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الروايات هو حرمة مناكحة المحكوم بالكفر ناصباً كان أو غالياً أو منكراً لما هو ضروري من الدين</w:t>
      </w:r>
      <w:r>
        <w:rPr>
          <w:rFonts w:eastAsia="Amiri" w:cs="Amiri" w:ascii="Amiri" w:hAnsi="Amiri"/>
          <w:color w:val="111111"/>
          <w:sz w:val="28"/>
          <w:szCs w:val="28"/>
          <w:rtl w:val="true"/>
          <w:lang w:bidi="ar-SA"/>
        </w:rPr>
        <w:t xml:space="preserve">. </w:t>
      </w:r>
      <w:bookmarkStart w:id="70" w:name="pg16406_258482"/>
    </w:p>
    <w:p>
      <w:pPr>
        <w:pStyle w:val="Heading4"/>
        <w:numPr>
          <w:ilvl w:val="3"/>
          <w:numId w:val="1"/>
        </w:numPr>
        <w:rPr/>
      </w:pPr>
      <w:bookmarkStart w:id="71" w:name="__RefHeading___Toc7246505_1280447820"/>
      <w:bookmarkStart w:id="72" w:name="_Toc23"/>
      <w:bookmarkEnd w:id="70"/>
      <w:bookmarkEnd w:id="71"/>
      <w:r>
        <w:rPr>
          <w:rtl w:val="true"/>
        </w:rPr>
        <w:t>بقي شيئان</w:t>
      </w:r>
      <w:r>
        <w:rPr>
          <w:rtl w:val="true"/>
        </w:rPr>
        <w:t>:</w:t>
      </w:r>
      <w:bookmarkEnd w:id="7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الناصبي إعلانه النصب كما هو ظاهر المحقق</w:t>
      </w:r>
      <w:r>
        <w:rPr>
          <w:rStyle w:val="FootnoteAnchor"/>
          <w:rtl w:val="true"/>
        </w:rPr>
        <w:footnoteReference w:id="304"/>
      </w:r>
      <w:r>
        <w:rPr>
          <w:rFonts w:ascii="Amiri" w:hAnsi="Amiri" w:eastAsia="Amiri" w:cs="Amiri"/>
          <w:color w:val="111111"/>
          <w:sz w:val="28"/>
          <w:sz w:val="28"/>
          <w:szCs w:val="28"/>
          <w:rtl w:val="true"/>
          <w:lang w:bidi="ar-SA"/>
        </w:rPr>
        <w:t>؟ أو لا يعتبر كما هو ظاهر الجواهر؟</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مقتضى إطلاق النصوص والأخبار الواردة عدم الفرق في ذلك، بل يكفي أنيعرف بالنصب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يتوهم اعتبار ذلك، لما ورد في معتبرة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 على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امرأتك الشيبانية خارجية تشتم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سرّك أن أسمعك ذلك منها أسمعتك،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حين تريد أن تخرج كما كنت تخرج فعد فاكمن في جانب الدار،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من الغد كمن في جانب الدار وجاء الرجل فكلّمها فتبيّن منها ذلك فخلّى سبيلها وكانت تعجبه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فظاهر الرواية يوهم أنّ المعتبر في عدم الجواز هو الإعلان بالنصب، وأما مع عدمه فيجوز</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الدلالة على ذلك غير تامة، لأنّ المستفاد من الرواية أنها كانت معلنة بالنصب لغير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امتحنها لكشف الواقع لا من جهة إعلانها، ولكن يبقى السوال كيف خفي ذلك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العالم بالواقع؟ ولا ندري السرّ في ذلك، ولعلّ فعل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لإظهار الاهتمام بشأن هذا الأمر فإنّ الفعل ـ أحياناً ـ أبلغ من القول فتزوّجها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وخلّى سبيلها اهتماماً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وأما إبقاؤها تحته فيمكن أن يكون من باب الملك والولاية لأنها بحكم الكافرة الحربية</w:t>
      </w:r>
      <w:r>
        <w:rPr>
          <w:rFonts w:eastAsia="IRNazanin" w:cs="IRNazanin"/>
          <w:color w:val="111111"/>
          <w:sz w:val="28"/>
          <w:szCs w:val="28"/>
          <w:rtl w:val="true"/>
          <w:lang w:bidi="fa-IR"/>
        </w:rPr>
        <w:t xml:space="preserve">. </w:t>
      </w:r>
      <w:bookmarkStart w:id="73" w:name="pg16406_258483"/>
    </w:p>
    <w:p>
      <w:pPr>
        <w:pStyle w:val="BookText"/>
        <w:rPr/>
      </w:pPr>
      <w:bookmarkEnd w:id="73"/>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يتحقّق النصب ببغض 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يعتبر خصوص النصب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لجميع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لصدق الناصب لهم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على هذا فمن يقول بإمامة إسماعيل ـ مثلاً ـ وينصب العداوة للإمام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مناكحته، وهكذا الحكم في سائر الفرق</w:t>
      </w:r>
      <w:r>
        <w:rPr>
          <w:rFonts w:eastAsia="IRNazanin" w:cs="IRNazanin"/>
          <w:color w:val="111111"/>
          <w:sz w:val="28"/>
          <w:szCs w:val="28"/>
          <w:rtl w:val="true"/>
          <w:lang w:bidi="fa-IR"/>
        </w:rPr>
        <w:t>.</w:t>
      </w:r>
    </w:p>
    <w:p>
      <w:pPr>
        <w:pStyle w:val="Heading4"/>
        <w:numPr>
          <w:ilvl w:val="3"/>
          <w:numId w:val="1"/>
        </w:numPr>
        <w:rPr/>
      </w:pPr>
      <w:bookmarkStart w:id="74" w:name="__RefHeading___Toc7246507_1280447820"/>
      <w:bookmarkStart w:id="75" w:name="_Toc24"/>
      <w:bookmarkEnd w:id="74"/>
      <w:r>
        <w:rPr>
          <w:rtl w:val="true"/>
        </w:rPr>
        <w:t>ثم إنّ هاهنا مسائل</w:t>
      </w:r>
      <w:r>
        <w:rPr>
          <w:rtl w:val="true"/>
        </w:rPr>
        <w:t>:</w:t>
      </w:r>
      <w:bookmarkEnd w:id="75"/>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تقدم من إجماع المسلمين كافة على عدم جواز مناكحة الكافر غير الكتابي فلا يتحقق ـ حينئذ ـ موضوع للتقية، فإذا نكح المسلم امرأة كافرة غير كتابية فإن كان مع العلم والاختيار فلا إشكال في حرمة النكاح وبطلانه، ويعتبر الولد بالنسبة للمسلم ابن زنا، فلا نسب ولا توارث بينهما، وأما بالنسبة إلى المرأة فالحكم على طبق ملّتها، فإن كان هذا النكاح جائزاً بحسب دينها فهو صحيح وينسب الولد إليها وتترتب آثاره وإلاّ فلا، وكذا الكلام لو تزوجت المرأة المسلمة من رجل كافر غير 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الكلام في إقامة الحدّ على المسلم أو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من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كون الزاني مسلماً أو كافراً، وكذا لا فرق بين كون المزني بها مسلمة أو كافرة وذلك لإطلاقات الأدلّة</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إطلاق كلامه أنّ حكم المسلم أو المسلمة في إقدامهما على النكاح منالكافرة أو الكافر غير الكتابيين مع العلم والاختيار حكم الزاني والزانية من حيث إقامة الحد عليهما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استثنى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w:t>
      </w:r>
      <w:r>
        <w:rPr>
          <w:rStyle w:val="FootnoteAnchor"/>
          <w:rtl w:val="true"/>
        </w:rPr>
        <w:footnoteReference w:id="308"/>
      </w:r>
      <w:r>
        <w:rPr>
          <w:rFonts w:ascii="Amiri" w:hAnsi="Amiri" w:eastAsia="Amiri" w:cs="Amiri"/>
          <w:color w:val="111111"/>
          <w:sz w:val="28"/>
          <w:sz w:val="28"/>
          <w:szCs w:val="28"/>
          <w:rtl w:val="true"/>
          <w:lang w:bidi="ar-SA"/>
        </w:rPr>
        <w:t>بعد ذلك وهي ما إذا زنى الذمي بمسلمة فحكم عليه بالقتل، وهذا حكم خاصّ قام الإجماع</w:t>
      </w:r>
      <w:r>
        <w:rPr>
          <w:rStyle w:val="FootnoteAnchor"/>
          <w:rtl w:val="true"/>
        </w:rPr>
        <w:footnoteReference w:id="309"/>
      </w:r>
      <w:r>
        <w:rPr>
          <w:rFonts w:ascii="Amiri" w:hAnsi="Amiri" w:eastAsia="Amiri" w:cs="Amiri"/>
          <w:color w:val="111111"/>
          <w:sz w:val="28"/>
          <w:sz w:val="28"/>
          <w:szCs w:val="28"/>
          <w:rtl w:val="true"/>
          <w:lang w:bidi="ar-SA"/>
        </w:rPr>
        <w:t>ودلّ النصّ الصريح عليه</w:t>
      </w:r>
      <w:r>
        <w:rPr>
          <w:rStyle w:val="FootnoteAnchor"/>
          <w:rtl w:val="true"/>
        </w:rPr>
        <w:footnoteReference w:id="310"/>
      </w:r>
      <w:r>
        <w:rPr>
          <w:rFonts w:ascii="Amiri" w:hAnsi="Amiri" w:eastAsia="Amiri" w:cs="Amiri"/>
          <w:color w:val="111111"/>
          <w:sz w:val="28"/>
          <w:sz w:val="28"/>
          <w:szCs w:val="28"/>
          <w:rtl w:val="true"/>
          <w:lang w:bidi="ar-SA"/>
        </w:rPr>
        <w:t>، وإذا كان هذا حكم الذمي إذا زنى بمسلمة فثبوته بالنسبة إلى الكافر غير الكتابي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نكاح المسلم للمرأة الكافرة عن جهل فهو وطىء شبهة وتترتب عليه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النكاح عن غير اختيار، فتارة يكون ـ غير الاختيار ـ بمعنى الاحتياج الشديد كما إذا كان في بلاد الكفر ولم يجد غير الكافرة فحكمه عدم الجواز أيضاً، وذلك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ورد في موثقة حفص بن غياث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بعض إخواني أن أسأل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مسائل، فسألته عن الأسير هل يتزوّج في دار الحرب؟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أكره ذلك، فإن فعل في بلاد الروم فليس بحرام هو نكاح، وأما في الترك والديلم والخزر فلا يحلّ له ذلك</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بين النكاح في بلاد الروم فيجوز لأنهم من أهل الكتاب، وبين الترك والديلم والخزر فلا يجوز لأنهم من أهل الشرك</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ويؤيد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الزهري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للأسير أن يتزوّج ما دام في أيدي المشركين مخافة أن يولد له فيبقى ولده كافراً في أيديهم</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وتارة يكون ـ أي عدم الاختيار ـ بمعنى الخوف على النفس، ولا إشكال في جواز النكاح في هذه الصورة، وذلك لما تقدّم من الأدلة العامة، بل وجوبه لوجوب حفظ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للحكم التكليفي، وأما بالنسبة للحكم الوضعي من إلحاق الولد وترتب الآثار الأخرى فالظاهر هو ذلك لأنّ العقد إما أن يكون محكوماً بالصحة شرعاً، وإما أن يكون ملحقاً بوطىء الشبهة وعلى كلا التقديرين تترتب الآثار إلاّ في التوارث بين الزوجين فإنه يتحقق على التقدير الأول، لكن من طرف المسلم لا من طرف الكافر، وأما على التقدير الثاني فلا توارث بينهما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اقتضت التقية مناكحة الكافر الكتابي ـ بناء على القول بعدم الجواز حال الاختيار، فلا إشكال في الجواز بل الوجوب، لما تقدم من الأدلة العامة ولما ورد في خصوص المقام من أنه إذا لم يجد المسلم حرّة مسلمة أو أمة جاز له أن يتزوّج امرأة من أهل الكتاب كما في موثقة يونس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لاينبغي للمسلم المؤسر أن يتزوّج الأمة إلاّ أن لا يجد حرّة وكذلك لا ينبغي له أن يتزوّج امرأة من أهل الكتاب، إلاّ في حال الضرورة حيث لا يجد مسلمة حرّة ولا أمة</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واضحة الدلالة على الجواز عند عدم وجدان المرأة المسلمة الحرة أو الأمة فعند الخوف على النفس يجوز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هذا النكاح آثار الصحة من إلحاق الولد وغيره من الآثار إلاّ في التوارث فإنه لا يكون إلاّ من طرف المسلم دون العكس</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ارتفعت التقية فهل يحكم ببقاء النكاح وصحّته وتدخل المسألة </w:t>
      </w:r>
    </w:p>
    <w:p>
      <w:pPr>
        <w:pStyle w:val="BookText"/>
        <w:rPr/>
      </w:pPr>
      <w:r>
        <w:rPr>
          <w:rFonts w:ascii="Amiri" w:hAnsi="Amiri" w:eastAsia="Amiri" w:cs="Amiri"/>
          <w:color w:val="111111"/>
          <w:sz w:val="28"/>
          <w:sz w:val="28"/>
          <w:szCs w:val="28"/>
          <w:rtl w:val="true"/>
          <w:lang w:bidi="ar-SA"/>
        </w:rPr>
        <w:t>حينئذ في مسألة ما إذا أسلم أحد الزوجين؟ أو يقال بالبطلان؟</w:t>
      </w:r>
    </w:p>
    <w:p>
      <w:pPr>
        <w:pStyle w:val="BookText"/>
        <w:rPr/>
      </w:pPr>
      <w:r>
        <w:rPr>
          <w:rFonts w:ascii="Amiri" w:hAnsi="Amiri" w:eastAsia="Amiri" w:cs="Amiri"/>
          <w:color w:val="111111"/>
          <w:sz w:val="28"/>
          <w:sz w:val="28"/>
          <w:szCs w:val="28"/>
          <w:rtl w:val="true"/>
          <w:lang w:bidi="ar-SA"/>
        </w:rPr>
        <w:t>ويمكن الاستدلال للأول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المناط في كلتا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إذا وقع صحيحاً ـ كما هو المفروض ـ فلا ينقلب عما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المناقشة في كلا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الجمود على مورد الأدلة في إسلام أحد الزوجين هو اختصاص الحكم بمورده لعدم العلم بمناط الحكم، فتعديته إلى ما نحن فيه قياس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 فيقال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الاستدامة شرط أيضاً كالحدوث كما تقدمتفصيل ذلك في مسائل الطهارة والنجاسة، وبناء عليه فإذا ارتفعت التقية رجع الأمر إلى حكمه الواقعي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مناكحة الناصبي ومن يلحق به، فإذا وقعت المناكحة مع العلم بالحرمة والاختيار فحكمها حكم مناكحة الكافر غير الكتابي المتقدّم في المسألة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وقعت في حال التقية فلا إشكال في الجواز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العامة الدالة على وجوب التقية في كل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الخاصة الواردة في المقام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w:t>
      </w:r>
      <w:r>
        <w:rPr>
          <w:rStyle w:val="FootnoteAnchor"/>
          <w:rtl w:val="true"/>
        </w:rPr>
        <w:footnoteReference w:id="314"/>
      </w:r>
      <w:r>
        <w:rPr>
          <w:rFonts w:ascii="IRNazanin" w:hAnsi="IRNazanin" w:eastAsia="IRNazanin"/>
          <w:color w:val="111111"/>
          <w:sz w:val="28"/>
          <w:sz w:val="28"/>
          <w:szCs w:val="28"/>
          <w:rtl w:val="true"/>
          <w:lang w:bidi="fa-IR"/>
        </w:rPr>
        <w:t xml:space="preserve">المتقدمة الواردة في تزويج أمّ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ذلك فرج غصبناه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جواز وقوع ذلك عن تقية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هشام بن سالم</w:t>
      </w:r>
      <w:r>
        <w:rPr>
          <w:rStyle w:val="FootnoteAnchor"/>
          <w:rtl w:val="true"/>
        </w:rPr>
        <w:footnoteReference w:id="315"/>
      </w:r>
      <w:r>
        <w:rPr>
          <w:rFonts w:ascii="Amiri" w:hAnsi="Amiri" w:eastAsia="Amiri" w:cs="Amiri"/>
          <w:color w:val="111111"/>
          <w:sz w:val="28"/>
          <w:sz w:val="28"/>
          <w:szCs w:val="28"/>
          <w:rtl w:val="true"/>
          <w:lang w:bidi="ar-SA"/>
        </w:rPr>
        <w:t>المتقدمة أيضاً والواردة في نفس هذه القضية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استفادة الجواز أيضاً من صحيحة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الناصب الذي قد عرف نصبه وعداوته، هل يزوّجه المؤمن وهو قادر على ردّه، وهو لا يعلم بردّه؟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يتزوّج المؤمن الناصبة ولايتزوّج الناصب المؤمنة، ولا يتزوّج المستضعف مؤمنة</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ومحل الشاهد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يعلم بردّه، فإنه وإن كان من كلام السائل إلاّ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قرّر ذلك، وجوابه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في حال عدم التقية إلاّ أن المفهوم منه الجواز في حال التقية، ولولا ذلك لكان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بتعميم النهي حتى في صورة علم الناصب بسبب الرد كأن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مثلاً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علم بردّه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إذا كان النكاح مع عدم العلم بالنصب فيجوز، ويقع العقد صحيحاً ويدلّ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صحيحة زرارة المتقدمة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 على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امرأتك الشيبانية خارجية تشتم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سرّك أن أسمعك ذلك منها أسمعتك،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حين تريد أن تخرج كما كنت تخرج فعد فاكمن في جانب الدار،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من الغد كمن في جانب الدار، وجاء الرجل فكلّمها فتبيّن منها ذلك فخلّى سبيلها، وكانت تعجبه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وموثقة مالك بن أعين أنه دخل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ملحفة حمراء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الثقفية أكرهتني على لبسها وأنا أحبها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دخلت عليه </w:t>
      </w:r>
      <w:bookmarkStart w:id="76" w:name="pg16406_258488"/>
    </w:p>
    <w:p>
      <w:pPr>
        <w:pStyle w:val="BookText"/>
        <w:rPr/>
      </w:pPr>
      <w:bookmarkEnd w:id="76"/>
      <w:r>
        <w:rPr>
          <w:rFonts w:ascii="Amiri" w:hAnsi="Amiri" w:eastAsia="Amiri" w:cs="Amiri"/>
          <w:color w:val="111111"/>
          <w:sz w:val="28"/>
          <w:sz w:val="28"/>
          <w:szCs w:val="28"/>
          <w:rtl w:val="true"/>
          <w:lang w:bidi="ar-SA"/>
        </w:rPr>
        <w:t>وقد طلّقها،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سمعتها تبرأ من عليّ فلم يسعني أن أمسكها وهي تبرأمنه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ويؤيده رواية أبي الجارود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أنه كان له امرأة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علي، وكانت ترى رأي الخوارج،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فأدرتها ليلة إلى الصبح أن ترجع عن رأيها وتولّى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فامتنعت عليّ، فلما أصبحت طلّقتها</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هذه الروايات جواز النكاح مع عدم العلم بالنصب، وأما بعد العلم فإن حصلت التوبة فهو وإلاّ فيجب الطلاق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يمكن أن يستشكل به في خصوص مورد الروايات، وهو كيف يخفى ذلك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العالم بالواقع؟ فقد أجبنا عنه فيما تقدم</w:t>
      </w:r>
      <w:r>
        <w:rPr>
          <w:rFonts w:eastAsia="IRNazanin" w:cs="IRNazanin"/>
          <w:color w:val="111111"/>
          <w:sz w:val="28"/>
          <w:szCs w:val="28"/>
          <w:rtl w:val="true"/>
          <w:lang w:bidi="fa-IR"/>
        </w:rPr>
        <w:t>.</w:t>
      </w:r>
    </w:p>
    <w:p>
      <w:pPr>
        <w:pStyle w:val="Heading4"/>
        <w:numPr>
          <w:ilvl w:val="3"/>
          <w:numId w:val="1"/>
        </w:numPr>
        <w:rPr/>
      </w:pPr>
      <w:bookmarkStart w:id="77" w:name="__RefHeading___Toc7246509_1280447820"/>
      <w:bookmarkStart w:id="78" w:name="_Toc25"/>
      <w:bookmarkEnd w:id="77"/>
      <w:r>
        <w:rPr>
          <w:rtl w:val="true"/>
        </w:rPr>
        <w:t>المقام الخامس</w:t>
      </w:r>
      <w:r>
        <w:rPr>
          <w:rtl w:val="true"/>
        </w:rPr>
        <w:t xml:space="preserve">: </w:t>
      </w:r>
      <w:r>
        <w:rPr>
          <w:rtl w:val="true"/>
        </w:rPr>
        <w:t>في مناكحة الكفار فيما بينهم</w:t>
      </w:r>
      <w:r>
        <w:rPr>
          <w:rtl w:val="true"/>
        </w:rPr>
        <w:t>:</w:t>
      </w:r>
      <w:bookmarkEnd w:id="78"/>
    </w:p>
    <w:p>
      <w:pPr>
        <w:pStyle w:val="BookText"/>
        <w:rPr/>
      </w:pPr>
      <w:r>
        <w:rPr>
          <w:rFonts w:ascii="Amiri" w:hAnsi="Amiri" w:eastAsia="Amiri" w:cs="Amiri"/>
          <w:color w:val="111111"/>
          <w:sz w:val="28"/>
          <w:sz w:val="28"/>
          <w:szCs w:val="28"/>
          <w:rtl w:val="true"/>
          <w:lang w:bidi="ar-SA"/>
        </w:rPr>
        <w:t>وهذا المقام وإن كان خارجاً عن محلّ الكلام إلاّ أننا نتعرّض له تتميماً للفائدة، وهو يحتوي على كثير من الفروع والمسائل ونقتصر على ذكر المهمّ منها على نحو الاختصار،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عدم الخلاف في صحة المناكحة فيما بينهم، واستدل على ذلك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المدّعى في كلام غير واحد كالشيخ في الخلاف</w:t>
      </w:r>
      <w:r>
        <w:rPr>
          <w:rStyle w:val="FootnoteAnchor"/>
          <w:rtl w:val="true"/>
        </w:rPr>
        <w:footnoteReference w:id="320"/>
      </w:r>
      <w:r>
        <w:rPr>
          <w:rFonts w:ascii="Amiri" w:hAnsi="Amiri" w:eastAsia="Amiri" w:cs="Amiri"/>
          <w:color w:val="111111"/>
          <w:sz w:val="28"/>
          <w:sz w:val="28"/>
          <w:szCs w:val="28"/>
          <w:rtl w:val="true"/>
          <w:lang w:bidi="ar-SA"/>
        </w:rPr>
        <w:t>والعلاّمة فيالتذكرة</w:t>
      </w:r>
      <w:r>
        <w:rPr>
          <w:rStyle w:val="FootnoteAnchor"/>
          <w:rtl w:val="true"/>
        </w:rPr>
        <w:footnoteReference w:id="321"/>
      </w:r>
      <w:r>
        <w:rPr>
          <w:rFonts w:ascii="Amiri" w:hAnsi="Amiri" w:eastAsia="Amiri" w:cs="Amiri"/>
          <w:color w:val="111111"/>
          <w:sz w:val="28"/>
          <w:sz w:val="28"/>
          <w:szCs w:val="28"/>
          <w:rtl w:val="true"/>
          <w:lang w:bidi="ar-SA"/>
        </w:rPr>
        <w:t>وغيرهما في غيرهما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والروايات العامة والخاصّة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الروايات العامة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الأحكام،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على أهل كل ذوي دين ما يستحلّون</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أبي الحسن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فسألني رجل ما فعل غريمك؟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ابن الفاعلة؟ فنظر إليّ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شديداً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إنه مجوسيّ أمّه أخته،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ليس ذلك في دينهم نكاحاً؟</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والرواية وإن كانت واردة في خصوص المجوسي، إلاّ أن المستفاد من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واستنكاره شمول الحكم لكل ذوي دين ولا خصوصية لمورد الرواية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يقال للإماء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كذا وكذا،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قوم نكاح</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واضحة الدلالة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ويؤيد ذلك رواية عمرو بن نعمان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 لا يكاد يفارقه إذا ذهب مكاناً، فبينا هو يمشي معه في الحذّائين ومعه غلام له سنديّ يمشي خلفهما إذ التفت الرجل يريد غلامه ثلاث مرّات فلم يره، فلما نظر في الرابعة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الفاعلة أين كنت؟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فصكّ بها جبهة نفسه،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تقذف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كنت أرى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أريتني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لك ورعاً، فإذا ليس لك ورع،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أمّه سنديّة مشركة،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لكل أمّة نكاحاً، تنحّ عنّي،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رأيته يمشي </w:t>
      </w:r>
    </w:p>
    <w:p>
      <w:pPr>
        <w:pStyle w:val="BookText"/>
        <w:rPr/>
      </w:pPr>
      <w:r>
        <w:rPr>
          <w:rFonts w:ascii="Amiri" w:hAnsi="Amiri" w:eastAsia="Amiri" w:cs="Amiri"/>
          <w:color w:val="111111"/>
          <w:sz w:val="28"/>
          <w:sz w:val="28"/>
          <w:szCs w:val="28"/>
          <w:rtl w:val="true"/>
          <w:lang w:bidi="ar-SA"/>
        </w:rPr>
        <w:t>معه حتى فرّق بينهما الموت</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الخاصة فهي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هاجر وترك امرأته مع المشركين، ثم لحقت به بعد ذلك أيمسكها بالنكاح الأول أو تنقطع عصمتها؟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يمسكها وهي امرأته</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القطعية الثابتة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إقرارهكلّ من يدخل الإسلام على نكاحه من دون أن يأمر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بتجديد العقد، وذاك أمر محقّق ولم يناقش فيه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التعبيرات الواردة في القرآن من نسبة النساء إلى أزواجهم وإن كانت أنكحتهم جاهلية،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وَامْرَأَتُهُ حَمَّالَةَ الْحَطَبِ</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امْرَأَةُ فِرْعَوْنَ</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وغيرهما من الآيات الدالة على إضافة النساء إلى أزواجهن بنكاحهن على طبق مللهم وأديانهم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الشيخ في كتاب الخلاف عن العامة من الروايات الدالة على إقرار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لنكاح من يدخل في الإسلام ، ومنها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 غيلان بن مسلمة الثقفي أسلم وعنده عشر نسوة،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أمسك أربعاً وفارق سائرهن، وفي رواية أخرى أمره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يختار أربعاً ويفارق البواقي</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أصل المسألة وأنّ بعض أنكحة الجاهلية صحيحة وقد أقرّها الإسلام وأمضاها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أسلم الزوجان أو أحدهما ففيه ثلاث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الإسلام من كلا الطرفين، الزوج والزوجة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طرف الزوج دون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طرف الزوجة دون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 فإن كان عدد النساء أربعاً أو أقلّ من أربع فلا إشكال في بقاء النكاح بلا خلاف ولا إشكال كما في الجواهر</w:t>
      </w:r>
      <w:r>
        <w:rPr>
          <w:rStyle w:val="FootnoteAnchor"/>
          <w:rtl w:val="true"/>
        </w:rPr>
        <w:footnoteReference w:id="330"/>
      </w:r>
      <w:r>
        <w:rPr>
          <w:rFonts w:ascii="Amiri" w:hAnsi="Amiri" w:eastAsia="Amiri" w:cs="Amiri"/>
          <w:color w:val="111111"/>
          <w:sz w:val="28"/>
          <w:sz w:val="28"/>
          <w:szCs w:val="28"/>
          <w:rtl w:val="true"/>
          <w:lang w:bidi="ar-SA"/>
        </w:rPr>
        <w:t>، إلاّ أنه مشروط بما إذا لم يكن النكاح مشتملاً على ما يقتضي فساده بقاءً، كما إذا كان فيه جمع بين الأختين أو بين الأم والبنت، أو كان بإحدى المحارم نسباً أو سبباً، وغير ذلك من الموارد التي توجب الفساد بقاءً، وكذا الكلام بالنسبة للمرأة كما إذا كانت متزوجة ـ حال الكفر ـ برجلين على نحو التقارن بمعنى أنّ كلا العقدين وقعا في 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وقوعهما على نحو الترتيب فيحكم بصحّة العقد الأول دون الثاني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المقتضي للفساد منقضياً كما إذا كان العقد من الأول وقع في </w:t>
      </w:r>
    </w:p>
    <w:p>
      <w:pPr>
        <w:pStyle w:val="BookText"/>
        <w:rPr/>
      </w:pPr>
      <w:r>
        <w:rPr>
          <w:rFonts w:ascii="Amiri" w:hAnsi="Amiri" w:eastAsia="Amiri" w:cs="Amiri"/>
          <w:color w:val="111111"/>
          <w:sz w:val="28"/>
          <w:sz w:val="28"/>
          <w:szCs w:val="28"/>
          <w:rtl w:val="true"/>
          <w:lang w:bidi="ar-SA"/>
        </w:rPr>
        <w:t>العدّة وكان صحيحاً بحسب ملّتهم فانقضت العدّة حين الإسلام فالنكاح باق على حاله، ويحكم بصحّته ولا يحتاج إلى تجديد العقد بعد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النساء أكثر من أربع وجب على الزوج أن يختار أربعاً منهن مع ملاحظة الشرط المتقدم،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يكون في اختياره ما يقتضي الفساد بقاءً، وقدادّعي عدم الخلاف في ذلك كما في التذكرة</w:t>
      </w:r>
      <w:r>
        <w:rPr>
          <w:rStyle w:val="FootnoteAnchor"/>
          <w:rtl w:val="true"/>
        </w:rPr>
        <w:footnoteReference w:id="331"/>
      </w:r>
      <w:r>
        <w:rPr>
          <w:rFonts w:ascii="Amiri" w:hAnsi="Amiri" w:eastAsia="Amiri" w:cs="Amiri"/>
          <w:color w:val="111111"/>
          <w:sz w:val="28"/>
          <w:sz w:val="28"/>
          <w:szCs w:val="28"/>
          <w:rtl w:val="true"/>
          <w:lang w:bidi="ar-SA"/>
        </w:rPr>
        <w:t>، بل الإجماع عليه كما في الخلاف</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ويدلّ على ذلك أيضاً رواية عقبة بن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مجوسيّ أسلم ولم سبع نسوة وأسلمن معه كيف يصنع؟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يمسك أربعاً ويطلق ثلاثاً</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واضحة الدلالة، وأما من جهة السند فهي وإن اشتمل سندها على شخصين لم يرد فيهما توثيق وهما محمد بن عبد الله بن هلال، وعقبة بن خالد، إلاّ أنهما واقعان في أسناد كتاب نوادر الحكمة</w:t>
      </w:r>
      <w:r>
        <w:rPr>
          <w:rStyle w:val="FootnoteAnchor"/>
          <w:rtl w:val="true"/>
        </w:rPr>
        <w:footnoteReference w:id="334"/>
      </w:r>
      <w:r>
        <w:rPr>
          <w:rFonts w:ascii="Amiri" w:hAnsi="Amiri" w:eastAsia="Amiri" w:cs="Amiri"/>
          <w:color w:val="111111"/>
          <w:sz w:val="28"/>
          <w:sz w:val="28"/>
          <w:szCs w:val="28"/>
          <w:rtl w:val="true"/>
          <w:lang w:bidi="ar-SA"/>
        </w:rPr>
        <w:t>وذلك أمارة على التوثيق على ما قرّرناه في محلّه، وبناء عليه فالرواية معتبرة والاستدلال بها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عدة من الروايات الواردة عن طرق الخاصّة</w:t>
      </w:r>
      <w:r>
        <w:rPr>
          <w:rStyle w:val="FootnoteAnchor"/>
          <w:rtl w:val="true"/>
        </w:rPr>
        <w:footnoteReference w:id="335"/>
      </w:r>
      <w:r>
        <w:rPr>
          <w:rFonts w:ascii="Amiri" w:hAnsi="Amiri" w:eastAsia="Amiri" w:cs="Amiri"/>
          <w:color w:val="111111"/>
          <w:sz w:val="28"/>
          <w:sz w:val="28"/>
          <w:szCs w:val="28"/>
          <w:rtl w:val="true"/>
          <w:lang w:bidi="ar-SA"/>
        </w:rPr>
        <w:t>والعامة، ومن الثاني ما تقدم ذكره عن الشيخ في الخلاف</w:t>
      </w:r>
      <w:r>
        <w:rPr>
          <w:rStyle w:val="FootnoteAnchor"/>
          <w:rtl w:val="true"/>
        </w:rPr>
        <w:footnoteReference w:id="336"/>
      </w:r>
      <w:r>
        <w:rPr>
          <w:rFonts w:ascii="Amiri" w:hAnsi="Amiri" w:eastAsia="Amiri" w:cs="Amiri"/>
          <w:color w:val="111111"/>
          <w:sz w:val="28"/>
          <w:sz w:val="28"/>
          <w:szCs w:val="28"/>
          <w:rtl w:val="true"/>
          <w:lang w:bidi="ar-SA"/>
        </w:rPr>
        <w:t>من أنّ غيلان بن سلمة الثقفي أسلم وعنده عشر 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الحكم مما لا إشكال فيه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إذا كان الإسلام من طرف الزوج دون </w:t>
      </w:r>
    </w:p>
    <w:p>
      <w:pPr>
        <w:pStyle w:val="BookText"/>
        <w:rPr/>
      </w:pPr>
      <w:r>
        <w:rPr>
          <w:rFonts w:ascii="Amiri" w:hAnsi="Amiri" w:eastAsia="Amiri" w:cs="Amiri"/>
          <w:color w:val="111111"/>
          <w:sz w:val="28"/>
          <w:sz w:val="28"/>
          <w:szCs w:val="28"/>
          <w:rtl w:val="true"/>
          <w:lang w:bidi="ar-SA"/>
        </w:rPr>
        <w:t>الزوجة، فإن كانت الزوجة كتابية فالنكاح باق على حاله، سواء كان إسلامه قبل الدخول أو بعده، وسواء أسلمت الزوجة بعد ذلك أو لا، وذلك لدعوى عدم الخلاف فيه كما في الجواهر</w:t>
      </w:r>
      <w:r>
        <w:rPr>
          <w:rStyle w:val="FootnoteAnchor"/>
          <w:rtl w:val="true"/>
        </w:rPr>
        <w:footnoteReference w:id="337"/>
      </w:r>
      <w:r>
        <w:rPr>
          <w:rFonts w:ascii="Amiri" w:hAnsi="Amiri" w:eastAsia="Amiri" w:cs="Amiri"/>
          <w:color w:val="111111"/>
          <w:sz w:val="28"/>
          <w:sz w:val="28"/>
          <w:szCs w:val="28"/>
          <w:rtl w:val="true"/>
          <w:lang w:bidi="ar-SA"/>
        </w:rPr>
        <w:t>بل هو موضع وفاق كما في المسالك</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دلّ من الروايات الخاصة على جواز استدامة نكاح الكتابية إذا أسلم زوجها، ومنها صحيحة عبد الله بن سنان المتقدمة</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ورد في خصوص المجوسية أنّ بقاء النكاح يتوقف على إسلام المرأة قبل انقضاء عدّتها كما في رواية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مجوسيّ كانت تحته امرأة على دينه فأسلم أو أسلمت،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ينتظر بذلك انقضاء عدّتها، فإن هو أسلم أو أسلمت قبل أن تنقضي عدّتها فهما على نكاحهما الأول، وإن هي لم تسلم حتى تنقضي العدّة فقد بانت منه</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كانت الزوجة كافرة غير كتابية انفسخ العقد في الحال إن كان قبل الدخول، وأما إذا كان إسلام الزوج بعد الدخول، فبقاء النكاح يتوقف على إسلامها قبل انقضاء عدتها، فإن أسلمت قبل الانقضاء فهو وإلاّ بانت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ادّعى في الجواهر</w:t>
      </w:r>
      <w:r>
        <w:rPr>
          <w:rStyle w:val="FootnoteAnchor"/>
          <w:rtl w:val="true"/>
        </w:rPr>
        <w:footnoteReference w:id="341"/>
      </w:r>
      <w:r>
        <w:rPr>
          <w:rFonts w:ascii="Amiri" w:hAnsi="Amiri" w:eastAsia="Amiri" w:cs="Amiri"/>
          <w:color w:val="111111"/>
          <w:sz w:val="28"/>
          <w:sz w:val="28"/>
          <w:szCs w:val="28"/>
          <w:rtl w:val="true"/>
          <w:lang w:bidi="ar-SA"/>
        </w:rPr>
        <w:t>نفي الخلاف على ذلك فتوى ونصاً، بل احتمل الاتّفاق عليه نقلاً وتحصيلاً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الصورة الثالثة وهي ما إذا كان الإسلام من طرف الزوجة دون الزوج فإن كان إسلامها قبل الدخول انفسخ العقد لحرمة تزويج المسلمة من الكافر كتابيّاً كان أو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إسلامها بعد الدخول توقف بقاء النكاح على إسلامه قبل انقضاء عدتها، فإن أسلم فهو وإلاّ بانت منه من حين إسلامها وفاقاً للأكثر بل للمشهور، كما في الجواهر</w:t>
      </w:r>
      <w:r>
        <w:rPr>
          <w:rStyle w:val="FootnoteAnchor"/>
          <w:rtl w:val="true"/>
        </w:rPr>
        <w:footnoteReference w:id="342"/>
      </w:r>
      <w:r>
        <w:rPr>
          <w:rFonts w:ascii="Amiri" w:hAnsi="Amiri" w:eastAsia="Amiri" w:cs="Amiri"/>
          <w:color w:val="111111"/>
          <w:sz w:val="28"/>
          <w:sz w:val="28"/>
          <w:szCs w:val="28"/>
          <w:rtl w:val="true"/>
          <w:lang w:bidi="ar-SA"/>
        </w:rPr>
        <w:t>وذلك لنفي السبيل</w:t>
      </w:r>
      <w:r>
        <w:rPr>
          <w:rStyle w:val="FootnoteAnchor"/>
          <w:rtl w:val="true"/>
        </w:rPr>
        <w:footnoteReference w:id="343"/>
      </w:r>
      <w:r>
        <w:rPr>
          <w:rFonts w:ascii="Amiri" w:hAnsi="Amiri" w:eastAsia="Amiri" w:cs="Amiri"/>
          <w:color w:val="111111"/>
          <w:sz w:val="28"/>
          <w:sz w:val="28"/>
          <w:szCs w:val="28"/>
          <w:rtl w:val="true"/>
          <w:lang w:bidi="ar-SA"/>
        </w:rPr>
        <w:t>وللنصوص الدالة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السكوني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امرأة مجوسية أسلمت قبل زوجها،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يفرّق بينهما،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أسلمت قبل انقضاء عدّتها فهي امرأتك، وإن انقضت عدّتها قبل أن تسلم ثم أسلمت فأنت خاطب من الخطّاب</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منصور بن حازم المتقدمة</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إذاأسلمت امرأة وزوجها على غير الإسلام فرّق بينهما</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أحمد بن محمد 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تكون له الزوجة النصرانية فتسلم هل يحلّ لها أن تقيم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أسلمت لم تحلّ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الزوج أسلم بعد ذلك أيكونان على النكاح؟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يتزوج بتزويج جديد</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فرق ـ كما ذكرنا ـ في الحكم بين كون الزوج ذميّاً أو غيره، نعم ذهب الشيخ في النهاية</w:t>
      </w:r>
      <w:r>
        <w:rPr>
          <w:rStyle w:val="FootnoteAnchor"/>
          <w:rtl w:val="true"/>
        </w:rPr>
        <w:footnoteReference w:id="348"/>
      </w:r>
      <w:r>
        <w:rPr>
          <w:rFonts w:ascii="Amiri" w:hAnsi="Amiri" w:eastAsia="Amiri" w:cs="Amiri"/>
          <w:color w:val="111111"/>
          <w:sz w:val="28"/>
          <w:sz w:val="28"/>
          <w:szCs w:val="28"/>
          <w:rtl w:val="true"/>
          <w:lang w:bidi="ar-SA"/>
        </w:rPr>
        <w:t>والتهذيبين</w:t>
      </w:r>
      <w:r>
        <w:rPr>
          <w:rStyle w:val="FootnoteAnchor"/>
          <w:rtl w:val="true"/>
        </w:rPr>
        <w:footnoteReference w:id="349"/>
      </w:r>
      <w:r>
        <w:rPr>
          <w:rFonts w:ascii="Amiri" w:hAnsi="Amiri" w:eastAsia="Amiri" w:cs="Amiri"/>
          <w:color w:val="111111"/>
          <w:sz w:val="28"/>
          <w:sz w:val="28"/>
          <w:szCs w:val="28"/>
          <w:rtl w:val="true"/>
          <w:lang w:bidi="ar-SA"/>
        </w:rPr>
        <w:t xml:space="preserve">إلى الحكم ببقاء النكاح إذا كان الزوج </w:t>
      </w:r>
    </w:p>
    <w:p>
      <w:pPr>
        <w:pStyle w:val="BookText"/>
        <w:rPr/>
      </w:pPr>
      <w:r>
        <w:rPr>
          <w:rFonts w:ascii="Amiri" w:hAnsi="Amiri" w:eastAsia="Amiri" w:cs="Amiri"/>
          <w:color w:val="111111"/>
          <w:sz w:val="28"/>
          <w:sz w:val="28"/>
          <w:szCs w:val="28"/>
          <w:rtl w:val="true"/>
          <w:lang w:bidi="ar-SA"/>
        </w:rPr>
        <w:t>ذميّاً، وكان على شرائط الذمة إلاّ أنه لا يمكّن من الدخول إليها ليلاً، ولا من الخلوة بها، ولا من إخراجها من دار الهجرة إلى دار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في المبسوط</w:t>
      </w:r>
      <w:r>
        <w:rPr>
          <w:rStyle w:val="FootnoteAnchor"/>
          <w:rtl w:val="true"/>
        </w:rPr>
        <w:footnoteReference w:id="350"/>
      </w:r>
      <w:r>
        <w:rPr>
          <w:rFonts w:ascii="IRNazanin" w:hAnsi="IRNazanin" w:eastAsia="IRNazanin"/>
          <w:color w:val="111111"/>
          <w:sz w:val="28"/>
          <w:sz w:val="28"/>
          <w:szCs w:val="28"/>
          <w:rtl w:val="true"/>
          <w:lang w:bidi="fa-IR"/>
        </w:rPr>
        <w:t>إلى ما عليه المشهور من عدم الفرق بين الذمي وغيره واستدلّ على بقاء النكاح برواية جميل بن دراج عن بعض أصحابنا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اليهودي والنصراني والمجوسي إذا أسلمت امرأته ولم يسلم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على نكاحهما، ولا يفرق بينهما، ولا يترك أن يخرج بهامن دار الإسلام إلى دار الهجرة</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وبرواية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الكتاب وجميع من له ذمّة إذا أسلم أحد الزوجين فهما على نكاحهما، وليس له أن يخرجها من دار الإسلام إلى غيرها، ولا يبيت معها، ولكنّه يأتيها بالنهار، وأما المشركون مثل مشركي العرب وغيرهم فهم على نكاحهم إلى انقضاء العدّة، فإن أسلمت المرأة ثم أسلم الزوج قبل انقضاء عدّتها فهي امرأته، وإن لم يسلم إلاّ بعد انقضاء العدّة فقد بانت منه، ولا سبيل له عليها الحديث</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كلتا الروايتين ضعيفتان بالإرسال، وبمقتضى الروايات المعتبرة المتقدّمة هو القول بعدم الفرق بين الذمّي وغيره في الحكم وهو ما عليه المشهور</w:t>
      </w:r>
      <w:r>
        <w:rPr>
          <w:rFonts w:eastAsia="Amiri" w:cs="Amiri" w:ascii="Amiri" w:hAnsi="Amiri"/>
          <w:color w:val="111111"/>
          <w:sz w:val="28"/>
          <w:szCs w:val="28"/>
          <w:rtl w:val="true"/>
          <w:lang w:bidi="ar-SA"/>
        </w:rPr>
        <w:t xml:space="preserve">. </w:t>
      </w:r>
      <w:bookmarkStart w:id="79" w:name="pg16406_258496"/>
    </w:p>
    <w:p>
      <w:pPr>
        <w:pStyle w:val="Heading3"/>
        <w:numPr>
          <w:ilvl w:val="2"/>
          <w:numId w:val="1"/>
        </w:numPr>
        <w:rPr/>
      </w:pPr>
      <w:bookmarkStart w:id="80" w:name="__RefHeading___Toc7246511_1280447820"/>
      <w:bookmarkStart w:id="81" w:name="_Toc26"/>
      <w:bookmarkEnd w:id="79"/>
      <w:bookmarkEnd w:id="80"/>
      <w:r>
        <w:rPr>
          <w:rtl w:val="true"/>
        </w:rPr>
        <w:t>المتعة أو النكاح المنقطع</w:t>
      </w:r>
      <w:bookmarkEnd w:id="81"/>
    </w:p>
    <w:p>
      <w:pPr>
        <w:pStyle w:val="Heading4"/>
        <w:numPr>
          <w:ilvl w:val="3"/>
          <w:numId w:val="1"/>
        </w:numPr>
        <w:rPr/>
      </w:pPr>
      <w:bookmarkStart w:id="82" w:name="__RefHeading___Toc7246513_1280447820"/>
      <w:bookmarkStart w:id="83" w:name="_Toc27"/>
      <w:bookmarkEnd w:id="82"/>
      <w:r>
        <w:rPr>
          <w:rtl w:val="true"/>
        </w:rPr>
        <w:t>اشارة</w:t>
      </w:r>
      <w:bookmarkEnd w:id="83"/>
    </w:p>
    <w:p>
      <w:pPr>
        <w:pStyle w:val="BookText"/>
        <w:rPr/>
      </w:pPr>
      <w:r>
        <w:rPr>
          <w:rFonts w:ascii="IRNazanin" w:hAnsi="IRNazanin" w:eastAsia="IRNazanin"/>
          <w:color w:val="111111"/>
          <w:sz w:val="28"/>
          <w:sz w:val="28"/>
          <w:szCs w:val="28"/>
          <w:rtl w:val="true"/>
          <w:lang w:bidi="fa-IR"/>
        </w:rPr>
        <w:t xml:space="preserve">ومما يناسب المقام ـ تتميماً للفائدة ـ التعرّض لإحدى المسائل الخلافية والتي لا تقلّ أهمية عما تقدّم، وهي مسألة النكاح المنقطع، والتحقيق حول بقاء مشروعيّته وعدمه، إذ وقع الخلاف بين الخاصّة والعامة بعد إجماع المسلمين قاطبة على حلّيته في زمان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فذهب الخاصة إلى القول ببقاء الحلية، بل عدّوا ذلك من ضروريات مذهبهم، كما صرّح به صاحب الجواهر</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العامة إلى القول بأنّ هذا النكاح منسوخ، وأنكروا بقاء الحلية وتشددوا في ذلك، بل جاوز بعضهم حدّ الاعتدال فاتهم الشيعة الإمامية ـ زوراً وبهتاناً ـ بأنهم يبيحون الزنا والعياذ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والسبيل إلى معرفة الحق في هذه المسألة هو الاهتداء بالقرآن الكريم، والأخذ بما أثر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والبحث حول هذا الأمر على ضوء الموازين الشرعية المقرّرة، بعيداً عن العصبية، وتجرّداً عن الهوى، والتزاماً بالعدل والإنصاف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ولابدّ قبل الشروع أن نذكر أقوال بعض الفقهاء من كلا الفريقين في هذهالمسألة فنقول وبالله التوفيق</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الخاصة فقد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المتعة عندنا مباح </w:t>
      </w:r>
    </w:p>
    <w:p>
      <w:pPr>
        <w:pStyle w:val="BookText"/>
        <w:rPr/>
      </w:pP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رواه أصحابنا، وروي ذلك عن ابن مسعود، وجابر بن عبد الله، وسلمة بن الأكوع، وأبي سعيد الخدري، والمغيرة بن شعبة، ومعاوية بن أبي سفيان، وابن عباس، وابن جريح، وسعيد بن جبير، ومجاهد، وعطاء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وحكى الفقهاء تحريمه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بن الخطاب، وابن مسعود، وابن الزبير، وابن عمر،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عباس رجع عن القول بإباحتها</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إدريس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المؤجّل مباح في شريعة الإسلام، مأذون فيه، مشروع بالكتاب، والسنة المتواترة، وبإجماع المسلمين، إلاّ أنّ بعضهم ادّعى نسخه فيحتاج في دعواه إلى تصحيحها ودون ذلك خرط القتاد</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فقد سبق إلى القول بإباحة ذلك جماعة معروفة الأقوال من الصحابة والتابعين كأمير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عباس، ومناظرته لابن الزبير معروفة، رواها الناس كلّهم ونظم الشعراء فيها الأشعار فقال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للشيخ لما طال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ياصاح هل لك في فتوى ابن عباس</w:t>
      </w:r>
    </w:p>
    <w:p>
      <w:pPr>
        <w:pStyle w:val="BookText"/>
        <w:rPr/>
      </w:pPr>
      <w:r>
        <w:rPr>
          <w:rFonts w:ascii="Amiri" w:hAnsi="Amiri" w:eastAsia="Amiri" w:cs="Amiri"/>
          <w:color w:val="111111"/>
          <w:sz w:val="28"/>
          <w:sz w:val="28"/>
          <w:szCs w:val="28"/>
          <w:rtl w:val="true"/>
          <w:lang w:bidi="ar-SA"/>
        </w:rPr>
        <w:t xml:space="preserve">هل لك في قينة بيضاء بهكنة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مثواك حتى مصدر الناس</w:t>
      </w:r>
    </w:p>
    <w:p>
      <w:pPr>
        <w:pStyle w:val="BookText"/>
        <w:rPr/>
      </w:pPr>
      <w:r>
        <w:rPr>
          <w:rFonts w:ascii="Amiri" w:hAnsi="Amiri" w:eastAsia="Amiri" w:cs="Amiri"/>
          <w:color w:val="111111"/>
          <w:sz w:val="28"/>
          <w:sz w:val="28"/>
          <w:szCs w:val="28"/>
          <w:rtl w:val="true"/>
          <w:lang w:bidi="ar-SA"/>
        </w:rPr>
        <w:t>وعبد الله بن مسعود، ومجاهد، وعطاء، وجابر بن عبد الله الأنصاري، وسلمة بن الأكوع، وأبي سعيد الخدري، والمغيرة بن شعبة، وسعيد بن جبير، وابن جريح، فإنهم كانوا يفتون بها فادّعاء الخصم الاتفاق على حظر النكاح المؤجّل باطل</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العامة فقد قال الرازي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اسْتَمْتَعْتُمْ بِهِ </w:t>
      </w:r>
    </w:p>
    <w:p>
      <w:pPr>
        <w:pStyle w:val="BookText"/>
        <w:rPr/>
      </w:pPr>
      <w:r>
        <w:rPr>
          <w:rFonts w:ascii="Amiri" w:hAnsi="Amiri" w:eastAsia="Amiri" w:cs="Amiri"/>
          <w:color w:val="111111"/>
          <w:sz w:val="28"/>
          <w:sz w:val="28"/>
          <w:szCs w:val="28"/>
          <w:rtl w:val="true"/>
          <w:lang w:bidi="ar-SA"/>
        </w:rPr>
        <w:t>مِنْهُنَّ فَآتُوهُنَّ أُجُورَهُنَّ</w:t>
      </w:r>
      <w:r>
        <w:rPr>
          <w:rFonts w:eastAsia="Amiri" w:cs="Amiri" w:ascii="Amiri" w:hAnsi="Amiri"/>
          <w:color w:val="111111"/>
          <w:sz w:val="28"/>
          <w:szCs w:val="28"/>
          <w:rtl w:val="true"/>
          <w:lang w:bidi="ar-SA"/>
        </w:rPr>
        <w:t>»</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أكثر علماء الأمة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تَبْتَغُوا بِأَمْوَالِكُمْ</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المراد منه ابتغاء النساء بالأموال على طريق  النكاح،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استمتع بالدخول آتاها المهر بالتمام، وإن استمتع بعقد النكاح آتاها نصف المهر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والقول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بهذه الآية حكم المتعة، وهي عبارة عن أن يستأجر الرجل المرأة بمال معلوم إلى أجل معيّن فيجامعها، واتفقوا على أنها كانت مباحة في ابتداء الإسلام، 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مكّة في عمرته تزين نساء مكة، فشكا أصحاب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العزوبة،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استمتعوا من هذه النساء، واختلفوا في أنها هل نسخت أم لا؟ فذهب السواد الأعظم من الأمة إلى أنها منسوخة، وقال السواد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بقيت مباحةكما كانت، وهذا القول مرويّ عن ابن عباس، وعمران بن الحصين</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حزم في المحلّى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يجوز نكاح المتعة، وهو النكاح إلى أجل، وكان حلالاً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نسخها الله تعالى على لسان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نسخاً باتاً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يوم القيامة، وقد ثبت على تحليلها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السلف رضي الله عنهم، منهم من الصحابة رضي الله عنهم، أسماء بنت أبي بكر الصديق، وجابر بن عبد الله، وابن مسعود، وابن عباس، ومعاوية بن أبي سفيان، وعمرو بن حريث، وأبو سعيد الخدري، وسلمة ومعبد ابنا أميّة بن خلف، ورواه جابر بن عبد الله عن جميع الصحابة مدة رسول الله، ومدة أبي بكر وعمر إلى قرب آخر خلافة عمر، واختلف في إباحتها عن ابن </w:t>
      </w:r>
      <w:bookmarkStart w:id="84" w:name="pg16406_258499"/>
    </w:p>
    <w:p>
      <w:pPr>
        <w:pStyle w:val="BookText"/>
        <w:rPr/>
      </w:pPr>
      <w:bookmarkEnd w:id="84"/>
      <w:r>
        <w:rPr>
          <w:rFonts w:ascii="Amiri" w:hAnsi="Amiri" w:eastAsia="Amiri" w:cs="Amiri"/>
          <w:color w:val="111111"/>
          <w:sz w:val="28"/>
          <w:sz w:val="28"/>
          <w:szCs w:val="28"/>
          <w:rtl w:val="true"/>
          <w:lang w:bidi="ar-SA"/>
        </w:rPr>
        <w:t>الزبير، وعن علي فيها توقف، وعن عمر بن الخطاب أنه إنّما أنكرها إذا لم يشهد عليها عدلان فقط، وإباحتها بشهادة عدلين، ومن التابعين طاووس، وعطاء، وسعيد بن جبير، وسائر فقهاء مكة أعزّها الله، وقد تقصّينا الآثار المذكورة في كتابنا الموسوم بالإيصال، وصحّ تحريمها عن ابن عمر، وعن ابن أبي عمرة الأنصاري، واختلف فيها عن علي، وعمر، وابن عباس، وابن الزبير، وممّن قال بتحريمها وفسخ عقدها من المتأخرين، أبو حنيفة، ومالك، والشافعي، وأبو سليمان، وقال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العقد ويبطل الشرط</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تبيّن هذا فيقع البحث في أربعة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مقتضى الأصل والقاعدة في حكم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المتعة بمقتضى أدلة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حكمها بمقتضى 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التقية في المتعة</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7246515_1280447820"/>
      <w:bookmarkStart w:id="86" w:name="_Toc28"/>
      <w:bookmarkEnd w:id="85"/>
      <w:r>
        <w:rPr>
          <w:rtl w:val="true"/>
        </w:rPr>
        <w:t>حكم المتعة</w:t>
      </w:r>
      <w:r>
        <w:rPr>
          <w:rtl w:val="true"/>
        </w:rPr>
        <w:t>:</w:t>
      </w:r>
      <w:bookmarkEnd w:id="86"/>
    </w:p>
    <w:p>
      <w:pPr>
        <w:pStyle w:val="BookText"/>
        <w:rPr/>
      </w:pPr>
      <w:r>
        <w:rPr>
          <w:rFonts w:ascii="Amiri" w:hAnsi="Amiri" w:eastAsia="Amiri" w:cs="Amiri"/>
          <w:color w:val="111111"/>
          <w:sz w:val="28"/>
          <w:sz w:val="28"/>
          <w:szCs w:val="28"/>
          <w:rtl w:val="true"/>
          <w:lang w:bidi="ar-SA"/>
        </w:rPr>
        <w:t>أما الموضع الأول فإن مقتضى القاعدة مع قطع النظر عن أدلة الطرفين هو حلية كلّ عقد قرّره الشارع ولم يردع عنه سواء كان العقد تأسيساً أو إمضاءاً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قامت الأدلة الشرعية القطعية من السنة وإجماع المسلمين قاطبة على حلّية المتعة، كما أنّ بعضهم قد استند إلى الكتاب الكريم في الحكم بالحلية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السنة فقد بلغت الروايات الدالة على الحلية حدّ التواتر بل فوق التواتر عند العامة والخاصة، وتتفق جميع الروايات في دلالتها على أنها كانت مشروعة في زمان مّا، وإذا كان ثمّة اختلاف فإنّما هو في بقاء مشروعيتها أو </w:t>
      </w:r>
      <w:bookmarkStart w:id="87" w:name="pg16406_258500"/>
    </w:p>
    <w:p>
      <w:pPr>
        <w:pStyle w:val="BookText"/>
        <w:rPr/>
      </w:pPr>
      <w:bookmarkEnd w:id="87"/>
      <w:r>
        <w:rPr>
          <w:rFonts w:ascii="Amiri" w:hAnsi="Amiri" w:eastAsia="Amiri" w:cs="Amiri"/>
          <w:color w:val="111111"/>
          <w:sz w:val="28"/>
          <w:sz w:val="28"/>
          <w:szCs w:val="28"/>
          <w:rtl w:val="true"/>
          <w:lang w:bidi="ar-SA"/>
        </w:rPr>
        <w:t>ارتفاعه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على الحلية فهو ثابت عند كافة المسلمين ولم يخالف في ذلك أحد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الكتاب فإنه وإن استند جمع من الأصحاب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في الحكم بحلّية المتعة، وأنّ الآية نزلتفي نكاح المتعة لا في النكاح الدائم، كما اعترف بذلك الرازي</w:t>
      </w:r>
      <w:r>
        <w:rPr>
          <w:rStyle w:val="FootnoteAnchor"/>
          <w:rtl w:val="true"/>
        </w:rPr>
        <w:footnoteReference w:id="362"/>
      </w:r>
      <w:r>
        <w:rPr>
          <w:rFonts w:ascii="Amiri" w:hAnsi="Amiri" w:eastAsia="Amiri" w:cs="Amiri"/>
          <w:color w:val="111111"/>
          <w:sz w:val="28"/>
          <w:sz w:val="28"/>
          <w:szCs w:val="28"/>
          <w:rtl w:val="true"/>
          <w:lang w:bidi="ar-SA"/>
        </w:rPr>
        <w:t>والجصّاص</w:t>
      </w:r>
      <w:r>
        <w:rPr>
          <w:rStyle w:val="FootnoteAnchor"/>
          <w:rtl w:val="true"/>
        </w:rPr>
        <w:footnoteReference w:id="363"/>
      </w:r>
      <w:r>
        <w:rPr>
          <w:rFonts w:ascii="Amiri" w:hAnsi="Amiri" w:eastAsia="Amiri" w:cs="Amiri"/>
          <w:color w:val="111111"/>
          <w:sz w:val="28"/>
          <w:sz w:val="28"/>
          <w:szCs w:val="28"/>
          <w:rtl w:val="true"/>
          <w:lang w:bidi="ar-SA"/>
        </w:rPr>
        <w:t>وغيرهما</w:t>
      </w:r>
      <w:r>
        <w:rPr>
          <w:rStyle w:val="FootnoteAnchor"/>
          <w:rtl w:val="true"/>
        </w:rPr>
        <w:footnoteReference w:id="364"/>
      </w:r>
      <w:r>
        <w:rPr>
          <w:rFonts w:ascii="Amiri" w:hAnsi="Amiri" w:eastAsia="Amiri" w:cs="Amiri"/>
          <w:color w:val="111111"/>
          <w:sz w:val="28"/>
          <w:sz w:val="28"/>
          <w:szCs w:val="28"/>
          <w:rtl w:val="true"/>
          <w:lang w:bidi="ar-SA"/>
        </w:rPr>
        <w:t>من علماء العامة، إلاّ أنه لما لم تتفق الكلمة بينهم على نزول الآية الشريفة في المتعة، وإنما اتفقت كلمة الخاصة فقط على ذلك فلذا نرجىء البحث حول الآية إلى الموضع الثالث الذي نتناول فيه 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فيكفينا في المقام قيام الدليلين القطعيين السنة والإجماع على الحكم بالحلية، ولم يرد الإنكار أو الخلاف عن أحد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القاعدة هو بقاء الحلّية واستمرارها إلاّ أن يقوم دليل قطعي أو حجّة شرعية على النسخ أو التحريم، فإنّ استصحاب عدم النسخ هو أحد الأمور المسلّمة عند فقهاء المسلمين، فإن تمّ دليل القائلين بالنسخ فهو، وإلاّ فلابدّ من الرجوع إلى مقتضى الأصل والعمل على طبقه</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7246517_1280447820"/>
      <w:bookmarkStart w:id="89" w:name="_Toc29"/>
      <w:bookmarkEnd w:id="88"/>
      <w:r>
        <w:rPr>
          <w:rtl w:val="true"/>
        </w:rPr>
        <w:t>أدلة تحريم المتعة</w:t>
      </w:r>
      <w:r>
        <w:rPr>
          <w:rtl w:val="true"/>
        </w:rPr>
        <w:t>:</w:t>
      </w:r>
      <w:bookmarkEnd w:id="8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الموضع الثاني وهو البحث عن حكم المتعة على ضوء أدلة العامة فالمستفاد من كلماتهم أنّ المتعة كانت مباحة في أوائل زمان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p>
    <w:p>
      <w:pPr>
        <w:pStyle w:val="BookText"/>
        <w:rPr/>
      </w:pPr>
      <w:r>
        <w:rPr>
          <w:rFonts w:ascii="Amiri" w:hAnsi="Amiri" w:eastAsia="Amiri" w:cs="Amiri"/>
          <w:color w:val="111111"/>
          <w:sz w:val="28"/>
          <w:sz w:val="28"/>
          <w:szCs w:val="28"/>
          <w:rtl w:val="true"/>
          <w:lang w:bidi="ar-SA"/>
        </w:rPr>
        <w:t>نسخت، وحكم بحرمتها، وصارت بمنزلة الزنا؛ وذلك 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بالروايات الكثيرة، وقد ادّعى ابن رشد وغيره تواتر الأخبار في ذلكحيث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نكاح المتعة فإنه وإن تواترت الأخبار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بتحريمه إلاّ أنها اختلفت في الوقت الذي وقع فيه التحريم</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وقد ادّعاه غير واحد منهم</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بالآيات وهي وإن كانت محل خلاف عندهم إلاّ أنّ بعضهم حيث سلّم بأنّ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نزلت في نكاح المتعة، ادّعى أنها منسوخة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أَزْوَاجِهِمْ أَوْ مَا مَلَكَتْ أَيْمَانُهُمْ فَإِنَّهُمْ غَيْرُ مَلُومِينَ</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نظراً إلى أنّ المرأة المتمتع بها ليست بزوجة، ولا بملك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إِذَا طَلَّقْتُمْ النِّسَاءَ فَطَلِّقُوهُنَّ لِعِدَّتِهِنَّ </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نظراً إلى أن نكاح المتعة لا طلاق فيه، فلا تكون المرأة المتمتع بها داخلة في النساء، أو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وَلَكُمْ نِصْفُ مَا تَرَكَ أَزْوَاجُكُمْ إِنْ لَمْ يَكُنْ لَهُنَّ وَلَدٌ فَإِنْ كَانَ لَهُنَّ وَلَدٌ فَلَكُمْ الرُّبُعُ مِمَّا تَرَكْنَ مِنْ بَعْدِ وَصِيَّةٍ يُوصِينَ بِهَا أَوْ دَيْنٍ وَلَهُنَّ الرُّبُعُ مِمَّا تَرَكْتُمْ إِنْ لَمْ يَكُنْ لَكُمْ وَلَدٌ فَإِنْ كَانَ لَكُمْ وَلَدٌ فَلَهُنَّ الثُّمُنُ </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نظراً إلى أنّ المرأة المتمتع بها لا ميراث لها، فيعلم أنهاليست بزوجة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مجموع أدلّتهم على الحرمة إجمالاً ولابدّ من البحث حولها تفصيلاً وبيان مقدار دلالتها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ما دلّ من السنة على الحرمة فعدّة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البخاري في صحيحه،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مالك بن إسماعيل، حدثنا ابن عيينه أنه سمع الزهري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الحسن بن محمد بن علي، وأخوه عبد الله، عن أبيهما، أنّ علياً رضي الله عنه قال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عن المتعة، وعن لحوم الحمر الأهلية زمن خيبر</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هذه الرواية بألفاظ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عن محمد بن بشار، حدّثنا غندر، حدّثنا شعبة، عن أبي جمرة،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سئل عن متعة النساء فرخّص، فقال له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في الحال الشديد، وفي النساء قلة،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أيضاً عن علي، حدثنا سفيان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محمد، عن جابر بن عبد الله، وسلمة بن الأكوع،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في جيش فأتانا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أذن لكم أن تستمتعوا فاستمتعوا</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البخاري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أبي 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إياس بن سلمة بن الأكوع، عن أبيه،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رجل وامرأة توافقا فعشرة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بينهما ثلاث ليال، فإن أحبّا أن يتزايدا أو يتتاركا تتاركا، فما أدري أشيء كان لنا خاصّة أم للناس عامّة</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 علي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منسوخ</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المتقي الهندي في كنز العمال عن ابن قانع عن حارث بن غزية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حرام، ولا أعلم أحداً أعدى على الله ممن استحلّ حرمات الله وقتل غير قاتله، وإنّ مكة هي حرم الله عزوجل</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الكنز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قد أذنت لكم في الاستمتاع، وإنّ الله تعالى قد حرّم ذلك إلى يوم القيامة، فمن كان عنده منهنّ شيء فليخلّ سبيله، ولا تأخذوا مما آتيتموهنّ شيئاً</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مسلم في صحيحه بسنده عن الربيع بن سبرة الجهني عن أبيه</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داود والبيهقي في سننهما بسنديهما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عمر بن عبد العزيز ، فتذاكرنا متعة النساء، فقال رجل يقال له ربيع ابن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على أبي أنه حدّث أنّ رسول الله نهى عنها في حجّة الوداع</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البيهقي عن سالم بن عبد الله أنّ رجلاً سأل عبد الله بن عمر  عن المتعة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فلاناً يقول فيها،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علم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حرّمها يوم خيبر وما كنّا مسافحين</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في نيل الأوطار من حديث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غزوة تبوك، حتى إذا كنّا عند الثنية مما يلي الشام جاءتنا نسوة تمتعنا بهن يطفن برحالنا، فسألنا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عنهن، فأخبرناه، فغضب، وقام فينا خطيباً فحمد الله وأثنى عليه، ونهى عن  المتعة، فتوادعنا يومئذ ولم نعد ولا نعود فيها أبداً، فلهذا سميت بثنية الوداع</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اسناد ضعيف لكن عند ابن حبان من حديث أبي هريرة ما يشهد له</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البيهقي من حديث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غزوة تبوك، فنزلنا بثنية الوداع، فرأى نساء يبكين،فقال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تمتع بهنّ أزواجهن ثم فارقوهن،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أو هدم المتعة النكاحُ والطلاقُ والعدةُ والميراثُ</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الدارقطني أيضاً في سننه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السيوطي في الدر المنثور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نغزو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معنا نساؤنا،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نستخصي؟ فنهانا عن ذلك، ورخص لنا أن نتزوج المرأة بالثوب إلى أجل، ثم قرأ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تُحَرِّمُوا طَيِّبَاتِ مَا أَحَلَّ اللَّهُ لَكُمْ </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البيهقي في سننه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المتعة في أول الإسلام، وكانوا يقرأون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فكان الرجل يقدم البلدة ليس بها معرفة فيتزوّج بقدر ما يرى أنه يفرغ من حاجته لتحفظ متاعه وتصلح شأنه، حتى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عَلَيْكُمْ أُمَّهَاتُكُمْ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فنسخ الأولى فحرمت المتعة، وتصديقها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أَزْوَاجِهِمْ أوْ مَا مَلَكَتْ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سوى هذا الفرج فهو حرام</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السيوطي عن ابن المنذر وابن أبي حاتم والحاكم وصححه 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 عائشة عن متعة النساء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بينيوبينكم كتاب الله، وقرأت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أَزْوَاجِهِمْ أَوْ مَا مَلَكَتْ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ابتغى وراء ما زوّجه الله أو ملكه فقد عدا</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البيهقي عن سالم بن عبد الله عن أبيه عن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 عمر على المنبر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رجال ينكحون هذه المتعة؟ وقد 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ألا وإني لا أوتي بأحد نكحها إلاّ رجمته</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السيوطي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البيهقي 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حلّت لأصحاب رسول الله متعة النساء ثلاثة أيام، نهى عنها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البيهقي عن بسام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عن المتعة فوصفتها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الزنا</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الروايات الواردة في كتب العامة التي يمكن الاستدلال بها على التحريم وما عداها مما لم نذكره يرجع إلى أحد هؤلاء الرواة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بعض هذه الروايات لا دلالة فيها على التحريم كالثانية،والثالثة، والرابعة، والحادية عشر، فإنها كلها تدلّ على الإباحة فقط، وبعضاً آخر منها ليس من كلام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كلام الأصحاب كالخامسة والسادسة والثانية عشر والثالثة عشر، مضافاً إلى أنّ الروايتين الأخيرتين ليستا </w:t>
      </w:r>
    </w:p>
    <w:p>
      <w:pPr>
        <w:pStyle w:val="BookText"/>
        <w:rPr/>
      </w:pPr>
      <w:r>
        <w:rPr>
          <w:rFonts w:ascii="Amiri" w:hAnsi="Amiri" w:eastAsia="Amiri" w:cs="Amiri"/>
          <w:color w:val="111111"/>
          <w:sz w:val="28"/>
          <w:sz w:val="28"/>
          <w:szCs w:val="28"/>
          <w:rtl w:val="true"/>
          <w:lang w:bidi="ar-SA"/>
        </w:rPr>
        <w:t>صريحتين في التحريم لأنّ المدّعى أنّ المرأة المتمتع بها داخلة في الأزواج، وعلى فرض دلالتهما على التحريم فهو اجتهاد من ابن عباس وعائشة، على أنه سيأتي من أنّ ابن عباس كان من المتشدّدين في القول بالحلّية، ويؤكده أنّ الروايات الواردة في رجوع ابن عباس عن القول بالحلّية كلها ضعيفة الأسناد كما صرّح بذلك الشوكاني في نيل الأوطار</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الروايتان الأولى والأخيرة فلم تثبتا لأن المعروف من مذهب أمير المؤمنين وجعفر بن محمد خلاف ذلك كما سيأتي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الثامنة فهي محل كلام للاختلاف في نسبة التحريم إلى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الرابعة عشر فهي غريبة إذ سيأتي أنّ عمر نفسه قد شهد بأنّ المتعة كانت حلالاً على عهد رسول الله، وهو الذي حرّمها وتوعّد بالعقاب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الرواية الخامسة عشر فيبعّدها أنّ أبا ذر من شيعة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وأتباعه، ومذهب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معروف كما ذكرنا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فتبقى في المقام ثلاث روايات يمكن الاستدلال بها، وهي السابعة والتاسعة والعاشرة، على ما فيها من التأمل في أسناد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يدّعى التواتر بهذا المقدار حتى مع فرض التسليم بصحّة جميع الروايات سنداً ودلالة، أليس مما يثير العجب أن يدّعي ابن رشد تواتر الأخبار على التحريم؟ وأين موقع هذه الدعوى من العلم والتحقيق؟</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بتحقق التواتر بهذا المقدار، فهل يكون مفيداً للعلم إذا كان هناك تواتر على خلافه كما هو الحال في المتعة؟ فإنّ الروايات الدالة على الحلّية أضعاف ما دلّ على التحريم وقد ادّعي التواتر فيها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الروايات لا يمكن الاستناد إليها والأخذ بها، إما لجهة الضعف في أسناد بعضها كما أشرنا، وإما لجهة التعارض فيما بينها ففي بعضها أنّ التحريم كان في يوم الفتح، وفي بعضها في يوم خيبر، وفي بعضها يوم تبوك، وفي بعضها في عمرة القضاء، وفي بعضها في يوم أوطاس، وفي بعضها يوم حنين وفي بعضها في حجة الوداع، وفي بعضها أنّ المتعة حرّمت، ثم حلّلت، ثم حرّمت، إلى غير ذلك من الاختلافات حتى بلغت أقوال العامة فيها إلى عشرة أقوال متضاربة، مضافاً إلى خلوّ خطب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خيبر ويوم الفتح وحجة الوداع عن التلويح فضلاً عن التصريح بالتحريم، وقد تنبّه إلى ذلك السهيلي وهو من علماء العامة فأورده مورد الإشكال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يتصل بحديث النبي عن أكل لحوم الحمر تنبيه على إشكال في رواية مالك عن ابن شهاب فإنه قال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نكاح المتعة يوم خيبر وعن لحوم الحمر الأهلية، وهذا شيء لا يعرفه أحد من أهل السير ورواة الأثرأنّ المتعة حرمت يوم خيبر </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الروايات الدالة على التحريم كلّها مخالفة لما ورد في روايات كثيرة اشتملت على الصحاح والحسان من أنّ النهي كان في زمان عمر، وأنها كانت حلالاً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وعهد أبي بكر، بل وشطر من زمان عمر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نضرة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جابر بن عبد الله فأتاه آت،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وابن الزبير اختلفا في المتعتين، 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فعلناهما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نهانا عنهما عمر فلم نعد لهما، وفي لفظ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عهد أبي بكر فلما ولي عمر 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هذا الرسول، وإنّ القرآن هذا القرآن، وإنهما كانتا متعتين على عهد رسول الله، وأنا أنهى عنهما وأعاقب </w:t>
      </w:r>
    </w:p>
    <w:p>
      <w:pPr>
        <w:pStyle w:val="BookText"/>
        <w:rPr/>
      </w:pPr>
      <w:r>
        <w:rPr>
          <w:rFonts w:ascii="Amiri" w:hAnsi="Amiri" w:eastAsia="Amiri" w:cs="Amiri"/>
          <w:color w:val="111111"/>
          <w:sz w:val="28"/>
          <w:sz w:val="28"/>
          <w:szCs w:val="28"/>
          <w:rtl w:val="true"/>
          <w:lang w:bidi="ar-SA"/>
        </w:rPr>
        <w:t>عليهما، إحداهما متعة النساء، ولا أقدر على رجل تزوج امرأة إلى اجل إلاّ غيبته بالحجارة والأخرى متعة الحج</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عمر أنه 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كانتا على عهد رسول الله،وأنا أنهى عنهما وأعاقب عليهما، متعة الحج، ومتعة النساء</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عنه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كنّ على عهد رسول الله، أنا محرمهنّ ومعاقب عليهنّ، متعة الحج، ومتعة النساء، وحي على خير العمل في الأذان</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عمر عن متعتين، متعة النساء ومتعة الحج</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عروة بن الزبير أنه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أهلكت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تفتيهم في المتعتين وقد علمت أنّ أبا بكر وعمر نهيا عنهما،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للعجب، إني أحدّثه عن رسول الله، ويحدّثني عن 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كانا أعلم بسنة رسول الله وأتبع لها منك</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عمران بن سواد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الصبح مع عمر فقرأ سبحان وسورة معها، ثم انصرف وقمت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أحاجة؟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فلحقت فلمّا دخل أذن، فإذا هو على رمال سرير ليس فوقه شيء،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بالناصح غدوّاً وعشيّاً،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عابت أمّتك ـ 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رعيتك ـ عليك أربعاً،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رأس درّته في ذقنه، ووضع أسفلها على فخذه،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ذكروا أنك حرّمت المتعة في أشهر الحج، وهي حلال ولم يحرمها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أبو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إنكم إذا اعتمرتم في أشهر حجّكم رأيتموها مجزئة عن حجّكم فقرع حجّكم، فكانت قابية قوب عامها، والحج بهاء من بهاء الله، وقد أصبتَ،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وذكروا أنك حرّمت متعة النساء، وقد كان رخصة من الله نستمتع بقبضة ونفارق عن ثلاث،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أحلّها في زمان ضرورة، ورجع الناس إلى السعة ثم لم أعلم أحداً من المسلمين عاد إليها ولا عمل بها، فالآن من شاء نكح بقبضة وفارق عن ثلاث بطلاق وقد أصبتَ</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نستمتع بالقبضة من التمر والدقيق، الأيام على عهد رسول الله وأبي بكر، حتى نهى عنه عمر في شأن عمرو بن حريث</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جابر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يتمتّعون من النساء حتى نهاهم عمر بن الخطاب</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جريح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عمروبن حريث الكوفة، فاستمتع بمولاة، فأتي بها عمر وهي حبلى، فسأله فاعترف،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حين نهى عنها عمر</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جابر بن عبد الله معتمراً، فجئناه في منزله، فسأله القوم عن أشياء، ثم ذكروا المتعة،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استمتعنا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 بكر وعمر، وفي لفظ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كان في آخر خلافة عمر، ثم نهى الناس عنه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أبي سعيد الخدري، وجابر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تمتعنا إلى نصف من خلافة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نهى الناس عنها في شأن عمرو بن حريث</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عروة بن الزبير إنّ خولة بنت حكيم دخلت على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ربيعة بن أمية استمتع بامرأة مولّدة فحملت منه، فخرج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 رداءه فزعاً،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المتعة، ولو كنت تقدّمت فيه لرجمته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الحكم إنه سئل عن هذه الآية ـ آية متعة النساءأمنسوخة؟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عمر نهى عن المتعة ما زنى إلاّ شقي</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المتعة إلاّ رحمة من الله رحم بها أمة محمد، ولولا نهيه لما احتاج إلى الزنا إلاّ شفا</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نافع أن ابن عمر سئل 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يفتي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ترمرم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في زمان عمر</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سليمان بن يسار عن أمّ عبد الله، ابنة أبي خيثمة، إنّ رجلاً قدم من الشام فنزل عليها،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العزبة قد اشتدّت عليّ فابغيني امرأة أتمتع معها،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فدللته على امرأة فشارطها وأشهدوا على ذلك عدولاً، فمكث معها ما شاء الله أن يمكث، ثم إنّه خرج فأخبر عن ذلك عمر بن الخطاب، فأرسل إليّ فسألني أحقّ ما حدّثت؟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قدم فأذنيني، فلما قدم أخبرته، فأرسل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على الذي فعلته؟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فعلته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لم ينهنا عنه حتى قبضه الله، ثم مع أبي بكر فلم ينهنا عنه حتى قبضه الله، ثم معك فلم تحدث لنا فيه نهياً،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والذي نفسي بيده لو كنت تقدّمت في نهي لرجمتك بينوا حتى يعرف النكاح من السفاح</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عمران بن 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آية المتعة في كتاب الله تعالى لم تنزل آية بعدها تنسخها، فأمرنا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وتمتعنا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ولم ينهنا عنها حتى قال رجل بعد برأيه ما شاء</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أنه سأل رجل من أهل الشام ابن عمر عن متعة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أباك قد نهى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إن كان أبي قد نهى عنها وسنّها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نترك السنة ونتّبع أبي؟</w:t>
      </w:r>
      <w:r>
        <w:rPr>
          <w:rStyle w:val="FootnoteAnchor"/>
          <w:rtl w:val="true"/>
        </w:rPr>
        <w:footnoteReference w:id="41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أيوب، قال عروة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تتقي الله ترخّص في المتعة؟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أمّك يا عريّة فقال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أبو بكر وعمر فلم يفعلا،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أراكم منتهين حتى يعذّبكم الله نحدّثكم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وتحدثونا عن أبي بكر وعمر</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ومما يؤيد ذلك ما ذكره الراغب في المحاضرات، قال يحيى بن أكثم لشيخ بالبصرة بمن اقتديت في جواز المتعة؟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وعمر كان أشد الناس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الخبر الصحيح أنه صعد إلى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ورسوله قد أحلاّ لكم متعتين وإنّي محرّمهما عليكم وأعاقب عليهما فقبلناشهادته ولم نقبل تحريمه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أيضاً في محاضراته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عيّر عبد الله بن الزبير عبد الله بن عباس بتحليله المتعة،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أمّك كيف سطعت المجامر بينها وبين أبيك؟ فسألها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ولدتك إلاّ في المتعة</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مجمر سطع في المتعة مجمر آل الزبير</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ابن أبي الحديد أنّ ابن الزبير خطب بمكة على المنبر، وابن عباس جالس مع الناس تحت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رجلاً أعمى الله قلبه كما أعمى بصره، يزعم أنّ متعة النساء حلال من الله ورسوله، ويفتي في القملة والنملة،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الزبير، أما العمى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فتياي في القملة والنملة، فإنّ فيها حكمين لا تعلمها أنت ولا أصحابك</w:t>
      </w:r>
      <w:r>
        <w:rPr>
          <w:rFonts w:eastAsia="Amiri" w:cs="Amiri" w:ascii="Amiri" w:hAnsi="Amiri"/>
          <w:color w:val="111111"/>
          <w:sz w:val="28"/>
          <w:szCs w:val="28"/>
          <w:rtl w:val="true"/>
          <w:lang w:bidi="ar-SA"/>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المتعة فسل أمك إذا نزلت عن بردي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عاد ابن الزبير إلى أمه سألها عن بردي عوسجة،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أنهك عن ابن عباس، وعن بني هاشم، فإنهم كُعُم الحواب إذا بدهوا،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وعصيتك،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p>
    <w:p>
      <w:pPr>
        <w:pStyle w:val="BookText"/>
        <w:rPr/>
      </w:pPr>
      <w:r>
        <w:rPr>
          <w:rFonts w:ascii="Amiri" w:hAnsi="Amiri" w:eastAsia="Amiri" w:cs="Amiri"/>
          <w:color w:val="111111"/>
          <w:sz w:val="28"/>
          <w:sz w:val="28"/>
          <w:szCs w:val="28"/>
          <w:rtl w:val="true"/>
          <w:lang w:bidi="ar-SA"/>
        </w:rPr>
        <w:t>أحذر هذاالأعمى الذي ما أطاقته الإنس والجن، واعلم أنّ عنده فضائح قريش ومخازيها بأسرها</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وقد تقدّمت بعض الروايات الدالة على جواز المتعة وإباحتها في زمان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وعند المقارنة بين هذه الروايات، والروايات المتقدمة الدالة على التحريم 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الدالة على التحريم قليلة جداً بالقياس إلى روايات الإباحة، فإنّ بعض رواتها غير معروفين كسبرة الجهني مع الاضطراب الواضح في رواياته، وأبي عمرة الأنصاري، والحارث بن غزية، كما أن بعضهم متهم في رواياته كأبي هريرة، وبعضهم قد نسب إليه القول بالتحليل كابن عمر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الروايات الدالة على الحلية فهي كثيرة جداً حيث رويت عن كثير من الصحابة المعروفين بالعلم والفقه، كأمير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باب مدينة علم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عباس وهو حبر الأمة، وعبد الله بن مسعود، وجابر بن عبد الله الأنصاري، وأبي سعيد الخدري، وعن عمر بن الخطاب، وعمرو بن حريث، وعمران بن الحصين، وعمران بن سوادة وقد نسبه إلى الأمة، وعن أبي بكر، وأسماء بنت أبي بكر، وغيرهم، ومن التابعين طاووس، وعطاء، وسعيد بن جبير، وسائر فقهاء مكة، وعن يحيى بن أكثم، والحكم بن عيينة وغيرهم، مضافاً إلى أنّ الروايات الدالة على التحريم كانت موافقة لرغبةالحاكم آنذاك وهو عمر بن الخطاب، بخلاف الروايات الدالة على الحلّية فإنّها ليست مشوبة بالتهمة، بل رواها بعضهم في زمان الخوف والتهديد بالرجم، فقد ذكر سبط ابن الجوزي أنّ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أوتى برجل أباح المتعة إلاّ رجمته</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bookmarkStart w:id="90" w:name="pg16406_258514"/>
    </w:p>
    <w:p>
      <w:pPr>
        <w:pStyle w:val="BookText"/>
        <w:rPr/>
      </w:pPr>
      <w:bookmarkEnd w:id="90"/>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الدالة على حلية المتعة موافقة للكتاب العزيز، ولروايات أخر كثيرة دلّت على الحلّية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التسليم بروايات التحريم وتكافؤها مع روايات الإباحة يقع التعارض بين الطائفتين، ومقتضاه التساقط فلابد من الرجوع إلى الأصل كما تقدم، وهو يقتضي حلية المتعة الثابتة في الشرع أولاً بالاتفاق</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7246519_1280447820"/>
      <w:bookmarkStart w:id="92" w:name="_Toc30"/>
      <w:bookmarkEnd w:id="91"/>
      <w:r>
        <w:rPr>
          <w:rtl w:val="true"/>
        </w:rPr>
        <w:t>شبهة ودفع</w:t>
      </w:r>
      <w:r>
        <w:rPr>
          <w:rtl w:val="true"/>
        </w:rPr>
        <w:t>:</w:t>
      </w:r>
      <w:bookmarkEnd w:id="92"/>
    </w:p>
    <w:p>
      <w:pPr>
        <w:pStyle w:val="BookText"/>
        <w:rPr/>
      </w:pPr>
      <w:r>
        <w:rPr>
          <w:rFonts w:ascii="Amiri" w:hAnsi="Amiri" w:eastAsia="Amiri" w:cs="Amiri"/>
          <w:color w:val="111111"/>
          <w:sz w:val="28"/>
          <w:sz w:val="28"/>
          <w:szCs w:val="28"/>
          <w:rtl w:val="true"/>
          <w:lang w:bidi="ar-SA"/>
        </w:rPr>
        <w:t>قد يعرض على بعض الأذهان التساؤل عن نهي عمر عن المتعة على مسمع من الصحابة خلافاً للكتاب والسنة وسكوتهم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ذكره الفخر الرازي وأجاب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قال في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متعتان كانتا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أنهى عنهما وأعاقب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هذا الكلام في مجمع الصحابة، وما أنكر عليه أحد فالحال هنا لا يخلو إما أن يقال إنهم كانوا عالمين بحرمة المتعة فسكتوا، أو كانوا عالمين بأنها مباحة ولكنهم سكتوا على سبيل المداهنة، أو ما عرفوا إباحتها ولاحرمتها فسكتوا لكونهم متوقفين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 هو المطلوب، والثاني يوجب تكفير عمر وتكفير الصحابة، لأنّ من علم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بإباحة المتعة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محرّمة محظورة من غير نسخ لها فهو كافر بالله، ومن صدقه عليه مع علمه بكونه مخطئاً كافراً كان كافراً أيضاً، وهذا يقتضي تكفير الأمة وهو على ضدّ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كنتم خير أمة</w:t>
      </w:r>
      <w:r>
        <w:rPr>
          <w:rFonts w:eastAsia="IRNazanin" w:cs="IRNazanin"/>
          <w:color w:val="111111"/>
          <w:sz w:val="28"/>
          <w:szCs w:val="28"/>
          <w:rtl w:val="true"/>
          <w:lang w:bidi="fa-IR"/>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والقسم الثالث وهو أنهم كانوا غير عالمين بكون المتعة مباحة أو محظورة فلهذا سكتوا، فهذا أيضاً باطل لأنّ المتعة بتقدير كونها مباحة تكون كالنكاح، واحتياج الناس إلى معرفة الحال في كل واحد منهما عام في حق الكلّ، ومثل </w:t>
      </w:r>
    </w:p>
    <w:p>
      <w:pPr>
        <w:pStyle w:val="BookText"/>
        <w:rPr/>
      </w:pPr>
      <w:r>
        <w:rPr>
          <w:rFonts w:ascii="Amiri" w:hAnsi="Amiri" w:eastAsia="Amiri" w:cs="Amiri"/>
          <w:color w:val="111111"/>
          <w:sz w:val="28"/>
          <w:sz w:val="28"/>
          <w:szCs w:val="28"/>
          <w:rtl w:val="true"/>
          <w:lang w:bidi="ar-SA"/>
        </w:rPr>
        <w:t>هذا يمنع أن يبقى مخفيّاً، بل يجب أن يشتهر العلم به فكما أنّ الكل كانوا عارفين بأنّ النكاح مباح وأن إباحته غير منسوخة وجب أن يكون الحال في المتعة كذلك، ولما بطل هذان القسمان ثبت أنّ الصحابة إنما سكتوا عن الإنكار على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كانوا عالمين بأن المتعة صارت منسوخة في الإسلام</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قائلاً يقول إذا كان الأمر كذلك فما بال عمر ينسب النهي عن المتعة إلى نفسه دون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فأجاب الرازي عن ذلك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مراده المتعة كانت مباحة في زمن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أنهى عنها لما ثبت عندي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الفخر الرازي وهو الذي يعدّ من فحول العلماء وله في الكلام والتفسير والفقه باع طويل قد اختلطت عليه السبل، وزلّت قدماه ـ وما أكثر زلاّته ـ حيث حاول تصحيح الواقع كما وقع وتبرير ما حدث فتمحّل في الجواب بما لا ترضى به أمانة العلم والبحث والإنصاف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وجوابنا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الصحابة قد أنكروا على عمر ولم يسكتوا، وفي ما تقدّم من الروايات ما يدلّ على ذلك، وكأنّ الرازي قد تغافل عنها، على أنّ الخوف من الرجم كان مانعاً عن المجاهرة، وفي قول</w:t>
      </w:r>
    </w:p>
    <w:p>
      <w:pPr>
        <w:pStyle w:val="BookText"/>
        <w:rPr/>
      </w:pPr>
      <w:r>
        <w:rPr>
          <w:rFonts w:ascii="Amiri" w:hAnsi="Amiri" w:eastAsia="Amiri" w:cs="Amiri"/>
          <w:color w:val="111111"/>
          <w:sz w:val="28"/>
          <w:sz w:val="28"/>
          <w:szCs w:val="28"/>
          <w:rtl w:val="true"/>
          <w:lang w:bidi="ar-SA"/>
        </w:rPr>
        <w:t>ابن عمر يعني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تزمزم بها في زمان عمر، وفي قول عمران بن حصين، فقال رجل بعد برأيه ما شاء، ما يشعر بذلك</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الرازي من التوجيه لا يرضى به عمر نفسه فإنّه قال ـ وهو على المنبر ـ إنّ الله ورسوله قد أحلاّ لكم متعتين، وإنّي محرّمهما عليكم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فلو كان التحريم صادراً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ينسبه إلى نفسه؟ وحين حاوره الشامي وذكر له أنّها كانت حلالاً ولم ينه عنها رسول الله وأبو بكر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معك فلم تحدث لنا فيه نهياً، لم يجبه عمر بأنّ النبي نهى عنها، وإنما أجاب بما يؤكد أنّ التحريم صدر منه،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والذي نفسي بيده لو كنت تقدّمت في نهي لرجمتك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أنّ ما ورد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عباس، وجابر، وغيرهم من التصريح بأنّ عمر هو الذي نهى، يكفي في المقام فإنه لو صدر النهي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لعلمه هؤلاء قبل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جرى من النهي عن المتعة ليس هو أول قارورة، فما أكثر الأوامروالنواهي الصادرة عن عمر في مختلف القضايا الشرعية حيث رأى أنّ المصلحة على خلاف ما جاء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ذلك متعة الحج فقد روى البخاري عن عمران بن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تمتعنا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القرآن، قال رجل برأيه</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وفسّر ابن حجر أنّ المراد برجل هو عمر، فإنه أول من نهى عنها، وكان من بعده تابعاً له في ذلك، ففي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الزبير كان ينهى عنها وابن عباس يأمر بها فسألوا جابراً فأشار إلى أنّ أول من نهى عنها عمر</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أنّ ابن عمر قد خالف أباه في ذلك، حدّث سالم بن عبد الله أنه سمع رجلاً من أهل الشام وهو يسأل عبد الله بن عمر عن التمتع بالعمرة إلى  الحج فقال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حلال، 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قد نهى عنها، فقال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أبي نهى عنها، وصنعها رسول الله أأمر أبي </w:t>
      </w:r>
    </w:p>
    <w:p>
      <w:pPr>
        <w:pStyle w:val="BookText"/>
        <w:rPr/>
      </w:pPr>
      <w:r>
        <w:rPr>
          <w:rFonts w:ascii="IRNazanin" w:hAnsi="IRNazanin" w:eastAsia="IRNazanin"/>
          <w:color w:val="111111"/>
          <w:sz w:val="28"/>
          <w:sz w:val="28"/>
          <w:szCs w:val="28"/>
          <w:rtl w:val="true"/>
          <w:lang w:bidi="fa-IR"/>
        </w:rPr>
        <w:t>نتّبع أم أمر رسول الله ؟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صنعها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لأنهاكم عن المتعة، وإنهالفي كتاب الله، ولقد فعلها رسول الله يعني العمرة في الحج</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 ولا ندري هل يوجّه الرازي هذه المسألة بما وجّه به مسألة متعة النساء أم أنه يتمحّل وجهاً آخر؟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بإمكان الفخر الرازي أن يتخلص من المأزق فيحمل نهي عمر على الاجتهاد، وأنه رأى أن مصلحة الأمة في الحكم بالحرمة كما صنع القوشجي حيث حمل فعل عمر على الاجتهاد</w:t>
      </w:r>
      <w:r>
        <w:rPr>
          <w:rStyle w:val="FootnoteAnchor"/>
          <w:rtl w:val="true"/>
        </w:rPr>
        <w:footnoteReference w:id="424"/>
      </w:r>
      <w:r>
        <w:rPr>
          <w:rFonts w:ascii="Amiri" w:hAnsi="Amiri" w:eastAsia="Amiri" w:cs="Amiri"/>
          <w:color w:val="111111"/>
          <w:sz w:val="28"/>
          <w:sz w:val="28"/>
          <w:szCs w:val="28"/>
          <w:rtl w:val="true"/>
          <w:lang w:bidi="ar-SA"/>
        </w:rPr>
        <w:t>، وليس هذا أمراً جديداً عليه، فنظائره في سيرة عمر كثيرة، وقد تقدم آنفاً أنه أول من نهى عن متعة الحج، وذكروا أيضاً أنه أول من أسقط حيّ على خير العمل من الأذان، وهو أول من أمضى الطلاق ثلاثاً، وهو أول من أمر بالجماعة في النوافل وذكر أبو هلال العسكري أن عمر هو أول من سنّ قيام شهر رمضان،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وأيّ بدعة، وأول من عسّ بالليل، و أول من جمع الناس في صلاة الجنائز على أربع تكبيرات، وأول من أعال الفرائض</w:t>
      </w:r>
      <w:r>
        <w:rPr>
          <w:rStyle w:val="FootnoteAnchor"/>
          <w:rtl w:val="true"/>
        </w:rPr>
        <w:footnoteReference w:id="425"/>
      </w:r>
      <w:r>
        <w:rPr>
          <w:rFonts w:ascii="Amiri" w:hAnsi="Amiri" w:eastAsia="Amiri" w:cs="Amiri"/>
          <w:color w:val="111111"/>
          <w:sz w:val="28"/>
          <w:sz w:val="28"/>
          <w:szCs w:val="28"/>
          <w:rtl w:val="true"/>
          <w:lang w:bidi="ar-SA"/>
        </w:rPr>
        <w:t>، وغير ذلك من أوّليّاته التي كان يرى فيها أنّ المصلحة في مخالفة النصوص، وما ذكره الفخر الرازي لا يغني طائلاً في دفع الشبهة، على أنّ الاجتهاد في مقابل النصوص مما لا يمكن المصير إليه فإنّ فيه 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والمتحصّل إلى هنا أنّ الاستدلال بالروايات على التحريم لا يمكن الاعتماد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الإجماع فقد ذكرنا أنه قد ادّعاه غير واحد من علماء العامة، إلاّ أنّ هذهالدعوى ساقطة عن الاعتبار، وذلك لمخالفة كثير من الصحابة والفقهاء، والتزامهم بالقول بالحلية بعد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ابن حزم في المحلّى أنّ عدداً من الصحابة والتابعين على ذلك منهم أسماء بنت أبي بكر، وجابر بن عبد الله، وابن مسعود، وابن عباس، ومعاوية بن أبي سفيان، وعمرو بن حريث، وأبو سعيد الخدري، وسلمة ومعبد ابنا أمية بن خلف، ورواه جابر بن عبد الله عن جميع الصحابة مدة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ومدة أبي بكر، وعمر، إلى قرب آخر خلافة عمر، ومن التابعين طاووس وعطاء وسعيد بن جبير، وسائر فقهاء مكة</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ابن إدريس أن من ذهب إلى القول بالحلية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ومجاهد، وسلمة بن الأكوع والمغيرة بن شعبة، وابن جريح</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الرازي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السواد منهم إنها بقيت مباحة كما كانت وهذا القول مروي عن ابن عباس، وعمران بن الحصين</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الظاهر من خالد بن مهاجر بن خالد المخزومي فقد روى مسلم في صحيحه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هو جالس عند رجل، جاءه رجل فاستفتاه في المتعة، فأمر بها، فقال له ابن أبي عمرة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والله لقد فعلت في عهد إمام المتقين</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ونقل صاحب الجواهر عن مسلم في صحيحه وأبي الحسن بن علي بن زيد في كتاب الألفة أنهما زادا في الصحابة معاوية بن أبي سفيان، وعبد الله بن عمر بن الخطاب، وعمر بن جويدة، وربيعة بن أمية، وسلمة بن أمية، وصفوان بن أمية، ومعلّى بن أمية، والبراء بن عازب، وربيع بن ميسرة، وسهل بن سعد الساعدي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الحسن علي بن الحسين الحافظ في كتاب سير العباد الزيادة في التابعين الحسن  البصري، وإبراهيم النخعي، وسعيد بن حبيب، وابن جريح، وعمر بن دينار</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وزاد أبو جعفر محمد بن حبيب في كتاب المحبر خالد بن عبد الله الأنصاري، وزيد بن ثابت الأنصاري، وعمران بن الحصين الخزاعي، وسلمة بن الأكوع الأسلمي</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الظاهر من أبيّ بن كعب حيث روي عنه أنه كان يقرأ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الظاهر أيضاً من سمير أو سمرة بن جندب</w:t>
      </w:r>
      <w:r>
        <w:rPr>
          <w:rStyle w:val="FootnoteAnchor"/>
          <w:rtl w:val="true"/>
        </w:rPr>
        <w:footnoteReference w:id="433"/>
      </w:r>
      <w:r>
        <w:rPr>
          <w:rFonts w:ascii="Amiri" w:hAnsi="Amiri" w:eastAsia="Amiri" w:cs="Amiri"/>
          <w:color w:val="111111"/>
          <w:sz w:val="28"/>
          <w:sz w:val="28"/>
          <w:szCs w:val="28"/>
          <w:rtl w:val="true"/>
          <w:lang w:bidi="ar-SA"/>
        </w:rPr>
        <w:t>، والسدي</w:t>
      </w:r>
      <w:r>
        <w:rPr>
          <w:rStyle w:val="FootnoteAnchor"/>
          <w:rtl w:val="true"/>
        </w:rPr>
        <w:footnoteReference w:id="434"/>
      </w:r>
      <w:r>
        <w:rPr>
          <w:rFonts w:ascii="IRNazanin" w:hAnsi="IRNazanin" w:eastAsia="IRNazanin"/>
          <w:color w:val="111111"/>
          <w:sz w:val="28"/>
          <w:sz w:val="28"/>
          <w:szCs w:val="28"/>
          <w:rtl w:val="true"/>
          <w:lang w:bidi="fa-IR"/>
        </w:rPr>
        <w:t>، وزفر</w:t>
      </w:r>
      <w:r>
        <w:rPr>
          <w:rStyle w:val="FootnoteAnchor"/>
          <w:rtl w:val="true"/>
        </w:rPr>
        <w:footnoteReference w:id="435"/>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ابن حجر في تهذيب التهذيب عن الشافعي أن ابن جريح ـ فقيه مكة ـ استمتع بسبعين امرأة</w:t>
      </w:r>
      <w:r>
        <w:rPr>
          <w:rStyle w:val="FootnoteAnchor"/>
          <w:rtl w:val="true"/>
        </w:rPr>
        <w:footnoteReference w:id="436"/>
      </w:r>
      <w:r>
        <w:rPr>
          <w:rFonts w:ascii="Amiri" w:hAnsi="Amiri" w:eastAsia="Amiri" w:cs="Amiri"/>
          <w:color w:val="111111"/>
          <w:sz w:val="28"/>
          <w:sz w:val="28"/>
          <w:szCs w:val="28"/>
          <w:rtl w:val="true"/>
          <w:lang w:bidi="ar-SA"/>
        </w:rPr>
        <w:t>كما ذكر ذلك الذهبي في ميزان الاعتدال</w:t>
      </w:r>
      <w:r>
        <w:rPr>
          <w:rStyle w:val="FootnoteAnchor"/>
          <w:rtl w:val="true"/>
        </w:rPr>
        <w:footnoteReference w:id="437"/>
      </w:r>
      <w:r>
        <w:rPr>
          <w:rFonts w:ascii="IRNazanin" w:hAnsi="IRNazanin" w:eastAsia="IRNazanin"/>
          <w:color w:val="111111"/>
          <w:sz w:val="28"/>
          <w:sz w:val="28"/>
          <w:szCs w:val="28"/>
          <w:rtl w:val="true"/>
          <w:lang w:bidi="fa-IR"/>
        </w:rPr>
        <w:t xml:space="preserve">فإذا </w:t>
      </w:r>
    </w:p>
    <w:p>
      <w:pPr>
        <w:pStyle w:val="BookText"/>
        <w:rPr/>
      </w:pPr>
      <w:r>
        <w:rPr>
          <w:rFonts w:ascii="Amiri" w:hAnsi="Amiri" w:eastAsia="Amiri" w:cs="Amiri"/>
          <w:color w:val="111111"/>
          <w:sz w:val="28"/>
          <w:sz w:val="28"/>
          <w:szCs w:val="28"/>
          <w:rtl w:val="true"/>
          <w:lang w:bidi="ar-SA"/>
        </w:rPr>
        <w:t>كان الأمر كذلك فأين موقع دعوى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الإجماع أسوأ حالاً من دعوى ثبوت التحريم بالروايات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الآيات فقد ذكرنا أنّ بعضهم ادّعى أنّ آية المتعة منسوخة إما بآية حفظ الفروج، أو بآية الطلاق، أو بآية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هذه الدعوى ساقطة أيضاً بل هي أخس من الدعويين السابقتين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دعوى النسخ بالآية الأولى ففيها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خروج المرأة المتمتع بها عن الأزواج، غاية الأمر أنها زوجة إلى أجل، فإنّ النكاح على قسمين دائم ومنقطع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يختلف العلماء من السلف والخلف إنّ المتعة نكاح إلى أجل لا ميراث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نقله القرطبي في تفسيره عن أبي عمر</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ما ذكروه منقوض بالأمة الموهوبة، فإنه يجوز للموهوب وطؤها مع أنها ليست بزوجة ولا ملك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لا فرق بين من تزوّج امرأة عازماً على طلاقها بعدة مدة معيّنةكما ذهب إليه أبو حنيفة</w:t>
      </w:r>
      <w:r>
        <w:rPr>
          <w:rStyle w:val="FootnoteAnchor"/>
          <w:rtl w:val="true"/>
        </w:rPr>
        <w:footnoteReference w:id="439"/>
      </w:r>
      <w:r>
        <w:rPr>
          <w:rFonts w:ascii="Amiri" w:hAnsi="Amiri" w:eastAsia="Amiri" w:cs="Amiri"/>
          <w:color w:val="111111"/>
          <w:sz w:val="28"/>
          <w:sz w:val="28"/>
          <w:szCs w:val="28"/>
          <w:rtl w:val="true"/>
          <w:lang w:bidi="ar-SA"/>
        </w:rPr>
        <w:t>وبين من تزوج امرأة بعقد منقطع بنفس تلك المدة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أَزْوَاجِهِمْ أوْ مَا مَلَكَتْ أَيْمَانُهُمْ فَإِنَّهُمْ غَيْرُ مَلُومِينَ</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xml:space="preserve">ورد في سورتين هما المؤمنون والمعارج وكلتاهما مكيّتان، فكيف يمكن النسخ، والحال أنّ آية المتعة مدنية </w:t>
      </w:r>
    </w:p>
    <w:p>
      <w:pPr>
        <w:pStyle w:val="BookText"/>
        <w:rPr/>
      </w:pPr>
      <w:r>
        <w:rPr>
          <w:rFonts w:ascii="Amiri" w:hAnsi="Amiri" w:eastAsia="Amiri" w:cs="Amiri"/>
          <w:color w:val="111111"/>
          <w:sz w:val="28"/>
          <w:sz w:val="28"/>
          <w:szCs w:val="28"/>
          <w:rtl w:val="true"/>
          <w:lang w:bidi="ar-SA"/>
        </w:rPr>
        <w:t>متأخرة في النزول؟</w:t>
      </w:r>
    </w:p>
    <w:p>
      <w:pPr>
        <w:pStyle w:val="BookText"/>
        <w:rPr/>
      </w:pPr>
      <w:r>
        <w:rPr>
          <w:rFonts w:ascii="Amiri" w:hAnsi="Amiri" w:eastAsia="Amiri" w:cs="Amiri"/>
          <w:color w:val="111111"/>
          <w:sz w:val="28"/>
          <w:sz w:val="28"/>
          <w:szCs w:val="28"/>
          <w:rtl w:val="true"/>
          <w:lang w:bidi="ar-SA"/>
        </w:rPr>
        <w:t>وأما دعوى النسخ بالآية الثانية ففيها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إرث المرأة المتمتع بها خلافاً بين القائلين بحلّية المتعة، وليس الحكم بعدم إرثها اتفاقياً بينهم ليصحّ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منقوض طرداً وعكساً، أما طرداً فلأنه لا ملازمة بين الزوجية والميراث، كما في الكتابية، والقاتلة، والأمة، والمعقود عليها إذا مات الزوج قبل الدخول، وأمّا عكساً فلأنّ المرأة قد ترث مع خروجها عن الزوجية كما إذا طلّق زوجته في مرض الموت، ومات بعد خروجها من العدة قبل انقضاء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النسخ بآية الطلاق ففيها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وردت في مقام بيان كيفية الطلاق، لا في مطلق البينونة، إذ قد تحصل البينونة من دون طلاق كما في الملاعنة، والمرتدة، والأمة المبيعة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التسليم إلاّ أنّ عموم الآية غير آب عن التخصيص بأنيقال لابد من الطلاق إلاّ في نكاح المتعة وأنّ طلاقها يتحقق بانقضاء الأجل من دون حاجة إلى 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أنّه يرد على دعوى النسخ بالآيات ما اعترف به جماعة من أكابر علماء العامة حيث ذكروا أنّ آية المتعة غير منسوخة منهم الزمخشري في الكشاف، فإنه نقل عن ابن عباس أنها محكمة يعني لم تنسخ</w:t>
      </w:r>
      <w:r>
        <w:rPr>
          <w:rStyle w:val="FootnoteAnchor"/>
          <w:rtl w:val="true"/>
        </w:rPr>
        <w:footnoteReference w:id="441"/>
      </w:r>
      <w:r>
        <w:rPr>
          <w:rFonts w:ascii="Amiri" w:hAnsi="Amiri" w:eastAsia="Amiri" w:cs="Amiri"/>
          <w:color w:val="111111"/>
          <w:sz w:val="28"/>
          <w:sz w:val="28"/>
          <w:szCs w:val="28"/>
          <w:rtl w:val="true"/>
          <w:lang w:bidi="ar-SA"/>
        </w:rPr>
        <w:t>، مضافاً إلى أنّ القول بالنسخ مخالف لجميع ما تقدم من الروايات الدالة على أنّ المنع إنما وقع في زمان عمر، وأنه أول من نهى عنها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كانت الآية منسوخة فما الداعي إلى نسبة عمر النهي إلى نفسه وهلّا </w:t>
      </w:r>
      <w:bookmarkStart w:id="93" w:name="pg16406_258522"/>
    </w:p>
    <w:p>
      <w:pPr>
        <w:pStyle w:val="BookText"/>
        <w:rPr/>
      </w:pPr>
      <w:bookmarkEnd w:id="9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المتعة منسوخة 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القوم حاولوا تصحيح ما وقع فتكلّفوا وجوهاً واهية من الاستدلال لإثبات وقوع التحريم قبل نهي عمر، غير أنّ البحث العلمي يثبت عكس ما راموه، وإن كان ثمة من توجيه فهو ما ذكرناه من أنّ النهي عن المتعة كان اجتهاداً من عمر حيث رأى المصلحة في ذلك كما يظهر من كلماته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بينوا حتى يعرف النكاح من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كان يرى أنّ المتعة نوع من الزنا ولذلك نهى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دافعه إلى التحريم هو ارتفاع الاضطرار إليها، ولا سيّما بعد اتساع البلاد وانتشار الفتوحات ورخاء البلاد والعباد، بخلاف ما كان عليهالحال في زمان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الشدة والضيق، إلاّ أنّ الذي يظهر من كلماته هو الأول كما ذكرنا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أيّ تقدير فلا يخرج الأمر عن كونه اجتهاداً منه في مقابل نصّ الكتاب والسنة، وعلى الذين يرون ويعتقدون أنّ رأي عمر مقدّم على رأي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له حق التشريع تحليلاً وتحريماً أن يعدّوا جواباً لذلك، وقد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الْحَقِّ أَحَقُّ أَنْ يُتَّبَعَ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أعاذنا الله من الجهل والشطط والهوى والعصبية وهو من وراء القصد</w:t>
      </w:r>
      <w:r>
        <w:rPr>
          <w:rFonts w:eastAsia="IRNazanin" w:cs="IRNazanin"/>
          <w:color w:val="111111"/>
          <w:sz w:val="28"/>
          <w:szCs w:val="28"/>
          <w:rtl w:val="true"/>
          <w:lang w:bidi="fa-IR"/>
        </w:rPr>
        <w:t>.</w:t>
      </w:r>
    </w:p>
    <w:p>
      <w:pPr>
        <w:pStyle w:val="Heading4"/>
        <w:numPr>
          <w:ilvl w:val="3"/>
          <w:numId w:val="1"/>
        </w:numPr>
        <w:rPr/>
      </w:pPr>
      <w:bookmarkStart w:id="94" w:name="__RefHeading___Toc7246521_1280447820"/>
      <w:bookmarkStart w:id="95" w:name="_Toc31"/>
      <w:bookmarkEnd w:id="94"/>
      <w:r>
        <w:rPr>
          <w:rtl w:val="true"/>
        </w:rPr>
        <w:t>أدلة حلّية المتعة</w:t>
      </w:r>
      <w:r>
        <w:rPr>
          <w:rtl w:val="true"/>
        </w:rPr>
        <w:t>:</w:t>
      </w:r>
      <w:bookmarkEnd w:id="95"/>
    </w:p>
    <w:p>
      <w:pPr>
        <w:pStyle w:val="BookText"/>
        <w:rPr/>
      </w:pPr>
      <w:r>
        <w:rPr>
          <w:rFonts w:ascii="Amiri" w:hAnsi="Amiri" w:eastAsia="Amiri" w:cs="Amiri"/>
          <w:color w:val="111111"/>
          <w:sz w:val="28"/>
          <w:sz w:val="28"/>
          <w:szCs w:val="28"/>
          <w:rtl w:val="true"/>
          <w:lang w:bidi="ar-SA"/>
        </w:rPr>
        <w:t>وأما الموضع الثالث وهو البحث عن حكم المتعة على ضوء أدلة الخاصة فقد استدلوا مضافاً إلى أصالة الحلية واستصحاب عدم النسخ كما تقدم، بوجوه ثلاثة من  الكتاب والسنة والإجماع</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الكتاب فبقوله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اسْتَمْتَعْتُمْ بِهِ مِنْهُنَّ فَآتُوهُنَّ أُجُورَهُنَّ </w:t>
      </w:r>
    </w:p>
    <w:p>
      <w:pPr>
        <w:pStyle w:val="BookText"/>
        <w:rPr/>
      </w:pPr>
      <w:r>
        <w:rPr>
          <w:rFonts w:ascii="Amiri" w:hAnsi="Amiri" w:eastAsia="Amiri" w:cs="Amiri"/>
          <w:color w:val="111111"/>
          <w:sz w:val="28"/>
          <w:sz w:val="28"/>
          <w:szCs w:val="28"/>
          <w:rtl w:val="true"/>
          <w:lang w:bidi="ar-SA"/>
        </w:rPr>
        <w:t>فَرِيضَةً وَلا جُنَاحَ عَلَيْكُمْ فِيمَا تَرَاضَيْتُمْ بِهِ مِنْ بَعْدِ الْفَرِيضَةِ إِنَّ اللَّهَ كَانَ عَلِيماً حَكِيماً</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حيث استدلّ بها الإمامية، وكثير من مفسري العامة على أنها نزلت في مشروعية المتعة، وأنكر بعض العامة دلالتها على ذلك، وذهبوا إلى أنها نزلت في حكم النكاح الدائم، لأنّ الاستمتاع الوارد في الآية بمعنى التلذذ وهو كناية عن النكاح فلا ظهور للآية في نكاح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مقتضى ظاهر الآية والقرائن الخارجية دلالتها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ظاهر الآية فمن جهتي اللفظ والمعنى، فإنّ لفظ الاستمتاع وإن كان لغة بمعنى التلذذ والجماع، إلاّ أنه في العرف  الشرعي ولا سيما بإضافته إلى النساء، منصرف إلى نكاح المتعة، ويظهر ذلك أيضاً من مراجعة موارد استعمال اللفظ في الروايات الواردة من العامة والخاصة، وقد تقدمت جملة منها وستأتي جملة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فلا وجه للحمل على المعنى اللغوي إلاّ أن تقوم قرينة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المعنى فإنه وإن ورد لفظ الأجور مستعملاً في المهر والصداق في مورد واحد من القرآن إلاّ أن ترتّبه ووجوب إعطائه على الاستمتاع في الآية يقتضي أن يكون المراد به عقد المتعة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المراد به النكاح الدائم لم يصح سواء قلنا بأنّ المراد بالاستمتاع هو مجرد العقد، أو قلنا بأنه الالتذاذ والجماع، إذ على كلا التقديرين لا يصح ترتب تمام الأجر ووجوب إعطائه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الأول فلأنّ الواجب بمجرد العقد هو نصف المهر لا تمامه، كالطلاق قبل الدخول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على الثاني فلأنّ ترتب تمام المهر وجوداً وعدماً على الالتذاذ، والحال أنه ليس كذلك بل الترتب والإعطاء لازم وإن لم يتحقق الالتذاذ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فترتّب تمام المهر لا يصح إلاّ على المعنى الاول وهو أن يكون المراد به عقد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إيتاء المهر قد ذكر في آية سابقة على هذه الآيةوهي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وَآتُوا النِّسَاءَ صَدُقَاتِهِنَّ نِحْلَةً </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فلو كان المراد فيما نحن فيه هو ذلك لزم التكرار بلا داعي، وأما حمله على نكاح المتعة فلا يلزم منه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المناسبة بين ما ذكرنا وبين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جُنَاحَ عَلَيْكُمْ فِيمَا تَرَاضَيْتُمْ بِهِ مِنْ بَعْدِ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تراضيتم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أجل النكاح من حيث الزيادة والنقيصة، لا أنّ المراد زيادة الأجر أو نقصانه لكونه أمراً عرفياً لا يحتاج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الآية صدراً وذيلاً هو النكاح إلى أجل لا النكاح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القرائن الخارجية الدالة على أنّ المراد بالآية هو نكاح المتعة فأمور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القراءات حيث روي عن جماعة من الصحابة أنهم قرأوا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إلى أجل مسمّى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ابن عباس، وقد روى كثير من المفسرين وغيرهم عنه هذه القراءة كالطبري والزمخشري والقرطبي والبغوي والبيهقي والجصاص والأندلسي وغيرهم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الطبري في تفسيره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عن متعة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سورة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تقرأ فيها، فما </w:t>
      </w:r>
    </w:p>
    <w:p>
      <w:pPr>
        <w:pStyle w:val="BookText"/>
        <w:rPr/>
      </w:pPr>
      <w:r>
        <w:rPr>
          <w:rFonts w:ascii="Amiri" w:hAnsi="Amiri" w:eastAsia="Amiri" w:cs="Amiri"/>
          <w:color w:val="111111"/>
          <w:sz w:val="28"/>
          <w:sz w:val="28"/>
          <w:szCs w:val="28"/>
          <w:rtl w:val="true"/>
          <w:lang w:bidi="ar-SA"/>
        </w:rPr>
        <w:t>استمتعتم به منهنّ إلى أجل مسمّى؟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قرأتها ما سألتك،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لأنزلها الله كذلك، ثلاث مرات</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أعطاني مصحفاً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إلى أجل مسمّى</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 فقد أخرج عن قتادة في قراءته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 فقد روى عمر بن مرّة أنّه سمع سعيد بن جبير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الروايات  الكثيرة الواردة في تفسير الآية الشريفة والدالة على أنّ الآية محكمة ولم تنسخ وقد رواها العامة كما تقدم، والخاصة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عدة من روايات العامة من أنّ الآية منسوخة، إما بالكتاب أو بالسنة، فإنّ ذلك يدل بالتضمن على أنّ الآية نزلت في المتعة إذ أنّ النسخ متفرع على دلالة الآية على حلّية المتعة، وهذا الوجه الزامي كما لا يخفى، وإلاّ فالنسخ لم يثبت كما حققناه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الروايات الواردة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على حلّية المتعة استناداً إلى الآية الشريفة، وهي كثيرة جداً، وستأتي الإشارة إليها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عدم الإشكال في أنّ الآية نزلت في مشروعية المتعة، بعد إجماع الإمامية وذهاب كثير من فقهاء العامة ومفسريهم إلى القول </w:t>
      </w:r>
      <w:bookmarkStart w:id="96" w:name="pg16406_258526"/>
    </w:p>
    <w:p>
      <w:pPr>
        <w:pStyle w:val="BookText"/>
        <w:rPr/>
      </w:pPr>
      <w:bookmarkEnd w:id="96"/>
      <w:r>
        <w:rPr>
          <w:rFonts w:ascii="Amiri" w:hAnsi="Amiri" w:eastAsia="Amiri" w:cs="Amiri"/>
          <w:color w:val="111111"/>
          <w:sz w:val="28"/>
          <w:sz w:val="28"/>
          <w:szCs w:val="28"/>
          <w:rtl w:val="true"/>
          <w:lang w:bidi="ar-SA"/>
        </w:rPr>
        <w:t>بها، وبما ذكرناه من الشواهد والقرائن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السنة فقد استدلّ الخاصة على حلّية المتعة بروايات كثيرة جداً تجاوزت حد التواتر وهي على طوائف، وذكر المحدّث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الوسائل فقط أكثر من مائتين وثلاثين رواية، جعلها في ست وأربعين طائفة، اشتملت على بيان جواز المتعة وأحكامها، بل وأهميتها ففي بعض الروايات ما يدل على استحبابها وكراهية تركها، وفي بعضها أنها جعلت من محض شرائع الدين، وأنها لهو المؤمن وعوض له عن الأشربة المحرمة، وأن فعلها إحياء للسنة، وأن الشرط أو العهد على تركها باطل، وغير ذلك مما يتعلق بالمتعة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السر في اهتمام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والتأكيد على حلية المتعة حتى بلغت الروايات الواردة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 فوق التواتر، هو الوقوف أمام بدعة التحريم، باعتبارهم اُمناء الله على دينه ، مضافاً الى ما يترتب على ذلك من التحصين والحد من انتشار فاحشة الزنا، وقد روى العامة والخاصة أنّ أمير المؤمنين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عمر نهى عن المتعة ما زنى إلاّ 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من الآثار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ونظراً لحصول العلم القطعي بحلّية المتعة فلا نرى حاجة لنقل جميع الروايات الواردة فيها إلاّ أننا نتيمّن بذكر بعض الروايات المتضمنة لما أشرنا إليه</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7246523_1280447820"/>
      <w:bookmarkStart w:id="98" w:name="_Toc32"/>
      <w:bookmarkEnd w:id="97"/>
      <w:r>
        <w:rPr>
          <w:rtl w:val="true"/>
        </w:rPr>
        <w:t>أما ما دل على جواز المتعة فعدة روايات</w:t>
      </w:r>
      <w:r>
        <w:rPr>
          <w:rtl w:val="true"/>
        </w:rPr>
        <w:t>:</w:t>
      </w:r>
      <w:bookmarkEnd w:id="9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صاحب الوسائل عن الكليني بسنده الصحيح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المتعة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فآتوهن أجورهنّ فريضة ولا جناح عليكم فيما تراضيتم به من بعد الفريضة</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عبد الله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ما سبقني به بني الخطّاب ما زنى إلاّ 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شفى خ</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ابن أبي عمير عمن ذكره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نزلت فما استمتعتم به منهن إلى أجل مسمّى فآتوهنّ أجورهنّ فريضة</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عبد 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عمير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الليثي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متعة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أحلّها الله في كتابه وعلى سنّة نبيه، فهي حلال إلى يوم القيامة،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جعفر مثلك يقول هذا وقد حرمها عمر ونهى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أعيذك بالله من ذلك أن تحلّ شيئاً حرّمه عمر،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على قول صاحبك وأنا علىقول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فهلمّ اُلاعنك أنّ الحق 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الباطل ما قال صاحبك،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عبد الله بن عمير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يسرّك أن نساءك وبناتك وأخواتك وبنات عمّك يفعلن؟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 عنه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ذكر نساءه وبنات عمّه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إعراض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إشارة إلى خروجه عن أدب المحاورة والجدال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حنيفة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المتعتين تسأل؟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عن متعة الحج فأنبئني عن متعة النساء أحق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اسْتَمْتَعْتُمْ بِهِ مِنْهُنَّ فَآتُوهُنَّ أُجُورَهُنَّ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لكأنّها آية لم أقرأها قطّ</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يدلّ على استحبابها فعدة روايات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للرجل أن يتزوج المتعة، وما أحبّ للرجل منكم أن يخرج من الدنيا حتى يتزوج المتعة ولو مرّة</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صحيحته الأخرى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لأحبللرجل أن لا يخرج من الدنيا حتى يتمتع ولو مرّة وأن يصلّي الجمعة في جماعة</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يدل على كراهية تركها فعدة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بكر بن محمد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المتعة،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لأكره للرجل المسلم أن يخرج من الدنيا وقد بقيت عليه خلّة من خلال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يقضها</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ما دلّ على أنّ المتعة من محض شرائع الإسلام فهو ما رواه الصدوق في العيون بإسناده عن الفضل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إلى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الإسلام شهادة أن 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وتحليل المتعتين اللذين أنزلهما الله في كتابه، وسنّهما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النساء ومتعة الحج</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وسند هذه الرواية قابل للاعتبار، وذلك لأنّ للصدوق إلى روايات الفضل بن شاذان ثلاثة طرق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علي بن محمد بن قتيبة،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قنبر بن علي بن شاذان عن أبيه،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محمد بن شاذان بن نعيم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يرد في هؤلاء توثيق إلاّ ما ورد في علي بن محمد بن قتيبة من أنه فاضل</w:t>
      </w:r>
      <w:r>
        <w:rPr>
          <w:rStyle w:val="FootnoteAnchor"/>
          <w:rtl w:val="true"/>
        </w:rPr>
        <w:footnoteReference w:id="457"/>
      </w:r>
      <w:r>
        <w:rPr>
          <w:rFonts w:ascii="Amiri" w:hAnsi="Amiri" w:eastAsia="Amiri" w:cs="Amiri"/>
          <w:color w:val="111111"/>
          <w:sz w:val="28"/>
          <w:sz w:val="28"/>
          <w:szCs w:val="28"/>
          <w:rtl w:val="true"/>
          <w:lang w:bidi="ar-SA"/>
        </w:rPr>
        <w:t>،وعليه اعتمد أبو عمرو الكشي في كتاب الرجال</w:t>
      </w:r>
      <w:r>
        <w:rPr>
          <w:rStyle w:val="FootnoteAnchor"/>
          <w:rtl w:val="true"/>
        </w:rPr>
        <w:footnoteReference w:id="458"/>
      </w:r>
      <w:r>
        <w:rPr>
          <w:rFonts w:ascii="Amiri" w:hAnsi="Amiri" w:eastAsia="Amiri" w:cs="Amiri"/>
          <w:color w:val="111111"/>
          <w:sz w:val="28"/>
          <w:sz w:val="28"/>
          <w:szCs w:val="28"/>
          <w:rtl w:val="true"/>
          <w:lang w:bidi="ar-SA"/>
        </w:rPr>
        <w:t>، ولا يعدّ ذلك توثيقاً،  نعم قد يستفاد وثاقة محمد بن شاذان بن نعيم الواقع في الطريق  الثالث مما ورد في التوقيع الشريف المروي عن الحجة أرواحنا فداه حيث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محمد بن شاذان بن نعيم فهو رجل من شيعتنا</w:t>
      </w:r>
      <w:r>
        <w:rPr>
          <w:rFonts w:eastAsia="Amiri" w:cs="Amiri" w:ascii="Amiri" w:hAnsi="Amiri"/>
          <w:color w:val="111111"/>
          <w:sz w:val="28"/>
          <w:szCs w:val="28"/>
          <w:rtl w:val="true"/>
          <w:lang w:bidi="ar-SA"/>
        </w:rPr>
        <w:t xml:space="preserve">» </w:t>
      </w:r>
      <w:r>
        <w:rPr>
          <w:rStyle w:val="FootnoteAnchor"/>
          <w:rtl w:val="true"/>
        </w:rPr>
        <w:footnoteReference w:id="459"/>
      </w:r>
      <w:r>
        <w:rPr>
          <w:rFonts w:ascii="IRNazanin" w:hAnsi="IRNazanin" w:eastAsia="IRNazanin"/>
          <w:color w:val="111111"/>
          <w:sz w:val="28"/>
          <w:sz w:val="28"/>
          <w:szCs w:val="28"/>
          <w:rtl w:val="true"/>
          <w:lang w:bidi="fa-IR"/>
        </w:rPr>
        <w:t xml:space="preserve">، فإنّ فيه إشعاراً بمكانته الاجتماعية، الأمر الذي دفع إسحاق بن يعقوب للسؤال عنه، كما أن في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تصريحاً بأنّ محمد بن شاذان ذو شأن عند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أضافه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 وعدّه من شيعتهم، فقد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وإن لم يدل صراحة على الوثاقة إلاّ أنه لا يقصر عنها، وبناء على اعتبار سند التوقيع الشريف كما حققناه في محلّه من هذا الكتاب</w:t>
      </w:r>
      <w:r>
        <w:rPr>
          <w:rStyle w:val="FootnoteAnchor"/>
          <w:rtl w:val="true"/>
        </w:rPr>
        <w:footnoteReference w:id="460"/>
      </w:r>
      <w:r>
        <w:rPr>
          <w:rFonts w:ascii="Amiri" w:hAnsi="Amiri" w:eastAsia="Amiri" w:cs="Amiri"/>
          <w:color w:val="111111"/>
          <w:sz w:val="28"/>
          <w:sz w:val="28"/>
          <w:szCs w:val="28"/>
          <w:rtl w:val="true"/>
          <w:lang w:bidi="ar-SA"/>
        </w:rPr>
        <w:t>فالظاهر اعتبار هذه الرواية؛ لأنّ محمد بن شاذان بن نعيم يرويها عن الفضل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 اعتبار جميع روايات الصدوق عن الفضل الواردة عن طريق محمد بن شاذان بن نعيم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دلّ على أنّ المتعة قد جعلت لهواً للمؤمن وعوضاً له عن شرب الحرام فهو ما ورد في صحيحة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حرّم على شيعتنا المسكر من كل شراب، وعوّضهم من ذلك المتعة</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ومعتبرة زرارة بن أعين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المؤمن في ثلاثة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التمتع بالنساء، ومفاكهة الأخوان، والصلاة بالليل</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ما دلّ على أنّ التمتع إحياء للسنة فهو ما ورد في صحيحة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 من الدنيا حتى تحيي السنة</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ما دل على بطلان العهد على تركها فهو ما ورد في صحيحة علي السائي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أتزوّج المتعة فكرهتها وتشأمت بها، فأعطيت الله عهداً بين الركن والمقام وجعلت عليّ في ذلك نذراً أو صياماً أن لا أتزوّجها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ذلك شقّ عليّ وندمت على يميني، ولم يكن بيدي من القوة ما أتزوّج به في العلانية،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عاهدت الله أن لا تطيعه؟ والله لئن لم تطعه لتعصينّه</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نقله صاحب الوسائل عن الاحتجاج من أنّ محمد بن عبد الله بن جعفر الحميري قد كتب إلى صاحب الزمان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يسأله عن الرجل ممّن يقول بالحق، ويرى المتعة، ويقول بالرجعة إلاّ أن له أهلاً موافقة له في جميع أموره، وقدعاهدها أن لا يتزوج عليها ولا يتمتع ولا يتسرّى، وقد فعل هذا منذ تسعة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سنة، ووفى بقوله فربما غاب عن منزله الأشهر فلا يتمتع، ولا يتحرك نفسه أيضاً لذلك، ويرى أن من معه من أخ وولد وغلام ووكيل وحاشية مما يقلّله في أعينهم ويحبّ المقام على ما هو عليه محبّة لأهله وميلاً إليها وصيانة لها ولنفسه، لا لتحريم المتعة، بل يدين الله بها، فهل عليه في ترك ذلك </w:t>
      </w:r>
    </w:p>
    <w:p>
      <w:pPr>
        <w:pStyle w:val="BookText"/>
        <w:rPr/>
      </w:pPr>
      <w:r>
        <w:rPr>
          <w:rFonts w:ascii="IRNazanin" w:hAnsi="IRNazanin" w:eastAsia="IRNazanin"/>
          <w:color w:val="111111"/>
          <w:sz w:val="28"/>
          <w:sz w:val="28"/>
          <w:szCs w:val="28"/>
          <w:rtl w:val="true"/>
          <w:lang w:bidi="fa-IR"/>
        </w:rPr>
        <w:t>مأثم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له أن يطيع الله تعالى بالمتعة ليزول عنه الحلف في المعصية ولو مرّة واحدة</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وإن وردت في الاحتجاج مرسلة إلاّ أنّ الشيخ رواها في كتاب الغيبة عن جماعة عن أبي الحسن محمد بن أحمد بن داود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أحمد بن إبراهيم النوبختي، وإملاء أبي القاسم الحسين بن روح على ظهر كتاب فيه جوابات ومسائل انفذت من قم </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إشكال في وثاقة محمد بن أحمد بن داود فإنه شيخ هذه الطائفة وعالمها وشيخ القميين في وقته وفقيههم، وحكى أبو عبد الله الحسين بن عبيد الله أنه لم ير أحداً أحفظ منه ولا أفقه ولا أعرف بالحديث</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الكلام في أحمد بن إبراهيم النوبختي فإنّه لم يرد فيه توثيق، نعم ذكر ابنطاووس أنّ بني نوبخت أعيان الشيعة</w:t>
      </w:r>
      <w:r>
        <w:rPr>
          <w:rStyle w:val="FootnoteAnchor"/>
          <w:rtl w:val="true"/>
        </w:rPr>
        <w:footnoteReference w:id="468"/>
      </w:r>
      <w:r>
        <w:rPr>
          <w:rFonts w:ascii="Amiri" w:hAnsi="Amiri" w:eastAsia="Amiri" w:cs="Amiri"/>
          <w:color w:val="111111"/>
          <w:sz w:val="28"/>
          <w:sz w:val="28"/>
          <w:szCs w:val="28"/>
          <w:rtl w:val="true"/>
          <w:lang w:bidi="ar-SA"/>
        </w:rPr>
        <w:t>، وهو وإن كان لا يدل على الوثاقة صريحاً إلاّ أنّ فيه إشعاراً بالحسن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يؤيّده أنّه كان كاتباً للحسين بن روح، فإن أوجب ذلك كلّه الاطمئنان بوثاقته فهو، وإلاّ فالرواية مؤيّدة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الروايات الدالة على إباحة المتعة وأهميتها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عدة روايات تدلّ على عظم ثواب المتمتع ويمكن استفادة الاستحباب منها أيضاً إلاّ أنّها ضعيفة الأسناد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بإسناده عن صالح بن عقبة، عن أبيه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للمتمتع ثواب؟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يريد بذلك وجه الله تعالى وخلافاً على من أنكرها لم يكلّمها كلمة إلاّ كتب الله له بها حسنة، ولم يمد يده إليها إلاّ كتب الله له حسنة، فإذا دنا منها غفر الله له بذلك ذنباً، فإذا اغتسل غفر الله له بقدر ما مر من الماء على شعره،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بعدد الشعر؟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بعدد الشعر</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به إلى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لحقني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تبارك وتعالى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غفرت للمتمتعين من أمّتك منالنساء</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إشكال في دلالة الروايات الواردة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مشروعية المتعة واستحبابها والثواب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الإجماع فممّا لا ريب في ثبوته، قال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الطائفة المحقّة فهو واضح، بل هو من ضروريات مذهبهم، وأمّا من غيرهم فلاتفاق الصحابة ومن كان في صدر الإسلام على إباحتها وشرعيتها من غير نكير، كما يظهر من أخبار جابر وغيرها، حتى ما روي عن المحرّم نفسه، فإنّه يدلّ على أنّ الحكم بالحلّ كان شائعاً معروفاً في زمان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ومدة خلافة أبي بكر، وبرهة من خلافته، فالقول بالتحريم بعد ذلك مخالف لإجماع الأمّة التي لا تجتمع على ضلالة</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وموضع الشاهد في كلامه هو الجملة الأولى فإنّها تدلّ على ثبوته قطعاً وأنّه كاشف عن رأي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الكتاب والسنّة</w:t>
      </w:r>
      <w:r>
        <w:rPr>
          <w:rFonts w:eastAsia="IRNazanin" w:cs="IRNazanin"/>
          <w:color w:val="111111"/>
          <w:sz w:val="28"/>
          <w:szCs w:val="28"/>
          <w:rtl w:val="true"/>
          <w:lang w:bidi="fa-IR"/>
        </w:rPr>
        <w:t xml:space="preserve">. </w:t>
      </w:r>
      <w:bookmarkStart w:id="99" w:name="pg16406_258533"/>
    </w:p>
    <w:p>
      <w:pPr>
        <w:pStyle w:val="Heading4"/>
        <w:numPr>
          <w:ilvl w:val="3"/>
          <w:numId w:val="1"/>
        </w:numPr>
        <w:rPr/>
      </w:pPr>
      <w:bookmarkStart w:id="100" w:name="__RefHeading___Toc7246525_1280447820"/>
      <w:bookmarkStart w:id="101" w:name="_Toc33"/>
      <w:bookmarkEnd w:id="99"/>
      <w:bookmarkEnd w:id="100"/>
      <w:r>
        <w:rPr>
          <w:rtl w:val="true"/>
        </w:rPr>
        <w:t>بقي شيء</w:t>
      </w:r>
      <w:r>
        <w:rPr>
          <w:rtl w:val="true"/>
        </w:rPr>
        <w:t>:</w:t>
      </w:r>
      <w:bookmarkEnd w:id="101"/>
    </w:p>
    <w:p>
      <w:pPr>
        <w:pStyle w:val="BookText"/>
        <w:rPr/>
      </w:pPr>
      <w:r>
        <w:rPr>
          <w:rFonts w:ascii="Amiri" w:hAnsi="Amiri" w:eastAsia="Amiri" w:cs="Amiri"/>
          <w:color w:val="111111"/>
          <w:sz w:val="28"/>
          <w:sz w:val="28"/>
          <w:szCs w:val="28"/>
          <w:rtl w:val="true"/>
          <w:lang w:bidi="ar-SA"/>
        </w:rPr>
        <w:t>وهو هل تعدّ المتعة في نظر العقل بملاحظة المصالح والمفاسد من الحسن أو القبح؟</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العقل يرى أنّ المتعة جائزة سائغة أو أنّها قبيحة بغضالنظر عن جميع النصوص المتقدمة؟</w:t>
      </w:r>
    </w:p>
    <w:p>
      <w:pPr>
        <w:pStyle w:val="BookText"/>
        <w:rPr/>
      </w:pPr>
      <w:r>
        <w:rPr>
          <w:rFonts w:ascii="Amiri" w:hAnsi="Amiri" w:eastAsia="Amiri" w:cs="Amiri"/>
          <w:color w:val="111111"/>
          <w:sz w:val="28"/>
          <w:sz w:val="28"/>
          <w:szCs w:val="28"/>
          <w:rtl w:val="true"/>
          <w:lang w:bidi="ar-SA"/>
        </w:rPr>
        <w:t>وللجواب عن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وجود المفسدة الملزمة في المتعة فلابدّ من حكم العقل بقبحها وإلاّ حكم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يقال أو يتصوّر فيها من المفسدة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المتعة نوع من السفاح ونحو من أنحاء الزنا، وفي ذلك من المفسدة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المتعة تستوجب الشنعة والعار على ذوي الشأن والمروءات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الأمرين غير ثابتين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فلأنّه مجرّد كلام فارغ عن الحقيقة والمحتوى، وذلك لأنّ السفاح من السفح وهو أن يصبّ الماء ضائعاً والسفاح هو الزنا</w:t>
      </w:r>
      <w:r>
        <w:rPr>
          <w:rStyle w:val="FootnoteAnchor"/>
          <w:rtl w:val="true"/>
        </w:rPr>
        <w:footnoteReference w:id="472"/>
      </w:r>
      <w:r>
        <w:rPr>
          <w:rFonts w:ascii="IRNazanin" w:hAnsi="IRNazanin" w:eastAsia="IRNazanin"/>
          <w:color w:val="111111"/>
          <w:sz w:val="28"/>
          <w:sz w:val="28"/>
          <w:szCs w:val="28"/>
          <w:rtl w:val="true"/>
          <w:lang w:bidi="fa-IR"/>
        </w:rPr>
        <w:t xml:space="preserve">، والإضاعة إما من جهة عدم معلومية الولد، بسبب اختلاط المياه، وعدم تمييز الأنساب، وإما من جهة ضياع الولد عن التربية والأخلاق اللازمة أو غير ذلك كما ورد التعليل به فيما كتبه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محمد بن سنان في جواب مسائله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 الزنا لما فيه من الفساد من قتل الأنفس، وذهاب الأنساب، وترك التربية للأطفال، وفساد المواريث، وما أشبه ذلك من وجوه الفساد</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ويترتّب على ذلك اختلال نظام المجتمع وفساده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كله أجنبي عن النكاح المؤقت، فإنه كالنكاح الدائم من لزوم العقد، وإثبات النسب، والتزام الأب بتربية الأولاد، واعتبار العدة، وغيرها من الأحكام، وإنّما الفرق في المدة وبعض الأحكام الجزئية الأخرى، فما يترتّب على السفاح من المفاسد لا يترتب على هذا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فلأنّه من آثار العادات والتقاليد الخاصة التي لا تصلح لأن تكون مناطاً للأحكام كعادة أهل الجاهلية في وأد بناتهم، وشعورهم بالعار عند ولادة البنت كما صوّر القرآن حالهم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بُشِّرَ أَحَدُهُمْ بِالأُنثَى ظَلَّ وَجْهُهُ مُسْوَدّاً وَهُوَ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يَتَوَارَى مِنْ الْقَوْمِ مِنْ سُوءِ مَا بُشِّرَ بِهِ أَيُمْسِكُهُ عَلَى هُونٍ أَمْ يَدُسُّهُ فِي التُّرَابِ أَلا سَاءَ مَا يَحْكُمُونَ</w:t>
      </w:r>
      <w:r>
        <w:rPr>
          <w:rFonts w:eastAsia="Amiri" w:cs="Amiri" w:ascii="Amiri" w:hAnsi="Amiri"/>
          <w:color w:val="111111"/>
          <w:sz w:val="28"/>
          <w:szCs w:val="28"/>
          <w:rtl w:val="true"/>
          <w:lang w:bidi="ar-SA"/>
        </w:rPr>
        <w:t xml:space="preserve">» </w:t>
      </w:r>
      <w:r>
        <w:rPr>
          <w:rStyle w:val="FootnoteAnchor"/>
          <w:rtl w:val="true"/>
        </w:rPr>
        <w:footnoteReference w:id="474"/>
      </w:r>
      <w:r>
        <w:rPr>
          <w:rFonts w:ascii="IRNazanin" w:hAnsi="IRNazanin" w:eastAsia="IRNazanin"/>
          <w:color w:val="111111"/>
          <w:sz w:val="28"/>
          <w:sz w:val="28"/>
          <w:szCs w:val="28"/>
          <w:rtl w:val="true"/>
          <w:lang w:bidi="fa-IR"/>
        </w:rPr>
        <w:t xml:space="preserve">ولولا نهي عمر عن المتعة لكان موقعها في النفوس كالنكاح الدائم، بل لعلّها أفضل منه في بعض الأحوال، فإنّ من حكمته التسهيل لمن لا يستطيع النكاح الدائم لقلّة مال أو لسفر أو نحو ذلك سواء في ذلك الرجل والمرأة، ولا سيّما في زماننا حيث اختلط فيه الرجال بالنساء في ميادين الحياة المختلفة العلمية والعملية في الداخل والخارج، وإذا دار الأمر بين أن يبقى الإنسان في غاية العسر والمشقّة أو يرتكب فاحشة الزنا وينحرف في أخلاقه ويسلك طريق الشيطان، وبين أن يتزوّج إلى أجل على طبق الضوابط الشرعية المقرّرة فلا إشكال في أنّ النكاح المنقطع رحمة من الله تعالى رحم بها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في حديث ابنعباس، مضافاً إلى ما ذكرناه من أنّ ذلك يحدّ من انتشار فاحشة الزنا كما ورد في عدة أحاديث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تنبّه لذلك بعض علماء العامة المعاصرين ومنهم الشيخ أحمد حسن الباقوري وزير الأوقاف المصري حيث استفتاه بعض طلبة الجامعات الذين </w:t>
      </w:r>
    </w:p>
    <w:p>
      <w:pPr>
        <w:pStyle w:val="BookText"/>
        <w:rPr/>
      </w:pPr>
      <w:r>
        <w:rPr>
          <w:rFonts w:ascii="Amiri" w:hAnsi="Amiri" w:eastAsia="Amiri" w:cs="Amiri"/>
          <w:color w:val="111111"/>
          <w:sz w:val="28"/>
          <w:sz w:val="28"/>
          <w:szCs w:val="28"/>
          <w:rtl w:val="true"/>
          <w:lang w:bidi="ar-SA"/>
        </w:rPr>
        <w:t>يدرسون في بلاد الغرب ولا يستطيعون النكاح الدائم، فأفتاهم بالمتعة</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وكفى بذلك أثراً حيوياً للمتعة حيث تكون درعاً واقية للمسلم عن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لمّا خولف القرآن وصحّفت السنّة، وغيّرت الأحكام، وجعلت البدعة شريعة متّبعة، وسمي الدواء باسم الداء، والوقاية باسم المرض، والمتعة باسم الزنا، نفرت القلوب واشمأزّت النفوس وشبّت وشابت على ذلك ورأتها عاراً وعيباً وما سببه إلاّ الانحراف عن جادّة الحقّ، وعدم التمسك بالثقلين اللذين أمر الله عزوجل عباده بالاهتداء والاقتداء بهما أماناً لهم من الضيعة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نحن الشيعة الإمامية ـ بحمد الله ـ حيث تمسّكنا بالثقلين، وركبنا سفينة النجاة فالأمر واضح عندنا لا يحتاج الى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ثبّتنا الله على الحق والهدى وأعاذنا من الزلل والانحراف بحق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الرابع وهو حكم المتعة حال التقية فيقع الكلام فيه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التكليفي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 فالظاهر هو الحرمة وعدم الجواز عند الخوف على النفس أو العرض أو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أولاً للأدلة العامّة الدالة على أنّ التقية في كلّ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الخاصة الواردة في المقام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الكليني بسنده عن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w:t>
      </w:r>
    </w:p>
    <w:p>
      <w:pPr>
        <w:pStyle w:val="BookText"/>
        <w:rPr/>
      </w:pPr>
      <w:r>
        <w:rPr>
          <w:rFonts w:ascii="Amiri" w:hAnsi="Amiri" w:eastAsia="Amiri" w:cs="Amiri"/>
          <w:color w:val="111111"/>
          <w:sz w:val="28"/>
          <w:sz w:val="28"/>
          <w:szCs w:val="28"/>
          <w:rtl w:val="true"/>
          <w:lang w:bidi="ar-SA"/>
        </w:rPr>
        <w:t>ولسليمان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حرّمت عليكما المتعة من قبلي ما دمتما بالمدينة، لأنّكما تكثران الدخول عليّ وأخاف أن تؤخذا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أصحاب جعفر</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وإن كان في سندها سهل وهو ضعيف، والحكم بن مسكين ولم يرد فيه توثيق، إلاّ أنه يمكن تصحيح السند من جهة أخرى وهي أنّ للشيخ طريقاً معتبراً إلى أصل وروايات علي بن أسباط</w:t>
      </w:r>
      <w:r>
        <w:rPr>
          <w:rStyle w:val="FootnoteAnchor"/>
          <w:rtl w:val="true"/>
        </w:rPr>
        <w:footnoteReference w:id="477"/>
      </w:r>
      <w:r>
        <w:rPr>
          <w:rFonts w:ascii="Amiri" w:hAnsi="Amiri" w:eastAsia="Amiri" w:cs="Amiri"/>
          <w:color w:val="111111"/>
          <w:sz w:val="28"/>
          <w:sz w:val="28"/>
          <w:szCs w:val="28"/>
          <w:rtl w:val="true"/>
          <w:lang w:bidi="ar-SA"/>
        </w:rPr>
        <w:t>الواقع في سند الرواية بعد سهل، كما أنّ الحكم بن مسكين واقع في أسناد كتاب نوادر الحكمة</w:t>
      </w:r>
      <w:r>
        <w:rPr>
          <w:rStyle w:val="FootnoteAnchor"/>
          <w:rtl w:val="true"/>
        </w:rPr>
        <w:footnoteReference w:id="478"/>
      </w:r>
      <w:r>
        <w:rPr>
          <w:rFonts w:ascii="Amiri" w:hAnsi="Amiri" w:eastAsia="Amiri" w:cs="Amiri"/>
          <w:color w:val="111111"/>
          <w:sz w:val="28"/>
          <w:sz w:val="28"/>
          <w:szCs w:val="28"/>
          <w:rtl w:val="true"/>
          <w:lang w:bidi="ar-SA"/>
        </w:rPr>
        <w:t>، وقد روى عنه المشايخ الثقات</w:t>
      </w:r>
      <w:r>
        <w:rPr>
          <w:rStyle w:val="FootnoteAnchor"/>
          <w:rtl w:val="true"/>
        </w:rPr>
        <w:footnoteReference w:id="479"/>
      </w:r>
      <w:r>
        <w:rPr>
          <w:rFonts w:ascii="Amiri" w:hAnsi="Amiri" w:eastAsia="Amiri" w:cs="Amiri"/>
          <w:color w:val="111111"/>
          <w:sz w:val="28"/>
          <w:sz w:val="28"/>
          <w:szCs w:val="28"/>
          <w:rtl w:val="true"/>
          <w:lang w:bidi="ar-SA"/>
        </w:rPr>
        <w:t>وذلك كاف في الحكم باعتبار روايته على ما حققناه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إنّ للشيخ طريقاً معتبراً إلى جميع روايات الكليني وكتبه</w:t>
      </w:r>
      <w:r>
        <w:rPr>
          <w:rStyle w:val="FootnoteAnchor"/>
          <w:rtl w:val="true"/>
        </w:rPr>
        <w:footnoteReference w:id="480"/>
      </w:r>
      <w:r>
        <w:rPr>
          <w:rFonts w:ascii="Amiri" w:hAnsi="Amiri" w:eastAsia="Amiri" w:cs="Amiri"/>
          <w:color w:val="111111"/>
          <w:sz w:val="28"/>
          <w:sz w:val="28"/>
          <w:szCs w:val="28"/>
          <w:rtl w:val="true"/>
          <w:lang w:bidi="ar-SA"/>
        </w:rPr>
        <w:t>، فتكون الرواية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فالرواية معتبرة ولا إشكال في الاستناد إليها من هذه الجهة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خلاصة الإيجاز في المتعة،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أصحابنا من غير واحد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لإسماعيل الجعفي ولعمّار الساباطي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عليكما المتعة ما دمتما تدخلان عليّ، ذلك لأني أخاف أن تؤخذا وتضربا وتشهّرا،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أصحاب جعفر بن محمد</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يؤيّدها ما رواه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الخلاصة أيضاً عن سهل عن عدة من أصحابنا، أنّ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هبوا لي المتعة في الحرمين، </w:t>
      </w:r>
    </w:p>
    <w:p>
      <w:pPr>
        <w:pStyle w:val="BookText"/>
        <w:rPr/>
      </w:pPr>
      <w:r>
        <w:rPr>
          <w:rFonts w:ascii="Amiri" w:hAnsi="Amiri" w:eastAsia="Amiri" w:cs="Amiri"/>
          <w:color w:val="111111"/>
          <w:sz w:val="28"/>
          <w:sz w:val="28"/>
          <w:szCs w:val="28"/>
          <w:rtl w:val="true"/>
          <w:lang w:bidi="ar-SA"/>
        </w:rPr>
        <w:t>وذلك أنكم تكثرون الدخول عليّ فلا آمن أن تؤخذوا،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أصحاب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جماعة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العلة في نهي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في الحرمين أنّ أبان بن تغلب كان أحد رجال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والرؤساء منهم، فتزوج امرأة بمكة وكان كثير المال فخدعته المرأة حتى أدخلته صندوقاً لها، ثم بعثت إلى الحمّالين فحملوه إلى باب الصفا،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أبان هذا باب الصفا، إنّا نريد أن ننادي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أبان بن تغلب يريد أن يفجر بامرأة، فافتدى نفسه بعشرة آلاف درهم، فبلغ ذلك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تأتوهن في منازلهن وهبوها لي في الحرمين</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وهاتان الروايتان وإن كانتا ضعيفتي السند إلاّ أنّ في الرواية الأولى بناء على اعتبار سندها وما تقدم من الأدلّة العامّة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وجوب التقية عند حدوث دواعيها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ورد في رواية الفتح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المتعة، فقال هي حلال مباح مطلق لمن لم يغنه الله بالتزويج فليستعفف بالمتعة، فإن استغنى عنها بالتزويج فهي مباح له إذا غاب عنها</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بمفهومها تدلّ على عدم الحلّية في الحضر، ولمن استغنى بالتزويج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حملها على ما لا ينافي ما تقدم من حليتها مطلقاً، ولعل المراد بها أنّ التمتع ببعض الموارد لا يخلو من حزازة كالتمتع بالأبكار والمشهورات بالفجور وأمثالهن، على أنّ الرواية ضعيفة السند فلا تصح للمعارضة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الحكم الوضعي فالظاهر صحة العقد والنكاح وإن </w:t>
      </w:r>
    </w:p>
    <w:p>
      <w:pPr>
        <w:pStyle w:val="BookText"/>
        <w:rPr/>
      </w:pPr>
      <w:r>
        <w:rPr>
          <w:rFonts w:ascii="Amiri" w:hAnsi="Amiri" w:eastAsia="Amiri" w:cs="Amiri"/>
          <w:color w:val="111111"/>
          <w:sz w:val="28"/>
          <w:sz w:val="28"/>
          <w:szCs w:val="28"/>
          <w:rtl w:val="true"/>
          <w:lang w:bidi="ar-SA"/>
        </w:rPr>
        <w:t>استوجب الإثم بالمخالفة، وذلك لأنّ الحرمة عرضية كالوطىء في الحيض، وبناء على ذلك فالولد يلحق به، وتترتّب عليه جميع آثار العقد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بقي في المقام بيان أركان المتعة وشرائطها وهو موكول إلى محلّه من كتب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حول التقية في النكاح</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6406_258540"/>
      <w:bookmarkStart w:id="103" w:name="pg16406_258540"/>
      <w:bookmarkEnd w:id="103"/>
    </w:p>
    <w:p>
      <w:pPr>
        <w:pStyle w:val="Heading2"/>
        <w:numPr>
          <w:ilvl w:val="1"/>
          <w:numId w:val="1"/>
        </w:numPr>
        <w:rPr/>
      </w:pPr>
      <w:bookmarkStart w:id="104" w:name="pg16406_258540"/>
      <w:bookmarkStart w:id="105" w:name="__RefHeading___Toc7246527_1280447820"/>
      <w:bookmarkStart w:id="106" w:name="_Toc34"/>
      <w:bookmarkEnd w:id="104"/>
      <w:bookmarkEnd w:id="105"/>
      <w:r>
        <w:rPr>
          <w:rtl w:val="true"/>
        </w:rPr>
        <w:t>الفصل الحادي عشر</w:t>
      </w:r>
      <w:r>
        <w:rPr>
          <w:rtl w:val="true"/>
        </w:rPr>
        <w:t xml:space="preserve">: </w:t>
      </w:r>
      <w:r>
        <w:rPr/>
        <w:t>9</w:t>
      </w:r>
      <w:r>
        <w:rPr>
          <w:rtl w:val="true"/>
        </w:rPr>
        <w:t xml:space="preserve"> </w:t>
      </w:r>
      <w:r>
        <w:rPr>
          <w:rtl w:val="true"/>
        </w:rPr>
        <w:t>ـ التقية في الطلاق</w:t>
      </w:r>
      <w:bookmarkEnd w:id="106"/>
    </w:p>
    <w:p>
      <w:pPr>
        <w:pStyle w:val="Heading3"/>
        <w:numPr>
          <w:ilvl w:val="2"/>
          <w:numId w:val="1"/>
        </w:numPr>
        <w:rPr/>
      </w:pPr>
      <w:bookmarkStart w:id="107" w:name="__RefHeading___Toc7246529_1280447820"/>
      <w:bookmarkStart w:id="108" w:name="_Toc35"/>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الطلاق ونظام المجتمع، واهتمام الشارع المقدّس بأحكامه</w:t>
      </w:r>
    </w:p>
    <w:p>
      <w:pPr>
        <w:pStyle w:val="BookText"/>
        <w:rPr/>
      </w:pPr>
      <w:r>
        <w:rPr>
          <w:rFonts w:ascii="Amiri" w:hAnsi="Amiri" w:eastAsia="Amiri" w:cs="Amiri"/>
          <w:color w:val="111111"/>
          <w:sz w:val="28"/>
          <w:sz w:val="28"/>
          <w:szCs w:val="28"/>
          <w:rtl w:val="true"/>
          <w:lang w:bidi="ar-SA"/>
        </w:rPr>
        <w:t>الطلاق ثلاثاً بلفظ واحد لا يقع إلاّ واحدة</w:t>
      </w:r>
    </w:p>
    <w:p>
      <w:pPr>
        <w:pStyle w:val="BookText"/>
        <w:rPr/>
      </w:pPr>
      <w:r>
        <w:rPr>
          <w:rFonts w:ascii="Amiri" w:hAnsi="Amiri" w:eastAsia="Amiri" w:cs="Amiri"/>
          <w:color w:val="111111"/>
          <w:sz w:val="28"/>
          <w:sz w:val="28"/>
          <w:szCs w:val="28"/>
          <w:rtl w:val="true"/>
          <w:lang w:bidi="ar-SA"/>
        </w:rPr>
        <w:t>استعراض أدلّة العامّة وتقييمها</w:t>
      </w:r>
    </w:p>
    <w:p>
      <w:pPr>
        <w:pStyle w:val="BookText"/>
        <w:rPr/>
      </w:pPr>
      <w:r>
        <w:rPr>
          <w:rFonts w:ascii="IRNazanin" w:hAnsi="IRNazanin" w:eastAsia="IRNazanin"/>
          <w:color w:val="111111"/>
          <w:sz w:val="28"/>
          <w:sz w:val="28"/>
          <w:szCs w:val="28"/>
          <w:rtl w:val="true"/>
          <w:lang w:bidi="fa-IR"/>
        </w:rPr>
        <w:t>عمر بن الخطاب هو أول من أمضى الطلاق ثلاثاً</w:t>
      </w:r>
    </w:p>
    <w:p>
      <w:pPr>
        <w:pStyle w:val="BookText"/>
        <w:rPr/>
      </w:pPr>
      <w:r>
        <w:rPr>
          <w:rFonts w:ascii="Amiri" w:hAnsi="Amiri" w:eastAsia="Amiri" w:cs="Amiri"/>
          <w:color w:val="111111"/>
          <w:sz w:val="28"/>
          <w:sz w:val="28"/>
          <w:szCs w:val="28"/>
          <w:rtl w:val="true"/>
          <w:lang w:bidi="ar-SA"/>
        </w:rPr>
        <w:t>التصدّي لمغالطات ابن حزم وكشفها</w:t>
      </w:r>
    </w:p>
    <w:p>
      <w:pPr>
        <w:pStyle w:val="BookText"/>
        <w:rPr/>
      </w:pPr>
      <w:r>
        <w:rPr>
          <w:rFonts w:ascii="Amiri" w:hAnsi="Amiri" w:eastAsia="Amiri" w:cs="Amiri"/>
          <w:color w:val="111111"/>
          <w:sz w:val="28"/>
          <w:sz w:val="28"/>
          <w:szCs w:val="28"/>
          <w:rtl w:val="true"/>
          <w:lang w:bidi="ar-SA"/>
        </w:rPr>
        <w:t>تحليل الأفعال الصادرة عن الإنسان من حيث قابليتها للتكرار وعدمها</w:t>
      </w:r>
    </w:p>
    <w:p>
      <w:pPr>
        <w:pStyle w:val="BookText"/>
        <w:rPr/>
      </w:pPr>
      <w:r>
        <w:rPr>
          <w:rFonts w:ascii="Amiri" w:hAnsi="Amiri" w:eastAsia="Amiri" w:cs="Amiri"/>
          <w:color w:val="111111"/>
          <w:sz w:val="28"/>
          <w:sz w:val="28"/>
          <w:szCs w:val="28"/>
          <w:rtl w:val="true"/>
          <w:lang w:bidi="ar-SA"/>
        </w:rPr>
        <w:t>حكم المرأة المطلقة ثلاثاً، وتطبيق قاعدة الإلزام على بعض مواردها</w:t>
      </w:r>
    </w:p>
    <w:p>
      <w:pPr>
        <w:pStyle w:val="BookText"/>
        <w:rPr/>
      </w:pPr>
      <w:r>
        <w:rPr>
          <w:rFonts w:ascii="Amiri" w:hAnsi="Amiri" w:eastAsia="Amiri" w:cs="Amiri"/>
          <w:color w:val="111111"/>
          <w:sz w:val="28"/>
          <w:sz w:val="28"/>
          <w:szCs w:val="28"/>
          <w:rtl w:val="true"/>
          <w:lang w:bidi="ar-SA"/>
        </w:rPr>
        <w:t>الإشهاد على الطلاق ثابت بنصّ الكتاب</w:t>
      </w:r>
    </w:p>
    <w:p>
      <w:pPr>
        <w:pStyle w:val="BookText"/>
        <w:rPr/>
      </w:pPr>
      <w:r>
        <w:rPr>
          <w:rFonts w:ascii="Amiri" w:hAnsi="Amiri" w:eastAsia="Amiri" w:cs="Amiri"/>
          <w:color w:val="111111"/>
          <w:sz w:val="28"/>
          <w:sz w:val="28"/>
          <w:szCs w:val="28"/>
          <w:rtl w:val="true"/>
          <w:lang w:bidi="ar-SA"/>
        </w:rPr>
        <w:t>اعتراف بعض علماء السنّة بصحّة ما ذهب إليه الإمامية من اشتراط الإشهاد على الطلاق</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مسائل خلافيّة أخرى في الطلاق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16406_258542"/>
      <w:bookmarkStart w:id="110" w:name="pg16406_258542"/>
      <w:bookmarkEnd w:id="110"/>
    </w:p>
    <w:p>
      <w:pPr>
        <w:pStyle w:val="Heading3"/>
        <w:numPr>
          <w:ilvl w:val="2"/>
          <w:numId w:val="1"/>
        </w:numPr>
        <w:rPr/>
      </w:pPr>
      <w:bookmarkStart w:id="111" w:name="pg16406_258542"/>
      <w:bookmarkStart w:id="112" w:name="__RefHeading___Toc7246531_1280447820"/>
      <w:bookmarkStart w:id="113" w:name="_Toc36"/>
      <w:bookmarkEnd w:id="111"/>
      <w:bookmarkEnd w:id="112"/>
      <w:r>
        <w:rPr>
          <w:rtl w:val="true"/>
        </w:rPr>
        <w:t>التقية في الطلاق</w:t>
      </w:r>
      <w:bookmarkEnd w:id="113"/>
    </w:p>
    <w:p>
      <w:pPr>
        <w:pStyle w:val="BookText"/>
        <w:rPr/>
      </w:pPr>
      <w:r>
        <w:rPr>
          <w:rFonts w:ascii="Amiri" w:hAnsi="Amiri" w:eastAsia="Amiri" w:cs="Amiri"/>
          <w:color w:val="111111"/>
          <w:sz w:val="28"/>
          <w:sz w:val="28"/>
          <w:szCs w:val="28"/>
          <w:rtl w:val="true"/>
          <w:lang w:bidi="ar-SA"/>
        </w:rPr>
        <w:t>الطلاق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طلق يطلّق، والمصدر التطليق كالسلام بمعنى التسليم</w:t>
      </w:r>
      <w:r>
        <w:rPr>
          <w:rStyle w:val="FootnoteAnchor"/>
          <w:rtl w:val="true"/>
        </w:rPr>
        <w:footnoteReference w:id="484"/>
      </w:r>
      <w:r>
        <w:rPr>
          <w:rFonts w:ascii="Amiri" w:hAnsi="Amiri" w:eastAsia="Amiri" w:cs="Amiri"/>
          <w:color w:val="111111"/>
          <w:sz w:val="28"/>
          <w:sz w:val="28"/>
          <w:szCs w:val="28"/>
          <w:rtl w:val="true"/>
          <w:lang w:bidi="ar-SA"/>
        </w:rPr>
        <w:t>، والطلاق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والإرسال والتخلية عن وثاق وتقييد، ثم استعير لتخلية المرأة عن حبالة عقد النكاح وقيد الزوجية، فصار حقيقة شرعية في ذلك بكثرة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 الله تعالى قوام النكاح بيد المرأة فإنّها طرف الإيجاب، كما جعل الطلاق بيد الزوج فإنّه هو الذي يحلّ عقد الزوجية بعد قبوله، ولذلك جعل له حقّ الرجوع ما دامت المرأة في العدة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موضوع الطلاق من القضايا الاجتماعية المهمّة، وله مدخلية في حلّ وتنظيم كثير من مشاكل الأسرة والمجتمع، اهتمّ به الشارع المقدّس ووضع له الضوابط والحدود، كما هو شأنه في جميع مجالات الحياة، وذلك من خلال النصوص القرآنية وما ورد على ألسنة أهل بيت العصمة والطهارة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ففي القرآن الكريم ـ مثلاً ـ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وَالْمُطَلَّقَاتُ يَتَرَبَّصْنَ بِأَنفُسِهِنَّ ثَلاثَةَ قُرُوءٍ وَلا يَحِلُّ لَهُنَّ أَنْ يَكْتُمْنَ مَا خَلَقَ اللَّهُ فِي أَرْحَامِهِنَّ إِنْ كُنَّ يُؤْمِنَّ بِاللَّهِ وَالْيَوْمِ الآخِرِ </w:t>
      </w:r>
    </w:p>
    <w:p>
      <w:pPr>
        <w:pStyle w:val="BookText"/>
        <w:rPr/>
      </w:pPr>
      <w:r>
        <w:rPr>
          <w:rFonts w:ascii="Amiri" w:hAnsi="Amiri" w:eastAsia="Amiri" w:cs="Amiri"/>
          <w:color w:val="111111"/>
          <w:sz w:val="28"/>
          <w:sz w:val="28"/>
          <w:szCs w:val="28"/>
          <w:rtl w:val="true"/>
          <w:lang w:bidi="ar-SA"/>
        </w:rPr>
        <w:t xml:space="preserve">وَبُعُولَتُهُنَّ أَحَقُّ بِرَدِّهِنَّ فِي ذَلِكَ إِنْ أَرَادُوا إِصْلاحاً وَلَهُنَّمِثْلُ الَّذِي عَلَيْهِنَّ بِالْمَعْرُوفِ وَلِلرِّجَالِ عَلَيْهِنَّ دَرَجَةٌ وَاللَّهُ عَزِيزٌ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فَإمْسَاكٌ بِمَعْرُوفٍ أَوْ تَسْرِيحٌ بِإِحْسَانٍ وَلا يَحِلُّ لَكُمْ أَنْ تَأْخُذُوا مِمَّا آتَيْتُمُوهُنَّ شَيْئاً إِلاَّ أَنْ يَخَافَا أَلاَّ يُقِيمَا حُدُودَ اللَّهِ فَإِنْ خِفْتُمْ أَلاَّ يُقِيمَا حُدُودَ اللَّهِ فَلا جُنَاحَ عَلَيْهِمَا فِيمَا افْتَدَتْ بِهِ تِلْكَ حُدُودُ اللَّهِ فَلا تَعْتَدُوهَا وَمَنْ يَتَعَدَّ حُدُودَ اللَّهِ فَأُوْلَئِكَ 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فَلا تَحِلُّ لَهُ مِنْ بَعْدُ حَتَّى تَنكِحَ زَوْجاً غَيْرَهُ فَإِنْ طَلَّقَهَا فَلا جُنَاحَ عَلَيْهِمَا أَنْ يَتَرَاجَعَا إِنْ ظَنَّا أَنْ يُقِيمَا حُدُودَ اللَّهِ وَتِلْكَ حُدُودُ اللَّهِ يُبَيِّنُهَا لِقَوْمٍ يَعْلَمُونَ</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الآيات 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فقد حفلت بها الموسوعات الروائية كالوسائل</w:t>
      </w:r>
      <w:r>
        <w:rPr>
          <w:rStyle w:val="FootnoteAnchor"/>
          <w:rtl w:val="true"/>
        </w:rPr>
        <w:footnoteReference w:id="486"/>
      </w:r>
      <w:r>
        <w:rPr>
          <w:rFonts w:ascii="Amiri" w:hAnsi="Amiri" w:eastAsia="Amiri" w:cs="Amiri"/>
          <w:color w:val="111111"/>
          <w:sz w:val="28"/>
          <w:sz w:val="28"/>
          <w:szCs w:val="28"/>
          <w:rtl w:val="true"/>
          <w:lang w:bidi="ar-SA"/>
        </w:rPr>
        <w:t>وغيره</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وستأتي الإشارة إلى بعض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وقع الخلاف بين الخاصّة والعامّة في عدة مسائل وأهمها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يقع الطلاق ثلاثاً بلفظ واحد في مجلس واحد أو لا يقع إلاّ واحدة أو لا يقع شيء؟</w:t>
      </w:r>
    </w:p>
    <w:p>
      <w:pPr>
        <w:pStyle w:val="BookText"/>
        <w:rPr/>
      </w:pPr>
      <w:r>
        <w:rPr>
          <w:rFonts w:ascii="IRNazanin" w:hAnsi="IRNazanin" w:eastAsia="IRNazanin"/>
          <w:color w:val="111111"/>
          <w:sz w:val="28"/>
          <w:sz w:val="28"/>
          <w:szCs w:val="28"/>
          <w:rtl w:val="true"/>
          <w:lang w:bidi="fa-IR"/>
        </w:rPr>
        <w:t>قال الشيخ في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طلّقها ثلاثاً بلفظ واحد، كان مبدعاً، ووقعت واحدة عند تكامل الشروط عند أكثر أصحابنا، وفيهم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يقع شيء أصلاً، وبه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وأهل الظاهر، وحكى الطحاوي عن محمدبن إسحاق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 واحدة كما قلناه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 ابن عباس وطاووساً كانا يذهبان إلى ما يقوله الإمامية، 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المستحب أن يطلّقها طلقة ليكون خاطباً من الخطّاب قبل الدخول، </w:t>
      </w:r>
    </w:p>
    <w:p>
      <w:pPr>
        <w:pStyle w:val="BookText"/>
        <w:rPr/>
      </w:pPr>
      <w:r>
        <w:rPr>
          <w:rFonts w:ascii="IRNazanin" w:hAnsi="IRNazanin" w:eastAsia="IRNazanin"/>
          <w:color w:val="111111"/>
          <w:sz w:val="28"/>
          <w:sz w:val="28"/>
          <w:szCs w:val="28"/>
          <w:rtl w:val="true"/>
          <w:lang w:bidi="fa-IR"/>
        </w:rPr>
        <w:t xml:space="preserve">ومراجعاً لها بعد الدخول، فإن طلقها ثنتين أو ثلاثاً في طهر لم يجامعها فيه دفعة، أو متفرّقة، كان ذلك مباحاً غير محظور ووقع، وبه قال في الصحابة عبد الرحمن بن عوف، ورووه 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التابعين ابن سيرين، وفي الفقهاء أحمد، وإسحاق، وأبو ثور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طلّقها في طهر واحد ثنتين أو ثلاثاً دفعة واحدة أو متفرّقة فعل محرماً، وعصى وأثم، ذهب إليه في الصحابة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وابن عمر، وابن مسعود، وابن عباس، وفي الفقهاء أبو حنيفة وأصحابه، ومالك،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ذلك واقع</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الشوكاني في نيل الأوطار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أنّه قد وقع الخلاف في الطلاق الثلاث إذا أوقعت في وقت واحد هل يقع جميعها ويتبع الطلاق أم لا؟ فذهب جمهور التابعين وكثير من الصحابة وأئمّة المذاهب الإسلامية وطائفة من أهل البيت منهم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والناصر، والإمام يحيى، حكى ذلك عنهم في البحر، وحكاه أيضاً عن بعض الإمامية إلى أنّ الطلاق يتبع الطلاق، وذهبت طائفة من أهل العلم إلى أنّ الطلاق لا يتبع الطلاق بل يقع واحدة فقط، وقد حكى ذلك صاحب البحر عن أبي موسى، ورواية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عباس، وعطاء، وجابر بن زيد، والهادي، والقاسم، والباقر، والناصر، وأحمد بن عيسى، وعبد الله بن موسى بن عبد الله، ورواية عن زيد بن علي، وإليه ذهب جماعة من المتأخرين منهم ابن تيمية وابن القيم وجماعة من المحققين، وقد نقله ابن مغيث في كتاب الوثائق عن محمد بن وضّاح، ونقل الفتوى بذلك عن جماعة من مشايخ قرطبة، كمحمد بن بقى، ومحمد بن عبد السلام، وغيرهما، ونقله ابن المنذر عن أصحاب ابن عباس، كعطاء، وطاووس، وعمرو بن دينار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وحكاه ابن مغيث أيضاً في ذلك الكتاب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مسعود، وعبد الرحمن بن عوف، والزبير، وذهب بعض الإمامية إلى أنه لا يقع بالطلاق المتتابع شيء، لا واحدة ولا أكثر منها، وقد حكي ذلك عن بعض التابعين، وروي عن ابن عليّة، وهشام بن الحكم، وبه قال أبو عبيدة، وبعض أهل الظاهر، وسائر من يقول إنّ الطلاق البدعي لا يقع لأنّ الثلاث بلفظ واحد أو ألفاظ متتابعة منه، وعدم وقوع البدعي هو أيضاً مذهب الباقر، والصادق، والناصر، وذهب جماعة من أصحاب ابن عباس، وإسحاق بن راهويه، أنّ المطلقة إن كانت مدخولة وقعت الثلاث وإن لم تكن مدخولة فواحدة</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أنّ المشهور عند العامة أنّ الطلاق الثلاث يقع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عند الخاصة أنّه يقع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البحث يقع في ثلاثة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على وقوع الطلاق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يقع واحدة كما هو مشهور الخاصة أو لا يقع شيء كما اختاره جماعة منهم؟</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المطلقة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الأول فالمشهور عند العامة كما ذكرنا أنّه يقع ثلاثاً، وقد استدلّوا بالكتاب والسنة والإجماع</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الكتاب فلإطلاق الآيات، قال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القائلون بأنّ الطلاق يتبع الطلاق بأدلة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فَإمْسَاكٌ بِمَعْرُوفٍ أَوْ تَسْرِيحٌ بِإِحْسَانٍ</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 xml:space="preserve">وظاهرها جواز إرسال الثلاث أو الثنتين دفعة أو مفرّقة </w:t>
      </w:r>
    </w:p>
    <w:p>
      <w:pPr>
        <w:pStyle w:val="BookText"/>
        <w:rPr/>
      </w:pPr>
      <w:r>
        <w:rPr>
          <w:rFonts w:ascii="Amiri" w:hAnsi="Amiri" w:eastAsia="Amiri" w:cs="Amiri"/>
          <w:color w:val="111111"/>
          <w:sz w:val="28"/>
          <w:sz w:val="28"/>
          <w:szCs w:val="28"/>
          <w:rtl w:val="true"/>
          <w:lang w:bidi="ar-SA"/>
        </w:rPr>
        <w:t>ووقوعها، قال الكرماني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جواز جمع الثنتين، وإذا جاز جمع الثنتين دفعة جاز جمع الثلاث،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التسريح بإحسان يتناول اتباع الثلاث دفعة</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قولهم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 مرة بعد مرة فخطأ، بل هذه الآية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نُؤْتِهَا أَجْرَهَا مَرَّتَيْنِ</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أي مضاعفاً معاً، وهذه الآية أيضاً تعليم لما دون الثلاث من الطلاق، وهو حجة لنا عليهم، لأنّهم لا يختلفون ـ يعني المخالفين لنا ـ في أنّ طلاق السنة هو أن يطلّقها واحدة ثم يتركها حتى تنقضي عدّتها في قول طائفة منهم، وفي قول آخرين منهم أن يطلّقها في كلطهر طلقة، وليس شيء من هذا في هذه الآية، وهم لا يرون من طلّق طلقتين متتابعتين في كلام متصل طلاق سنة، فبطل تعلّقهم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عبارته أنه استظهر من الآية أنّ الطلاق مرتين في مجلس واحد جائز</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وجدنا من حجّة من قال إنّ الطلاق الثلاث مجموعة سنّة لا بدعة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تَحِلُّ لَهُ مِنْ بَعْدُ حَتَّى تَنكِحَ زَوْجاً غَيْرَهُ</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فهذا يقع على الثلاث مجموعة ومفرّقة، ولا يجوز أن يخصّ بهذه الآية بعض ذلك دون بعض بغير نص، 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نَكَحْتُمْ الْمُؤْمِنَاتِ ثُمَّ طَلَّقْتُمُوهُنَّ مِنْ قَبْلِ أَنْ تَمَسُّوهُنَّ فَمَا لَكُمْ عَلَيْهِنَّ مِنْ عِدَّةٍ تَعْتَدُّونَهَا</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عموم لإباحة الثلاث والاثنتين والواحدة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وَلِلْمُطَلَّقَاتِ مَتَاعٌ بِالْمَعْرُوفِ</w:t>
      </w:r>
      <w:r>
        <w:rPr>
          <w:rFonts w:eastAsia="Amiri" w:cs="Amiri" w:ascii="Amiri" w:hAnsi="Amiri"/>
          <w:color w:val="111111"/>
          <w:sz w:val="28"/>
          <w:szCs w:val="28"/>
          <w:rtl w:val="true"/>
          <w:lang w:bidi="ar-SA"/>
        </w:rPr>
        <w:t>»</w:t>
      </w:r>
      <w:r>
        <w:rPr>
          <w:rStyle w:val="FootnoteAnchor"/>
          <w:rtl w:val="true"/>
        </w:rPr>
        <w:footnoteReference w:id="496"/>
      </w:r>
      <w:r>
        <w:rPr>
          <w:rFonts w:ascii="IRNazanin" w:hAnsi="IRNazanin" w:eastAsia="IRNazanin"/>
          <w:color w:val="111111"/>
          <w:sz w:val="28"/>
          <w:sz w:val="28"/>
          <w:szCs w:val="28"/>
          <w:rtl w:val="true"/>
          <w:lang w:bidi="fa-IR"/>
        </w:rPr>
        <w:t xml:space="preserve">فلم </w:t>
      </w:r>
    </w:p>
    <w:p>
      <w:pPr>
        <w:pStyle w:val="BookText"/>
        <w:rPr/>
      </w:pPr>
      <w:r>
        <w:rPr>
          <w:rFonts w:ascii="Amiri" w:hAnsi="Amiri" w:eastAsia="Amiri" w:cs="Amiri"/>
          <w:color w:val="111111"/>
          <w:sz w:val="28"/>
          <w:sz w:val="28"/>
          <w:szCs w:val="28"/>
          <w:rtl w:val="true"/>
          <w:lang w:bidi="ar-SA"/>
        </w:rPr>
        <w:t>يخصّ تعالى مطلقة واحدة من مطلقة اثنتين ومن مطلقة ثلاثاً</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من السنة فقد ذكر ابن حزم عدة روايات وحاول الاستدلال بها على المدّعى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ما رويناه من طريق مالك، عن ابن شهاب، أنّ سهل بن سعد الساعدي أخبره عن حديث اللعان عويمر العجلاني مع امرأته، وفي آخرهإنه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عليها يا رسول الله إن أمسكتها، فطلقها ثلاثاً قبل أن يأمره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مع الناس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الثلاث مجموعة معصية لله لما سكت رسول الله عن بيان ذلك، فتصحّ يقيناً أنها سنّة مباحة</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طريق البخاري نا محمد بن بشار، نا يحيى ـ هو ابن سعيد القطان ـ عن عبيد الله بن عمر، نا القاسم بن محمد بن أبي بكر، عن عائشة أم المؤمنين،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طلّق امرأته ثلاثاً فتزوّجت فطلّق، فسئل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أتحلّ للأول؟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يذوق عسيلتها كما ذاق الأول، فلم ينكر عليه الصلاة والسلام هذا السؤال، ولو كان لا يجوز لأخبر بذلك</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وخبر فاطمة بنت قيس المشهور، رويناه من طريق يحيى بن أبي كثير، أخبرني أبو سلمة بن عبد الرحمن، أنّ فاطمة بنت قيس أخبرته أنّ زوجها ابن حفص بن المغيرة المخزومي طلّقها ثلاثاً، ثم انطلق إلى اليمن، فانطلق خالد بن الوليد في نفر فأتوا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 ميمونة أم المؤمنين،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حفص طلّق امرأته ثلاثاً فهل لها من نفقة؟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لها نفقة، وعليها العدة وذكر باقي الخبر، ثم نقل هذه الرواية عن ثلاثة طرق أخرى وفي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أخبرت النبي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لها سكنى ولا نفقة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نقل تواتر عن فاطمة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في المطلّقة ثلاثاً ولم ينكر عليه الصلاة والسلام ذلك، ولا أخبر بأنه ليس بسنة، وفي هذا كفاية لمن نصح نفسه</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احتجّ بعمل الصحابة</w:t>
      </w:r>
      <w:r>
        <w:rPr>
          <w:rStyle w:val="FootnoteAnchor"/>
          <w:rtl w:val="true"/>
        </w:rPr>
        <w:footnoteReference w:id="501"/>
      </w:r>
      <w:r>
        <w:rPr>
          <w:rFonts w:ascii="Amiri" w:hAnsi="Amiri" w:eastAsia="Amiri" w:cs="Amiri"/>
          <w:color w:val="111111"/>
          <w:sz w:val="28"/>
          <w:sz w:val="28"/>
          <w:szCs w:val="28"/>
          <w:rtl w:val="true"/>
          <w:lang w:bidi="ar-SA"/>
        </w:rPr>
        <w:t>والتابعين</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في كلا الدليلين ما لا يخفى من الوهن والضعف، ولا سيّما ما ذكره ابن حزم من ظهور الآية في الجمع فإنه منه عجيب، ولا ندري كيف يسوغ لفاضل فضلاً عن عالم أن يفسر المرّتين بما فسره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علّق الدكتور عبد الغفار البنداري على كلامه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غاب عن الشيخ ابن حزم رشده في هذا الأمر فتخبّط حتى قال هذا الرأي البعيد عن الحق الخالي عن الصواب، وظنّ بسرعة استدلاله من غير تمحيص أنّ لفظ الثلاث مجموعة يفكّ العقد ثلاثاً، فوقع في سوء الاستدلال وأخطأ خطأً شديداً</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أوضح الدكتور البنداري الوجه في اشتباه ابن حزم في تفسير الآية وقياس معناها على معنى الآية الأخرى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نُؤْتِهَا أَجْرَهَامَرَّتَيْنِ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برهاني وحجّة رصينة ومن شاء فليراجع</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القائلين بالقول الأول ـ وهو عدم وقوع الطلاق ثلاثاً ـ أنّ لفظ الطلاق يفيد الاستغراق لأنّ الألف واللام إذا لم يكونا للمعهود أفاد الاستغراق فصار تقدير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الطلاق مرّتان، ومرة ثالثة، ولو قال هكذا لأفاد أنّ الطلاق المشروع متفرّق لأنّ المرّات لا تكون إلاّ بعد تفرّق </w:t>
      </w:r>
    </w:p>
    <w:p>
      <w:pPr>
        <w:pStyle w:val="BookText"/>
        <w:rPr/>
      </w:pPr>
      <w:r>
        <w:rPr>
          <w:rFonts w:ascii="IRNazanin" w:hAnsi="IRNazanin" w:eastAsia="IRNazanin"/>
          <w:color w:val="111111"/>
          <w:sz w:val="28"/>
          <w:sz w:val="28"/>
          <w:szCs w:val="28"/>
          <w:rtl w:val="true"/>
          <w:lang w:bidi="fa-IR"/>
        </w:rPr>
        <w:t>بالإجماع</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التفريق لا محالة، لأنه لو طلق اثنتين معاً لما جاز أن يقال طلّقها مرتين، وكذلك لو دفع رجل إلى آخر درهمين لم يجز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مرتين حتى يفرّق الدفع، فحينئذ يطلق عليه، وإذا كان هذا هكذا فلو كان الحكم المقصود باللفظ هو ما تعلّق بالتطليقتين من بقاء الرجعة لأدّى ذلك إلى إسقاط فائدة ذكر المرّتين إذا كان هذا الحكم ثابتاً في المرة الواحدة إذا طلق اثنتين، فثبت بذلك أنّ ذكره للمرّتين إنما هو أمر بإيقاعه مرّتين ونهي عن الجمع بينهما في مرّة واحدة</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هؤلاء في فقه الآية الشريفة واضح، فإنه سبحانه وتعالى أوجب في الطلاق تحقيق المرّتين والتحريم بعد الثالثة، وهو لا يلتئم مع ما ذكره ابن حزم من جمع التطليقات بلفظ ثلاثاً أو بتكرير الطلاق في مجلس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الأفعال الصادرة عن الإنسان في نظر العرف من حيثصلاحيتها للتكرار والإعادة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صالحاً للتكرار دائماً كالأكل، والشرب، والصلاة، والصوم، والقراءة، ونحو ذلك فالقارىء لسورة مثلاً يمكنه تكرارها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صالحاً مطلقاً كالقتل حيث يرتفع الموضوع بالفعل الأول فلا يمكن تكراره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صالحاً للتكرار في حين وغير صالح في حين آخر، كما في الاتصال والانفصال والرجعة والفراق والطلاق والقطيعة ونحو ذلك، فانقطاع المحبّة مثلاً عن شخص مّا لا تقبل الانقطاع ثانياً إلاّ بعد تجدّد الصلة والعلاقة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تبين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 شخص بأنه فعل الشيء الفلاني مكرراً أو أنه أمر بالإتيان بفعل مّا مكرّراً فإن كان من القسم  الأول فالمتبادر منه أنّ المراد هو تكرار نفس الفعل، لا الإتيان بالفعل مرّة ثم إردافه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مثلاً، فإنّ ذلك لا يعدّ تكراراً للفعل، ومثله ما إذا استؤجر شخصٌ لقراءة القرآن عشر مرات فلا يكفي أن يقرأه مرة واحدة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 أو كما ورد من استحباب صلاة ألف ركعة فيصلّي ركعة واحدة ويقول بعدها ألف ركعة، وهذا في غاية الوضوح، ولا فرق في ذلك بين أن يذكر العدد أو يكرر نفس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ولاشكّ أنّ الاكتفاء بذلك خلاف للظاهر، وهو مجاز ويحتاج إلى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القسم الثاني فلا يصحّ وصفه بالتكرار أصلاً إلاّ على ضرب من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القسم الثالث ـ كما نحن فيه ـ فالفعل وإن كان يصحّ وصفه بالتكرار إلاّ أنه يتوقف على تحقق شرطه وهو تجدد الموضوع، فإنّ تعدّد الطلاق ـوهو حلّ عقدة النكاح وفكّ قيد الزوجية والفراق بين الزوجين ـ لا يمكن تكراره بلفظ ثلاثاً أو بلفظ طالق، لأنّ المفروض تحقّق الفرقة بينهما باللفظ الأول، فما لم تتجدّد العلاقة فلا موضوع لإحداث الفرقة ثانية وثالثة، نعم إذا تجدّدت العلاقة بالرجعة أمكن تكرار الطلاق ثانياً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التكرار في هذا القسم من الأفعال لا يمكن تحقّقه إلاّ مع التفريق، والآية الشريفة من هذا القبيل فإنّه لا إطلاق فيها بالنسبة إلى التفريق والجمع فضلاً عن الظهور في الجمع ـ كما ادّعاه ابن حزم ـ بل إنّ المتعين هو ظهور الآية في التفريق، فالقول بتحقق التكرار في الجمع باطل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التمسّك بإطلاق سائر الآيات الأخرى فهي إما لا إطلاق فيها أصلاً، </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فَإمْسَاكٌ بِمَعْرُوفٍ أَوْ تَسْرِيحٌ بِإِحْسَانٍ</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تَحِلُّ لَهُ مِنْ بَعْدُ حَتَّى تَنكِحَ زَوْجاً غَيْرَهُ</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لكونها واردة عقيب ما دلّ على أنّ الطلاق مرّتان يتخللهما الاعتداد بعد كل مرة، فإن رجع فإمساك بمعروف وإلاّ طلقها ثالثاً، وهو التسريح بالإحسان، فإذا طلّقها ثالثاً حرمت، فلا تحلّ له حتى تنكح زوجاً آخر، فأيّ إطلاق يتصوّر في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الإطلاق في مقام بيان حكم آخر غير  التعدد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نَكَحْتُمْ الْمُؤْمِنَاتِ ثُمَّ طَلَّقْتُمُوهُنَّ مِنْ قَبْلِ أَنْ تَمَسُّوهُنَّ فَمَا لَكُمْ عَلَيْهِنَّ مِنْ عِدَّةٍتَعْتَدُّونَهَا</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فإنّها واردة في مقام بيان عدم لزوم العدّة إذا كان الطلاق قبل المماسّة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غيرها من سائر الآيات فإنّها ليست واردة في بيان كمّية الطلاق حتى يصحّ التمسّك بإطلاقها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نقله الشوكاني وما ذكره ابن حزم ضعيف جداً لا يمكن التعويل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استدلّ به من الروايات ففيها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يرد في جميع هذه الروايات التصريح بوقوع الثلاث مجموعة، ومن المحتمل أنها وقعت على نحو التفريق، فهي لإجمالها لا يمكن الأخذ بها، إذ لابدّ من البيان، والمتكفل لذلك هو ما دلّ على لزوم التفريق وبه يتمّ الجمع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إفادتها وقوع الطلاق بالجمع ثلاثاً إلاّ أنها معارضة بالروايات الكثيرة الصحيحة سنداً والصريحة دلالة على أنها إما تقع باطلة أو تردّ إلى الواحدة وسنذكر بعض هذه الروايات فيما يأتي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رواية عويمر العجلاني لا ربط لها بالطلاق فإنّها واردة في اللعان </w:t>
      </w:r>
    </w:p>
    <w:p>
      <w:pPr>
        <w:pStyle w:val="BookText"/>
        <w:rPr/>
      </w:pPr>
      <w:r>
        <w:rPr>
          <w:rFonts w:ascii="IRNazanin" w:hAnsi="IRNazanin" w:eastAsia="IRNazanin"/>
          <w:color w:val="111111"/>
          <w:sz w:val="28"/>
          <w:sz w:val="28"/>
          <w:szCs w:val="28"/>
          <w:rtl w:val="true"/>
          <w:lang w:bidi="fa-IR"/>
        </w:rPr>
        <w:t xml:space="preserve">وسكوت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عويمر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فطلّقتها ثلاثاً، لا يدلّ على التقرير والرضا بقوله، لتحقق البينونة بينه وبين امرأته باللعان فما تفوّه به من الطلاق لا يخرج عن كونه لغواً لا أثر له سواء كان واحدة أو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قضيّة فاطمة بنت قيس التي وصفها بأنها نقل متواتر، لم تكنبالصورة التي ذكرها ابن حزم، وقد غالط في بيانها وحاول إخفاء الحقيقة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باقي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أنه أورد القصة كاملة وذكر الروايات الواردة في قصّتها لتبيّن أن الروايات قد وردت في بيان حكم خروج المطلّقة من بيتها قبل انقضاء عدتها وفي استحقاقها السكنى والنفقة بعد إكمال التطليقات وعدمه، وأما الطلاق فقد وقع مفرّقاً لا مجموعاً، فقد روى أحمد في مسنده بسنده عن فاطمة بنت قيس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عمر بن حفص بن المغيرة، وكان قد طلّقني تطليقتين، ثم إنه سار مع علي إلى اليمن حين بعثه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بتطليقتي الثالثة </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بسنده عن عبيد الله بن عبد الله أنّ زوجها أرسل إليها بتطليقة كانت بقيت لها من طلاقها</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سنن الدارقطني بسنده عن أبي سلمة بن عبد الرحمن عن فاطمة بنت قيس أنها أخبرته أنها كانت عند أبي عمر بن حفص بن المغيرة فطلّقها آخر ثلاث تطليقات، فزعمت أنها جاءت رسول الله فاستفتته في خروجها من بيتها</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 الواردة في قصة فاطمة بنت قيس الدالة على أنّ الطلاق وقع مفرّقاً، فكيف يدّعي ابن حزم أنّ طلاقها وقع على نحو الجمع ويبهم في البيان؟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التمسّك بهذه الروايات موهون جداً ولا يمكن الاستناد </w:t>
      </w:r>
    </w:p>
    <w:p>
      <w:pPr>
        <w:pStyle w:val="BookText"/>
        <w:rPr/>
      </w:pPr>
      <w:r>
        <w:rPr>
          <w:rFonts w:ascii="Amiri" w:hAnsi="Amiri" w:eastAsia="Amiri" w:cs="Amiri"/>
          <w:color w:val="111111"/>
          <w:sz w:val="28"/>
          <w:sz w:val="28"/>
          <w:szCs w:val="28"/>
          <w:rtl w:val="true"/>
          <w:lang w:bidi="ar-SA"/>
        </w:rPr>
        <w:t>إليها في مقام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نقل الشوكاني روايات أخرى ـ غير ما تقدم ـ وناقش في سندها ودلالتها، ونحن وإن كنّا نرى عدم الحاجة إليها إلاّ أنّه لا بأس بذكرها تتميماً للبحث واستيفاء لأدلّة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عمر أنه طلّق امرأته تطليقة وهي حائض، ثم أراد أن يتبعها بتطليقتين آخرتين عند القرأين، فبلغ ذلك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عمر ما هكذا أمرك الله تعالى، إنّك قد أخطأت السنّة، والسنّة أن تستقبل الطهر فتطلّق لكلّ قرء،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فراجعتها،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هي طهرت فطلّق عند ذلك أو أمسك،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أرأيت لو طلّقتها ثلاثاً أكان يحلّ لي أن أراجعها؟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كانت تبين منك وتكون معصية، رواه الدارقطني</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وناقش في السند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أسناده عطاء الخراساني، وهو مختلف فيه، وثّقه الترمذي، وقال النسائي وأبو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وكذّبه سعيد بن المسيّب، وضعّفه غير واحد، 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فيمن روى عنه مالك من يستحق الترك غيره، وقال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نسيّاً، 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خيار عباد الله غير أنه كان كثير الوهم، سيّىء الحفظ، يخطىء ولا يدري، فلمّا كثر ذلك في روايته بطل الاحتجاج به، وأيضاً الزيادة التي هي محلّ الحجّة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لوطلّقتها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ممّا تفرّد به عطاء، وخالف فيها الحفّاظ فإنّهم شاركوه في أصل الحديث ولم يذكروا الزيادة، وأيضاً في اسنادها شعيب بن زريق الشامي وهو ضعيف</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الدلالة فقد ناقش فيها بأنّ لفظ ثلاثاً محتمل، فيقيّد بروايات التفريق</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الرواية بقرينة صدرها أنّ المراد هو الطلاق مع التفريق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حديث ركانة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طلّق امرأته سهيمة البتّة فأخبر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أردت إلاّ واحدة؟ قال ركانة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أردت إلاّ واحدة، فردّها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وطلّقها الثانية في زمان عمر، والثالثة في زمان عثمان</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ووجه الاستدلال بها أنّه لو كان قد طلّقها ثلاثاً لما ردّها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وسؤاله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ركانة ليعرف منه عدد التطليقات، وإلاّ فلا معنى له، فالسؤال يدلّ على أنّ  الطلاق لو وقع ثلاثاً لكان صحيحاً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وناقش الشوكاني في سند الرواية ودلالتها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جهة السند ففيه الزبير بن سعيد الهاشمي، وقد ضعّفه غير واحد، وقيلإنه متروك، وذكر الترمذي عن البخاري أنّه يضطرب فيه، تارة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ثلاثاً، وتارة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واحدةن وأصحّها أنه طلّقها البتّة وأنّ الثلاث ذكرت فيه على المعنى</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جهة الدلالة فبوجهين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أنّها مضطربة أخرجها أبو داود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طلّقتها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أرجعها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وأخرج أحمد أنه طلّق ركانة امرأته في مجلس واحد فحزن عليها،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طلقها البتّة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معارضة بما روي عن ابن عباس أنّ طلاق الثلاث كان واحدة وهو أصحّ أسناداً وأوضح متناً</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عبد الرزاق في مصنّفه عن يحيى بن العلاء، عن عبد الله بن الوليد الوصافي، عن إبراهيم بن عبد الله بن عبادة بن الصامت، عن داود، عن عبادة بن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 جدّي امرأة له ألف تطليقة، فانطلق إلى رسول الله فذكر ذلك،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اتقى الله جدّك أمّا ثلاث فله، وأما تسعمائة وسبع وتسعون فعدوان وظلم، إن شاء الله عذّبه وإن شاء غفر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لم يتّق الله فيجعل له مخرجاً، بانت منه بثلاث على غير السنّة، وتسعمائة وسبع وتسعون إثم في عنقه</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وناقش في سند الرواية بأنّ يحيى بن العلاء ضعيف، وعبد الله بن الوليد هالك، وإبراهيم بن عبد الله مجهول، فأيّ حجّة في رواية ضعيف، عن هالك،عن مجهول، ثم والد عبادة بن الصامت لم يدرك الإسلام فكيف بجدّه؟</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من ذلك كلّه ضعف كلا الدليلين، ولا يمكن الاعتماد على شيء منهما بوجه أصلاً، وما ادّعاه ابن حزم وأضرابه مجازفة، وعار عن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ـ وهو عمدة أدلتهم ـ فقد استدلوا به على أنّ الطلاق الوارد في الكتاب منسوخ كما قرّره العيني في عمدة القارىء 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وجه هذا النسخ وعمر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لاينسخ؟ وكيف يكون النسخ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خاطب عمر الصحابة بذلك فلم يقع إنكار صار إجماعاً، والنسخ بالإجماع جوّزه بعض مشايخنا بطريق أنّ الإجماع موجب علم اليقين </w:t>
      </w:r>
    </w:p>
    <w:p>
      <w:pPr>
        <w:pStyle w:val="BookText"/>
        <w:rPr/>
      </w:pPr>
      <w:r>
        <w:rPr>
          <w:rFonts w:ascii="Amiri" w:hAnsi="Amiri" w:eastAsia="Amiri" w:cs="Amiri"/>
          <w:color w:val="111111"/>
          <w:sz w:val="28"/>
          <w:sz w:val="28"/>
          <w:szCs w:val="28"/>
          <w:rtl w:val="true"/>
          <w:lang w:bidi="ar-SA"/>
        </w:rPr>
        <w:t>كالنصّ، فيجوز أن يثبت النسخ به، والإجماع في كونه حجّة أقوى من الخبر المشهور، فإذا كان النسخ جائزاً بالخبر المشهور في الزيادة على النص فجوازه بالإجماع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إجماع على النسخ من تلقاء أنفسهم، فلا يجوز ذلك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ظهر لهم نصّ أوجب النسخ، ولم ينقل إلينا ذلك</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الثابت أنّ عمر هو أول من أمضى هذا النوع من الطلاق، وإنه لم يكن معهوداً في زمان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في زمان أبي بكر بل حتى في أوائل زمان عمر نفسه، ويدلّ على ذلك عدّة من الروايات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الطلاق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بكر وسنتين من خلافة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الثلاث واحدة، فقال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استعجلوا في أمر كانت لهم فيه أناة فلو أمضيناه عليهم، فأمضاه عليهم</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الطحاوي ـ وصحح أسناده ـ عن طريق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زمن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كان لكم في الطلاق أناة وإنه من تعجّل أناة الله ألزمناه إياه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طاووس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الصهباء قال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 إنما كانت الثلاث تجعل واحدة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وثلاثاً من إمارة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عهد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 الناس في الطلاق فأمضاه عليهم</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الناس قد تتابعوا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أجيزهن عليهم</w:t>
      </w:r>
      <w:r>
        <w:rPr>
          <w:rStyle w:val="FootnoteAnchor"/>
          <w:rtl w:val="true"/>
        </w:rPr>
        <w:footnoteReference w:id="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طاووس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لكم في الطلاق أناة فاستعجلتم أناتكم، وقد أجزنا عليكم ما استعجلتم من ذلك</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الحسن أنّ عمر بن الخطاب كتب إلى أبي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أجعل إذا طلق الرجل امرأته ثلاثاً في مجلس، أن أجعلها واحدة ولكنّ أقواماً جعلوا على أنفسهم، فألزم كلّ نفس ما لزم نفسه، من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فهي حرام، ومن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بائنة فهي بائنة،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فهي ثلاثاً</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وغيرها من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والمستفاد منها أنّ عمر هو أول من أجاز هذا الطلاق وأمضاه خلافاً لحكم الله ورسوله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تحقّق الخلاف في المسألة، وذهاب كثير من الصحابة والتابعين إلى عدم صحّة الطلاق ثلاثاً، وإرجاعها إلى الواحدة ـ كما مرّ ـ فكيف تتمّ دعوى الإجماع؟ </w:t>
      </w:r>
    </w:p>
    <w:p>
      <w:pPr>
        <w:pStyle w:val="BookText"/>
        <w:rPr/>
      </w:pPr>
      <w:r>
        <w:rPr>
          <w:rFonts w:ascii="Amiri" w:hAnsi="Amiri" w:eastAsia="Amiri" w:cs="Amiri"/>
          <w:color w:val="111111"/>
          <w:sz w:val="28"/>
          <w:sz w:val="28"/>
          <w:szCs w:val="28"/>
          <w:rtl w:val="true"/>
          <w:lang w:bidi="ar-SA"/>
        </w:rPr>
        <w:t xml:space="preserve">على أنه قد ادّعي الإجماع على العكس من ذلك، قال صاحب عون المعبود ـ وهو أسبق زماناً من العيني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أجمع الصحابة إلى السنة الثانية من خلافة عمر على أنّ الثلاث بلفظ واحد واحدة، ولم ينقض هذا الإجماع بخلافه، بل لا يزال في الأمة من يفتي به قرناً بعد قرن إلى يومنا هذا</w:t>
      </w:r>
      <w:r>
        <w:rPr>
          <w:rStyle w:val="FootnoteAnchor"/>
          <w:rtl w:val="true"/>
        </w:rPr>
        <w:footnoteReference w:id="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ندري كيف يمكن التوفيق بين الإجماع على النقيضين؟</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التسليم فهل يكون سكوت الناس كاشفاً عن وجود نصّ يدلّ على النسخ؟ إذا كانت قلوبهم قد امتلأت رعباً من الدرة وبطش الخليفة، على أنّ هذه الدعوى على خلاف ما تقدّم من الروايات الدالة على أنّ عمر نفسه هو الذي رأى هذا الرأي وأمضاه، وهو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لكم في الطلاق أناة وإنه من تعجّل أناة الله ألزمناه إياه، كما رواه العيني نفسه في عمدة القاري</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هناك نصّ فلا وجه للتشبث بمثل هذا الرأي لتغيير حكم الله، ولو كان هناك نصّ يدلّ على النسخ كما ادّعاه العيني لما أفتى أبو حنيفة، ومالك، والأوزاعي، والليث، بأنّ الجمع بدعة، ولما قال الشافعي، وأحمد، وأبو ثور، بأولوية التفريق ولما استظهر السندي الحرمة</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فرض التسليم بوجود النصّ، فكيف ساغت مخالفة المسلمين من الصحابة والتابعين، من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 بكر، وسنتين أو ثلاث من خلافة عمر كما ورد في كثير من الروايات، وقد تقدم بعضها وهل في هذا إلاّ الطعن على مسلمي الصدر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أنّه قد ورد في حديث محمود بن لبيد ما يدل على خلاف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طلّق امرأته ثلاث تطليقات جميعاً، فقام غضباناً،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أيلعب بكتاب الله وأنا بين أظهركم، حتى قام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ألا أقتله</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وصحّح ابن حجر أسناده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ورواته موثوقون</w:t>
      </w:r>
      <w:r>
        <w:rPr>
          <w:rStyle w:val="FootnoteAnchor"/>
          <w:rtl w:val="true"/>
        </w:rPr>
        <w:footnoteReference w:id="532"/>
      </w:r>
      <w:r>
        <w:rPr>
          <w:rFonts w:ascii="Amiri" w:hAnsi="Amiri" w:eastAsia="Amiri" w:cs="Amiri"/>
          <w:color w:val="111111"/>
          <w:sz w:val="28"/>
          <w:sz w:val="28"/>
          <w:szCs w:val="28"/>
          <w:rtl w:val="true"/>
          <w:lang w:bidi="ar-SA"/>
        </w:rPr>
        <w:t>، 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أسناده جيد</w:t>
      </w:r>
      <w:r>
        <w:rPr>
          <w:rStyle w:val="FootnoteAnchor"/>
          <w:rtl w:val="true"/>
        </w:rPr>
        <w:footnoteReference w:id="533"/>
      </w:r>
      <w:r>
        <w:rPr>
          <w:rFonts w:ascii="Amiri" w:hAnsi="Amiri" w:eastAsia="Amiri" w:cs="Amiri"/>
          <w:color w:val="111111"/>
          <w:sz w:val="28"/>
          <w:sz w:val="28"/>
          <w:szCs w:val="28"/>
          <w:rtl w:val="true"/>
          <w:lang w:bidi="ar-SA"/>
        </w:rPr>
        <w:t>، واحتجّ به النسائي في سننه</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أشكل به ابن حزم على سند الحديث من أنّه مرسل في غير محلّه</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في المقام يمكن التمسك به على صحة هذا الحكم، ولم يبق إلاّ ما دلّت عليه الروايات من أنه اجتهاد من عمر، ورأي قد رآه على خلاف ما أنزل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ولنا أن نتساءل هل أنّ اجتهاد الخليفة في مقابل النصّ حجّة نافذة، يسوّغ إلغاء النص النازل في القرآن والصادر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حكم البدعة هو الجاري على الناس؟</w:t>
      </w:r>
    </w:p>
    <w:p>
      <w:pPr>
        <w:pStyle w:val="BookText"/>
        <w:rPr/>
      </w:pPr>
      <w:r>
        <w:rPr>
          <w:rFonts w:ascii="Amiri" w:hAnsi="Amiri" w:eastAsia="Amiri" w:cs="Amiri"/>
          <w:color w:val="111111"/>
          <w:sz w:val="28"/>
          <w:sz w:val="28"/>
          <w:szCs w:val="28"/>
          <w:rtl w:val="true"/>
          <w:lang w:bidi="ar-SA"/>
        </w:rPr>
        <w:t>وقد وقفنا على جواب ذلك وقد حررته أقلام بعض أتباع الخليفة السائرين على خطاه، ونكتفي بأقوال أربعة منهم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قال الشيخ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أضعف من قول من يقرّ أنه ينفذ البدعة ويحكمبما لا يجوز بغير نصّ من الله تعالى ولا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وقال الشيخ محمد بن علي الشوكاني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الحاصل أنّ القائلين بالتتابع قد استكثروا من الأجوبة على حديث ابن عباس، وكلّها غير خارجة عن دائرة التعسّف، والحقّ أحقّ بالاتباع، فإن كانت تلك المحاماة لأجل مذاهب الأسلاف فهي أحقر وأقل من أن تؤثّر على السنة المطهّرة، وإن كانت لأجل عمر بن الخطاب فأين يقع المسكين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أيّ مسلم من المسلمين يستحسن عقله وعلمه ترجيح قول صحابي على قول المصطفى؟</w:t>
      </w:r>
      <w:r>
        <w:rPr>
          <w:rStyle w:val="FootnoteAnchor"/>
          <w:rtl w:val="true"/>
        </w:rPr>
        <w:footnoteReference w:id="53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وقال الشيخ صالح العمري المالكي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المعروف عند الصحابة والتابعين، ومن تبعهم بإحسان إلى يوم الدين، وعند سائر العلماء المسلمين أنّ حكم الحاكم المجتهد إذا خالف نصّ كتاب الله تعالى أو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نقضه ومنع نفوذه، ولا يعارض نصّ الكتاب والسنة بالاحتمالات العقلية والخيالات النفسانية والعصبية الشيطانية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هذا المجتهد قد اطّلع على هذا النص وتركه لعلّة ظهرت له، أو أنّه اطّلع على دليل آخر ونحو هذا ممّا لهج به فرق الفقهاء المتعصّبين وأطبق عليه جهلة المقلّدين</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وقال الدكتور عبد الغفار البنداري في وصف أخلاق الخليفة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كانشديداً في الحقّ غيوراً عليه، لكن ربّ شدة في الحقّ تفصمه أو غيرة عليه تغيّره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ونكتفي بهذا المقدار في بيان هذا الموضع من هذه المسألة وهو بحمد الله واضح لمن ألقى السمع وهو شهيد، وحاله في الوضوح كحال مسألة المتعة المتقدمة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الموضع الثاني ـ وهو أنّ الطلاق ثلاثاً هل يقع باطلاً أو يقع واحدة؟ </w:t>
      </w:r>
    </w:p>
    <w:p>
      <w:pPr>
        <w:pStyle w:val="BookText"/>
        <w:rPr/>
      </w:pPr>
      <w:r>
        <w:rPr>
          <w:rFonts w:ascii="Amiri" w:hAnsi="Amiri" w:eastAsia="Amiri" w:cs="Amiri"/>
          <w:color w:val="111111"/>
          <w:sz w:val="28"/>
          <w:sz w:val="28"/>
          <w:szCs w:val="28"/>
          <w:rtl w:val="true"/>
          <w:lang w:bidi="ar-SA"/>
        </w:rPr>
        <w:t>فقد اختلف الأعلام فيه، فنسب الأول إلى جماعة إذا كان الطلاق بكلمة واحدة على نحو الإرسال ـ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طالق ثلاثاً ـ كما عن السيد المرتضى في الانتصار</w:t>
      </w:r>
      <w:r>
        <w:rPr>
          <w:rStyle w:val="FootnoteAnchor"/>
          <w:rtl w:val="true"/>
        </w:rPr>
        <w:footnoteReference w:id="540"/>
      </w:r>
      <w:r>
        <w:rPr>
          <w:rFonts w:ascii="Amiri" w:hAnsi="Amiri" w:eastAsia="Amiri" w:cs="Amiri"/>
          <w:color w:val="111111"/>
          <w:sz w:val="28"/>
          <w:sz w:val="28"/>
          <w:szCs w:val="28"/>
          <w:rtl w:val="true"/>
          <w:lang w:bidi="ar-SA"/>
        </w:rPr>
        <w:t>، وابن أبي عقيل، وابن حمزة، وسلاّر، ويحيى بن سعيد</w:t>
      </w:r>
      <w:r>
        <w:rPr>
          <w:rStyle w:val="FootnoteAnchor"/>
          <w:rtl w:val="true"/>
        </w:rPr>
        <w:footnoteReference w:id="541"/>
      </w:r>
      <w:r>
        <w:rPr>
          <w:rFonts w:ascii="Amiri" w:hAnsi="Amiri" w:eastAsia="Amiri" w:cs="Amiri"/>
          <w:color w:val="111111"/>
          <w:sz w:val="28"/>
          <w:sz w:val="28"/>
          <w:szCs w:val="28"/>
          <w:rtl w:val="true"/>
          <w:lang w:bidi="ar-SA"/>
        </w:rPr>
        <w:t>، وإليه ذهب صاحب الحدائق</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ونسب الثاني ـ وهو الوقوع واحدة ـ إلى المشهور كما عن السيّد في قوله الآخر في المسائل الناصريات</w:t>
      </w:r>
      <w:r>
        <w:rPr>
          <w:rStyle w:val="FootnoteAnchor"/>
          <w:rtl w:val="true"/>
        </w:rPr>
        <w:footnoteReference w:id="543"/>
      </w:r>
      <w:r>
        <w:rPr>
          <w:rFonts w:ascii="Amiri" w:hAnsi="Amiri" w:eastAsia="Amiri" w:cs="Amiri"/>
          <w:color w:val="111111"/>
          <w:sz w:val="28"/>
          <w:sz w:val="28"/>
          <w:szCs w:val="28"/>
          <w:rtl w:val="true"/>
          <w:lang w:bidi="ar-SA"/>
        </w:rPr>
        <w:t>، والشيخ</w:t>
      </w:r>
      <w:r>
        <w:rPr>
          <w:rStyle w:val="FootnoteAnchor"/>
          <w:rtl w:val="true"/>
        </w:rPr>
        <w:footnoteReference w:id="544"/>
      </w:r>
      <w:r>
        <w:rPr>
          <w:rFonts w:ascii="Amiri" w:hAnsi="Amiri" w:eastAsia="Amiri" w:cs="Amiri"/>
          <w:color w:val="111111"/>
          <w:sz w:val="28"/>
          <w:sz w:val="28"/>
          <w:szCs w:val="28"/>
          <w:rtl w:val="true"/>
          <w:lang w:bidi="ar-SA"/>
        </w:rPr>
        <w:t>، وابن إدريس</w:t>
      </w:r>
      <w:r>
        <w:rPr>
          <w:rStyle w:val="FootnoteAnchor"/>
          <w:rtl w:val="true"/>
        </w:rPr>
        <w:footnoteReference w:id="545"/>
      </w:r>
      <w:r>
        <w:rPr>
          <w:rFonts w:ascii="Amiri" w:hAnsi="Amiri" w:eastAsia="Amiri" w:cs="Amiri"/>
          <w:color w:val="111111"/>
          <w:sz w:val="28"/>
          <w:sz w:val="28"/>
          <w:szCs w:val="28"/>
          <w:rtl w:val="true"/>
          <w:lang w:bidi="ar-SA"/>
        </w:rPr>
        <w:t>، والعلاّمة</w:t>
      </w:r>
      <w:r>
        <w:rPr>
          <w:rStyle w:val="FootnoteAnchor"/>
          <w:rtl w:val="true"/>
        </w:rPr>
        <w:footnoteReference w:id="546"/>
      </w:r>
      <w:r>
        <w:rPr>
          <w:rFonts w:ascii="Amiri" w:hAnsi="Amiri" w:eastAsia="Amiri" w:cs="Amiri"/>
          <w:color w:val="111111"/>
          <w:sz w:val="28"/>
          <w:sz w:val="28"/>
          <w:szCs w:val="28"/>
          <w:rtl w:val="true"/>
          <w:lang w:bidi="ar-SA"/>
        </w:rPr>
        <w:t>، وجماعة آخرين منهم السيد الأستاذ</w:t>
      </w:r>
      <w:r>
        <w:rPr>
          <w:rStyle w:val="FootnoteAnchor"/>
          <w:rtl w:val="true"/>
        </w:rPr>
        <w:footnoteReference w:id="547"/>
      </w:r>
      <w:r>
        <w:rPr>
          <w:rFonts w:ascii="Amiri" w:hAnsi="Amiri" w:eastAsia="Amiri" w:cs="Amiri"/>
          <w:color w:val="111111"/>
          <w:sz w:val="28"/>
          <w:sz w:val="28"/>
          <w:szCs w:val="28"/>
          <w:rtl w:val="true"/>
          <w:lang w:bidi="ar-SA"/>
        </w:rPr>
        <w:t>، بل يظهر من كلمات بعضهم دعوى الإجماع عليه</w:t>
      </w:r>
      <w:r>
        <w:rPr>
          <w:rStyle w:val="FootnoteAnchor"/>
          <w:rtl w:val="true"/>
        </w:rPr>
        <w:footnoteReference w:id="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 الطلاق ثلاثاً على نحو التتابع ـ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طالق، هي طالق ـ فلا خلاف عندهم في وقوعه واحدة، وقد قام الإجماع بقسميه على ذلك</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عدم وقوع الثلاث فهو من ضروريات مذهب الشيعة فضلاً عن قيام الإجماع عليه</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للقول الأول بأمور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وهو اعتبار اللفظ المخصوص في وقوع الطلاق، فلا يترتب الأثر بكلّ لفظ أو فعل وإن كان يدلّ عليه، وقد دلّت عدّة من الروايات على انحصار ترتب آثار الطلاق في ألفاظ مخصوصة، ومنها ما ورد في صحيحة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الطلاق أن يقول لها في قبل العدة بعدما تطهر من محيضها قبل أن يجامعها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أو اعتدّي، يريد بذلك الطلاق، ويشهد على ذلك رجلين عدلين</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أن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اعتدّي أو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بكير بن أعين أن يقول لها وهي طاهر من غير 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أنتطالق ويشهد شاهدي عدل، وكلّ ما سوى ذلك فهي ملغى</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الحصر عدم انفصام العقد وانحلاله بغير ما نصّت عليه الروايات من الألفاظ، وهو شامل للمقام فإنّ الطلاق ثلاثاً مرسلاً أو متتابعاً مما لم يرد في النصوص فلا يترتب على إيقاعه أي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يقع من المطلّق قصد الطلاق الصحيح وهو الواحدة، وما أوقعه وهو الثلاث بدعة فلا أثر له، مضافاً إلى أنه مخالف للكتاب والسنّة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مخالفته للكتاب فلأنّ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يدلّ على أنّ الطلاق الشرعي إنما هو مرّتان تفصل بينهما العدة في كل مرّة، وما أوقعه المطلّق على خلاف ذلك، فلا يكون نافذاً لمخالفته لنصّ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مخالفته للسنّة فلأنّه ورد في عدّة من الروايات الصحيحة</w:t>
      </w:r>
      <w:r>
        <w:rPr>
          <w:rStyle w:val="FootnoteAnchor"/>
          <w:rtl w:val="true"/>
        </w:rPr>
        <w:footnoteReference w:id="555"/>
      </w:r>
      <w:r>
        <w:rPr>
          <w:rFonts w:ascii="IRNazanin" w:hAnsi="IRNazanin" w:eastAsia="IRNazanin"/>
          <w:color w:val="111111"/>
          <w:sz w:val="28"/>
          <w:sz w:val="28"/>
          <w:szCs w:val="28"/>
          <w:rtl w:val="true"/>
          <w:lang w:bidi="fa-IR"/>
        </w:rPr>
        <w:t xml:space="preserve">أنّ ابن عمر طلّق امرأته ثلاثاً فأمره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يراجعها، وفي بعضها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 أو طلّق على السنّة إن أردت الطلاق</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كان الطلاق ثلاثاً شرعياً لما أمره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بمراجعة امرأته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من الروايات المعتبرة الدالة على بطلان الطلاق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طلّق ثلاثاً في مجلس فليس بشيء، من خالف كتاب الله عزوجل ردّ إلى كتاب الله عزّوجلّ وذكر طلاق ابن عمر</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صفوان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طلقت امرأتي ثلاثاً في مجلس،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إِذَا طَلَّقْتُمْ النِّسَاءَ فَطَلِّقُوهُنَّ لِعِدَّتِهِنَّ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 اللَّهَ يُحْدِثُ بَعْدَ ذَلِكَ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خالف كتاب الله والسنة فهو يرد إلى كتاب الله والسنّة</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هارون بن خارجة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ابتليت فطلقت أهلي ثلاثاً في دفعة واحدة فسألت أصحابنا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بشيء وإن المرأة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أرضى حتى تسأل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إلى أهلك فليس عليك شيء</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علي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عبد الله بن محمد إلى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يطلق امرأته ثلاثاً بكلمة واحدة على طهر بغير جماع بشاهدين أنه يلزمه تطليقةواحدة، فوقّع بخطه، أخطأ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إنه لا يلزم الطلاق، ويرد إلى الكتاب والسنة إن شاء الله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حفص بن البختري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والمطلّقات ثلاثاً فإنّهنّ ذوات أزواج</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عمر بن حنظلة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والمطلّقات ثلاثاً في مجلس واحد فإنّهنّ ذوات أزواج</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وإن وصفها صاحب الجواهر</w:t>
      </w:r>
      <w:r>
        <w:rPr>
          <w:rStyle w:val="FootnoteAnchor"/>
          <w:rtl w:val="true"/>
        </w:rPr>
        <w:footnoteReference w:id="563"/>
      </w:r>
      <w:r>
        <w:rPr>
          <w:rFonts w:ascii="Amiri" w:hAnsi="Amiri" w:eastAsia="Amiri" w:cs="Amiri"/>
          <w:color w:val="111111"/>
          <w:sz w:val="28"/>
          <w:sz w:val="28"/>
          <w:szCs w:val="28"/>
          <w:rtl w:val="true"/>
          <w:lang w:bidi="ar-SA"/>
        </w:rPr>
        <w:t>بالخبر، ولعلّه لوقوع عمر بن حنظلة في سندها وهو لم يرد فيه توثيق، إلاّ أنّنا قد حققنا في مباحثنا الرجالية</w:t>
      </w:r>
      <w:r>
        <w:rPr>
          <w:rStyle w:val="FootnoteAnchor"/>
          <w:rtl w:val="true"/>
        </w:rPr>
        <w:footnoteReference w:id="564"/>
      </w:r>
      <w:r>
        <w:rPr>
          <w:rFonts w:ascii="IRNazanin" w:hAnsi="IRNazanin" w:eastAsia="IRNazanin"/>
          <w:color w:val="111111"/>
          <w:sz w:val="28"/>
          <w:sz w:val="28"/>
          <w:szCs w:val="28"/>
          <w:rtl w:val="true"/>
          <w:lang w:bidi="fa-IR"/>
        </w:rPr>
        <w:t>وثاقته وإمكان الاعتماد على روايته فلا إشكال ـ بناء على ذلك ـ في اعتبار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في كون الراوي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عمر بن حنظلة أو غيره بحثاً سيأتي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والمستفاد من هذه الروايات عدم وقوع الطلاق أصلاً وأن المرأة لم تخرج من حبالة زوجها وما صدر منه فهو لغو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المشهور بعدة روايات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بصير الأسدي، ومحمد بن علي الحلبي، وعمر بن </w:t>
      </w:r>
    </w:p>
    <w:p>
      <w:pPr>
        <w:pStyle w:val="BookText"/>
        <w:rPr/>
      </w:pPr>
      <w:r>
        <w:rPr>
          <w:rFonts w:ascii="IRNazanin" w:hAnsi="IRNazanin" w:eastAsia="IRNazanin"/>
          <w:color w:val="111111"/>
          <w:sz w:val="28"/>
          <w:sz w:val="28"/>
          <w:szCs w:val="28"/>
          <w:rtl w:val="true"/>
          <w:lang w:bidi="fa-IR"/>
        </w:rPr>
        <w:t xml:space="preserve">حنظلة،جميعاً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ثلاثاً في غير عدّة إن كانت على طهر فواحدة، وإن لم تكن على طهر فليس بشيء</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طلّق امرأته ثلاثاً في مجلس واحد وهي طاهر،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واحدة</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صحيحته الأخرى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الذي يطلّق في حال طهر في مجلس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واحدة</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بنفس مضمون الرواية السابقة ولعلّهما رواية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شهاب بن عبد ربّه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فطلقها ثلاثاً في مقعد،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إلى السنّة فإذا مضت ثلاثة أشهر أو ثلاثة قروء فقد بانت منه بواحدة</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أبي أيوب الخزّاز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عنده فجاء رجل فسأله عن رجل طلق امرأته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ثم جاء رجل آخر من أصحابنا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امرأته ثلاثاً،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امرأته ثلاثاً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بشيء، ثم نظر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ترى،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يرى أنّ من طلّق امرأته ثلاثاً حرمت عليه،وأنا أرى أنّ من طلّق امرأته ثلاثاً على السنة بانت منه، ورجل طلّق امرأته ثلاثاً وهي على طهر فإنّما هي واحدة، ورجل طلّق امرأته ثلاثاً على غير طهر فليس بشيء</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وموضع الشاهد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تطليقة، وبيانه ذلك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طلّق امرأته ثلاثاً وهي على طهر فإنّما هي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بكير بن أعين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طلّقها للعدّة أكثر من واحدة فليس الفضل على الواحدة بطلاق</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يطلّق امرأته ثلاثاً في مجلس واحد،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واحدة،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امرأتي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أرجع إليك أبداً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لأحد أن يتزوجها غيره</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وموضع الشاهد صدر الرواية حيث أمضى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سمعه من سماعة، وأما الإضمار في قوله سألته،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سماعة لا يضمر إلاّ وهو يعني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كما لا يبعد ذلك ـ فالرواية معتبرة من حيث السند وإلاّ فهي مويّدة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أبي محمد الوابشي،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ولّى امرأته رجلاً وأمره أن يطلّقها على السنة فطلّقها ثلاثاً في مقعد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يردّإلى السنّة، فإذا مضت ثلاثة أشهر أو ثلاثة قروء فقد بانت منه</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هذه الروايات المعتبرة أنّ الطلاق ثلاثاً يقع واحدة ويؤيّدها عدّة من الروايات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محمد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السندي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طلّق ثلاثاً في مقعد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فأراه قد لزمه، وأما أبي فكان يرى ذلك واحدة</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وموضع الشاهد هو الجملة الأخيرة من الرواية، وهي صريحة في دلالتها </w:t>
      </w:r>
    </w:p>
    <w:p>
      <w:pPr>
        <w:pStyle w:val="BookText"/>
        <w:rPr/>
      </w:pPr>
      <w:r>
        <w:rPr>
          <w:rFonts w:ascii="Amiri" w:hAnsi="Amiri" w:eastAsia="Amiri" w:cs="Amiri"/>
          <w:color w:val="111111"/>
          <w:sz w:val="28"/>
          <w:sz w:val="28"/>
          <w:szCs w:val="28"/>
          <w:rtl w:val="true"/>
          <w:lang w:bidi="ar-SA"/>
        </w:rPr>
        <w:t>إلاّ أنّ الإشكال في سند الرواية فإنّها مضافاً إلى الإرسال في سندها لم يرد في الأموي توثيق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موسى بن أشيم،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رجل طلّق امرأته ثلاثاً في مجلس،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بشيء، وأنا في مجلسي إذ دخل عليه رجل فسأله عن رجل طلّق امرأته ثلاثاً في مجلس، فقال تردّ الثلاث إلى واحدة فقد وقعت واحدة ولا يردّ ما فوق الثلاث إلى الثلاث ولا إلى  الواحد، فنحن كذلك إذ جاءه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رجل طلّق امرأته في مجلس؟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الرجل امرأته ثلاثاً بانت منه، فلم تحلّ له حتى تنكح زوجاً غيره، فأظلم عليّ البيت وتحيّرت من جوابه في مجلس واحد بثلاثة أجوبة مختلفة في مسألة واحدة،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أشيم أشككت؟ ودّ الشيطانأنك شككت، إذا طلّق الرجل امرأته على غير طهر ولغير عدّة كما قال الله عزوجل، ثلاثاً أو واحدة فليس طلاقه بطلاق، وإذا طلّق الرجل امرأته ثلاثاً وهي على طهر من غير جماع بشاهدين عدلين فقد وقعت واحدة وبطلت الثنتان، ولا يردّ ما فوق الواحدة إلى الثلاث ولا إلى الواحدة، وإذا طلّق الرجل امرأته ثلاثاً على العدّة كما أمر الله عزوجل فقد بانت منه ولا تحلّ له حتى تنكح زوجاً غيره، فلا تشكنّ يابن أشيم ففي كلّ والله من ذلك الحق</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الرواية وإن كانت واضحة الدلالة ومضمونها قريب من صحيحة أبي أيوب الخزّاز المتقدمة والشاهد فيها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الثلاث إلى واحدة فقد وقعت واحدة، إلاّ أنّ الإشكال في سندها من جهة الإرسال وعدم ما يدلّ على وثاقة موسى بن أشيم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إسماعيل بن عبد 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طلّق عبد الله بن عمر امرأته ثلاثاً فجعلها رسول الله واحدة وردّه إلى الكتاب والسنّة</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غير تامّة سنداً ودلالة أما من جهة السند فإنّ الطيالسي الواقع في سندها لم يوثق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الدلالة فقد اضطربت الروايات الواردة في قضية طلاق ابن عمر ففي بعضها ورد أنّه طلّقها وهي حائض، وفي بعضها ورد أنّه طلّقها ثلاثاً،كما اختلفت الروايات الواردة في ذلك من طرق العامة أيضاً، ولكن لما كانت هذه الرواية بخصوصها واضحة الدلالة على المدّعى فلا بأس في جعلها مؤيّدة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أخرى مؤيدة وفي ما ذكرناه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استدلّ به لكلّ من القولين، والعمدة في المقام هي الروايات، فإن الروايات التي استدل بها للقول الأول تدلّ على عدم وقوع الطلاق مطلقاً، بينما الروايات التي استدل بها للقول الثاني تدلّ على وقوع الثلاث واحدة، وظاهر ذلك التنافي، فلابدّ من التماس وجه للجمع بين الروايات أو الحكم بالتعارض وترجيح إحدى الطائفتين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استدلّ به للقول الأول من الأصل والمخالفة للكتاب والسنة فهما متفرعان على الروايات، فإن تمّ الجمع بين الطائفتين أو رجّحت الروايات الدالّة على وقوع الثلاث واحدة فلابدّ من رفع اليد عنهما لإرتفاع موضوعهما، بخلاف ما إذا رجّحت الروايات الدالّة على عدم الوقوع مطلقاً، فإنّهما حينئذ يكونان دليلين آخرين في المقام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والذي يمكن أن يقال في الجمع بين الروايات ـ غير ما سيأتي عن صاحب </w:t>
      </w:r>
    </w:p>
    <w:p>
      <w:pPr>
        <w:pStyle w:val="BookText"/>
        <w:rPr/>
      </w:pPr>
      <w:r>
        <w:rPr>
          <w:rFonts w:ascii="Amiri" w:hAnsi="Amiri" w:eastAsia="Amiri" w:cs="Amiri"/>
          <w:color w:val="111111"/>
          <w:sz w:val="28"/>
          <w:sz w:val="28"/>
          <w:szCs w:val="28"/>
          <w:rtl w:val="true"/>
          <w:lang w:bidi="ar-SA"/>
        </w:rPr>
        <w:t>الجواهر ـ 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تحمل الروايات الدالّة على عدم الوقوع مطلقاً على ما إذا وقع الطلاق في حال عدم تحقق الشرائط، وأما الروايات الدالّة على الصحّة فتحمل على ما إذا كانت الشرائط متحققة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لهذا عدّة من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بصير الأسدي، ومحمد بن علي الحلبي، وعمر بن حنظلة</w:t>
      </w:r>
      <w:r>
        <w:rPr>
          <w:rStyle w:val="FootnoteAnchor"/>
          <w:rtl w:val="true"/>
        </w:rPr>
        <w:footnoteReference w:id="576"/>
      </w:r>
      <w:r>
        <w:rPr>
          <w:rFonts w:ascii="IRNazanin" w:hAnsi="IRNazanin" w:eastAsia="IRNazanin"/>
          <w:color w:val="111111"/>
          <w:sz w:val="28"/>
          <w:sz w:val="28"/>
          <w:szCs w:val="28"/>
          <w:rtl w:val="true"/>
          <w:lang w:bidi="fa-IR"/>
        </w:rPr>
        <w:t xml:space="preserve">، المتقدمة فإنها صريحة في الدلالة على التفصيل بين اجتماع الشرائط وعدمه،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ثلاثاً في غير عدّة إن كانت على طهر فواحدة، وإن لم تكن على طهر فليس بشيء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صحيحتا زرارة</w:t>
      </w:r>
      <w:r>
        <w:rPr>
          <w:rStyle w:val="FootnoteAnchor"/>
          <w:rtl w:val="true"/>
        </w:rPr>
        <w:footnoteReference w:id="577"/>
      </w:r>
      <w:r>
        <w:rPr>
          <w:rFonts w:ascii="IRNazanin" w:hAnsi="IRNazanin" w:eastAsia="IRNazanin"/>
          <w:color w:val="111111"/>
          <w:sz w:val="28"/>
          <w:sz w:val="28"/>
          <w:szCs w:val="28"/>
          <w:rtl w:val="true"/>
          <w:lang w:bidi="fa-IR"/>
        </w:rPr>
        <w:t xml:space="preserve">المتقدّمتان أيضاً، فإنّهما تدلاّن على أنّ وقوع الثلاث واحدة مشروط بما إذا وقع الطلاق في حال الطهر، نعم الرواية الأولى أصرح دلالة من هاتين الروايتين لورود التفصيل فيها على لسان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أيّوب الخزّاز</w:t>
      </w:r>
      <w:r>
        <w:rPr>
          <w:rStyle w:val="FootnoteAnchor"/>
          <w:rtl w:val="true"/>
        </w:rPr>
        <w:footnoteReference w:id="578"/>
      </w:r>
      <w:r>
        <w:rPr>
          <w:rFonts w:ascii="IRNazanin" w:hAnsi="IRNazanin" w:eastAsia="IRNazanin"/>
          <w:color w:val="111111"/>
          <w:sz w:val="28"/>
          <w:sz w:val="28"/>
          <w:szCs w:val="28"/>
          <w:rtl w:val="true"/>
          <w:lang w:bidi="fa-IR"/>
        </w:rPr>
        <w:t>المتقدمة أيضاً، وشاهد الجمع فيها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طلّق امرأته ثلاثاً وهي على طهر فإنّما هي واحدة، ورجل طلّق امرأته ثلاثاً على غير طهر فليس بشيء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ودلالته على التفصيل واضحة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موسى بن أشيم</w:t>
      </w:r>
      <w:r>
        <w:rPr>
          <w:rStyle w:val="FootnoteAnchor"/>
          <w:rtl w:val="true"/>
        </w:rPr>
        <w:footnoteReference w:id="579"/>
      </w:r>
      <w:r>
        <w:rPr>
          <w:rFonts w:ascii="Amiri" w:hAnsi="Amiri" w:eastAsia="Amiri" w:cs="Amiri"/>
          <w:color w:val="111111"/>
          <w:sz w:val="28"/>
          <w:sz w:val="28"/>
          <w:szCs w:val="28"/>
          <w:rtl w:val="true"/>
          <w:lang w:bidi="ar-SA"/>
        </w:rPr>
        <w:t>المتقدمة أيضاً، وهي على نحو ما ورد في صحيحة أبي أيّوب الخزّاز من التفصيل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طلّق امرأته ثلاثاً فيمجلس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على عبد الله بن عمر امرأته، طلّقها ثلاثاً وهي حائض، فأبطل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الطلاق،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خالف كتاب الله والسنّة ردّ إلى كتاب الله والسنّة</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علي 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طلاق إلاّ على السنّة، إنّ عبد الله بن عمر طلّق ثلاثاً في مجلس وامرأته حائض فردّ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خالف كتاب الله ردّ إلى كتاب الله</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الكلبي النسابة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عدد نجوم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أما تقرأ سورة الطلاق؟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فاقرأ، فقرأت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فَطَلِّقُوهُنَّ لِعِدَّتِهِنَّ وَأَحْصُوا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هاهنا نجوم السماء؟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ثلاثاً،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إلى كتاب الله وسنّة نبيّه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طلاق إلاّ على طهر من غير جماع بشاهدين مقبولين</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ولكن يعارض هذا الجمع ما ورد في رواية علي بن إسماعيل ـ المتقدمة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عبد الله بن محمد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أصحابنا عن أبيعبد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يطلّق امرأته ثلاثاً بكلمة واحدة على طهر بغير جماع بشاهدين أنه يلزمه تطليقة واحدة، فوقّع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أخطأ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يلزم الطلاق ويردّ إلى الكتاب والسنّة إن شاء الله</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فإنّها تدلّ على أنّ الطلاق وقع في حال اجتماع الشرائط ومع ذلك وقّع </w:t>
      </w:r>
    </w:p>
    <w:p>
      <w:pPr>
        <w:pStyle w:val="BookText"/>
        <w:rPr/>
      </w:pP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يلزمه الطلاق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وسند هذه الرواية قابل للاعتبار، وذلك لأنّ علي بن إسماعيل ـ في هذه الطبقة ـ مردّد بين ثلاثة أشخاص،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إسماعيل بن شعيب بن ميثم التمار وهو وجه من وجوه المتكلّمين من أصحابنا</w:t>
      </w:r>
      <w:r>
        <w:rPr>
          <w:rStyle w:val="FootnoteAnchor"/>
          <w:rtl w:val="true"/>
        </w:rPr>
        <w:footnoteReference w:id="584"/>
      </w:r>
      <w:r>
        <w:rPr>
          <w:rFonts w:ascii="Amiri" w:hAnsi="Amiri" w:eastAsia="Amiri" w:cs="Amiri"/>
          <w:color w:val="111111"/>
          <w:sz w:val="28"/>
          <w:sz w:val="28"/>
          <w:szCs w:val="28"/>
          <w:rtl w:val="true"/>
          <w:lang w:bidi="ar-SA"/>
        </w:rPr>
        <w:t>، وقد روى عنه المشايخ الثقات</w:t>
      </w:r>
      <w:r>
        <w:rPr>
          <w:rStyle w:val="FootnoteAnchor"/>
          <w:rtl w:val="true"/>
        </w:rPr>
        <w:footnoteReference w:id="585"/>
      </w:r>
      <w:r>
        <w:rPr>
          <w:rFonts w:ascii="Amiri" w:hAnsi="Amiri" w:eastAsia="Amiri" w:cs="Amiri"/>
          <w:color w:val="111111"/>
          <w:sz w:val="28"/>
          <w:sz w:val="28"/>
          <w:szCs w:val="28"/>
          <w:rtl w:val="true"/>
          <w:lang w:bidi="ar-SA"/>
        </w:rPr>
        <w:t>، وذلك كاف في الحكم بوثاقته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إسماعيل بن عيسى ولم يرد فيه 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إسماعيل بن عمار وهو من وجوه من روى الحديث</w:t>
      </w:r>
      <w:r>
        <w:rPr>
          <w:rStyle w:val="FootnoteAnchor"/>
          <w:rtl w:val="true"/>
        </w:rPr>
        <w:footnoteReference w:id="586"/>
      </w:r>
      <w:r>
        <w:rPr>
          <w:rFonts w:ascii="Amiri" w:hAnsi="Amiri" w:eastAsia="Amiri" w:cs="Amiri"/>
          <w:color w:val="111111"/>
          <w:sz w:val="28"/>
          <w:sz w:val="28"/>
          <w:szCs w:val="28"/>
          <w:rtl w:val="true"/>
          <w:lang w:bidi="ar-SA"/>
        </w:rPr>
        <w:t>، وروى عنه المشايخ الثقات أيضاً</w:t>
      </w:r>
      <w:r>
        <w:rPr>
          <w:rStyle w:val="FootnoteAnchor"/>
          <w:rtl w:val="true"/>
        </w:rPr>
        <w:footnoteReference w:id="587"/>
      </w:r>
      <w:r>
        <w:rPr>
          <w:rFonts w:ascii="Amiri" w:hAnsi="Amiri" w:eastAsia="Amiri" w:cs="Amiri"/>
          <w:color w:val="111111"/>
          <w:sz w:val="28"/>
          <w:sz w:val="28"/>
          <w:szCs w:val="28"/>
          <w:rtl w:val="true"/>
          <w:lang w:bidi="ar-SA"/>
        </w:rPr>
        <w:t>وهو أمارة على الوثاقة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به هنا هو الأول، لما ورد في ترجمته من أنّ له كتاب الطلاق، ولنقل الشيخ الرواية من كتابه حيث التزم في التهذيب بالبدء باسم صاحبالكتاب</w:t>
      </w:r>
      <w:r>
        <w:rPr>
          <w:rStyle w:val="FootnoteAnchor"/>
          <w:rtl w:val="true"/>
        </w:rPr>
        <w:footnoteReference w:id="588"/>
      </w:r>
      <w:r>
        <w:rPr>
          <w:rFonts w:ascii="Amiri" w:hAnsi="Amiri" w:eastAsia="Amiri" w:cs="Amiri"/>
          <w:color w:val="111111"/>
          <w:sz w:val="28"/>
          <w:sz w:val="28"/>
          <w:szCs w:val="28"/>
          <w:rtl w:val="true"/>
          <w:lang w:bidi="ar-SA"/>
        </w:rPr>
        <w:t>، مضافاً إلى أنه وقع في أسناد نوادر الحكمة</w:t>
      </w:r>
      <w:r>
        <w:rPr>
          <w:rStyle w:val="FootnoteAnchor"/>
          <w:rtl w:val="true"/>
        </w:rPr>
        <w:footnoteReference w:id="589"/>
      </w:r>
      <w:r>
        <w:rPr>
          <w:rFonts w:ascii="Amiri" w:hAnsi="Amiri" w:eastAsia="Amiri" w:cs="Amiri"/>
          <w:color w:val="111111"/>
          <w:sz w:val="28"/>
          <w:sz w:val="28"/>
          <w:szCs w:val="28"/>
          <w:rtl w:val="true"/>
          <w:lang w:bidi="ar-SA"/>
        </w:rPr>
        <w:t>مجرداً، وهو كاف للحكم بوثاقة علي بن إسماعيل أيّاً كان من بين هؤلاء الثلاثة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الطريق إلى الكتاب فهو وإن لم يذكره الشيخ في مشيخة التهذيبين أو الفهرست إلاّ أن طريق الصدوق إليه صحيح</w:t>
      </w:r>
      <w:r>
        <w:rPr>
          <w:rStyle w:val="FootnoteAnchor"/>
          <w:rtl w:val="true"/>
        </w:rPr>
        <w:footnoteReference w:id="590"/>
      </w:r>
      <w:r>
        <w:rPr>
          <w:rFonts w:ascii="Amiri" w:hAnsi="Amiri" w:eastAsia="Amiri" w:cs="Amiri"/>
          <w:color w:val="111111"/>
          <w:sz w:val="28"/>
          <w:sz w:val="28"/>
          <w:szCs w:val="28"/>
          <w:rtl w:val="true"/>
          <w:lang w:bidi="ar-SA"/>
        </w:rPr>
        <w:t>وحيث إنّ للشيخ طريقاً صحيحاً إلى جميع روايات الصدوق وكتبه، فيكون داخلاً في القسم الثالث من الطرق الموجبة لتصحيح الشيخ على ما حققناه في محلّه</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وبناء على أنّ طريق الصدوق شامل لكتاب علي بن إسماعيل ـ كما هو الراجح ـ لا خصوص ما يرويه في الفقيه ودخوله في مرويّات الشيخ يكون سند الرواية معتبراً، إلاّ أنّ دلالتها على المدّعى غير تامّة، ويمكن مناقشتها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قد وصف الرواية بالشذوذ وأنّها مخالفة للأخبار الكثيرة فلا تصلح للمعارضة</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منها أنّ الحكم بتطليقة واحدة كان مشهوراً عند الأصحاب بقرينة 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 فلعلّ الإمام قال ذلك تقية كما حملهاصاحب الوسائل</w:t>
      </w:r>
      <w:r>
        <w:rPr>
          <w:rStyle w:val="FootnoteAnchor"/>
          <w:rtl w:val="true"/>
        </w:rPr>
        <w:footnoteReference w:id="593"/>
      </w:r>
      <w:r>
        <w:rPr>
          <w:rFonts w:ascii="Amiri" w:hAnsi="Amiri" w:eastAsia="Amiri" w:cs="Amiri"/>
          <w:color w:val="111111"/>
          <w:sz w:val="28"/>
          <w:sz w:val="28"/>
          <w:szCs w:val="28"/>
          <w:rtl w:val="true"/>
          <w:lang w:bidi="ar-SA"/>
        </w:rPr>
        <w:t>، وهذا الحمل وإن كان مخالفاً للعامة إلاّ أنه لا يبعد أن يكون أهون من ردّه إلى الواحدة لخصوصية في المورد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 هذا الحمل كيفية بيان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 على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يقل كذبوا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يلزم الطلاق، ولم يقل إنه ليس بشيء وفي هذا الأسلوب من بيان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إخفاء، ويحتمل أن يكون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وقوع الثلاث، وفي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ويردّ إلى الكتاب والسنّة، إشارة إلى أنّه يقع واحدة كما فسّر ذلك في بعض الروايات كما سيأتي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الرواية على صدور الطلاق من سكران أو مجبر أو غير مريد</w:t>
      </w:r>
      <w:r>
        <w:rPr>
          <w:rStyle w:val="FootnoteAnchor"/>
          <w:rtl w:val="true"/>
        </w:rPr>
        <w:footnoteReference w:id="594"/>
      </w:r>
      <w:r>
        <w:rPr>
          <w:rFonts w:ascii="Amiri" w:hAnsi="Amiri" w:eastAsia="Amiri" w:cs="Amiri"/>
          <w:color w:val="111111"/>
          <w:sz w:val="28"/>
          <w:sz w:val="28"/>
          <w:szCs w:val="28"/>
          <w:rtl w:val="true"/>
          <w:lang w:bidi="ar-SA"/>
        </w:rPr>
        <w:t>وبناء على هذا فالرواية خارجة عن محلّ الكلام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لا تنهض لمعارضة الروايات المتقدّمة الدالّة على التفصيل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ـ من وجهي الجمع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تحمل الروايات الدالة على البطلان على ما إذا كان الطلاق وقع على نحو الإرسال أي بكلمة واحدة، وأما الروايات الدالة على الصحّة فتحمل على ما إذا كان الطلاق وقع على نحو الترتيب والتتابع، وذلك بدعوى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إما أنه ظاهر في التتابع ولا ينصرف إلى ما كان بكلمةواحدة كما في ظهور التسبيح عشر مرات في التكرار والتتابع، لا في التسبيح مرة وإردافها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أنّه ـ على فرض عدم الظهور ـ مخصّص بما يستفاد من الروايات الدالة على الصحة إذا وقع على نحو التتابع لكونه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لهذا الجمع عدّة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إسحاق بن عمار الصيرفي عن جعفر،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الرجل المرأة قبل أن يدخل بها ثلاثاً في كلمة واحدة فقد بانت منه، ولا ميراث بينهما ولا رجعة حتى تنكح زوجاً غيره، وإن قال هي طالق، هي طالق، هي طالق، فقد بانت منه بالأولى، وهو خاطب من الخطّاب، إن شاءت نكحته نكاحاً جديداً، وإن شاءت لم تفعل</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وشاهد الجمع في هذه الرواية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قال هي طالق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الطلاق بكيفية معيّنة وهو التكرار على نحو التتابع، فيستفاد من ذلك التفصيل بين ما يكون بكلمة واحدة وبين ما يكون مكرراً، وإلاّ لزم لغوية التقييد في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صدر الرواية محمول على التقية لكون ما ذكر فيه على خلاف المذهب</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هارون بن خارجة</w:t>
      </w:r>
      <w:r>
        <w:rPr>
          <w:rStyle w:val="FootnoteAnchor"/>
          <w:rtl w:val="true"/>
        </w:rPr>
        <w:footnoteReference w:id="596"/>
      </w:r>
      <w:r>
        <w:rPr>
          <w:rFonts w:ascii="Amiri" w:hAnsi="Amiri" w:eastAsia="Amiri" w:cs="Amiri"/>
          <w:color w:val="111111"/>
          <w:sz w:val="28"/>
          <w:sz w:val="28"/>
          <w:szCs w:val="28"/>
          <w:rtl w:val="true"/>
          <w:lang w:bidi="ar-SA"/>
        </w:rPr>
        <w:t xml:space="preserve">المتقدمة، وشاهد الجمع فيها هو </w:t>
      </w:r>
    </w:p>
    <w:p>
      <w:pPr>
        <w:pStyle w:val="BookText"/>
        <w:rPr/>
      </w:pPr>
      <w:r>
        <w:rPr>
          <w:rFonts w:ascii="IRNazanin" w:hAnsi="IRNazanin" w:eastAsia="IRNazanin"/>
          <w:color w:val="111111"/>
          <w:sz w:val="28"/>
          <w:sz w:val="28"/>
          <w:szCs w:val="28"/>
          <w:rtl w:val="true"/>
          <w:lang w:bidi="fa-IR"/>
        </w:rPr>
        <w:t xml:space="preserve">دلالتها على أنّ الطلاق ثلاثاً في دفعة ليس بشيء، وقد أبطل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طلاقه وأمره بالرجوع إلى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الكلبي النسابة المتقدمة أيضاً، فإنها ظاهرة في أنّ الطلاق عدد النجوم إنما وقع في دفعة واحدة، وشاهد الجمع فيها أنّه حين سأل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رجلاً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ثلاثاً،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إلى كتاب الله وسنّة نبيّه، ومعنى ذلك أنّ</w:t>
      </w:r>
    </w:p>
    <w:p>
      <w:pPr>
        <w:pStyle w:val="BookText"/>
        <w:rPr/>
      </w:pPr>
      <w:r>
        <w:rPr>
          <w:rFonts w:ascii="Amiri" w:hAnsi="Amiri" w:eastAsia="Amiri" w:cs="Amiri"/>
          <w:color w:val="111111"/>
          <w:sz w:val="28"/>
          <w:sz w:val="28"/>
          <w:szCs w:val="28"/>
          <w:rtl w:val="true"/>
          <w:lang w:bidi="ar-SA"/>
        </w:rPr>
        <w:t>الطلاق الواقع ليس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وقد ذهب إلى هذا الجمع صاحب الحدائق </w:t>
      </w:r>
      <w:r>
        <w:rPr>
          <w:rFonts w:eastAsia="IRNazanin" w:cs="IRNazanin"/>
          <w:color w:val="111111"/>
          <w:sz w:val="28"/>
          <w:szCs w:val="28"/>
          <w:rtl w:val="true"/>
          <w:lang w:bidi="fa-IR"/>
        </w:rPr>
        <w:t>!</w:t>
      </w:r>
      <w:r>
        <w:rPr>
          <w:rStyle w:val="FootnoteAnchor"/>
          <w:rtl w:val="true"/>
        </w:rPr>
        <w:footnoteReference w:id="597"/>
      </w:r>
      <w:r>
        <w:rPr>
          <w:rFonts w:ascii="Amiri" w:hAnsi="Amiri" w:eastAsia="Amiri" w:cs="Amiri"/>
          <w:color w:val="111111"/>
          <w:sz w:val="28"/>
          <w:sz w:val="28"/>
          <w:szCs w:val="28"/>
          <w:rtl w:val="true"/>
          <w:lang w:bidi="ar-SA"/>
        </w:rPr>
        <w:t>، وقوّاه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توقّف فيه لمخالفته للمشهور مع ضعف المعارض ـ كما سيأتي ـ وعدم الجابر</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آخر للجمع وهو التفصيل بين من قصد التقييد بالثلاث، وبين من قصد بها التأكيد فيصح الثاني دون الأول، وبيانه أنّ الروايات الدالة على البطلان حيث وقع الطلاق على نحو التقيد بالثلاث فيرجع إلى قصد الطلاق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الروايات الدالة على الصحة حيث قصد معنى الصيغة أولاً وأضاف إليها ثلاثاً بقصد آخر مستقل فيقع الطلاق صحيحاً وتلغو الزيادة</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على مقتضى القاعدة إلاّ أنه جمع تبرّعي خارج عن الفهم العرفي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ولكن ما ذكرناه من الجمع الثاني يعارضه ما ورد في رواية عمرو بنالبراء،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إذا طلّق امرأته مرّة أو مائة مرّة فإنّما هي واحدة، وقد كان يبلغنا عنك وعن آبائك أنّهم </w:t>
      </w:r>
    </w:p>
    <w:p>
      <w:pPr>
        <w:pStyle w:val="BookText"/>
        <w:rPr/>
      </w:pPr>
      <w:r>
        <w:rPr>
          <w:rFonts w:ascii="Amiri" w:hAnsi="Amiri" w:eastAsia="Amiri" w:cs="Amiri"/>
          <w:color w:val="111111"/>
          <w:sz w:val="28"/>
          <w:sz w:val="28"/>
          <w:szCs w:val="28"/>
          <w:rtl w:val="true"/>
          <w:lang w:bidi="ar-SA"/>
        </w:rPr>
        <w:t>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مرة أو مائة مرّة فإنّما هي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بلغكم</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الظاهر منها أنّ لفظ مائة صدر بكلمة واحدة، وقد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الواحدة، على أنّ الحكم بالواحدة كان معروفاً عند الأصحاب كما هو مفاد الرواية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الرواية وإن كانت من جهة الدلالة واضحة إلاّ أنها من جهة السند ضعيفة فإنّ عمرو بن البراء لم تثبت وثاقته، فلا تصلح الرواية للمعارضة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ما ذكر من شواهد الجمع قابل للمناقشة وأنّ الروايات المذكورة كلّها ضعيفة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موثقة إسحاق بن عمار الصيرفي فهي وإن كانت معتبرة السند إلاّ أنّ الإشكال في دلالتها، وذلك لأنّ استفادة التفصيل منها إنّما هو من جهة مفهوم القيد، وحجّيته تتوقف على عدم ترتب فائدة أخرى عليه، والفائدة في المقام متحققة، إذ من المحتمل أن عدم الإطلاق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لكونه في حال التقية، وعليه فدلالة الرواية على التفصيل ليست واضحة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رواية هارون بن خارجة فهي ضعيفة سنداً ودلالة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جهة السند فلعدم العلم بطريق الراوندي إلى هارون بن خارجة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من جهة الدلالة فلأنّ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إلى أهلك فليس عليك شيء، لا يدلّ على بطلان هذا الطلاق بل ينسجم مع وقوعه واحدة، وأمره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بالرجوع ليس من جهة وقوع الطلاق وعدمه، وإنّما من جهة عدم المحذور في الرجوع بمعنى أنّه لم تقع البينونة التي يترتّب عليها عدم جواز الرجوع، ولذا عقّب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عليك شيء</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رواية الكلبي النسابة فهي أيضاً ضعيفة سنداً ودلالة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من جهة السند فلأنّ الكلبي لم يرد فيه 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الدلالة فلأنّه لم يصرّح في هذه الرواية ببطلان الطلاق، وإنما قال تردّ إلى كتاب الله وسنّة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قابل للتصحيح بالحمل على وقوع الطلاق واحدة، كما في صحيحة شهاب بن عبد ربه المتقدمة</w:t>
      </w:r>
      <w:r>
        <w:rPr>
          <w:rStyle w:val="FootnoteAnchor"/>
          <w:rtl w:val="true"/>
        </w:rPr>
        <w:footnoteReference w:id="601"/>
      </w:r>
      <w:r>
        <w:rPr>
          <w:rFonts w:ascii="Amiri" w:hAnsi="Amiri" w:eastAsia="Amiri" w:cs="Amiri"/>
          <w:color w:val="111111"/>
          <w:sz w:val="28"/>
          <w:sz w:val="28"/>
          <w:szCs w:val="28"/>
          <w:rtl w:val="true"/>
          <w:lang w:bidi="ar-SA"/>
        </w:rPr>
        <w:t>، فهذه الرواية كسابقتيها في عدم الصلاحية للشهادة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من الروايات الدالة على الجمع كلّها ضعيفة فليس هناك ما يصلح أن يكون شاهداً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في نفسه غير تام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ذكره صاحب الجواهر من أنّه على خلاف ما اشتهر بين الأصحابقديماً وحديثاً بل الإجماع</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المراد من الطلاق ثلاثاً هو ما يكون مشهوراً بين العامة ومتعارفاً عليه عندهم، وهو إيقاعه بكلمة واحدة، فلا يبعد القول بأنّ هذه الروايات إما أنّها ظاهرة في الطلاق دفعة واحدة فلا يمكن الجمع بين الروايات، وإما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ظاهرة في العموم وليس هناك ما يخصّصها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في الدليلين الأولين اللذين استدلّ بهما للقول الأول من حصر الطلاق في ألفاظ معيّنة والتعدّي عنها إلى غيرها يوجب عدم ترتيب الأثر ومن كون الطلاق ثلاثاً مخالفاً للكتاب والسنّة، فهما غير تامين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عدم تمامية الأول فلأنّ لفظ ـ ثلاثاً بعد التلفّظ بصيغة الطلاق ليس مخالفاً للحصر، وإنما هو تأكيد للصيغة ولا تنافي بين المؤكّد والمؤكّد، نعم لو كان الطلاق على نحو التعليق بحيث يعدّ تصرّفاً في المعنى فهو مخالف للحصر </w:t>
      </w:r>
    </w:p>
    <w:p>
      <w:pPr>
        <w:pStyle w:val="BookText"/>
        <w:rPr/>
      </w:pPr>
      <w:r>
        <w:rPr>
          <w:rFonts w:ascii="Amiri" w:hAnsi="Amiri" w:eastAsia="Amiri" w:cs="Amiri"/>
          <w:color w:val="111111"/>
          <w:sz w:val="28"/>
          <w:sz w:val="28"/>
          <w:szCs w:val="28"/>
          <w:rtl w:val="true"/>
          <w:lang w:bidi="ar-SA"/>
        </w:rPr>
        <w:t>ولا يترتب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تمامية الثاني فلأنه إذا طلّقها ثلاثاً فهو قاصد للواحدة بلا إشكال كمن سبّح مائة مرة مثلاً فهو قاصد للتسعين قطعاً، وهكذا من طلّق ثلاثاً فإنه قاصد للواحدة، نعم لو قصد بقوله ثلاثاً التقييد من دون قصد للواحدة لكان مخالفاً، فإضافة لفظ ثلاثاً بعد تحقّق قصد الواحدة لا يعدّ من المخالفة في شيء وإنما هو من قبيل التأكيد أو اللغو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بالثلاث دفعة لا يعدّ مخالفة للكتاب والسنّة كما لا يكونمخالفة للحصر في الألفاظ المعينة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الأول بأدلّته والجمع الثاني بشواهده كليهما غير تامّين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الصحيح هو الجمع الأول من أنّه إذا طلّقها ثلاثاً مع اجتماع الشرائط ترتب الأثر على تطليقة واحدة، ومع فقدان بعض الشرائط لا يترتب عليه شيء ويحكم ببطلانه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يمكن الجمع أيضاً بين ما ورد في الروايات من أنّه إذا طلّقها ثلاثاً في مقعد سواء كان بكلمة واحدة أو متتابعاً تردّ إلى السنة، حيث حكم فيها بوقوعها واحدة، كما في صحيحة شهاب بن عبد ربّه المتقدمة</w:t>
      </w:r>
      <w:r>
        <w:rPr>
          <w:rStyle w:val="FootnoteAnchor"/>
          <w:rtl w:val="true"/>
        </w:rPr>
        <w:footnoteReference w:id="603"/>
      </w:r>
      <w:r>
        <w:rPr>
          <w:rFonts w:ascii="Amiri" w:hAnsi="Amiri" w:eastAsia="Amiri" w:cs="Amiri"/>
          <w:color w:val="111111"/>
          <w:sz w:val="28"/>
          <w:sz w:val="28"/>
          <w:szCs w:val="28"/>
          <w:rtl w:val="true"/>
          <w:lang w:bidi="ar-SA"/>
        </w:rPr>
        <w:t>، وبين ما ورد من أنّه إذا طلّقها ثلاثاً في مجلس ردّ إلى كتاب الله، حيث حكم فيها بأنّه ليس بشيء كما في صحيحة أبي بصير المتقدمة</w:t>
      </w:r>
      <w:r>
        <w:rPr>
          <w:rStyle w:val="FootnoteAnchor"/>
          <w:rtl w:val="true"/>
        </w:rPr>
        <w:footnoteReference w:id="60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الجمع هو أنّه إن كان الطلاق واجداً للشرائط فمقتضى الرجوع إلى الكتاب والسنة هو الحمل على وقوعه واحدة، وإن كان فاقداً لها أو لبعضها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فمقتضى ذلك هو البطلان فلا تنافي بين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هذا الجمع موافق للكتاب والسنة والأصل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الثالث وهو في حكم المطلّقة ثلاثاً فيقع الكلام فيه في فروع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نكاح المؤمن المرأة المطلّقة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استبصر المطلّق وأراد الرجوع إليها فهل يجوز له ذلك؟ أو أنّها بانت منه فلا تحلّ له حتى تنكح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المطلّق مؤمناً والمرأة مخالفة وقد أوقع الطلاق على مذهبها فهل تتحقّق البينونة بينهما أو لا؟</w:t>
      </w:r>
    </w:p>
    <w:p>
      <w:pPr>
        <w:pStyle w:val="BookText"/>
        <w:rPr/>
      </w:pPr>
      <w:r>
        <w:rPr>
          <w:rFonts w:ascii="Amiri" w:hAnsi="Amiri" w:eastAsia="Amiri" w:cs="Amiri"/>
          <w:color w:val="111111"/>
          <w:sz w:val="28"/>
          <w:sz w:val="28"/>
          <w:szCs w:val="28"/>
          <w:rtl w:val="true"/>
          <w:lang w:bidi="ar-SA"/>
        </w:rPr>
        <w:t>أما الأول فالظاهر من جماعة كما في الرياض</w:t>
      </w:r>
      <w:r>
        <w:rPr>
          <w:rStyle w:val="FootnoteAnchor"/>
          <w:rtl w:val="true"/>
        </w:rPr>
        <w:footnoteReference w:id="605"/>
      </w:r>
      <w:r>
        <w:rPr>
          <w:rFonts w:ascii="IRNazanin" w:hAnsi="IRNazanin" w:eastAsia="IRNazanin"/>
          <w:color w:val="111111"/>
          <w:sz w:val="28"/>
          <w:sz w:val="28"/>
          <w:szCs w:val="28"/>
          <w:rtl w:val="true"/>
          <w:lang w:bidi="fa-IR"/>
        </w:rPr>
        <w:t>، والحدائق</w:t>
      </w:r>
      <w:r>
        <w:rPr>
          <w:rStyle w:val="FootnoteAnchor"/>
          <w:rtl w:val="true"/>
        </w:rPr>
        <w:footnoteReference w:id="606"/>
      </w:r>
      <w:r>
        <w:rPr>
          <w:rFonts w:ascii="IRNazanin" w:hAnsi="IRNazanin" w:eastAsia="IRNazanin"/>
          <w:color w:val="111111"/>
          <w:sz w:val="28"/>
          <w:sz w:val="28"/>
          <w:szCs w:val="28"/>
          <w:rtl w:val="true"/>
          <w:lang w:bidi="fa-IR"/>
        </w:rPr>
        <w:t>، والجواهر</w:t>
      </w:r>
      <w:r>
        <w:rPr>
          <w:rStyle w:val="FootnoteAnchor"/>
          <w:rtl w:val="true"/>
        </w:rPr>
        <w:footnoteReference w:id="607"/>
      </w:r>
      <w:r>
        <w:rPr>
          <w:rFonts w:ascii="Amiri" w:hAnsi="Amiri" w:eastAsia="Amiri" w:cs="Amiri"/>
          <w:color w:val="111111"/>
          <w:sz w:val="28"/>
          <w:sz w:val="28"/>
          <w:szCs w:val="28"/>
          <w:rtl w:val="true"/>
          <w:lang w:bidi="ar-SA"/>
        </w:rPr>
        <w:t>، هو الجواز مطلقاً أي سواء كان مع العلم أو بدونه، وسواء كانت المرأة مؤمنة أو 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ذلك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عدم الخلاف فيه، بل الإجماع بقسميه عليه كما في الجواهر</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بالنصوص العامة المستفيضة الدالة على الإلزام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الأحكام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على أهل كلّ ذوي دين ما يستحلون</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أيوب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هل نأخذ في أحكام المخالفين ما يأخذون منّا في أحكامهم أم لا؟ فكتب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لكم ذلك إذا كان مذهبكم فيه التقية منهم والمداراة</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المعلوم أنّ ما ذكره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 الجواز متحقّق وهو التقية والمداراة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محمد بن إسماعيل بن بزيع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ميّت ترك أمّه وأخوة وأخوات، فقسّم هؤلاء ميراثه، وأعطوا الأم السدس، وأعطوا الأخوة والأخوات ما بقي، فمات الأخوات فأصابني من ميراثه، فأحببت أن أسألك هل يجوز لي أن آخذ ما أصابني من ميراثها على هذه القسمة أم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 الميّت فيما بلغني قد دخلت في هذا الأمر أعني الدين، فسكت قليلاً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فالمستفاد من الرواية أنّ القسمة لم تكن على مذهب الإمامية وإلاّ فالأخوة والأخوات لا نصيب لهم في الميراث لأنّهم من الطبقة الثانية إلاّ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أمضى ذلك لإلزام المخالفين بما التزموا به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ويؤيد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عبد الله بن محرز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ترك ابنته وأخته لأبيه وأمّه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كلّه لابنته وليس للأخت من الأب والأم شيء،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قد احتجنا إلى هذا، والميّت رجل من هؤلاء الناس وأخته مؤمنة عارفة،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لها النصف، خذوا منهم كما يأخذون منكم في سننهم وقضاياهم، قال ابن أذينة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ذلك لزرارة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على ما جاء بهابن محرز لنورا</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وموضع الشاهد من هذه الرواية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منهم كما يأخذون منكم في سننهم وقضاياهم، فإنه شامل لما نحن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سند الرواية ففيه عبد الله بن محرز، وهو وإن كان من الشيعة كما يظهر من الرواية إلاّ أنه لم يرد فيه توثيق، نعم إن حصل الاطمئنان من قول زرارة بصدور الرواية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وإلاّ فهي مؤيّدة كما ذكرنا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ويؤيّد ذلك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علي بن أبي حمزة، أنه سأل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المطلّقة على غير السنّة أيتزوّجها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ألزموهم من ذلك ما ألزموه أنفسهم وتزوجوهنّ فلا بأس بذلك</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وموضع الشاهد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ألزموهم من ذلك ما ألزموه أنفسهم، فإنّه صريح في الدلالة على الإلزام، وحيث إنّ  الرواية ضعيفة السند فهي مؤيّدة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بالنصوص الخاصّة الواردة في المقام وهي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إبراهيم بن محمد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بعض أصحابنا، فأتاني الجواب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فهمت ما ذكرت من أمر ابنتك وزوجها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حنثه بطلاقها غير مرّة، فانظر فإن كانممن يتولاّنا ويقول بقولنا فلا طلاق عليه لأنّه لم يأت أمراً جهله، وإن كان ممّن لا يتولاّنا ولا يقول بقولنا فاختلعها منه فإنّه إنّما نوى الفراق بعينه</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من حيث السند معتبرة فإنّ إبراهيم بن محمد أحد وكلاء الناحية</w:t>
      </w:r>
      <w:r>
        <w:rPr>
          <w:rStyle w:val="FootnoteAnchor"/>
          <w:rtl w:val="true"/>
        </w:rPr>
        <w:footnoteReference w:id="615"/>
      </w:r>
      <w:r>
        <w:rPr>
          <w:rFonts w:ascii="Amiri" w:hAnsi="Amiri" w:eastAsia="Amiri" w:cs="Amiri"/>
          <w:color w:val="111111"/>
          <w:sz w:val="28"/>
          <w:sz w:val="28"/>
          <w:szCs w:val="28"/>
          <w:rtl w:val="true"/>
          <w:lang w:bidi="ar-SA"/>
        </w:rPr>
        <w:t>، وقد بيّنا في محلّه</w:t>
      </w:r>
      <w:r>
        <w:rPr>
          <w:rStyle w:val="FootnoteAnchor"/>
          <w:rtl w:val="true"/>
        </w:rPr>
        <w:footnoteReference w:id="616"/>
      </w:r>
      <w:r>
        <w:rPr>
          <w:rFonts w:ascii="Amiri" w:hAnsi="Amiri" w:eastAsia="Amiri" w:cs="Amiri"/>
          <w:color w:val="111111"/>
          <w:sz w:val="28"/>
          <w:sz w:val="28"/>
          <w:szCs w:val="28"/>
          <w:rtl w:val="true"/>
          <w:lang w:bidi="ar-SA"/>
        </w:rPr>
        <w:t xml:space="preserve">أنّ ذلك أمارة على الوثاقة، مضافاً إلى وقوعه </w:t>
      </w:r>
    </w:p>
    <w:p>
      <w:pPr>
        <w:pStyle w:val="BookText"/>
        <w:rPr/>
      </w:pPr>
      <w:r>
        <w:rPr>
          <w:rFonts w:ascii="Amiri" w:hAnsi="Amiri" w:eastAsia="Amiri" w:cs="Amiri"/>
          <w:color w:val="111111"/>
          <w:sz w:val="28"/>
          <w:sz w:val="28"/>
          <w:szCs w:val="28"/>
          <w:rtl w:val="true"/>
          <w:lang w:bidi="ar-SA"/>
        </w:rPr>
        <w:t>في أسناد نوادر الحكمة</w:t>
      </w:r>
      <w:r>
        <w:rPr>
          <w:rStyle w:val="FootnoteAnchor"/>
          <w:rtl w:val="true"/>
        </w:rPr>
        <w:footnoteReference w:id="617"/>
      </w:r>
      <w:r>
        <w:rPr>
          <w:rFonts w:ascii="Amiri" w:hAnsi="Amiri" w:eastAsia="Amiri" w:cs="Amiri"/>
          <w:color w:val="111111"/>
          <w:sz w:val="28"/>
          <w:sz w:val="28"/>
          <w:szCs w:val="28"/>
          <w:rtl w:val="true"/>
          <w:lang w:bidi="ar-SA"/>
        </w:rPr>
        <w:t>، وهو كاف في الحكم بوثاقته أيضاً، فلا إشكال في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من حيث الدلالة فكذلك حيث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بالتفريق بينهما ووقوع الطلاق بما هو باطل في مذهبنا وصحيح في مذهبهم، ومنه الحنث بالطلاق، والظاهر عدم الفرق في اختلال شرائط الطلاق بين شرط وآخر، نعم لا صراحة في الرواية بجواز الزواج من هذه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عبد الرحمن البصري،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طلّقت على غير السنّة،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يتزوّج هذه المرأة لا تترك بغير زوج</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لغير عدّة ثم أمسك عنها حتى انقضت عدّتها، هل يصلح لي أن أتزوّجها؟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لاتترك بغير زوج</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وهاتان الروايتان وإن كانتا مطلقتين إلاّ أنه لابدّ من تقييدهما بكون المطلّق عامياً إذ لو كان إمامياً لم يكن الطلاق صحيحاً ولا يجوز زواجها لأنّها ذات بعل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جعفر بن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العلوي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تزويج المطلّقات ثلاثاً،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طلاقكم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لغيركم، وطلاقهم يحلّ لكم، لأنّكم لا ترون الثلاث شيئاً وهم يوجبونها</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من جهة الدلالة واضحة، وأما من جهة السند فإنّ فيه جعفر بن محمد بن عبد الله، عن أبيه كما رواها الشيخ في التهذيب</w:t>
      </w:r>
      <w:r>
        <w:rPr>
          <w:rStyle w:val="FootnoteAnchor"/>
          <w:rtl w:val="true"/>
        </w:rPr>
        <w:footnoteReference w:id="621"/>
      </w:r>
      <w:r>
        <w:rPr>
          <w:rFonts w:ascii="IRNazanin" w:hAnsi="IRNazanin" w:eastAsia="IRNazanin"/>
          <w:color w:val="111111"/>
          <w:sz w:val="28"/>
          <w:sz w:val="28"/>
          <w:szCs w:val="28"/>
          <w:rtl w:val="true"/>
          <w:lang w:bidi="fa-IR"/>
        </w:rPr>
        <w:t xml:space="preserve">، وهما وإن لم </w:t>
      </w:r>
    </w:p>
    <w:p>
      <w:pPr>
        <w:pStyle w:val="BookText"/>
        <w:rPr/>
      </w:pPr>
      <w:r>
        <w:rPr>
          <w:rFonts w:ascii="Amiri" w:hAnsi="Amiri" w:eastAsia="Amiri" w:cs="Amiri"/>
          <w:color w:val="111111"/>
          <w:sz w:val="28"/>
          <w:sz w:val="28"/>
          <w:szCs w:val="28"/>
          <w:rtl w:val="true"/>
          <w:lang w:bidi="ar-SA"/>
        </w:rPr>
        <w:t>يرد فيهما توثيق إلاّ أنّهما واقعان في أسناد نوادر الحكمة</w:t>
      </w:r>
      <w:r>
        <w:rPr>
          <w:rStyle w:val="FootnoteAnchor"/>
          <w:rtl w:val="true"/>
        </w:rPr>
        <w:footnoteReference w:id="622"/>
      </w:r>
      <w:r>
        <w:rPr>
          <w:rFonts w:ascii="Amiri" w:hAnsi="Amiri" w:eastAsia="Amiri" w:cs="Amiri"/>
          <w:color w:val="111111"/>
          <w:sz w:val="28"/>
          <w:sz w:val="28"/>
          <w:szCs w:val="28"/>
          <w:rtl w:val="true"/>
          <w:lang w:bidi="ar-SA"/>
        </w:rPr>
        <w:t>، وذلك كاف في الحكم بوثاقتهما وعليه فتكون الرواية 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عبد الأعلى،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يطلّق امرأته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مستخفّاً بالطلاق ألزمته ذلك</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والرواية واضحة الدلالة، فإنّ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مستخفّاً بالطلاق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إشعاراً بأنّ المطلّق عامّي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جهة السند ففيه عبد الأعلى وهو مشترك، وينصرف إمّا إلى عبد الاعلى بن أعين العجلي وهو ثقة حيث عدّه الشيخ المفيد من فقهاء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والأعلام والرؤساء المأخوذ عنهم الحلال والحرام والفتيا والأحكام، والذين لا يطعن عليهم، ولا طريق إلى ذمّ واحد منهم</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إلى عبد الأعلى مولى آل سام بناء على عدم اتحادهما، ولم يرد فيه توثيق ولكن حيث روى المشايخ الثقات</w:t>
      </w:r>
      <w:r>
        <w:rPr>
          <w:rStyle w:val="FootnoteAnchor"/>
          <w:rtl w:val="true"/>
        </w:rPr>
        <w:footnoteReference w:id="625"/>
      </w:r>
      <w:r>
        <w:rPr>
          <w:rFonts w:ascii="Amiri" w:hAnsi="Amiri" w:eastAsia="Amiri" w:cs="Amiri"/>
          <w:color w:val="111111"/>
          <w:sz w:val="28"/>
          <w:sz w:val="28"/>
          <w:szCs w:val="28"/>
          <w:rtl w:val="true"/>
          <w:lang w:bidi="ar-SA"/>
        </w:rPr>
        <w:t>عنه، كما رووا عن عبد الأعلى مجرداً، وبناء على كفاية ذلك في الحكم بالوثاقة تكون الرواية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يبعد أن يكون المراد بعبد الأعلى في هذه الرواية هو ابن أعين العجلي بقرينة الراوي عنه وهو يونس بن يعقوب</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التقديرين فلا إشكال في سند الرواية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أبي حمزة</w:t>
      </w:r>
      <w:r>
        <w:rPr>
          <w:rStyle w:val="FootnoteAnchor"/>
          <w:rtl w:val="true"/>
        </w:rPr>
        <w:footnoteReference w:id="627"/>
      </w:r>
      <w:r>
        <w:rPr>
          <w:rFonts w:ascii="IRNazanin" w:hAnsi="IRNazanin" w:eastAsia="IRNazanin"/>
          <w:color w:val="111111"/>
          <w:sz w:val="28"/>
          <w:sz w:val="28"/>
          <w:szCs w:val="28"/>
          <w:rtl w:val="true"/>
          <w:lang w:bidi="fa-IR"/>
        </w:rPr>
        <w:t xml:space="preserve">المتقدمة حيث أجاز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الزواج من المطلّقة على غير السنّة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وتزوّجوهنّ فلا بأس بذلك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تقدّم أنّ سند الرواية ضعيف فتكون مؤيدة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إذا كانت المطلّقة مخالفة، وأما إذا كانت مؤمنة فالإطلاقات المتقدمة تشملها كما يشملها إطلاق صحيحة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بعض موالينا إلى أبيجعفر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عارفة أحدث زوجها فهرب من البلاد، فتبع الزوج بعض أهل المرأة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طلّقت وإمّا رددتك فطلّقها، ومضى الرجل على وجهه فما ترى للمرأة؟ فكتب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تزوّجي يرحمك الله</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لم يعلم أنّ الطلاق ـ حين إيقاعه ـ كان واجداً للشرائط أم لا، ولم يبيّن ذلك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الحاجة إلى البيان، فيمكن الأخذ بإطلاقها، مضافاً إلى دلالة خصوص معتبرة إبراهيم بن محمد الهمداني المتقدمة الواردة في شأن المرأة العارفة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بإزاء هذه الروايات عدة روايات أخرى تدلّ على عدم الجواز وهي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الجواز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عمر بن حنظلة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والمطلّقات في مجلس واحد فإنّهن ذوات أزواج</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أوردها الشيخ في التهذيب</w:t>
      </w:r>
      <w:r>
        <w:rPr>
          <w:rStyle w:val="FootnoteAnchor"/>
          <w:rtl w:val="true"/>
        </w:rPr>
        <w:footnoteReference w:id="630"/>
      </w:r>
      <w:r>
        <w:rPr>
          <w:rFonts w:ascii="IRNazanin" w:hAnsi="IRNazanin" w:eastAsia="IRNazanin"/>
          <w:color w:val="111111"/>
          <w:sz w:val="28"/>
          <w:sz w:val="28"/>
          <w:szCs w:val="28"/>
          <w:rtl w:val="true"/>
          <w:lang w:bidi="fa-IR"/>
        </w:rPr>
        <w:t>، والاستبصار</w:t>
      </w:r>
      <w:r>
        <w:rPr>
          <w:rStyle w:val="FootnoteAnchor"/>
          <w:rtl w:val="true"/>
        </w:rPr>
        <w:footnoteReference w:id="631"/>
      </w:r>
      <w:r>
        <w:rPr>
          <w:rFonts w:ascii="Amiri" w:hAnsi="Amiri" w:eastAsia="Amiri" w:cs="Amiri"/>
          <w:color w:val="111111"/>
          <w:sz w:val="28"/>
          <w:sz w:val="28"/>
          <w:szCs w:val="28"/>
          <w:rtl w:val="true"/>
          <w:lang w:bidi="ar-SA"/>
        </w:rPr>
        <w:t xml:space="preserve"> بسنده عن عمر بن حنظلة، ورواها الكليني</w:t>
      </w:r>
      <w:r>
        <w:rPr>
          <w:rStyle w:val="FootnoteAnchor"/>
          <w:rtl w:val="true"/>
        </w:rPr>
        <w:footnoteReference w:id="632"/>
      </w:r>
      <w:r>
        <w:rPr>
          <w:rFonts w:ascii="Amiri" w:hAnsi="Amiri" w:eastAsia="Amiri" w:cs="Amiri"/>
          <w:color w:val="111111"/>
          <w:sz w:val="28"/>
          <w:sz w:val="28"/>
          <w:szCs w:val="28"/>
          <w:rtl w:val="true"/>
          <w:lang w:bidi="ar-SA"/>
        </w:rPr>
        <w:t>بسنده عن علي بن حنظلة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الصحيح هو ما ذكره الكليني وأنّ الراوي هو علي بن حنظلة </w:t>
      </w:r>
    </w:p>
    <w:p>
      <w:pPr>
        <w:pStyle w:val="BookText"/>
        <w:rPr/>
      </w:pPr>
      <w:r>
        <w:rPr>
          <w:rFonts w:ascii="IRNazanin" w:hAnsi="IRNazanin" w:eastAsia="IRNazanin"/>
          <w:color w:val="111111"/>
          <w:sz w:val="28"/>
          <w:sz w:val="28"/>
          <w:szCs w:val="28"/>
          <w:rtl w:val="true"/>
          <w:lang w:bidi="fa-IR"/>
        </w:rPr>
        <w:t>لا عمر، ويؤيده ما رواه الشيخ نفسه في التهذيب بسنده عن جعفر بن سماعة أنه سئل عن امرأة طلّقت على غير السنة ألي أن أتزوّجها؟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تعلم أنّ علي بن حنظلة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والمطلّقات ثلاثاً على غير السنّة فإنّهنّ ذوات أزواج؟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رواية علي بن أبي حمزة أوسع على الناس، روى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ألزموهم من ذلك ما ألزموه أنفسهم وتزوّجوهنّ فلا بأس بذلك</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وموضع الشاهد واضح، ومن ذلك يظهر أنّ الراوي علي بن حنظلة، وأنّ ما وقع في التهذيبين من سهو واشتباه النساخ حيث جعلوا عمر مكان علي، اللهمّ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معاً قد سمعا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مجلس واحد، وروى موسى بن بكر عنهما معاً، وهو تارة يرويها عن علي، وأخرى عن عمر، وأما حديث جعفر بن سماعة فلا ينافي الرواية عن عمر لاحتمال أنّ ما بلغه إنّما كان عن علي لا عن عمر، وعلى كلا التقديرين فالرواية معتبرة فإنّ علي بن حنظلة مما لا إشكال في وثاقته، وقد ورد في حقّه أنّه رجل ورع</w:t>
      </w:r>
      <w:r>
        <w:rPr>
          <w:rStyle w:val="FootnoteAnchor"/>
          <w:rtl w:val="true"/>
        </w:rPr>
        <w:footnoteReference w:id="634"/>
      </w:r>
      <w:r>
        <w:rPr>
          <w:rFonts w:ascii="Amiri" w:hAnsi="Amiri" w:eastAsia="Amiri" w:cs="Amiri"/>
          <w:color w:val="111111"/>
          <w:sz w:val="28"/>
          <w:sz w:val="28"/>
          <w:szCs w:val="28"/>
          <w:rtl w:val="true"/>
          <w:lang w:bidi="ar-SA"/>
        </w:rPr>
        <w:t>، وأما عمر بن حنظلة فكذلك، بناء على ما حقّقناه في محلّه</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حفص بن البختري،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والمطلّقات ثلاثاً فإنّهنّ ذوات أزواج</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إلى المأمون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طلّقت المرأة بعد العدّة ثلاث مرات لم تحلّ لزوجها حتى تنكح زوجاً غيره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تزويج المطلّقات ثلاثاً في موضع واحد فإنّهنّ ذوات أزواج</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وموضع الشاهد 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سند الرواية فقد تقدّم البحث فيه وقلنا بإمكان اعتبار روايات الصدوق عن الفضل بن شاذان الواردة عن طريق محمد بن نعيم بن شاذان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عثمان بن عيسى 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وذوات الأزواج المطلّقات على غير 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طلق امرأته من هؤلاء ولي بها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فيلقاه بعدما طلّقها وانقضت عدتها عند صاحبها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أطلّقت فلانة؟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فقد صارت تطليقة على طهر، فدعها من حين طلّقها تلك التطليقة حتى تنقضي عدّتها ثم تزوّجهاوقد صارت تطليقة باينة</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وموضع الشاهد هو صدر الرواية حيث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باجتناب المطلّقات على غير السنّة فإنّهن ذوات أزواج، وهي مؤيدة للروايات المتقدمة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نكاحهنّ بعد تصحيح الطلاق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إسحاق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يريد تزويج امرأة قد طلّقت ثلاثاً كيف يصنع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يدعها حتى تحيض وتطهر ثم يأتي زوجها ومعه رجلان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طلّقت فلانة؟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تركها حتى تمضي ثلاثة أشهر ثم خطبها إلى نفسه</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حفص بن البختري،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طلّق امرأته ثلاثاً فأراد رجل أن يتزوّجها كيف يصنع؟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يأتيه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طلّقت </w:t>
      </w:r>
    </w:p>
    <w:p>
      <w:pPr>
        <w:pStyle w:val="BookText"/>
        <w:rPr/>
      </w:pPr>
      <w:r>
        <w:rPr>
          <w:rFonts w:ascii="Amiri" w:hAnsi="Amiri" w:eastAsia="Amiri" w:cs="Amiri"/>
          <w:color w:val="111111"/>
          <w:sz w:val="28"/>
          <w:sz w:val="28"/>
          <w:szCs w:val="28"/>
          <w:rtl w:val="true"/>
          <w:lang w:bidi="ar-SA"/>
        </w:rPr>
        <w:t>فلانة؟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تركها ثلاثة أشهر ثم خطبها إلى نفسها</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ومضمون هاتين الروايتين واحد إلاّ أنّ الثانية لم يذكر فيها الإمهال حتى تحيض وتطهر وإتيان الزوج بالشاهدين، فإن لم تكونا رواية واحدة وقد سقط من سند الثانية إسحاق بن عمار إذ أنّ الراوي عنه في الأولى هو حفص بن البختري فلابدّ من تقييد الثانية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يمكن حمل الطائفة الأولى على أحد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بالمطلّقات فيها ما كان المطلق لهنّ مؤمناً لا مخالفاً، وإنما ورد النهي عن نكاحهنّ لأنّ المؤمن لا يراه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هذا الحمل معتبرة جعفر بن محمد بن عبيد الله عن أبيه</w:t>
      </w:r>
      <w:r>
        <w:rPr>
          <w:rStyle w:val="FootnoteAnchor"/>
          <w:rtl w:val="true"/>
        </w:rPr>
        <w:footnoteReference w:id="641"/>
      </w:r>
      <w:r>
        <w:rPr>
          <w:rFonts w:ascii="IRNazanin" w:hAnsi="IRNazanin" w:eastAsia="IRNazanin"/>
          <w:color w:val="111111"/>
          <w:sz w:val="28"/>
          <w:sz w:val="28"/>
          <w:szCs w:val="28"/>
          <w:rtl w:val="true"/>
          <w:lang w:bidi="fa-IR"/>
        </w:rPr>
        <w:t xml:space="preserve">المتقدمة حيث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طلاق المؤمن وطلاق المخالف فمنع في الأول وأجاز في الثاني وعلّله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لأنّكم لا ترون الثلاث شيئاً وهم يوجبونها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ويؤيدها رواية عبد الله بن طاووس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ابن أخ زوّجته ابنتي وهو يشرب الشراب ويكثر ذكر الطلاق،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من إخوانك فلا شيء عليه، وإن كان من هؤلاء فأبنها منه فإنّه عنى الفراق،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قد 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والمطلّقات ثلاثاً في مجلس فإنّهن ذوات الأزواج؟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من إخوانكم لا من هؤلاء، إنه من دان بدين قوم لزمته أحكامهم</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صريحة في التفصيل بين  المؤمن والمخالف في الطلاق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السند فهي ضعيفة ولذا جعلناها مؤيدة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ورد في مرسلة عثمان بن عيسى</w:t>
      </w:r>
      <w:r>
        <w:rPr>
          <w:rStyle w:val="FootnoteAnchor"/>
          <w:rtl w:val="true"/>
        </w:rPr>
        <w:footnoteReference w:id="643"/>
      </w:r>
      <w:r>
        <w:rPr>
          <w:rFonts w:ascii="Amiri" w:hAnsi="Amiri" w:eastAsia="Amiri" w:cs="Amiri"/>
          <w:color w:val="111111"/>
          <w:sz w:val="28"/>
          <w:sz w:val="28"/>
          <w:szCs w:val="28"/>
          <w:rtl w:val="true"/>
          <w:lang w:bidi="ar-SA"/>
        </w:rPr>
        <w:t xml:space="preserve">المتقدمة حيث جاء 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طلّق امرأة من هؤلاء ولي بها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فيلقاه بعدما طلّقهاوانقضت عدّتها عند صاحبها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أطلّقت فلانة؟</w:t>
      </w:r>
    </w:p>
    <w:p>
      <w:pPr>
        <w:pStyle w:val="BookText"/>
        <w:rPr/>
      </w:pPr>
      <w:r>
        <w:rPr>
          <w:rFonts w:ascii="Amiri" w:hAnsi="Amiri" w:eastAsia="Amiri" w:cs="Amiri"/>
          <w:color w:val="111111"/>
          <w:sz w:val="28"/>
          <w:sz w:val="28"/>
          <w:szCs w:val="28"/>
          <w:rtl w:val="true"/>
          <w:lang w:bidi="ar-SA"/>
        </w:rPr>
        <w:t>والمستفاد منها أنّ المطلّق مخالف وذلك مناف للحمل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لا تصلح للمعارضة وذلك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تمامية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الرواية هو غير الطلاق ثلاثاً، وإنما هو فقدان سائر الشرائط فالرواية قاصرة عن المعارضة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في قصور</w:t>
      </w:r>
    </w:p>
    <w:p>
      <w:pPr>
        <w:pStyle w:val="BookText"/>
        <w:rPr/>
      </w:pPr>
      <w:r>
        <w:rPr>
          <w:rFonts w:ascii="Amiri" w:hAnsi="Amiri" w:eastAsia="Amiri" w:cs="Amiri"/>
          <w:color w:val="111111"/>
          <w:sz w:val="28"/>
          <w:sz w:val="28"/>
          <w:szCs w:val="28"/>
          <w:rtl w:val="true"/>
          <w:lang w:bidi="ar-SA"/>
        </w:rPr>
        <w:t>الدلالة عن المعارضة أيضاً حديث جعفر بن سماعة المتقدّم، حيث استظهر من رواية علي بن حنظلة أنّ المراد بالمطلّقة ثلاثاً هي المخالفة لا المؤمنة، وذلك لأنّ ما أجاب به جعفر بن سماعة لم يكن رواية عن المعصوم وإنّما هو اجتهاد منه وليس بحجة علينا، ولا يصلح للمعارضة وإن كان السند معتبراً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تحمل الروايات على أنّ المراد هو أنّ الطلاق وقع على غير طهر، ويشهد لهذا الحمل ما تقدم في صحيحة</w:t>
      </w:r>
      <w:r>
        <w:rPr>
          <w:rStyle w:val="FootnoteAnchor"/>
          <w:rtl w:val="true"/>
        </w:rPr>
        <w:footnoteReference w:id="644"/>
      </w:r>
      <w:r>
        <w:rPr>
          <w:rFonts w:ascii="IRNazanin" w:hAnsi="IRNazanin" w:eastAsia="IRNazanin"/>
          <w:color w:val="111111"/>
          <w:sz w:val="28"/>
          <w:sz w:val="28"/>
          <w:szCs w:val="28"/>
          <w:rtl w:val="true"/>
          <w:lang w:bidi="fa-IR"/>
        </w:rPr>
        <w:t xml:space="preserve">أبي بصير، والحلبي، وعمر بن حنظلة،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ثلاثاً في غير عدّة إن كانت على طهر فواحدة، وإن لم تكن على طهر فليس بشيء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تقدم أيضاً في صحيحة</w:t>
      </w:r>
      <w:r>
        <w:rPr>
          <w:rStyle w:val="FootnoteAnchor"/>
          <w:rtl w:val="true"/>
        </w:rPr>
        <w:footnoteReference w:id="645"/>
      </w:r>
      <w:r>
        <w:rPr>
          <w:rFonts w:ascii="IRNazanin" w:hAnsi="IRNazanin" w:eastAsia="IRNazanin"/>
          <w:color w:val="111111"/>
          <w:sz w:val="28"/>
          <w:sz w:val="28"/>
          <w:szCs w:val="28"/>
          <w:rtl w:val="true"/>
          <w:lang w:bidi="fa-IR"/>
        </w:rPr>
        <w:t xml:space="preserve">أبي أيوب الخزّاز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جاء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طلّق امرأته ثلاثاً وهي على طهر فإنّما هي واحدة، ورجل طلّق امرأته ثلاثاً على غير طهر فليس بشيء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وغيرها من الروايات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هذا الوجه ضعيف، وذلك لأنّ  الظاهر أنّ الحكم بالتفصيل بين </w:t>
      </w:r>
    </w:p>
    <w:p>
      <w:pPr>
        <w:pStyle w:val="BookText"/>
        <w:rPr/>
      </w:pPr>
      <w:r>
        <w:rPr>
          <w:rFonts w:ascii="Amiri" w:hAnsi="Amiri" w:eastAsia="Amiri" w:cs="Amiri"/>
          <w:color w:val="111111"/>
          <w:sz w:val="28"/>
          <w:sz w:val="28"/>
          <w:szCs w:val="28"/>
          <w:rtl w:val="true"/>
          <w:lang w:bidi="ar-SA"/>
        </w:rPr>
        <w:t>وقوع الطلاق ثلاثاً على طهر واحدة، ووقوعه على غير طهر ليس بشيء، إنما هو للمؤمن لا للمخالف، لما تقدم من أنّ طلاق المخالف يلزمه بأي نحو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فما ذكرناه من الوجه الأول هو الأرجح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الثانية فهي وإن كان الحكم فيها بالجواز ـ بعد تصحيح الطلاق الواقع ـ مطلقاً إذ لم يقيّد بكون المطلّق موافقاً أو مخالفاً إلاّ أنه لابدّ من حمل مفادها على  الحكم التنزيهي ومراعاة الاحتياط، ولا سيّما أنّ المسألة ترتبط بالفروج والاحتياط فيها مطلوب، إذ غالباً ما يقع الإخلال ببعض الشروط المعتبرة في الطلاق بلا فرق بين المؤمنين والمخالفين، فمن أجل تحقيق  الدقّة والضبط وتحصيل الاطمئنان في هذا الموضوع المهم جاءت هذه الروايات لتبيّن كيفية تحقّق ذلك وتأمر بالتريّث قبل الإقدام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الحكم على تقدير شموله للمؤمن لا ينافي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هاتين الطائفتين ليستا معارضتين للروايات المتقدمة الدالة على إمضاء طلاقهم وجواز نكاح نسائهم وإن كان الحكم ظاهرياً لأجل مداراتهم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الفرع الثاني وهو حكم رجوع المخالف بعد استبصاره فقد ذهب السيد الحكيم</w:t>
      </w:r>
      <w:r>
        <w:rPr>
          <w:rStyle w:val="FootnoteAnchor"/>
          <w:rtl w:val="true"/>
        </w:rPr>
        <w:footnoteReference w:id="646"/>
      </w:r>
      <w:r>
        <w:rPr>
          <w:rFonts w:ascii="Amiri" w:hAnsi="Amiri" w:eastAsia="Amiri" w:cs="Amiri"/>
          <w:color w:val="111111"/>
          <w:sz w:val="28"/>
          <w:sz w:val="28"/>
          <w:szCs w:val="28"/>
          <w:rtl w:val="true"/>
          <w:lang w:bidi="ar-SA"/>
        </w:rPr>
        <w:t>والسيد الأستاذ</w:t>
      </w:r>
      <w:r>
        <w:rPr>
          <w:rStyle w:val="FootnoteAnchor"/>
          <w:rtl w:val="true"/>
        </w:rPr>
        <w:footnoteReference w:id="647"/>
      </w:r>
      <w:r>
        <w:rPr>
          <w:rFonts w:ascii="Amiri" w:hAnsi="Amiri" w:eastAsia="Amiri" w:cs="Amiri"/>
          <w:color w:val="111111"/>
          <w:sz w:val="28"/>
          <w:sz w:val="28"/>
          <w:szCs w:val="28"/>
          <w:rtl w:val="true"/>
          <w:lang w:bidi="ar-SA"/>
        </w:rPr>
        <w:t>قدّس سرهما إلى جواز رجوع المستبصر إلى مطلّقته أوالزواج منها، من دون الحاجة إلى أن تنكح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الشيخ حسين الحلي </w:t>
      </w:r>
      <w:r>
        <w:rPr>
          <w:rFonts w:eastAsia="Amiri" w:cs="Amiri" w:ascii="Amiri" w:hAnsi="Amiri"/>
          <w:color w:val="111111"/>
          <w:sz w:val="28"/>
          <w:szCs w:val="28"/>
          <w:rtl w:val="true"/>
          <w:lang w:bidi="ar-SA"/>
        </w:rPr>
        <w:t xml:space="preserve">! </w:t>
      </w:r>
      <w:r>
        <w:rPr>
          <w:rStyle w:val="FootnoteAnchor"/>
          <w:rtl w:val="true"/>
        </w:rPr>
        <w:footnoteReference w:id="648"/>
      </w:r>
      <w:r>
        <w:rPr>
          <w:rFonts w:ascii="IRNazanin" w:hAnsi="IRNazanin" w:eastAsia="IRNazanin"/>
          <w:color w:val="111111"/>
          <w:sz w:val="28"/>
          <w:sz w:val="28"/>
          <w:szCs w:val="28"/>
          <w:rtl w:val="true"/>
          <w:lang w:bidi="fa-IR"/>
        </w:rPr>
        <w:t>إلى عدم الجواز</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كلام السيد الحكيم في الاستدلال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النصوص </w:t>
      </w:r>
    </w:p>
    <w:p>
      <w:pPr>
        <w:pStyle w:val="BookText"/>
        <w:rPr/>
      </w:pPr>
      <w:r>
        <w:rPr>
          <w:rFonts w:ascii="Amiri" w:hAnsi="Amiri" w:eastAsia="Amiri" w:cs="Amiri"/>
          <w:color w:val="111111"/>
          <w:sz w:val="28"/>
          <w:sz w:val="28"/>
          <w:szCs w:val="28"/>
          <w:rtl w:val="true"/>
          <w:lang w:bidi="ar-SA"/>
        </w:rPr>
        <w:t>الواردة في ذلك على ثلاث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قاعدة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الإلزام أو وجوبه، ولا تدلّ على صحّة الطلاق المذكور، وإنّما تدلّ على مشروعية الإلزام بما ألزم به نفسه، والإلزام إنما يصحّ مع بقائه على الخلاف، وأما مع استبصاره فلا يرى نفسه ملزماً بالطلاق بل بالزوجية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هذه الطائفة ما ورد من الروايات المتضمنة للأمر بالتزويج وترتيب الأثر على فعلهم كصحيحة ابن سنان، ومكاتبة إبراهيم بن محمد الهمداني، ورواية عبد الله بن طاووس، وموثقة عبد الرحمن البصري، ورواية عبد الله بن محرز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الأمر بالتزويج في الأولى والرابعة، والاختلاع في الثانية، والإبانة في الثالثة، والأخذ بالتعصيب في الأخيرة لا يدلّ على الصحّة بل يمكن أن يكون هذا حكماً عليهم، فيجوز للمؤمن أن ينكح زوجة المخالف فتخرج بذلك عن زوجيتها له، نظير استرقاق الكافر الحر، وحيازة المباح الموجبة لملكية ما كان مباحاً قبل الحيازة، واسترقاق زوجة الكافر، فالأمر بالتزويج لا يدلّ على صحّةالطلاق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تتضمّن اللزوم دون الإلزام، كرواية عبد الله بن طاووس، ورواية عبد الأعلى وغيرهما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الروايات ليست صريحة في دلالتها على صحّة الطلاق فإنّ اللزوم أعم، خصوصاً إذا كان أحد الزوجين مخالفاً والآخر مستبصراً، فإنّ المستبصر يراه فاسداً والمخالف يراه صحيحاً، ولا يمكن الجمع بين الحكمين، لأنّ الطلاق لا يقبل الوصف بالصحة والفساد من جهتين في مورد واحد، فلابدّ أن يكون </w:t>
      </w:r>
    </w:p>
    <w:p>
      <w:pPr>
        <w:pStyle w:val="BookText"/>
        <w:rPr/>
      </w:pPr>
      <w:r>
        <w:rPr>
          <w:rFonts w:ascii="Amiri" w:hAnsi="Amiri" w:eastAsia="Amiri" w:cs="Amiri"/>
          <w:color w:val="111111"/>
          <w:sz w:val="28"/>
          <w:sz w:val="28"/>
          <w:szCs w:val="28"/>
          <w:rtl w:val="true"/>
          <w:lang w:bidi="ar-SA"/>
        </w:rPr>
        <w:t>المراد مجرّد الحكم على من دان منهما بما دان ما دام باقياً على ما هو عليه، فإذا استبصر فلا يرى نفسه ملزماً بما كان يدين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تتضمّن تحريم المطلّقة ثلاثاً على الزوج كرواية الهيثم بن أبي مسروق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عند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العلويين ممن كان ينتقصه،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مقيم على حرام،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وكيف وهي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قد طلّقها،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طلّقها؟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طلّقها وذلك دينه فحرمت عليه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مع ضعف سندها وقصور دلالتها ـ لعدم تعرّضها إلى أنّ الطلاق كان على خلاف المشروع ـ لا تصلح لإثبات نفوذ الطلاق غير الجامع للشرائط إذا كان مذهب المطلّق ذلك، لأنّ التحريم عليه أعمّ إذ من الجائز أن يكون التحريم بما أنه دينه، ولو استبصر فصار دينه حلّية الزوجة كانت له حلالاً، 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ذلك، فيدل على التحليل لو استبصر، ومثلها رواية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روايات الطلاق بأجمعها عدم الدليل على صحّة الطلاق، وإنما تدلّ على إلزامهم بذلك حيث كان دينهم، فيدور الحكم مدار بقائه فإذا تغيّر ودانوا بالخلاف فلا دليل على الإلزام، ويجوز الرجوع أو الزواج بحسب ما دان به أخيراً، نعم إذا تزوّجت المرأة قبل ذلك فلا يبقى مجال للرجوع، ولا يوجب أبطال النكاح، نظير ما إذا قسّم ميراث المخالف أو المسلم ثم استبصر أحد الورّاث أو أسلم فإنه لا يوجب إبطال القسمة</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ما استدل به الشيخ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الحكم الواقعي الثانوي </w:t>
      </w:r>
    </w:p>
    <w:p>
      <w:pPr>
        <w:pStyle w:val="BookText"/>
        <w:rPr/>
      </w:pPr>
      <w:r>
        <w:rPr>
          <w:rFonts w:ascii="Amiri" w:hAnsi="Amiri" w:eastAsia="Amiri" w:cs="Amiri"/>
          <w:color w:val="111111"/>
          <w:sz w:val="28"/>
          <w:sz w:val="28"/>
          <w:szCs w:val="28"/>
          <w:rtl w:val="true"/>
          <w:lang w:bidi="ar-SA"/>
        </w:rPr>
        <w:t>هو صحّة الطلاق، وحيث إنّه ليس محدوداً بما دام سنّياً بل إنّ تسنّنه يكون علة في تحقق الحكم بالانفصال وبقائه، فحينئذ لا فائدة في تشيّعه بعد ذلك، ولا يتمكّن من الرجوع إليها بدون محلّل</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هو القول الأول، وذلك لأنّ غاية ما تدلّ عليه الروايات هو الحكم بالصحة ظاهراً في حقه وعليه بما هو سنّي حين تسنّنه، وأما الحكم عليه بعد الاستبصار فلا ظهور للروايات في ذلك، مضافاً إلى أنّه مشمول لإطلاق أدلة جواز التزويج لكلّ شيعي فتجري عليه أحكام الشيعي، وعليه فإذا كانت في العدّة جاز له الرجوع إليها، وإذا انقضت عدّتها جاز له العقد عليها من دونحاجة إلى المحلّل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يستدل على ذلك أيضاً بما ورد في مكاتبة علي بن سويد لأبي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طويلة اشتملت على مسائل جليلة وسندها معتبر وموضع الشاهد 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عن أمهات أولادهم، وعن نكاحهم، وعن طلاقهم، فأمّا أمّهات أولادهم فهنّ عواهر إلى يوم القيامة، نكاح بغير ولي، وطلاق في غير عدّة، وأما من دخل دعوتنا فقد هدم إيمانه ضلاله ويقينه شكّه</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قرّب السيد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بها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الاستبصار يهدم ما قبله، فالتحريم الثابت للمطلّق ثلاثاً يتبدّل بالتحليل وعقّبه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يخلو عن إشكال وغموض لعدم وضوح رجوع الفقرة إلى ما ذكر، بل من المحتمل رجوعها إلى مسألة أخرى غير هذه المسألة فلا تنفع فيما نحن فيه</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الفقرة وهي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من دخل دعوتنا فقد هدم إيمانه ضلاله ويقينه شكّه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راجعة إلى نفس هذه المسألة لا إلى مسألة أخرى كما احتمله السيد بقرينة المسائل السابقة واللاحقة الواردة في نفس الرواية، نعم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الفقرة وإن كانت من تتمة الجواب عن هذه المسألة إلاّ أنّها ناظرة إلى حكمهم من جهة الأصول الاعتقادية لا إلى حكمهم فيالفروع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ويؤيّد ذلك التعبير بالإيمان والضلال واليقين والشك فإنّ هذه الألفاظ إنما تستعمل غالباً في مسائل الاعتقاد، وحينئذ فالرواية أجنبية عن المقام، وأما إذا كانت ناظرة إلى حكم عبادتهم ومعاملاتهم وأنها ممضاة بعد الاستبصار فلا تدلّ على المطلوب، بل على عكسه، لأنّ لازم ذلك صحّة طلاقه في حال تسنّنه، وحينئذ فالرواية معارضة للاستظهار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هذه الفقرة غير واضح، وفي قول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إشكال وغموض إشارة إلى ذلك، ولابدّ من الفحص والتأمل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الفرع الثالث وهو ما إذا كانت الزوجة مخالفة والزوج مؤمناً وطلّقها ثلاثاً على مذهبها فمقتضى قاعدة الإلزام أنها بحكم المطلّقة ويترتب على ذلك عدم استحقاقها المطالبة بالحقوق الزوجية كالنفقة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الزوج فله كامل حقوقه عليها كالاستمتاع ونحوه، لأنها لم تخرج عن حبالته وعصمته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الطلاق الواقع منه مستوفياً لسائر الشرائط فيعتبر تطليقة واحدة، وله حق الرجوع إليها إن كانت في عدتها، وإلاّ جاز له العقد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جواز تمكين الزوجة وعدمه، وغلبة حق الزوج على الزوجة أو بالعكس، وجوه ولا يبعد الأول، وسيأتي تفصيله إن شاء الله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الرجل امرأته وهي حائض أو في طهر واقعها فيه، </w:t>
      </w:r>
    </w:p>
    <w:p>
      <w:pPr>
        <w:pStyle w:val="BookText"/>
        <w:rPr/>
      </w:pPr>
      <w:r>
        <w:rPr>
          <w:rFonts w:ascii="Amiri" w:hAnsi="Amiri" w:eastAsia="Amiri" w:cs="Amiri"/>
          <w:color w:val="111111"/>
          <w:sz w:val="28"/>
          <w:sz w:val="28"/>
          <w:szCs w:val="28"/>
          <w:rtl w:val="true"/>
          <w:lang w:bidi="ar-SA"/>
        </w:rPr>
        <w:t>فهل يقع الطلاق وتترتب آثاره أو لا؟</w:t>
      </w:r>
    </w:p>
    <w:p>
      <w:pPr>
        <w:pStyle w:val="BookText"/>
        <w:rPr/>
      </w:pPr>
      <w:r>
        <w:rPr>
          <w:rFonts w:ascii="Amiri" w:hAnsi="Amiri" w:eastAsia="Amiri" w:cs="Amiri"/>
          <w:color w:val="111111"/>
          <w:sz w:val="28"/>
          <w:sz w:val="28"/>
          <w:szCs w:val="28"/>
          <w:rtl w:val="true"/>
          <w:lang w:bidi="ar-SA"/>
        </w:rPr>
        <w:t>ذهب الخاصّة إلى بطلان الطلاق، ولا خلاف فيه عندهم نصاً وفتوى، بلالإجماع بقسميه عليه</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جمهور العامة إلى صحّته ووقوعه وإن كان بدعيّاً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المحرّم هو أن يطلّق مدخولاً بها غير غائب عنها غيبة مخصوصة في حال المحيض أو في طهر جامعها فيه، فما هذا حكمه فإنه لا يقع عندنا، والعقد ثابت بحاله، وبه قال ابن عليّة، وقال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يقع وإن كان محظوراً، وذهب إليه أبو حنيفة وأصحابه، ومالك، والأوزاعي، والثوري، والشافعي</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الشوكاني بعد أن ذكر الروايات الواردة في طلاق عبد الله بن عمر، وأنه طلّق تطليقة فحسبت من 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تمسّك بذلك من قال بأنّ الطلاق البدعي يقع وهم الجمهور، وذهب الباقر، والصادق، وابن حزم، وحكاه الخطابي عن الخوارج، والروافض إلى أنّه لا يقع، وحكاه ابن العربي عن ابن عليّة يعني إبراهيم بن إسماعيل بن عليّة وهو من فقهاء المعتزلة، 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يخالف في ذلك إلاّ أهل البدع والضلال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مثله عن بعض التابعين وهو شذوذ</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ذهب إلى هذا المذهب أعني عدم وقوع البدعي شيخ الإسلام ابن تيمية وتلميذه ابن القيم</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 للبدعة وهو أن يطلّقها حائضاً أو في طهر أصابها فيه أثم ووقع طلاقه في قول عامّة أهل العلم، قال ابن المنذر، وابن </w:t>
      </w:r>
    </w:p>
    <w:p>
      <w:pPr>
        <w:pStyle w:val="BookText"/>
        <w:rPr/>
      </w:pPr>
      <w:r>
        <w:rPr>
          <w:rFonts w:ascii="Amiri" w:hAnsi="Amiri" w:eastAsia="Amiri" w:cs="Amiri"/>
          <w:color w:val="111111"/>
          <w:sz w:val="28"/>
          <w:sz w:val="28"/>
          <w:szCs w:val="28"/>
          <w:rtl w:val="true"/>
          <w:lang w:bidi="ar-SA"/>
        </w:rPr>
        <w:t>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يخالف في ذلك إلاّ أهل البدع والضلال، وحكاه أبو نصر عن ابن علية، وهشام بن الحكم، والشيعة،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طلاقه لأنّ الله أمر به في قبل العدة، فإذا طلّق في غيره لم يقع، كالوكيل إذا أوقعه في زمن أمره موكّله بإيقاعه في غيره</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يظهر أنّ المشهور عند العامة هو صحّة الطلاق وإن كان على غير السنّة، ومخالفاً لمدلول الآية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الخاصة فقد اتفقت كلمتهم على عدم صحّة هذا الطلاق ولا يترتّب عليه شيء من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الخاصة على اعتبار الخلوّ عن الحيض، وأن يكون في طهر لا وقاع فيه ـ مضافاً إلى الأصل المتقدّم في المسألة السابقة ـ بالأدلّة الثلاثة، الكتاب والسنّة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الكتاب فبقوله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إِذَا طَلَّقْتُمْ النِّسَاءَ فَطَلِّقُوهُنَّ لِعِدَّتِهِنَّ وَأَحْصُوا الْعِدَّةَ </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فَطَلِّقُوهُنَّ 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زمان عدّتهنّ، وذلك أن يطلقها في طهر لم يجامعها فيه، كما عن ابن عباس، وابن مسعود، والحسن، ومجاهد، وابن سيرين، وقتادة، والضحاك،والسدي، فهذا هو الطلاق للعدّة لأنّها تعتدّ بذلك الطهر من عدّتها وتحصل في العدّة عقيب الطلاق، فالمعنى فطلّقوهنّ لطهرهنّ الذي يحصينه من عدّتهنّ</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ونفى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 الخلافَ في ذلك</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الرازي أنّ معنى لعدّتهنّ أي لزمان عدّتهنّ وهو الطهر بإجماع الأمّة</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على أنّه قد وردت بعض الروايات من طرق الخاصّة والعامّة فسرت فيها الآية بهذا المعنى</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من السنّة فقد بلغت الروايات حدّ الاستفاضة بل قد يدّعى فيها التواتر كما في الجواهر</w:t>
      </w:r>
      <w:r>
        <w:rPr>
          <w:rStyle w:val="FootnoteAnchor"/>
          <w:rtl w:val="true"/>
        </w:rPr>
        <w:footnoteReference w:id="664"/>
      </w:r>
      <w:r>
        <w:rPr>
          <w:rFonts w:ascii="Amiri" w:hAnsi="Amiri" w:eastAsia="Amiri" w:cs="Amiri"/>
          <w:color w:val="111111"/>
          <w:sz w:val="28"/>
          <w:sz w:val="28"/>
          <w:szCs w:val="28"/>
          <w:rtl w:val="true"/>
          <w:lang w:bidi="ar-SA"/>
        </w:rPr>
        <w:t>وغيره</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صحيحة عمر بن أذينة عن زرارة، وبكير بن أعين، ومحمد بن مسلم، وبريد بن معاوية العجلي، والفضيل بن يسار، وإسماعيل الأزرق، ومعمّر بن يحيى بن 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كلّهم سمعه من أبي جعفر، ومن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بصفة ما قالوا، وإن لم أحفظ حروفه، غير أنه لم يسقط عنّي جمل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الطلاق الذي أمر الله به في كتابه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إذاحاضت المرأة وطهرت من حيضها أشهد رجلين عدلين قبل أن يجامعها على تطليقة، ثم هو أحقّ برجعتها ما لم تمض لها ثلاثة قروء، فإن راجعها كانت عنده على تطليقتين، وإن مضت ثلاثة قروء قبل أن يراجعها فهي أملك بنفسها، فإن أراد أن يخطبها مع الخطّاب خطبها، فإن تزوّجها كانت عنده على تطليقتين، وما خلا هذا فليس بطلاق</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ابن بكير، وغيره،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الذي أمر الله عزوجل به في كتابه والذي سنّ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يخلّي الرجل عن المرأة، فإذا حاضت وطهرت من محيضها أشهد رجلين عدلين على تطليقة وهي طاهر من غير جماع، وهو أحقّ برجعتها ما لم تنقض ثلاثة قروء، وكلّ </w:t>
      </w:r>
    </w:p>
    <w:p>
      <w:pPr>
        <w:pStyle w:val="BookText"/>
        <w:rPr/>
      </w:pPr>
      <w:r>
        <w:rPr>
          <w:rFonts w:ascii="Amiri" w:hAnsi="Amiri" w:eastAsia="Amiri" w:cs="Amiri"/>
          <w:color w:val="111111"/>
          <w:sz w:val="28"/>
          <w:sz w:val="28"/>
          <w:szCs w:val="28"/>
          <w:rtl w:val="true"/>
          <w:lang w:bidi="ar-SA"/>
        </w:rPr>
        <w:t>طلاق ما خلا هذا فباطل ليس بطلاق</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طلاق لا يكون على السنّة أو طلاق على العدّة فليس بشيء،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لي طلاق السنة، وطلاق العدة،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طلاق السنة فإذا أراد الرجل أن يطلّق امرأته فلينتظر بها حتى تطمث وتطهر، فإذا خرجت من طمثها طلّقها تطليقة من غير جماع، ويشهد شاهدين على ذلك، ثم يدعها حتى تطمث طمثتين فتنقضي عدتها بثلاث حيض وقد بانت منه، ويكون خاطباً من الخطاب إن شاءت تزوّجته وإن شاءت لم تزوّجه، وعليه نفقتها والسكنى مادامت في عدتها، وهما يتوارثان حتى تنقضي 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 صاحب الوسائل تتمة الرواية في موضع آخر وهي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طلاق العدّة الذي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فَطَلِّقُوهُنَّ لِعِدَّتِهِنَّ وَأَحْصُوا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الرجل منكم أن يطلّق امرأته طلاق العدّة فلينتظر بها حتى تحيض وتخرج من حيضها، ثم يطلّقها تطليقة من غير جماع بشهادة شاهدين عدلين ويراجعها من يومه وذلك إن أحبّ أو بعد ذلك بأيام قبل أن تحيض ويشهد على رجعتها ويواقعها حتى تحيض، فإذا حاضت وخرجت من حيضها طلّقها تطليقة أخرى من غير جماع ويشهد على ذلك، ثم يراجعها أيضاً متى شاء قبل أن تحيض ويشهد على رجعتها ويواقعها، وتكون معه إلى أن تحيض الحيضة الثالثة، فإذا خرجت من حيضتها الثالثة طلّقها التطليقة الثالثة بغير جماع ويشهد على ذلك، فإذا فعل ذلك فقد بانت منه ولا تحلّ له حتى تنكح زوجاً غيره،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ممّن لا تحيض؟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تطلّق طلاق السنّة</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وغيرها من الروايات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فقد ورد في كلام غير واحد من الأصحاب كما في كشف اللثام</w:t>
      </w:r>
      <w:r>
        <w:rPr>
          <w:rStyle w:val="FootnoteAnchor"/>
          <w:rtl w:val="true"/>
        </w:rPr>
        <w:footnoteReference w:id="670"/>
      </w:r>
      <w:r>
        <w:rPr>
          <w:rFonts w:ascii="Amiri" w:hAnsi="Amiri" w:eastAsia="Amiri" w:cs="Amiri"/>
          <w:color w:val="111111"/>
          <w:sz w:val="28"/>
          <w:sz w:val="28"/>
          <w:szCs w:val="28"/>
          <w:rtl w:val="true"/>
          <w:lang w:bidi="ar-SA"/>
        </w:rPr>
        <w:t>والرياض</w:t>
      </w:r>
      <w:r>
        <w:rPr>
          <w:rStyle w:val="FootnoteAnchor"/>
          <w:rtl w:val="true"/>
        </w:rPr>
        <w:footnoteReference w:id="671"/>
      </w:r>
      <w:r>
        <w:rPr>
          <w:rFonts w:ascii="IRNazanin" w:hAnsi="IRNazanin" w:eastAsia="IRNazanin"/>
          <w:color w:val="111111"/>
          <w:sz w:val="28"/>
          <w:sz w:val="28"/>
          <w:szCs w:val="28"/>
          <w:rtl w:val="true"/>
          <w:lang w:bidi="fa-IR"/>
        </w:rPr>
        <w:t>والحدائق</w:t>
      </w:r>
      <w:r>
        <w:rPr>
          <w:rStyle w:val="FootnoteAnchor"/>
          <w:rtl w:val="true"/>
        </w:rPr>
        <w:footnoteReference w:id="672"/>
      </w:r>
      <w:r>
        <w:rPr>
          <w:rFonts w:ascii="IRNazanin" w:hAnsi="IRNazanin" w:eastAsia="IRNazanin"/>
          <w:color w:val="111111"/>
          <w:sz w:val="28"/>
          <w:sz w:val="28"/>
          <w:szCs w:val="28"/>
          <w:rtl w:val="true"/>
          <w:lang w:bidi="fa-IR"/>
        </w:rPr>
        <w:t>والجواهر</w:t>
      </w:r>
      <w:r>
        <w:rPr>
          <w:rStyle w:val="FootnoteAnchor"/>
          <w:rtl w:val="true"/>
        </w:rPr>
        <w:footnoteReference w:id="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ذلك يتبين أنّ المسألة عند الخاصة واضحة جداً ولا وجه لبسط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العامة فقد خالفوا الحق في ذلك، وجعلوا ـ بزعمهم ـ أدلّة نسجوها بأوهامهم وهي أوهن من بيت العنكبوت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مسلم من أنّ عبد الله بن عمر طلّق امرأته وهي حائض فأتى عمر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فليراجعها ثم يطلّقها قبل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فتعتدّ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فمه؟ أرأيت إن عجزوا واستحمق</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قريباً منه البخاري في صحيحه</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طلّقت امرأتي وهي حائض فذكر ذلك عمر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فتغيّظ رسول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فليراجعها حتى تحيض حيضة أخرى مستقبلة سوى حيضتها التي طلّقها فيها، فإن بدا له أن يطلّقها طاهراً من حيضها قبل أن يمسّها فذلك الطلاق للعدّة كما أمر الله</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بدعوى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مره فليراجعها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وقوع الطلاق وصحّته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أنّ عبد الله بن عمر طلّقها تطليقة واحدة فحسبت من </w:t>
      </w:r>
    </w:p>
    <w:p>
      <w:pPr>
        <w:pStyle w:val="BookText"/>
        <w:rPr/>
      </w:pPr>
      <w:r>
        <w:rPr>
          <w:rFonts w:ascii="IRNazanin" w:hAnsi="IRNazanin" w:eastAsia="IRNazanin"/>
          <w:color w:val="111111"/>
          <w:sz w:val="28"/>
          <w:sz w:val="28"/>
          <w:szCs w:val="28"/>
          <w:rtl w:val="true"/>
          <w:lang w:bidi="fa-IR"/>
        </w:rPr>
        <w:t>طلاقها</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عليّ بتطليقة</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 احتساب التطليقة دليل على وقوع الطلاق وصحّته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الروايات التي زعموا دلالتها على صحة الطلاق حال الحيض وهذه الأدلة كلها غير تامة وذلك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الروايات مضافاً إلى عدم صراحتها قاصرة الدلالة في إفادة المدّعى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 فليراجعها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يدل على وقوع الطلاق، بل إنّ دلالته على بطلانه أوضح، بقرينة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كيفية الطلاق الصحيح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فليطلّقها قبل 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تغيّظه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ابن عمر شاهد آخر على أنّ ما أوقعه من الطلاق باطل لا يعتدّ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فمه؟ فليس صريحاً في إمضاء الطلاق الواقع حال الحيض، ولا سيّما إنه قال ذلك بعد بيانه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لكيفية الطلاق الصحيح، فيكون سؤال عمر واستنكار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راجعين إلى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الكيفية الصحيحة، على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بدا له أن يطلّقها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 في عدم الاعتداد بما وقع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فحسبت من طلاقها أو حسبت عليّ بتطليقة ليس من قولالنبي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هو إما من الراوي وإما من ابن عمر وأي حجّة فيه؟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تمامية الدلالة إلاّ أنّ هذه الروايات مخالفة لما هو أقوى دلالة منها، وهو ما ورد عن ابن عمر نفسه، فقد روى نافع مولى ابن عمر، عن ابن عمر أنه قال في الرجل يطلّق امرأته وهي حائض،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يعتدّ لذلك</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قال الشوكاني عن سند هذه الرواية بأنه صحيح</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أخرى من طريق عبد الله بن مالك، عن ابن عمر، أنه طلّق امرأته وهي حائض،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بشيء</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التعارض بين الروايات إلاّ أنّ الروايات الدالّة على البطلان هي الأرجح ـ كما ذكر الشوكاني</w:t>
      </w:r>
      <w:r>
        <w:rPr>
          <w:rStyle w:val="FootnoteAnchor"/>
          <w:rtl w:val="true"/>
        </w:rPr>
        <w:footnoteReference w:id="682"/>
      </w:r>
      <w:r>
        <w:rPr>
          <w:rFonts w:ascii="Amiri" w:hAnsi="Amiri" w:eastAsia="Amiri" w:cs="Amiri"/>
          <w:color w:val="111111"/>
          <w:sz w:val="28"/>
          <w:sz w:val="28"/>
          <w:szCs w:val="28"/>
          <w:rtl w:val="true"/>
          <w:lang w:bidi="ar-SA"/>
        </w:rPr>
        <w:t>ـ لموافقتها للكتاب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موافقتها للكتاب فلأن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 فَطَلِّقُوهُنَّ لِعِدَّتِهِنَّ</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يدلّ على أنّ المطلّق في حال الحيض أو الطهر الذي وطأ فيه لم يطلّق بتلك العدة التي أمر الله بتطليق النساء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فَإمْسَاكٌ بِمَعْرُوفٍ أَوْ تَسْرِيحٌ بِإِحْسَانٍ</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يدل على أنّ الطلاق حال الحيض ليس من التسريح بإحسان، بل هو قبيح، ولا أقبح من التسريح الذي حرّمه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يدل على أنّ المراد هو الطلاق المأذون، فما عداه ليس بطلاق لما في هذا التركيب من الصيغة الصالحة للحصر أي تعريف المسند إليه بلام الجنس</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موافقتها للسنّة فلقوله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عملاً ليس عليه أمرنا فهو ردّ</w:t>
      </w:r>
      <w:r>
        <w:rPr>
          <w:rFonts w:eastAsia="IRNazanin" w:cs="IRNazanin"/>
          <w:color w:val="111111"/>
          <w:sz w:val="28"/>
          <w:szCs w:val="28"/>
          <w:rtl w:val="true"/>
          <w:lang w:bidi="fa-IR"/>
        </w:rPr>
        <w:t xml:space="preserve">» </w:t>
      </w:r>
      <w:r>
        <w:rPr>
          <w:rStyle w:val="FootnoteAnchor"/>
          <w:rtl w:val="true"/>
        </w:rPr>
        <w:footnoteReference w:id="686"/>
      </w:r>
      <w:r>
        <w:rPr>
          <w:rFonts w:ascii="IRNazanin" w:hAnsi="IRNazanin" w:eastAsia="IRNazanin"/>
          <w:color w:val="111111"/>
          <w:sz w:val="28"/>
          <w:sz w:val="28"/>
          <w:szCs w:val="28"/>
          <w:rtl w:val="true"/>
          <w:lang w:bidi="fa-IR"/>
        </w:rPr>
        <w:t xml:space="preserve">وهو حديث صحيح ـ كما يقول الشوكاني ـ شامل لكل مسألة مخالفة لما عليه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نحن فيه من هذا القبيل، فإنّ الله لم يشرّع هذا </w:t>
      </w:r>
    </w:p>
    <w:p>
      <w:pPr>
        <w:pStyle w:val="BookText"/>
        <w:rPr/>
      </w:pPr>
      <w:r>
        <w:rPr>
          <w:rFonts w:ascii="Amiri" w:hAnsi="Amiri" w:eastAsia="Amiri" w:cs="Amiri"/>
          <w:color w:val="111111"/>
          <w:sz w:val="28"/>
          <w:sz w:val="28"/>
          <w:szCs w:val="28"/>
          <w:rtl w:val="true"/>
          <w:lang w:bidi="ar-SA"/>
        </w:rPr>
        <w:t>الطلاق ولا أذن فيه، فليس من شرعه وأمره</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ناقش ابن حزم في المحلّى دعوى صحة الطلاق بوجوه أخرى فإن شئت فراجع</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ونكتفي بما ذكرنا فإنّ المسألة واضحة لا تحتاج إلى أكثر من هذا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الطلاق في حال الحيض أو في طهر المواقعة باطل لا يترتبعليه أيّ أثر، ثم إنّ الحكم ببطلان الطلاق جارٍ فيما إذا وقع حال النفاس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الإشهاد على الطلاق أو لا؟</w:t>
      </w:r>
    </w:p>
    <w:p>
      <w:pPr>
        <w:pStyle w:val="BookText"/>
        <w:rPr/>
      </w:pPr>
      <w:r>
        <w:rPr>
          <w:rFonts w:ascii="Amiri" w:hAnsi="Amiri" w:eastAsia="Amiri" w:cs="Amiri"/>
          <w:color w:val="111111"/>
          <w:sz w:val="28"/>
          <w:sz w:val="28"/>
          <w:szCs w:val="28"/>
          <w:rtl w:val="true"/>
          <w:lang w:bidi="ar-SA"/>
        </w:rPr>
        <w:t>ذهب الخاصّة إلى أنّ وقوع الطلاق من دون حضور شاهدين عدلين يسمعان صدوره من الزوج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العامة في ذلك وقالوا بصحة الطلاق وإن لم يكن في حضور الشاهدين، واعتبروا الإشهاد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طلاق لم يحضره شاهدان مسلمان عدلان ـ وإن تكاملت سائر الشروط ـ فإنه لا يقع، وخالف جميع الفقهاء في ذلك ولم يعتبر أحد منهم الشهادة</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سيد سابق في فقه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جمهور الفقهاء من السلف والخلف إلى أنّ الطلاق يقع بدون إشهاد لأنّ الطلاق من حقوق الرجل ولا يحتاج إلى بيّنة كي يباشر حقّه، ولم يرد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عن الصحابة ما يدل على مشروعية الإشهاد، وخالف في ذلك فقهاء الشيعة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ذهب إلى وجوب الإشهاد واشتراطه لصحّته من الصحابة أمير المؤمنين علي بن أبي طالب، </w:t>
      </w:r>
    </w:p>
    <w:p>
      <w:pPr>
        <w:pStyle w:val="BookText"/>
        <w:rPr/>
      </w:pPr>
      <w:r>
        <w:rPr>
          <w:rFonts w:ascii="Amiri" w:hAnsi="Amiri" w:eastAsia="Amiri" w:cs="Amiri"/>
          <w:color w:val="111111"/>
          <w:sz w:val="28"/>
          <w:sz w:val="28"/>
          <w:szCs w:val="28"/>
          <w:rtl w:val="true"/>
          <w:lang w:bidi="ar-SA"/>
        </w:rPr>
        <w:t xml:space="preserve">وعمران بن حصين، رضي الله عنهما، ومن التابعين الإمام محمد الباقر، والإمام جعفر الصادق، وبنوهما أئمة آل البيت رضوان الله عليهم،وكذلك عطاء، وابن جريج وابن سيرين </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في كلامه تهافتاً واضحاً، حيث نفى ورود ما يدل على مشروعية الإشهاد عن الصحابة، وأثبت أن أمير المؤمنين علي بن أبي طالب وعمران بن الحصين ـ وهما من الصحابة ـ قد اشترطا الإشهاد لصحّة الطلاق وذهبا إلى القول بالوجوب فضلاً عن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محمد جواد مغنية في الفقه على المذاهب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أبو زهرة في الأحوال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فقهاء الشيعة الإمامية الإثنا عشرية والإسماعيلية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الطلاق لا يقع من غير إشهاد عدلين لقوله تعالى في أحكام الطلاق وإنشائه في سورة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وَأَشْهِدُوا ذَوَي عَدْلٍ مِنْكُمْ وَأَقِيمُوا الشَّهَادَةَ لِلَّهِ ذَلِكُمْ يُوعَظُ بِهِ مَنْ كَانَ يُؤْمِنُ بِاللَّهِ وَالْيَوْمِ الآخِرِ 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 xml:space="preserve">، فهذا الأمر بالشهادة جاء بعد ذكر إنشاء الطلاق وجواز الرجعة، فكان المناسب أن يكون راجعاً إليه، وأنّ تعليل الإشهاد بأنه يوعظ به من كان يؤمن بالله واليوم الآخر يرشّح ذلك ويقوّيه، لأنّ حضور الشهود العدول لا يخلو من موعظة حسنة يزجونها إلى الزوجين فيكون لهما مخرج من الطلاق الذي هو أبغض الحلال إلى الله سبحانه وتعالى، وإنه لو كان لنا أن نختار للمعمول به في مصر لاخترنا هذا الرأي فيشترط لوقوع الطلاقحضور شاهدين عدلين </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الشيخ مغنية أنّ عمل الحكومة المصرية على ذلك، وأنّها قد </w:t>
      </w:r>
    </w:p>
    <w:p>
      <w:pPr>
        <w:pStyle w:val="BookText"/>
        <w:rPr/>
      </w:pPr>
      <w:r>
        <w:rPr>
          <w:rFonts w:ascii="Amiri" w:hAnsi="Amiri" w:eastAsia="Amiri" w:cs="Amiri"/>
          <w:color w:val="111111"/>
          <w:sz w:val="28"/>
          <w:sz w:val="28"/>
          <w:szCs w:val="28"/>
          <w:rtl w:val="true"/>
          <w:lang w:bidi="ar-SA"/>
        </w:rPr>
        <w:t>أحسنت بأخذها في كثير من شؤون الطلاق بالمذهب الإمامي وأنّ المذاهب الأربعة لم تشترط الإشهاد لصحة الطلاق بخلاف الإمامية حيث اعتبروه ركناً من أركانه</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استدلّ الخاصة للقول بالوجوب، بالكتاب والسنة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الكتاب فبقوله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وَأَشْهِدُوا ذَوَي عَدْلٍ مِنْكُمْ وَأَقِيمُوا الشَّهَادَةَ لِلَّهِ</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وهو صريح في الدلالة على الأمر بالإشهاد وقد تقرر في محلّه أنّ الأمر يقتضي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السنة فقد دلّت على اعتباره عدة روايات بلغت حدّ الاستفاضة أو التواتر، كما في الجواهر</w:t>
      </w:r>
      <w:r>
        <w:rPr>
          <w:rStyle w:val="FootnoteAnchor"/>
          <w:rtl w:val="true"/>
        </w:rPr>
        <w:footnoteReference w:id="695"/>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صحيحة زرارة ـ المتقدمة ـ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طلاق لا يكون على السنة أو طلاق العدّة فليس بشيء،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لي طلاق السنّة وطلاق العدّة،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طلاق السنّة ـ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ويشهد شاهدين على ذلك، ثم يدعها حتى تطمث طمثتين فتنقضي عدّتها بثلاثحيض </w:t>
      </w:r>
      <w:r>
        <w:rPr>
          <w:rFonts w:eastAsia="IRNazanin" w:cs="IRNazanin"/>
          <w:color w:val="111111"/>
          <w:sz w:val="28"/>
          <w:szCs w:val="28"/>
          <w:rtl w:val="true"/>
          <w:lang w:bidi="fa-IR"/>
        </w:rPr>
        <w:t>...</w:t>
      </w:r>
      <w:r>
        <w:rPr>
          <w:rStyle w:val="FootnoteAnchor"/>
          <w:rtl w:val="true"/>
        </w:rPr>
        <w:footnoteReference w:id="69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بكير وغيره ـ المتقدمة أيضاً ـ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الذي أمر الله عزوجل به في كتابه والذي سنّ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يخلّي الرجل عن المرأة، فإذا حاضت وطهرت من محيضها أشهد رجلين عدلين على تطليقة وهي طاهر من غير جماع ـ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وكل طلاق ما خلا هذا </w:t>
      </w:r>
    </w:p>
    <w:p>
      <w:pPr>
        <w:pStyle w:val="BookText"/>
        <w:rPr/>
      </w:pPr>
      <w:r>
        <w:rPr>
          <w:rFonts w:ascii="Amiri" w:hAnsi="Amiri" w:eastAsia="Amiri" w:cs="Amiri"/>
          <w:color w:val="111111"/>
          <w:sz w:val="28"/>
          <w:sz w:val="28"/>
          <w:szCs w:val="28"/>
          <w:rtl w:val="true"/>
          <w:lang w:bidi="ar-SA"/>
        </w:rPr>
        <w:t>فباطل ليس بطلاق</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رجل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طلّقت امرأتي للعدة بغير شهود،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طلاقك بطلاق، فارجع إلى أهلك</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صحيحته الأخرى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إنّي طلّقت امرأتي،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بيّنة؟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اغرب</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وهي بمضمون الرواية السابقة، ومثلها روايته الثالثة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رجل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طلّقت امرأتي بعدما طهرت من محيضها قبل أن أجامعها،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أشهدت رجلينذوي عدل كما أمرك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فإنّ طلاقك ليس بشيء</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ومحمد بن مسلم، وبكير، وبريد، وفضيل، وإسماعيل الأزرق، ومعمر بن يحيى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طلّقها في استقبال عدّتها طاهراً من غير جماع ولم يشهد على ذلك رجلين عدلين فليس طلاقه إياها بطلاق</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أصرح في الدلالة من جميع الروايات المتقدمة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امرأة سمعت أنّ رجلاً طلّقها وجحد ذلك أتقيم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وإنّ طلاقه بغير شهود ليس بطلاق، </w:t>
      </w:r>
    </w:p>
    <w:p>
      <w:pPr>
        <w:pStyle w:val="BookText"/>
        <w:rPr/>
      </w:pPr>
      <w:r>
        <w:rPr>
          <w:rFonts w:ascii="Amiri" w:hAnsi="Amiri" w:eastAsia="Amiri" w:cs="Amiri"/>
          <w:color w:val="111111"/>
          <w:sz w:val="28"/>
          <w:sz w:val="28"/>
          <w:szCs w:val="28"/>
          <w:rtl w:val="true"/>
          <w:lang w:bidi="ar-SA"/>
        </w:rPr>
        <w:t>والطلاق لغير العدة ليس بطلاق، ولا يحلّ له أن يفعل فيطلّقها بغير شهود ولغير العدة التي أمر الله عزوجل بها</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محمد بن الفضيل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لأبي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الدين ليس بقياس كقياسك وقياس أصحابك، إنّ الله أمر في كتابه بالطلاق وأكّد فيه بشاهدين، ولم يرض بهما إلاّ عدلين، وأمر في كتابه بالتزويج وأهمله بلا شهود، وأتيتم بشاهدين فيما أبطل الله، وأبطلتم شاهدين فيما أكّد الله عزوجل، وأجزتم طلاق المجنون والسكران </w:t>
      </w:r>
      <w:r>
        <w:rPr>
          <w:rFonts w:eastAsia="IRNazanin" w:cs="IRNazanin"/>
          <w:color w:val="111111"/>
          <w:sz w:val="28"/>
          <w:szCs w:val="28"/>
          <w:rtl w:val="true"/>
          <w:lang w:bidi="fa-IR"/>
        </w:rPr>
        <w:t>...</w:t>
      </w:r>
      <w:r>
        <w:rPr>
          <w:rStyle w:val="FootnoteAnchor"/>
          <w:rtl w:val="true"/>
        </w:rPr>
        <w:footnoteReference w:id="7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والرواية من جهة الدلالة واضحة، وأما من جهة السند ففيه سهل بن زياد</w:t>
      </w:r>
      <w:r>
        <w:rPr>
          <w:rStyle w:val="FootnoteAnchor"/>
          <w:rtl w:val="true"/>
        </w:rPr>
        <w:footnoteReference w:id="704"/>
      </w:r>
      <w:r>
        <w:rPr>
          <w:rFonts w:ascii="Amiri" w:hAnsi="Amiri" w:eastAsia="Amiri" w:cs="Amiri"/>
          <w:color w:val="111111"/>
          <w:sz w:val="28"/>
          <w:sz w:val="28"/>
          <w:szCs w:val="28"/>
          <w:rtl w:val="true"/>
          <w:lang w:bidi="ar-SA"/>
        </w:rPr>
        <w:t>وهو ممن لا يعتمد على روايته، وهي وإن كان بالإمكان تصحيح طريقها من جهة أخرى غير أنه لا يمكن الاعتماد عليها لضعف محمد بن الفضيل</w:t>
      </w:r>
      <w:r>
        <w:rPr>
          <w:rStyle w:val="FootnoteAnchor"/>
          <w:rtl w:val="true"/>
        </w:rPr>
        <w:footnoteReference w:id="705"/>
      </w:r>
      <w:r>
        <w:rPr>
          <w:rFonts w:ascii="IRNazanin" w:hAnsi="IRNazanin" w:eastAsia="IRNazanin"/>
          <w:color w:val="111111"/>
          <w:sz w:val="28"/>
          <w:sz w:val="28"/>
          <w:szCs w:val="28"/>
          <w:rtl w:val="true"/>
          <w:lang w:bidi="fa-IR"/>
        </w:rPr>
        <w:t xml:space="preserve">الراوي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فتكون الرواية مؤيدة لما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تقدير فإنّ في ما ذكرناه من الروايات الصحيحة سنداً والتامة دلالة كفاية في ثبوت الحكم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فهو أحد أدلة الفرقة كما في الخلاف</w:t>
      </w:r>
      <w:r>
        <w:rPr>
          <w:rStyle w:val="FootnoteAnchor"/>
          <w:rtl w:val="true"/>
        </w:rPr>
        <w:footnoteReference w:id="706"/>
      </w:r>
      <w:r>
        <w:rPr>
          <w:rFonts w:ascii="Amiri" w:hAnsi="Amiri" w:eastAsia="Amiri" w:cs="Amiri"/>
          <w:color w:val="111111"/>
          <w:sz w:val="28"/>
          <w:sz w:val="28"/>
          <w:szCs w:val="28"/>
          <w:rtl w:val="true"/>
          <w:lang w:bidi="ar-SA"/>
        </w:rPr>
        <w:t>، وفي الجواهر أنّه ثابت بقسميه، بل المحكي منه مستفيض أو متواتر</w:t>
      </w:r>
      <w:r>
        <w:rPr>
          <w:rStyle w:val="FootnoteAnchor"/>
          <w:rtl w:val="true"/>
        </w:rPr>
        <w:footnoteReference w:id="707"/>
      </w:r>
      <w:r>
        <w:rPr>
          <w:rFonts w:ascii="Amiri" w:hAnsi="Amiri" w:eastAsia="Amiri" w:cs="Amiri"/>
          <w:color w:val="111111"/>
          <w:sz w:val="28"/>
          <w:sz w:val="28"/>
          <w:szCs w:val="28"/>
          <w:rtl w:val="true"/>
          <w:lang w:bidi="ar-SA"/>
        </w:rPr>
        <w:t>، ولم تختلف كلمة أحد من الخاصة في ذلك</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فالمسألة بحمد الله واضحة ولا تحتاج إلى أكثر من هذا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هي أهم المسائل الخلافية في الطلاق، وهناك عدة مسائل أخرى وقع الخلاف </w:t>
      </w:r>
    </w:p>
    <w:p>
      <w:pPr>
        <w:pStyle w:val="BookText"/>
        <w:rPr/>
      </w:pPr>
      <w:r>
        <w:rPr>
          <w:rFonts w:ascii="Amiri" w:hAnsi="Amiri" w:eastAsia="Amiri" w:cs="Amiri"/>
          <w:color w:val="111111"/>
          <w:sz w:val="28"/>
          <w:sz w:val="28"/>
          <w:szCs w:val="28"/>
          <w:rtl w:val="true"/>
          <w:lang w:bidi="ar-SA"/>
        </w:rPr>
        <w:t>فيها بين الخاصة والعامة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السكران، فذهب جمهور فقهاء العامة</w:t>
      </w:r>
      <w:r>
        <w:rPr>
          <w:rStyle w:val="FootnoteAnchor"/>
          <w:rtl w:val="true"/>
        </w:rPr>
        <w:footnoteReference w:id="708"/>
      </w:r>
      <w:r>
        <w:rPr>
          <w:rFonts w:ascii="Amiri" w:hAnsi="Amiri" w:eastAsia="Amiri" w:cs="Amiri"/>
          <w:color w:val="111111"/>
          <w:sz w:val="28"/>
          <w:sz w:val="28"/>
          <w:szCs w:val="28"/>
          <w:rtl w:val="true"/>
          <w:lang w:bidi="ar-SA"/>
        </w:rPr>
        <w:t>إلى صحّته وترتّب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طلاق المكره كما هو مذهب أبي حنيفة، والثوري، وغيرهما</w:t>
      </w:r>
      <w:r>
        <w:rPr>
          <w:rStyle w:val="FootnoteAnchor"/>
          <w:rtl w:val="true"/>
        </w:rPr>
        <w:footnoteReference w:id="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الطلاق المعلّق على مشيئة الله أو على فعل يقع في المستقبل، كما هو مذهب أكثر العامة</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الطلاق بالحلف وقد اتفق جمهور العامة على صحّته</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طلاق الجزء كاليد والرأس والإصبع ووقوعه على الكل كما هو مذهب الشافعي، وأبي ثور، وأبي القاسم صاحب مالك، وأصحاب الرأي</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الطلاق بالكتابة كما هو مذهب الشافعي، وأبي حنيفة، ومالك وغيرهم</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الخاصة إلى القول بالبطلان في جميع هذه المسائل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العمة وابنة الأخ، والخالة وابنة الأخت، وقد أجمع العامة على الحرمة</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وذهب الخاصة إلى الجواز مشروطاً بإجازة العمة أو الخالة إذا كانتا مأخوذاً عليهما لا في صورة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الإشهاد على النكاح حيث أوجبه أبو حنيفة، والشافعي، ومالك</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على اليائسة، والصغيرة دون التسع، وقد اتفق العامة</w:t>
      </w:r>
      <w:r>
        <w:rPr>
          <w:rStyle w:val="FootnoteAnchor"/>
          <w:rtl w:val="true"/>
        </w:rPr>
        <w:footnoteReference w:id="716"/>
      </w:r>
      <w:r>
        <w:rPr>
          <w:rFonts w:ascii="IRNazanin" w:hAnsi="IRNazanin" w:eastAsia="IRNazanin"/>
          <w:color w:val="111111"/>
          <w:sz w:val="28"/>
          <w:sz w:val="28"/>
          <w:szCs w:val="28"/>
          <w:rtl w:val="true"/>
          <w:lang w:bidi="fa-IR"/>
        </w:rPr>
        <w:t>على وجوبها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وذهب الخاصة إلى القول بعدم الوجوب في كلتا هاتين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المسائل، وقد أقام الخاصّة أدلّتهم الواضحة الوافية على ما ذهبوا إليه خلافاً للعامة، وهي على غرار ما تقدّم، وما ذكرناه من أحكام التقية والإلزام جارٍ في هذه المسائل حرفاً بحرف، ولا نرى حاجة إلى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يتمّ الكلام حول التقية في الطلاق</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16406_258608"/>
      <w:bookmarkStart w:id="115" w:name="pg16406_258608"/>
      <w:bookmarkEnd w:id="115"/>
    </w:p>
    <w:p>
      <w:pPr>
        <w:pStyle w:val="Heading2"/>
        <w:numPr>
          <w:ilvl w:val="1"/>
          <w:numId w:val="1"/>
        </w:numPr>
        <w:rPr/>
      </w:pPr>
      <w:bookmarkStart w:id="116" w:name="pg16406_258608"/>
      <w:bookmarkStart w:id="117" w:name="__RefHeading___Toc7246533_1280447820"/>
      <w:bookmarkStart w:id="118" w:name="_Toc37"/>
      <w:bookmarkEnd w:id="116"/>
      <w:bookmarkEnd w:id="117"/>
      <w:r>
        <w:rPr>
          <w:rtl w:val="true"/>
        </w:rPr>
        <w:t>الفصل الثاني عشر</w:t>
      </w:r>
      <w:r>
        <w:rPr>
          <w:rtl w:val="true"/>
        </w:rPr>
        <w:t xml:space="preserve">: </w:t>
      </w:r>
      <w:r>
        <w:rPr/>
        <w:t>10</w:t>
      </w:r>
      <w:r>
        <w:rPr>
          <w:rtl w:val="true"/>
        </w:rPr>
        <w:t xml:space="preserve"> </w:t>
      </w:r>
      <w:r>
        <w:rPr>
          <w:rtl w:val="true"/>
        </w:rPr>
        <w:t>ـ التقية في المكاسب</w:t>
      </w:r>
      <w:bookmarkEnd w:id="118"/>
    </w:p>
    <w:p>
      <w:pPr>
        <w:pStyle w:val="Heading3"/>
        <w:numPr>
          <w:ilvl w:val="2"/>
          <w:numId w:val="1"/>
        </w:numPr>
        <w:rPr/>
      </w:pPr>
      <w:bookmarkStart w:id="119" w:name="__RefHeading___Toc7246535_1280447820"/>
      <w:bookmarkStart w:id="120" w:name="_Toc38"/>
      <w:bookmarkEnd w:id="119"/>
      <w:r>
        <w:rPr>
          <w:rtl w:val="true"/>
        </w:rPr>
        <w:t>اشارة</w:t>
      </w:r>
      <w:bookmarkEnd w:id="1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 وقدسيّته ووجوب صيانة حرمته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 في جواز بيع المصحف إلى الكافر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التفصيل في جواز بيع المصحف للكافر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نظرة حول ما ينقش على الأوراق النقدية من الأسماء المقدّسة والمشاهد المباركة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يجوز بيع العبد المسلم إلى الكافر؟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استعراض الأدلة ونقدها وترجيح جانب الاحتياط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مهمّة في التعامل مع الكافر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الإلزام وتطبيقها على بعض مواردها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الغناء وحرمته بالكتاب والسنة وعرض الأدلة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الغناء عش النفاق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الخطاب وعثمان بن عفان وعبد الرحمن بن عوف وسعد بن أبي وقاص وبعض آخر من الصحابة والتابعين يرون حلّية الغناء وسماعه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التحقيق في بيان موضوع الغناء وحدوده وحكم التغنّي بالقرآن والمراثي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استثناء بعض الموارد من الغناء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الآلات اللهوية وحكم استعمالها وبيعها وشرائها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الرقص وحكمه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أحكام التقية في الغناء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16406_258610"/>
      <w:bookmarkStart w:id="122" w:name="pg16406_258610"/>
      <w:bookmarkEnd w:id="122"/>
    </w:p>
    <w:p>
      <w:pPr>
        <w:pStyle w:val="Heading3"/>
        <w:numPr>
          <w:ilvl w:val="2"/>
          <w:numId w:val="1"/>
        </w:numPr>
        <w:rPr/>
      </w:pPr>
      <w:bookmarkStart w:id="123" w:name="pg16406_258610"/>
      <w:bookmarkStart w:id="124" w:name="__RefHeading___Toc7246537_1280447820"/>
      <w:bookmarkStart w:id="125" w:name="_Toc39"/>
      <w:bookmarkEnd w:id="123"/>
      <w:bookmarkEnd w:id="124"/>
      <w:r>
        <w:rPr>
          <w:rtl w:val="true"/>
        </w:rPr>
        <w:t>التقية في المكاسب</w:t>
      </w:r>
      <w:bookmarkEnd w:id="125"/>
    </w:p>
    <w:p>
      <w:pPr>
        <w:pStyle w:val="Heading4"/>
        <w:numPr>
          <w:ilvl w:val="3"/>
          <w:numId w:val="1"/>
        </w:numPr>
        <w:rPr/>
      </w:pPr>
      <w:bookmarkStart w:id="126" w:name="__RefHeading___Toc7246539_1280447820"/>
      <w:bookmarkStart w:id="127" w:name="_Toc40"/>
      <w:bookmarkEnd w:id="126"/>
      <w:r>
        <w:rPr>
          <w:rtl w:val="true"/>
        </w:rPr>
        <w:t>اشارة</w:t>
      </w:r>
      <w:bookmarkEnd w:id="127"/>
    </w:p>
    <w:p>
      <w:pPr>
        <w:pStyle w:val="BookText"/>
        <w:rPr/>
      </w:pPr>
      <w:r>
        <w:rPr>
          <w:rFonts w:ascii="Amiri" w:hAnsi="Amiri" w:eastAsia="Amiri" w:cs="Amiri"/>
          <w:color w:val="111111"/>
          <w:sz w:val="28"/>
          <w:sz w:val="28"/>
          <w:szCs w:val="28"/>
          <w:rtl w:val="true"/>
          <w:lang w:bidi="ar-SA"/>
        </w:rPr>
        <w:t>ذكرنا في الجزء الأول من هذا الكتاب ـ في مبحث التقية مع الكفار ـ أنّ هناك أحكاماً تختصّ بالكفّار كبيع المصحف وما في حكمه إليهم، وكذا مناكحتهم، وحكم ذبائحهم، وقد وعدنا بالبحث عن هذه المسائل، وقد تقدم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البحث عن بقيّتها في مواضعها المناسبة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الفصل نتناول موردين منها، ونضيف مورداً آخر لمناسبته للمقام وإن كان لا يختصّ بالكفار، وعليه فيقع الكلام في ثلاثة مباحث</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7246541_1280447820"/>
      <w:bookmarkStart w:id="129" w:name="_Toc41"/>
      <w:bookmarkEnd w:id="128"/>
      <w:r>
        <w:rPr>
          <w:rtl w:val="true"/>
        </w:rPr>
        <w:t>المبحث الأول</w:t>
      </w:r>
      <w:r>
        <w:rPr>
          <w:rtl w:val="true"/>
        </w:rPr>
        <w:t xml:space="preserve">: </w:t>
      </w:r>
      <w:r>
        <w:rPr>
          <w:rtl w:val="true"/>
        </w:rPr>
        <w:t>في حكم بيع المصحف للكافر</w:t>
      </w:r>
      <w:r>
        <w:rPr>
          <w:rtl w:val="true"/>
        </w:rPr>
        <w:t>:</w:t>
      </w:r>
      <w:bookmarkEnd w:id="129"/>
    </w:p>
    <w:p>
      <w:pPr>
        <w:pStyle w:val="BookText"/>
        <w:rPr/>
      </w:pPr>
      <w:r>
        <w:rPr>
          <w:rFonts w:ascii="Amiri" w:hAnsi="Amiri" w:eastAsia="Amiri" w:cs="Amiri"/>
          <w:color w:val="111111"/>
          <w:sz w:val="28"/>
          <w:sz w:val="28"/>
          <w:szCs w:val="28"/>
          <w:rtl w:val="true"/>
          <w:lang w:bidi="ar-SA"/>
        </w:rPr>
        <w:t>إنّ الخلاف في جواز بيع المصحف للكافر وعدمه إنما يصحّ بناء على القول بجواز بيعه للمسلم بأيّ نحو كان، وإلاّ فمع القول بعدم الجواز فلا مجال للبحث عن هذه المسألة إذ الحرمة حينئذ ثابتة بالنسبة إلى الكافر بطريق أولى</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عدم جواز نقل المصحف إلى الكافر، ذكره الشيخ، والمحقق في الجهاد، والعلاّمة في كتبه، وجمهور من تأخر عنه، وعن الإسكافي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أختار أن يرهن الكافر مصحفاً، وما يجب على المسلمتعظيمه، ولا صغيراً من الأطفال انتهى</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واستدل على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بفحوى ما دل على عدم جواز تملك الكافر للمسلم، فإذا لم يجز للكافر أن يمتلك المسلم فعدم الجواز بالنسبة إلى القرآن ثابت بطريق أولى، لأشرفية القرآن وأنه أعظم حرمة من العبد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جواز تملّك الكافر للمسلم فلقوله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ومعتبرة المعلّى بن خنيس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ليأذن بحرب منّي من أذلّ عبدي المؤمن، وليأمن غضبي من أكرم عبدي المؤمن</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ذلك فلا يجوز بيع العبد المسلم للكافر، ولا إجارته، بل كلّ شيء يقع تحت يد الكافر من أمر المسلم، لأنّ فيه إذلالاً له أو احتمال إذلاله، وجعلاً للسبيل عليه، وهذه الأمور ثابتة للقرآن بطريق أولى كما ذكرنا، وسيأتي البحث حول حكم بيع العبد المسلم وما يتعلق بذلك في المبحث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رواه الصدوق وهو النبوي المعروف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يعلو ولا يعلى عليه</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الشيخ بهذه الرواية على عدم جواز بيع المسلم إلى الكافر</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بيع المصحف للكافر موجب لهتكه ـ وهو محرّم قطعاً ـ لعدم مبالاة الكافر بهتك حرمات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يستلزم تنجيس القرآن للعلم العادي بمسّ الكافر إياه مع الرطوبة، إما بناء على نجاسة أعيانهم، أو لعدم مبالاتهم بالنجاسة العرضية، وفي ذلك تعريض القرآن للنجاسة وهو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استدل به على عدم الجواز، ولا يخفى أنّ بعض هذه الأدلة راجع إلى عدم الجواز تكليفاً، وبعضها راجع إليه 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نوقش في جميع هذه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أصل الحكم لعدم تمامية الأدلة على حرمة بيع العبد المسلم، بل قام الدليل على وجوب بيع العبد المسلم على الكافر وهو وإن كان قهرياً عليه إلاّ أنه يدلّ بالالتزام على تملّكه، ومثله ما ثبت من الحكم بانعتاق العمودين إذا اشتراهما الولد مع أنّه لا عتق إلاّ في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التسليم إلاّ أنّ الأولوية ممنوعة، لأنّ في تملّك الكافر للمسلم إذلالاً وسبيلاً بخلاف تملّكه للمصحف لأنّه قد يكون موجباً لمزيد احترامه للقرآن وعنايته به، بل ربما يكون موجباً لهدايته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ضعف السند بالإرسال، أنّ الرواية تحتمل وجوهاً خمسة ذكرها السيد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على المكاسب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كون الإسلام أشرف المذاهب، 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أنه يعلو من حيث الحجة والبرهان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يعلو بمعنى يغلب على سائر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أراده الفقهاء من إرادة بيان الحكم الشرعي الجعلي بعدم </w:t>
      </w:r>
    </w:p>
    <w:p>
      <w:pPr>
        <w:pStyle w:val="BookText"/>
        <w:rPr/>
      </w:pPr>
      <w:r>
        <w:rPr>
          <w:rFonts w:ascii="Amiri" w:hAnsi="Amiri" w:eastAsia="Amiri" w:cs="Amiri"/>
          <w:color w:val="111111"/>
          <w:sz w:val="28"/>
          <w:sz w:val="28"/>
          <w:szCs w:val="28"/>
          <w:rtl w:val="true"/>
          <w:lang w:bidi="ar-SA"/>
        </w:rPr>
        <w:t>علوّ غيره عليه</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هذه الاحتمالات فلا مجال للاستدلال بها على المدعى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ملازمة بين البيع والهتك ـ كما ذكرنا ـ فإنّ النسبة بينهما عموم من وجه، فقد يتملّك الكافر المصحف ويحترمه ويعظّمه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التسليم بالملازمة لكنّ الهتك إنما يتحقق بالتسلّط عليه خارجاً لا بمجرد بيعه، فلو كان له وكيل مسلم على بيعه وشرائه والتصرف فيه فإنّه لا يترتب عليه أي هتك من ناحية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ما تقدم، إذ لا ملازمة بين الشراء والتنجيس، وعلى فرض التسليم فإنه يدخل حينئذ في صغرى الإعانة على الإثم ولم تثبت حرمة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الأدلة غير كافية للحكم بحرمة بيع المصحف للكافر،فالقاعدة تقتضي الجواز إذا لم يستلزم منه مهانة وهتكاً للكتاب العزيز، والتفصيل بين ما إذا علم أنّ غرض الكافر من شرائه هو التعلّم والتدبر في آياته، وبين ما إذا كان غرضه الاتجار والاسترباح منه كسائر الكتب فيجوز في الأول دون الثاني، كما يظهر من الشيخ </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 xml:space="preserve">، وقد أفتى بذلك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رسائله العملية</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حينئذ بين البيع والرهن وسائر ما يتحقق به تسلّط الكافر على المصحف خارجاً، كما أنه لا فرق في ذلك بين أقسام الكافر، فكلّ من حكم بكفره ونجاسته كالنواصب والغلاة فهو مشمول لهذا الحكم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غير المصحف من سائر الكتب المشتملة على الأحاديث الشريفة </w:t>
      </w:r>
      <w:bookmarkStart w:id="130" w:name="pg16406_258614"/>
    </w:p>
    <w:p>
      <w:pPr>
        <w:pStyle w:val="BookText"/>
        <w:rPr/>
      </w:pPr>
      <w:bookmarkEnd w:id="130"/>
      <w:r>
        <w:rPr>
          <w:rFonts w:ascii="IRNazanin" w:hAnsi="IRNazanin" w:eastAsia="IRNazanin"/>
          <w:color w:val="111111"/>
          <w:sz w:val="28"/>
          <w:sz w:val="28"/>
          <w:szCs w:val="28"/>
          <w:rtl w:val="true"/>
          <w:lang w:bidi="fa-IR"/>
        </w:rPr>
        <w:t xml:space="preserve">والأدعية فلا دليل على عدم جواز بيعها للكافر إلاّ بناء على تنقيح المناط باشتمالها على أسماء الله تعالى والأنبياء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4"/>
        <w:numPr>
          <w:ilvl w:val="3"/>
          <w:numId w:val="1"/>
        </w:numPr>
        <w:rPr/>
      </w:pPr>
      <w:bookmarkStart w:id="131" w:name="__RefHeading___Toc7246543_1280447820"/>
      <w:bookmarkStart w:id="132" w:name="_Toc42"/>
      <w:bookmarkEnd w:id="131"/>
      <w:r>
        <w:rPr>
          <w:rtl w:val="true"/>
        </w:rPr>
        <w:t>تنبيه</w:t>
      </w:r>
      <w:r>
        <w:rPr>
          <w:rtl w:val="true"/>
        </w:rPr>
        <w:t>:</w:t>
      </w:r>
      <w:bookmarkEnd w:id="132"/>
    </w:p>
    <w:p>
      <w:pPr>
        <w:pStyle w:val="BookText"/>
        <w:rPr/>
      </w:pPr>
      <w:r>
        <w:rPr>
          <w:rFonts w:ascii="IRNazanin" w:hAnsi="IRNazanin" w:eastAsia="IRNazanin"/>
          <w:color w:val="111111"/>
          <w:sz w:val="28"/>
          <w:sz w:val="28"/>
          <w:szCs w:val="28"/>
          <w:rtl w:val="true"/>
          <w:lang w:bidi="fa-IR"/>
        </w:rPr>
        <w:t>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المناط في حرمة بيع المصحف إلى الكافر هو لزوم الهتك والمهانة مضافاً إلى حرمة الإعانة وأنه من المنكر الذي لا يرضى به الشارع مطلقاً ويجب الردع عنه لا من جهة التعبد بالروايات فهذا جار في أبعاض القرآن أيضاً كالسور والآيات، وكذا الأحاديث الشريفة والأدعية المأثورة وأسماء الله سبحانه وتعالى وأسماء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 يبعد شمول ذلك لصورهم وصور المشاهد المقدسة والأماكن المباركة، فإنّه إذا علم أنّ بيع هذه الأمور للكافر تستلزم المهانة والهتك فلا يجوز، ومن ذلك يظهر حكم ما يكتب على الأوراق النقدية من السور والآيات والأسماء المباركة وما ينقش عليها من صور المشاهد المقدسة، وحيث إنّ ذلك يستلزم الهتك والمهانة عادة لوضعها في غير مواضعها المناسبة غالباً، وتمكين الأطفال منها وكذا الكفّار والعصاة الذين لا يراعون احترامها، ومع العلم بذلك فالإعطاء أو البيع أو التمكين مشكل ومع عدمه 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ينبغي أن يقال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من توجّه المسؤولين والقائمين على طبع هذه الأمور ونقشها على هذه الأوراق والالتفات إلى قدسيتها والعمل على صيانتها، ولا يخفى أنّ الجمع بين مظاهر الدعوة إلى التنزّه عن الدنيا وحطامها وبين طبعها ونقشها على نفس الأوراق المالية أيضاً غير مناسب</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العالم وهو العاصم عن الخطأ والزلل</w:t>
      </w:r>
      <w:r>
        <w:rPr>
          <w:rFonts w:eastAsia="IRNazanin" w:cs="IRNazanin"/>
          <w:color w:val="111111"/>
          <w:sz w:val="28"/>
          <w:szCs w:val="28"/>
          <w:rtl w:val="true"/>
          <w:lang w:bidi="fa-IR"/>
        </w:rPr>
        <w:t xml:space="preserve">. </w:t>
      </w:r>
      <w:bookmarkStart w:id="133" w:name="pg16406_258615"/>
    </w:p>
    <w:p>
      <w:pPr>
        <w:pStyle w:val="Heading4"/>
        <w:numPr>
          <w:ilvl w:val="3"/>
          <w:numId w:val="1"/>
        </w:numPr>
        <w:rPr/>
      </w:pPr>
      <w:bookmarkStart w:id="134" w:name="__RefHeading___Toc7246545_1280447820"/>
      <w:bookmarkStart w:id="135" w:name="_Toc43"/>
      <w:bookmarkEnd w:id="133"/>
      <w:bookmarkEnd w:id="134"/>
      <w:r>
        <w:rPr>
          <w:rtl w:val="true"/>
        </w:rPr>
        <w:t>المبحث الثاني</w:t>
      </w:r>
      <w:r>
        <w:rPr>
          <w:rtl w:val="true"/>
        </w:rPr>
        <w:t xml:space="preserve">: </w:t>
      </w:r>
      <w:r>
        <w:rPr>
          <w:rtl w:val="true"/>
        </w:rPr>
        <w:t>في بيع العبد المسلم للكافر</w:t>
      </w:r>
      <w:r>
        <w:rPr>
          <w:rtl w:val="true"/>
        </w:rPr>
        <w:t>:</w:t>
      </w:r>
      <w:bookmarkEnd w:id="135"/>
    </w:p>
    <w:p>
      <w:pPr>
        <w:pStyle w:val="BookText"/>
        <w:rPr/>
      </w:pPr>
      <w:r>
        <w:rPr>
          <w:rFonts w:ascii="Amiri" w:hAnsi="Amiri" w:eastAsia="Amiri" w:cs="Amiri"/>
          <w:color w:val="111111"/>
          <w:sz w:val="28"/>
          <w:sz w:val="28"/>
          <w:szCs w:val="28"/>
          <w:rtl w:val="true"/>
          <w:lang w:bidi="ar-SA"/>
        </w:rPr>
        <w:t>والمشهور بين الأصحاب عدم الجواز بل في الجواهر عدم تحقق الخلاف فيهصريحاً</w:t>
      </w:r>
      <w:r>
        <w:rPr>
          <w:rStyle w:val="FootnoteAnchor"/>
          <w:rtl w:val="true"/>
        </w:rPr>
        <w:footnoteReference w:id="727"/>
      </w:r>
      <w:r>
        <w:rPr>
          <w:rFonts w:ascii="Amiri" w:hAnsi="Amiri" w:eastAsia="Amiri" w:cs="Amiri"/>
          <w:color w:val="111111"/>
          <w:sz w:val="28"/>
          <w:sz w:val="28"/>
          <w:szCs w:val="28"/>
          <w:rtl w:val="true"/>
          <w:lang w:bidi="ar-SA"/>
        </w:rPr>
        <w:t>وفي الغنية دعوى الإجماع عليه</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على ذلك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التسالم من الأصحاب بل دعوى الإجماع على عدم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الكافر يمنع من استدامة مالكيّته للمسلم كما إذا ملكه قهراً بإرث أو أسلم في ملكه، فإنّه يباع عليه فيمنع من ابتدائه وحدوثه كالنكاح، وذلك لحصول العلم بعدم رضا الشارع بأصل وجوده حدوثاً وبقاء من دون مدخلية لخصوص البقاء، كما لو أمر الولي بإخراج رجل من الدار أو بإزالة النجاسة عن المسجد فإنّ المفهوم من ذلك عرفاً عدم رضاه بدخوله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الاسترقاق سبيل على المؤمن وهو منفي عنه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ورد من النبوي المشهور الوارد في كلمات الفقهاء والاستدلال به في موارد متعددة، وهو ما رواه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يعلو ولا يُعلى عليه</w:t>
      </w:r>
      <w:r>
        <w:rPr>
          <w:rStyle w:val="FootnoteAnchor"/>
          <w:rtl w:val="true"/>
        </w:rPr>
        <w:footnoteReference w:id="730"/>
      </w:r>
      <w:r>
        <w:rPr>
          <w:rFonts w:ascii="Amiri" w:hAnsi="Amiri" w:eastAsia="Amiri" w:cs="Amiri"/>
          <w:color w:val="111111"/>
          <w:sz w:val="28"/>
          <w:sz w:val="28"/>
          <w:szCs w:val="28"/>
          <w:rtl w:val="true"/>
          <w:lang w:bidi="ar-SA"/>
        </w:rPr>
        <w:t>، حتى أنهم استدلوا به على عدم جواز علوّ بناء الكافر على بناء المسلم، بل على عدم مساواته، والاستدلال به على ما نحن فيه أولى</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ورد في رواية حماد بن عيسى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بعبد ذمي قد أسلم،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فبيعوه من المسلمين، وادفعوا ثمنه إلى صاحبه ولا تقرّوه عنده</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بناء على أنّ تخصيص البيع بالمسلمين في مقام البيان والاحتراز فيدل على المنع من بيعه للكافر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الكلام في هذه المسألة تارة في بيان الأصل فيها، وأخرى في ما يستفاد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العملي في المعاملات هو الفساد للشك في ترتب الأثر وحصول النقل والانتقال، والأصل عدمه،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المقام هو الصحة وذلك لاستصحابها في بعض الموارد، كما إذا كان العبد كافراً فأسلم أو كان مسلماً سابقاً فالبيع في هذين الموردين كان صحيحاً حين وقوعه، فعند الشك تستصحب الصحة، وحيث إنّ الحكم واحد في كلا الموردين وفي سائر الموارد لعدم القول بالفصل فيحكم بالصحة في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أشكل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هنا تعليقي لا نقول به، لعدم ثبوت الحكم المنجز هناليستصحب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الاستصحاب في الأحكام ولا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متعدد لأنّ الكافر غير المسلم فلا يصح الاستصحاب لتعدد الموضوع</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لعدم القول بالفصل في الأحكام الظاهرية، وإنما هو في الأحكام الواقعية، وأما الأحكام الظاهرية فالتفكيك فيها من الكثرة بمكان، وإلاّ يلزم إسراء الحكم من موضوع إلى موضوع آخر، وهو قياس باطل، وعلى فرض تمامية عدم القول بالفصل فلا وجه لمعارضة أصالة الفساد في مورد آخر، </w:t>
      </w:r>
    </w:p>
    <w:p>
      <w:pPr>
        <w:pStyle w:val="BookText"/>
        <w:rPr/>
      </w:pPr>
      <w:r>
        <w:rPr>
          <w:rFonts w:ascii="Amiri" w:hAnsi="Amiri" w:eastAsia="Amiri" w:cs="Amiri"/>
          <w:color w:val="111111"/>
          <w:sz w:val="28"/>
          <w:sz w:val="28"/>
          <w:szCs w:val="28"/>
          <w:rtl w:val="true"/>
          <w:lang w:bidi="ar-SA"/>
        </w:rPr>
        <w:t>وهو بيع العبد المسلم ابتداء من الكافر مع أصالة الصحة في الموردين المذكورين الذين جرى فيهما الاستصحاب، نعم جريانها في مورد واحد ومعارضتها فيه وتقديم أصالة الصحة على أصالة الفساد للحكومة لا ريب فيه، ولكنه غير تعارضها إذا جريا في موردين، بل يعمل بكلّ منهما في مورده من غير تعارض وتمانع أصلاً</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الإشكالين الأولين لا يردان على مبنى من يلتزم بصحة الاستصحاب التعليقي وجريانه في الأحكام كما هو مبنى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الأخيران فهما واردان، ولعلّ أمر الشيخ بالتأمل إشارة إلى ذلك</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والنتيجة أنّ مقتضى الأصل العملي هو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الأصل اللفظي فمقتضى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لكلّ عقد، وإطلاقات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الصحة في المقام، ولكن في مقابلها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الآية هو نفي السبيل مطلقاً سواء كان واقعياً في الآخرة، أو في مقام الحجة، أو اعتبارياً من جهة التملّك وغيره، فحينئذ يقع التعارض بينهما ويتساقطان في مورد الاجتماع، ويرجع إلى الأصل العملي وهو يقتضي الفساد</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هو نفي السبيل في الآخرة فقط، أو في مقام الاحتجاج والمخاصمة، فحينئذ تكون أصالة الصحة سليمة عن المعارض، وكذلك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هو نفي السبيل في الآخرة، أو في مقام الحجة، أو التسلط الخارجي لا الاعتباري ففي هذه الصورة لا تتحقق المعارضة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فعدم الأصل اللفظي إنما يتمّ في صورة واحدة وهي  الأولى، وأما في الصورتين الأخيرتين فالأصل اللفظي هو أصالة الصحة من دون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تعيين أحد هذه الاحتمالات فسيأتي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الأصل الجاري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ما يستفاد من الأدلة فالأول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منقول يحتمل أن يكون مستنده أحد الأدلة الأخرى من الكتاب والسنة فلا يمكن الاعتماد عليه، وكذا الكلام في الشهرة فهذا الوجه غير تام إلاّ لمن حصل له الاطمئنان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فهو وإن كان الظاهر منه تحقق الملازمة عرفاً بين حرمة البقاء والحدوث ولكن لابد أن يكون الحكم في الحدوث تابعاً للحكم في البقاء، وأنّعدم الرضا في الحدوث لابد أن يكون على نهج عدم الرضا في البقاء، ومن المعلوم أنّ حرمة البقاء حكم تكليفي محض وكذا في الحدوث، وهذا لا يدلّ على فساد الملكية والبيع حدوثاً، نعم لو دلّ الدليل على انعتاق العبد على الكافر لا وجوب البيع عليه لكان دالاًّ على الحرمة الوضعية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وهو الآية الشريفة فقد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باب الخدشة فيها واسع</w:t>
      </w:r>
      <w:r>
        <w:rPr>
          <w:rStyle w:val="FootnoteAnchor"/>
          <w:rtl w:val="true"/>
        </w:rPr>
        <w:footnoteReference w:id="734"/>
      </w:r>
      <w:r>
        <w:rPr>
          <w:rFonts w:ascii="Amiri" w:hAnsi="Amiri" w:eastAsia="Amiri" w:cs="Amiri"/>
          <w:color w:val="111111"/>
          <w:sz w:val="28"/>
          <w:sz w:val="28"/>
          <w:szCs w:val="28"/>
          <w:rtl w:val="true"/>
          <w:lang w:bidi="ar-SA"/>
        </w:rPr>
        <w:t>، وذلك لأنّ السبيل إن كان المراد به هو الأعم الشامل للملكية الاعتبارية ففيه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التخصيص في الآية بالموارد التي تسالم الأصحاب فيها على صحّة تملّك الكافر، مثل ما إذا ملك الكافر العبد المسلم قهراً بإرث ونحوه، أو اشترى من ينعتق عليه، أو أسلم العبد في ملكه، أو وكّل الكافر مسلماً في شراء عبد وعتقه عنه، وغيرها من الموارد، ففي جميع هذه الموارد يلزم التخصيص </w:t>
      </w:r>
    </w:p>
    <w:p>
      <w:pPr>
        <w:pStyle w:val="BookText"/>
        <w:rPr/>
      </w:pPr>
      <w:r>
        <w:rPr>
          <w:rFonts w:ascii="Amiri" w:hAnsi="Amiri" w:eastAsia="Amiri" w:cs="Amiri"/>
          <w:color w:val="111111"/>
          <w:sz w:val="28"/>
          <w:sz w:val="28"/>
          <w:szCs w:val="28"/>
          <w:rtl w:val="true"/>
          <w:lang w:bidi="ar-SA"/>
        </w:rPr>
        <w:t>في الآية مع أنّ سياقها آب عن التخصيص، وذلك لدلالة لن على التأبيد، وإناطة عدم جعل السبيل على الإيمان وهو لا يقيّد بحال دون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سياق الآية صدراً وذيلاً هو أنّ المراد جعل السبيل في الآخرة، وتعميمه إلى نفي السبيل في الدنيا فضلاً عن شموله للأمور الاعتبارية خلاف الظاهر ولا أقلّ من كونه غير محرز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 في تفسير الآية بأنّ المراد هو الحجّة والبرهان وهو مساوق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w:t>
      </w:r>
      <w:r>
        <w:rPr>
          <w:rStyle w:val="FootnoteAnchor"/>
          <w:rtl w:val="true"/>
        </w:rPr>
        <w:footnoteReference w:id="735"/>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الإسلاميعلو ولا يُعلى عليه</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ومعناه أنّ حجة المؤمنين وبراهينهم فوق كل حجة وبرهان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الصدوق في العيون بإسناده عن أبي الصلت الهروي ـ وقد جاء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وفيهم قوم يزعمون أنّ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يقتل، وأنه ألقي شبهه على حنظلة بن أسعد الشامي، وأنه رفع إلى السماء كما رفع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ويحتجّون بهذه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يَجْعَلَ اللَّهُ لِلْكَافِرِينَ عَلَى الْمُؤْمِنِينَ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عليهم غضب الله ولعنته، وكفروا بتكذيبهم لنبي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إخباره بأنّ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سيقتل، والله لقد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من كان خيراً من الحسين، أمير المؤمنين والحسن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منّا إلاّ مقتول، وإنّي والله لمقتول بالسمّ باغتيال من يغتالني أعرف ذلك بعهد معهود إليّ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به جبرئيل عن رب العالمين عزوجل</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يجعل الله لكافر على مؤمن حجّة، ولقد أخبر الله عزوجل عن </w:t>
      </w:r>
    </w:p>
    <w:p>
      <w:pPr>
        <w:pStyle w:val="BookText"/>
        <w:rPr/>
      </w:pPr>
      <w:r>
        <w:rPr>
          <w:rFonts w:ascii="IRNazanin" w:hAnsi="IRNazanin" w:eastAsia="IRNazanin"/>
          <w:color w:val="111111"/>
          <w:sz w:val="28"/>
          <w:sz w:val="28"/>
          <w:szCs w:val="28"/>
          <w:rtl w:val="true"/>
          <w:lang w:bidi="fa-IR"/>
        </w:rPr>
        <w:t xml:space="preserve">كفّار قتلوا النبيين بغير الحق، ومع قتلهم لن يجعل الله على أنبيائه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سبيلاً من طريق الحجة</w:t>
      </w:r>
      <w:r>
        <w:rPr>
          <w:rStyle w:val="FootnoteAnchor"/>
          <w:rtl w:val="true"/>
        </w:rPr>
        <w:footnoteReference w:id="7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وبناء على ذلك فتعميم الآية بحيث يشمل الملكية يتوقف إما على تعميم الحجة على وجه يشمل الاستيلاء بالملكية وإما بتعميم السبيل حتى يشمل كلاًّ من الحجة والملكية، وتكون الحجة أحد المصاديق، وأنّ  الآية واردة لبيان بعض المصاديق، والجامع لها هو السبيل إلاّ أن فيه تكلّفاً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 الجامع الذي لا محذور فيه هو القول بأنّ المراد من السبيل في الآية هو الاعم، وهذا الوجه وإن استلزم التقييد في عموم 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أموالهم، إلاّ أنه أهون من التخصيص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شمول الآية لما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فيرد عليه ما تقدم في المسألة المتقدمة من ضعف السند والدلالة وقد ذكرنا كلام السيد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حول المعاني المحتملة في الرواية، مضافاً إلى أنه إذا كان المراد هو نفي العلوّ مطلقاً يلزم الإخبار بخلاف الواقع فإنّ الكفار متسلّطون على المؤمنين في كثير من الأزمنة بل من زمان آدم إلى يومنا هذا،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هو عدم علوّهم في مقام الجعل والإنشاء لا مطلقاً، بمعنى أنّ الرواية وإن كانت في صورة الإخبار إلاّ أنّ المراد هو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 ففيه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ضعيفة السند وذلك لأنّ الشيخ رواها في النهاية</w:t>
      </w:r>
      <w:r>
        <w:rPr>
          <w:rStyle w:val="FootnoteAnchor"/>
          <w:rtl w:val="true"/>
        </w:rPr>
        <w:footnoteReference w:id="738"/>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حمادبن عيسى من دون أن يذكر طريقه إليه ورواها في التهذيب</w:t>
      </w:r>
      <w:r>
        <w:rPr>
          <w:rStyle w:val="FootnoteAnchor"/>
          <w:rtl w:val="true"/>
        </w:rPr>
        <w:footnoteReference w:id="739"/>
      </w:r>
      <w:r>
        <w:rPr>
          <w:rFonts w:ascii="Amiri" w:hAnsi="Amiri" w:eastAsia="Amiri" w:cs="Amiri"/>
          <w:color w:val="111111"/>
          <w:sz w:val="28"/>
          <w:sz w:val="28"/>
          <w:szCs w:val="28"/>
          <w:rtl w:val="true"/>
          <w:lang w:bidi="ar-SA"/>
        </w:rPr>
        <w:t>بإسناده عن محمد بن يحيى مرفوعاً عن حماد، وكلا الطريقين ضعيفان، نعم يمكن تصحيح الطريق الأول إذا كان الشيخ رواها عن كتاب حمّاد، فإنّ له طريقاً إلى كتب حماد</w:t>
      </w:r>
      <w:r>
        <w:rPr>
          <w:rStyle w:val="FootnoteAnchor"/>
          <w:rtl w:val="true"/>
        </w:rPr>
        <w:footnoteReference w:id="740"/>
      </w:r>
      <w:r>
        <w:rPr>
          <w:rFonts w:ascii="Amiri" w:hAnsi="Amiri" w:eastAsia="Amiri" w:cs="Amiri"/>
          <w:color w:val="111111"/>
          <w:sz w:val="28"/>
          <w:sz w:val="28"/>
          <w:szCs w:val="28"/>
          <w:rtl w:val="true"/>
          <w:lang w:bidi="ar-SA"/>
        </w:rPr>
        <w:t>، إلاّ أنّ إحراز ذلك مشكل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دلالة الرواية غير تامة، إذ يرد عليها ما ورد على الوجه الأول من أنّ النهي عن استدامة الملك لا يدل على فساد البيع ابتداء، 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فبيعوه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يدل على المفهوم، فيما إذا لم تكن هناك فائدة أخرى من اختصاص البيع بالمسلمين، والفائدة متحققة في المقام، وهي أنّ عدم استدامة الملك في يد الكافر لا تتم إلاّ ببيعه من المسلمين فليس تخصيص المأمور به ـ وهو البيع للمسلمين ـ لاختصاص الصحّة به، فهذا الوجه غير تام أيضاً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الوجوه التي استدل بها على الجواز كلّها قابلة للمناقشة كما ذكره الشيخ</w:t>
      </w:r>
      <w:r>
        <w:rPr>
          <w:rStyle w:val="FootnoteAnchor"/>
          <w:rtl w:val="true"/>
        </w:rPr>
        <w:footnoteReference w:id="741"/>
      </w:r>
      <w:r>
        <w:rPr>
          <w:rFonts w:ascii="Amiri" w:hAnsi="Amiri" w:eastAsia="Amiri" w:cs="Amiri"/>
          <w:color w:val="111111"/>
          <w:sz w:val="28"/>
          <w:sz w:val="28"/>
          <w:szCs w:val="28"/>
          <w:rtl w:val="true"/>
          <w:lang w:bidi="ar-SA"/>
        </w:rPr>
        <w:t>والسيد الأستاذ</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لبعض الأعلام كلاماً في بعض هذه المناقشات</w:t>
      </w:r>
      <w:r>
        <w:rPr>
          <w:rStyle w:val="FootnoteAnchor"/>
          <w:rtl w:val="true"/>
        </w:rPr>
        <w:footnoteReference w:id="743"/>
      </w:r>
      <w:r>
        <w:rPr>
          <w:rFonts w:ascii="Amiri" w:hAnsi="Amiri" w:eastAsia="Amiri" w:cs="Amiri"/>
          <w:color w:val="111111"/>
          <w:sz w:val="28"/>
          <w:sz w:val="28"/>
          <w:szCs w:val="28"/>
          <w:rtl w:val="true"/>
          <w:lang w:bidi="ar-SA"/>
        </w:rPr>
        <w:t>، ولكن لا تخلو هذه الوجوه من حيث المجموع عن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يرد على الوجه الثاني ـ مضافاً إلى ما تقدّم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عدم استدامة الملك في يد الكافر إلاّ ما ورد في الوجه الخامس، وفيه ما تقدم، ويرد على الوجه الثالث أيضاً أنّ مجرد العقد والملكية الاعتبارية لا يعدّ سبيلاً عرفاً</w:t>
      </w:r>
      <w:r>
        <w:rPr>
          <w:rFonts w:eastAsia="Amiri" w:cs="Amiri" w:ascii="Amiri" w:hAnsi="Amiri"/>
          <w:color w:val="111111"/>
          <w:sz w:val="28"/>
          <w:szCs w:val="28"/>
          <w:rtl w:val="true"/>
          <w:lang w:bidi="ar-SA"/>
        </w:rPr>
        <w:t xml:space="preserve">. </w:t>
      </w:r>
      <w:bookmarkStart w:id="136" w:name="pg16406_258622"/>
    </w:p>
    <w:p>
      <w:pPr>
        <w:pStyle w:val="BookText"/>
        <w:rPr/>
      </w:pPr>
      <w:bookmarkEnd w:id="136"/>
      <w:r>
        <w:rPr>
          <w:rFonts w:ascii="Amiri" w:hAnsi="Amiri" w:eastAsia="Amiri" w:cs="Amiri"/>
          <w:color w:val="111111"/>
          <w:sz w:val="28"/>
          <w:sz w:val="28"/>
          <w:szCs w:val="28"/>
          <w:rtl w:val="true"/>
          <w:lang w:bidi="ar-SA"/>
        </w:rPr>
        <w:t xml:space="preserve">نعم التسلّط الخارجي الذي يترتب على البيع أحد مصاديق السبيل، وعليه فيمكن التفكيك بين صحة البيع وبين الأثر وهو التسلّط، والقول بأنّ المبيع حينئذ مسلوب المنفعة والإقدام عليه سفهي وهو باطل ـ كما في الجواهر ـ </w:t>
      </w:r>
      <w:r>
        <w:rPr>
          <w:rStyle w:val="FootnoteAnchor"/>
          <w:rtl w:val="true"/>
        </w:rPr>
        <w:footnoteReference w:id="744"/>
      </w:r>
      <w:r>
        <w:rPr>
          <w:rFonts w:ascii="Amiri" w:hAnsi="Amiri" w:eastAsia="Amiri" w:cs="Amiri"/>
          <w:color w:val="111111"/>
          <w:sz w:val="28"/>
          <w:sz w:val="28"/>
          <w:szCs w:val="28"/>
          <w:rtl w:val="true"/>
          <w:lang w:bidi="ar-SA"/>
        </w:rPr>
        <w:t>غير تام، وذلك لأنّ الأغراض تختلف من شخص لآخر، فقد تكون المنفعة في نفس الشراء كما يمكن أن تكون لتحصيل الربح فيما إذا بيع عليه، وغير ذلك من المنافع والأغراض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الوحيد في الاستدلال على المنع هو الاعتماد على مفاد الآية الشريفة ولكنّه غير تام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فمقتضى القاعدة هو صحة العقد وتحقق الملكية لعمومات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لما كان الكافر محجوراً عليه وممنوعاً عن التصرّفات الموجبة لتسلّطه على المؤمن لكونها داخلة تحت عنوان السبيل وهو منفيّ بالآية الشريفة فالاحتياط يقتضي عدم مخالفة ما عليه المشهور</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7246547_1280447820"/>
      <w:bookmarkStart w:id="138" w:name="_Toc44"/>
      <w:bookmarkEnd w:id="137"/>
      <w:r>
        <w:rPr>
          <w:rtl w:val="true"/>
        </w:rPr>
        <w:t>ثم إنّ ها هنا مسائل</w:t>
      </w:r>
      <w:r>
        <w:rPr>
          <w:rtl w:val="true"/>
        </w:rPr>
        <w:t>:</w:t>
      </w:r>
      <w:bookmarkEnd w:id="13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بالكافر هو كل من حكم بكفره مطلقاً سواء كان أصلياً أو كان منتحلاً للإسلام كالغلاة والنواصب والخوارج، غاية الأمر عدم وجود هذه الأصناف في زمان نزول الآية الشريفة، ولا إشكال في ذلك ولا فرق بين الصغير والكبير فيشمل الحكم حتى الأطفال منهم، هذا إذا كان المستند في الحكم هو مفاد الآية الشريفة، وأما إذا كان المستند هو الإجماع والشهرة فيقتصر فيه على القدر المتيقن وهو الكافر الأصلي الكبير دون الصغير ولا </w:t>
      </w:r>
    </w:p>
    <w:p>
      <w:pPr>
        <w:pStyle w:val="BookText"/>
        <w:rPr/>
      </w:pPr>
      <w:r>
        <w:rPr>
          <w:rFonts w:ascii="Amiri" w:hAnsi="Amiri" w:eastAsia="Amiri" w:cs="Amiri"/>
          <w:color w:val="111111"/>
          <w:sz w:val="28"/>
          <w:sz w:val="28"/>
          <w:szCs w:val="28"/>
          <w:rtl w:val="true"/>
          <w:lang w:bidi="ar-SA"/>
        </w:rPr>
        <w:t>يشمل الحكم غيره من سائر الأصناف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بالمسلم هو كل من حكم بإسلامه سواء كان مؤمناً أو مخالفاً من أي فرقة من فرق المخالفين، فكلّ من أقرّ بالشهادتين ـ ما لم يكن محكوماً بالكفر ـ لا يجوز بيعه إلى الكافر، وذلك لأنّ المراد بالمؤمنين في الآية الشريفة هو المعنى المقابل للكافرين، والإيمان والإسلام بمعنى واحد في زمان نزول الآية، وأما التقابل بين الإسلام والإيمان فهو اصطلاح حدث في زمان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لتمييز الإمامية القائلين بإمامة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عداهم، والروايات وإن كانت تدلّ على أنّ المخالف كافر واقعاً لعدم اعتقاده بالولاية إلاّ أنّه يعامل معاملة المسلم وتجري عليه أحكام الإسلام من التناكح والمواريث وحقن الدماء وعصمة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ويدل على ذلك ما ورد في معتبرة حمران بن أعين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ما استقر في القلب وأفضى به إلى</w:t>
      </w:r>
    </w:p>
    <w:p>
      <w:pPr>
        <w:pStyle w:val="BookText"/>
        <w:rPr/>
      </w:pPr>
      <w:r>
        <w:rPr>
          <w:rFonts w:ascii="Amiri" w:hAnsi="Amiri" w:eastAsia="Amiri" w:cs="Amiri"/>
          <w:color w:val="111111"/>
          <w:sz w:val="28"/>
          <w:sz w:val="28"/>
          <w:szCs w:val="28"/>
          <w:rtl w:val="true"/>
          <w:lang w:bidi="ar-SA"/>
        </w:rPr>
        <w:t>الله عزوجل وصدّقه العمل بالطاعة والتسليم لأمره، والإسلام ما ظهر من قول أو فعل وهو الذيعليه جماعة الناس من الفرق كلّها وبه حقنت الدماء، وعليه جرت المواريث، وجاز النكاح، واجتمعوا على الصلاة والزكاة والصوم والحج فخرجوا بذلك من الكفر وأضيفوا إلى الإيمان، والإسلام لا يشرك الإيمان، والإيمان يشرك الإسلام وهما في القول والفعل يجتمعان، كما صارت الكعبة في المسجد والمسجد ليس في الكعبة، وكذلك الإيمان يشرك</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 والإسلام لا يشرك الإيمان، وقد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وَلَكِنْ قُولُوا أَسْلَمْنَا وَلَمَّا يَدْخُلْ الإِيمَانُ فِي قُلُوبِكُمْ</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فقول الله عزوجل أصدق القول،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للمؤمن فضل على المسلم في شيء من الفضائل والأحكام </w:t>
      </w:r>
    </w:p>
    <w:p>
      <w:pPr>
        <w:pStyle w:val="BookText"/>
        <w:rPr/>
      </w:pPr>
      <w:r>
        <w:rPr>
          <w:rFonts w:ascii="Amiri" w:hAnsi="Amiri" w:eastAsia="Amiri" w:cs="Amiri"/>
          <w:color w:val="111111"/>
          <w:sz w:val="28"/>
          <w:sz w:val="28"/>
          <w:szCs w:val="28"/>
          <w:rtl w:val="true"/>
          <w:lang w:bidi="ar-SA"/>
        </w:rPr>
        <w:t>والحدود وغير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هما يجريان في ذلك مجرى واحد ولكن للمؤمن فضل على المسلم في أعمالهما وما يتقرّبان به إلى الله عزوجل</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 هذا بناء على كون المستند هو الآية الشريفة، وأما بناء على أنه الشهرة والإجماع فظاهر كلماتهم هو ذلك أيضاً حيث عبّروا كثيراً بأنه لا سبيل للكافر على المسلم، ومقتضى ذلك عدم جواز بيع المخالف للكافر مطلقاً حتى أطفالهم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بيع العبد المؤمن للمخالف أو لا؟</w:t>
      </w:r>
    </w:p>
    <w:p>
      <w:pPr>
        <w:pStyle w:val="BookText"/>
        <w:rPr/>
      </w:pPr>
      <w:r>
        <w:rPr>
          <w:rFonts w:ascii="Amiri" w:hAnsi="Amiri" w:eastAsia="Amiri" w:cs="Amiri"/>
          <w:color w:val="111111"/>
          <w:sz w:val="28"/>
          <w:sz w:val="28"/>
          <w:szCs w:val="28"/>
          <w:rtl w:val="true"/>
          <w:lang w:bidi="ar-SA"/>
        </w:rPr>
        <w:t xml:space="preserve">وهذه المسألة تبتني على ما تقدم، نعم قال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قلنا بحرمة تزويجالمؤمنة من المخالف لأخبار دلّت على ذلك، فإنّ فحواها يدل على المنع من بيع الجارية المؤمنة، لكن الأقوى عدم التحريم</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البيع وبين سائر التمليكات المتعلقة بالعين كالوصية والهبة والمصالحة، لوحدة المناط في الجميع، وهو تمليك الكافر وتسلّطه على العين، سواء كان المستند في ذلك الآية الشريفة أو الشهرة والإجماع، لوجود الملاك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تمليك المنافع كالإجارة فهل تجوز إجارة المسلم إلى الكافر أو لا؟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المسألة محلّ خلاف بين الأعلام فذهب بعضهم إلى القول بالجواز مطلقاً، كما يظهر من التذكرة</w:t>
      </w:r>
      <w:r>
        <w:rPr>
          <w:rStyle w:val="FootnoteAnchor"/>
          <w:rtl w:val="true"/>
        </w:rPr>
        <w:footnoteReference w:id="748"/>
      </w:r>
      <w:r>
        <w:rPr>
          <w:rFonts w:ascii="IRNazanin" w:hAnsi="IRNazanin" w:eastAsia="IRNazanin"/>
          <w:color w:val="111111"/>
          <w:sz w:val="28"/>
          <w:sz w:val="28"/>
          <w:szCs w:val="28"/>
          <w:rtl w:val="true"/>
          <w:lang w:bidi="fa-IR"/>
        </w:rPr>
        <w:t>والخلاف</w:t>
      </w:r>
      <w:r>
        <w:rPr>
          <w:rStyle w:val="FootnoteAnchor"/>
          <w:rtl w:val="true"/>
        </w:rPr>
        <w:footnoteReference w:id="749"/>
      </w:r>
      <w:r>
        <w:rPr>
          <w:rFonts w:ascii="IRNazanin" w:hAnsi="IRNazanin" w:eastAsia="IRNazanin"/>
          <w:color w:val="111111"/>
          <w:sz w:val="28"/>
          <w:sz w:val="28"/>
          <w:szCs w:val="28"/>
          <w:rtl w:val="true"/>
          <w:lang w:bidi="fa-IR"/>
        </w:rPr>
        <w:t xml:space="preserve">، وذهب آخرون إلى القول بعدم </w:t>
      </w:r>
    </w:p>
    <w:p>
      <w:pPr>
        <w:pStyle w:val="BookText"/>
        <w:rPr/>
      </w:pPr>
      <w:r>
        <w:rPr>
          <w:rFonts w:ascii="IRNazanin" w:hAnsi="IRNazanin" w:eastAsia="IRNazanin"/>
          <w:color w:val="111111"/>
          <w:sz w:val="28"/>
          <w:sz w:val="28"/>
          <w:szCs w:val="28"/>
          <w:rtl w:val="true"/>
          <w:lang w:bidi="fa-IR"/>
        </w:rPr>
        <w:t>الجواز مطلقاً، وهو ظاهر القواعد</w:t>
      </w:r>
      <w:r>
        <w:rPr>
          <w:rStyle w:val="FootnoteAnchor"/>
          <w:rtl w:val="true"/>
        </w:rPr>
        <w:footnoteReference w:id="750"/>
      </w:r>
      <w:r>
        <w:rPr>
          <w:rFonts w:ascii="Amiri" w:hAnsi="Amiri" w:eastAsia="Amiri" w:cs="Amiri"/>
          <w:color w:val="111111"/>
          <w:sz w:val="28"/>
          <w:sz w:val="28"/>
          <w:szCs w:val="28"/>
          <w:rtl w:val="true"/>
          <w:lang w:bidi="ar-SA"/>
        </w:rPr>
        <w:t>والإيضاح</w:t>
      </w:r>
      <w:r>
        <w:rPr>
          <w:rStyle w:val="FootnoteAnchor"/>
          <w:rtl w:val="true"/>
        </w:rPr>
        <w:footnoteReference w:id="751"/>
      </w:r>
      <w:r>
        <w:rPr>
          <w:rFonts w:ascii="Amiri" w:hAnsi="Amiri" w:eastAsia="Amiri" w:cs="Amiri"/>
          <w:color w:val="111111"/>
          <w:sz w:val="28"/>
          <w:sz w:val="28"/>
          <w:szCs w:val="28"/>
          <w:rtl w:val="true"/>
          <w:lang w:bidi="ar-SA"/>
        </w:rPr>
        <w:t>، والقول الثالث هو التفصيل بين ما تكون الإجارة في الذمة فيجوز لعدم تحقّق السبيل والسلطنة على المسلم وهو الظاهر من حواشي الشهيد</w:t>
      </w:r>
      <w:r>
        <w:rPr>
          <w:rStyle w:val="FootnoteAnchor"/>
          <w:rtl w:val="true"/>
        </w:rPr>
        <w:footnoteReference w:id="752"/>
      </w:r>
      <w:r>
        <w:rPr>
          <w:rFonts w:ascii="IRNazanin" w:hAnsi="IRNazanin" w:eastAsia="IRNazanin"/>
          <w:color w:val="111111"/>
          <w:sz w:val="28"/>
          <w:sz w:val="28"/>
          <w:szCs w:val="28"/>
          <w:rtl w:val="true"/>
          <w:lang w:bidi="fa-IR"/>
        </w:rPr>
        <w:t>وجامع المقاصد</w:t>
      </w:r>
      <w:r>
        <w:rPr>
          <w:rStyle w:val="FootnoteAnchor"/>
          <w:rtl w:val="true"/>
        </w:rPr>
        <w:footnoteReference w:id="753"/>
      </w:r>
      <w:r>
        <w:rPr>
          <w:rFonts w:ascii="Amiri" w:hAnsi="Amiri" w:eastAsia="Amiri" w:cs="Amiri"/>
          <w:color w:val="111111"/>
          <w:sz w:val="28"/>
          <w:sz w:val="28"/>
          <w:szCs w:val="28"/>
          <w:rtl w:val="true"/>
          <w:lang w:bidi="ar-SA"/>
        </w:rPr>
        <w:t>والمسالك</w:t>
      </w:r>
      <w:r>
        <w:rPr>
          <w:rStyle w:val="FootnoteAnchor"/>
          <w:rtl w:val="true"/>
        </w:rPr>
        <w:footnoteReference w:id="754"/>
      </w:r>
      <w:r>
        <w:rPr>
          <w:rFonts w:ascii="Amiri" w:hAnsi="Amiri" w:eastAsia="Amiri" w:cs="Amiri"/>
          <w:color w:val="111111"/>
          <w:sz w:val="28"/>
          <w:sz w:val="28"/>
          <w:szCs w:val="28"/>
          <w:rtl w:val="true"/>
          <w:lang w:bidi="ar-SA"/>
        </w:rPr>
        <w:t>، وبين ما تكون متعلقة بعينهفلا تجوز، ورابع الأقوال هو التفصيل بين كونه حراً فيجوز، وبين كونه عبداً فلا يجوز، وهو ظاهر الدروس</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يظهر من الشيخ</w:t>
      </w:r>
      <w:r>
        <w:rPr>
          <w:rStyle w:val="FootnoteAnchor"/>
          <w:rtl w:val="true"/>
        </w:rPr>
        <w:footnoteReference w:id="756"/>
      </w:r>
      <w:r>
        <w:rPr>
          <w:rFonts w:ascii="Amiri" w:hAnsi="Amiri" w:eastAsia="Amiri" w:cs="Amiri"/>
          <w:color w:val="111111"/>
          <w:sz w:val="28"/>
          <w:sz w:val="28"/>
          <w:szCs w:val="28"/>
          <w:rtl w:val="true"/>
          <w:lang w:bidi="ar-SA"/>
        </w:rPr>
        <w:t>والمحقق النائيني</w:t>
      </w:r>
      <w:r>
        <w:rPr>
          <w:rStyle w:val="FootnoteAnchor"/>
          <w:rtl w:val="true"/>
        </w:rPr>
        <w:footnoteReference w:id="757"/>
      </w:r>
      <w:r>
        <w:rPr>
          <w:rFonts w:ascii="Amiri" w:hAnsi="Amiri" w:eastAsia="Amiri" w:cs="Amiri"/>
          <w:color w:val="111111"/>
          <w:sz w:val="28"/>
          <w:sz w:val="28"/>
          <w:szCs w:val="28"/>
          <w:rtl w:val="true"/>
          <w:lang w:bidi="ar-SA"/>
        </w:rPr>
        <w:t>والسيد الأستاذ</w:t>
      </w:r>
      <w:r>
        <w:rPr>
          <w:rStyle w:val="FootnoteAnchor"/>
          <w:rtl w:val="true"/>
        </w:rPr>
        <w:footnoteReference w:id="758"/>
      </w:r>
      <w:r>
        <w:rPr>
          <w:rFonts w:ascii="IRNazanin" w:hAnsi="IRNazanin" w:eastAsia="IRNazanin"/>
          <w:color w:val="111111"/>
          <w:sz w:val="28"/>
          <w:sz w:val="28"/>
          <w:szCs w:val="28"/>
          <w:rtl w:val="true"/>
          <w:lang w:bidi="fa-IR"/>
        </w:rPr>
        <w:t xml:space="preserve">وغيرهم قدس الله أسرارهم هو التفصيل الأول، لأنه إذا كان في الذمة فهو كالاقتراض من الكافر، ولا يصدق عليه أنه سبيل على المؤمن، وقد ورد في بعض الروايات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استقرض ثلاثة أصوع من شعير من يهودي</w:t>
      </w:r>
      <w:r>
        <w:rPr>
          <w:rStyle w:val="FootnoteAnchor"/>
          <w:rtl w:val="true"/>
        </w:rPr>
        <w:footnoteReference w:id="759"/>
      </w:r>
      <w:r>
        <w:rPr>
          <w:rFonts w:ascii="IRNazanin" w:hAnsi="IRNazanin" w:eastAsia="IRNazanin"/>
          <w:color w:val="111111"/>
          <w:sz w:val="28"/>
          <w:sz w:val="28"/>
          <w:szCs w:val="28"/>
          <w:rtl w:val="true"/>
          <w:lang w:bidi="fa-IR"/>
        </w:rPr>
        <w:t xml:space="preserve">وفي بعضها أنه استقرضها منه في مقابل أن تغزل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صوفاً</w:t>
      </w:r>
      <w:r>
        <w:rPr>
          <w:rStyle w:val="FootnoteAnchor"/>
          <w:rtl w:val="true"/>
        </w:rPr>
        <w:footnoteReference w:id="760"/>
      </w:r>
      <w:r>
        <w:rPr>
          <w:rFonts w:ascii="IRNazanin" w:hAnsi="IRNazanin" w:eastAsia="IRNazanin"/>
          <w:color w:val="111111"/>
          <w:sz w:val="28"/>
          <w:sz w:val="28"/>
          <w:szCs w:val="28"/>
          <w:rtl w:val="true"/>
          <w:lang w:bidi="fa-IR"/>
        </w:rPr>
        <w:t xml:space="preserve">بل في بعض الروايات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نفسه ليسقي نخلاً بشيء من شعير</w:t>
      </w:r>
      <w:r>
        <w:rPr>
          <w:rStyle w:val="FootnoteAnchor"/>
          <w:rtl w:val="true"/>
        </w:rPr>
        <w:footnoteReference w:id="761"/>
      </w:r>
      <w:r>
        <w:rPr>
          <w:rFonts w:ascii="Amiri" w:hAnsi="Amiri" w:eastAsia="Amiri" w:cs="Amiri"/>
          <w:color w:val="111111"/>
          <w:sz w:val="28"/>
          <w:sz w:val="28"/>
          <w:szCs w:val="28"/>
          <w:rtl w:val="true"/>
          <w:lang w:bidi="ar-SA"/>
        </w:rPr>
        <w:t>، كما 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وروى صاحب الوسائل عن قرب الأسناد بإسناده عن الحسين بن علوان،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درعه لمرهونة عند يهودي من يهود المدينة بعشرين صاعاً من شعير استلفها نفقة لأهله</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 ولا فرق بين كون الأجير حرّاً أو عبداً وهو ظاهر إطلاق كثير من الفقهاء كما تقدم عن التذكرة، وحواشي الشهيد، وجامع المقاصد، بل صريح الخلاف نفي الخلاف فيه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 كافر مسلماً لعمل في الذمّة صحّ بلا خلاف، وإذا استأجره مدة من الزمان شهراً أو سنة ليعمل له عملاً صحّ أيضاً عندنا</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يظهر من الإيضاح فإنه ادّعى أنه لم ينقل من الأمة فرق بين الدين وبين الثابت في الذمة بالاستئجار فإنّ طريقهما واحد</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الظاهر هو التفصيل بين ما إذا كان المستند هو الشهرة والإجماع فلا يشمل تمليك المنافع، وحينئذ تجوز الإجارة مطلقاً، وبين ما إذا كان المستند هو الآية الشريفة وقلنا بأنّ مجرّد البيع والتمليك سبيل كما عليه المشهور فالتفصيل ـ بين كون الإجارة على العمل في الذمة وبين كونها على النفس فيجوز في الأول دون الثاني ـ في محله، كما نسب إلى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القول بأنّ المنفي بالآية هوالتسلّط الخارجي كما استظهره الشيخ</w:t>
      </w:r>
      <w:r>
        <w:rPr>
          <w:rStyle w:val="FootnoteAnchor"/>
          <w:rtl w:val="true"/>
        </w:rPr>
        <w:footnoteReference w:id="766"/>
      </w:r>
      <w:r>
        <w:rPr>
          <w:rFonts w:ascii="IRNazanin" w:hAnsi="IRNazanin" w:eastAsia="IRNazanin"/>
          <w:color w:val="111111"/>
          <w:sz w:val="28"/>
          <w:sz w:val="28"/>
          <w:szCs w:val="28"/>
          <w:rtl w:val="true"/>
          <w:lang w:bidi="fa-IR"/>
        </w:rPr>
        <w:t xml:space="preserve">وقواه </w:t>
      </w:r>
    </w:p>
    <w:p>
      <w:pPr>
        <w:pStyle w:val="BookText"/>
        <w:rPr/>
      </w:pPr>
      <w:r>
        <w:rPr>
          <w:rFonts w:ascii="Amiri" w:hAnsi="Amiri" w:eastAsia="Amiri" w:cs="Amiri"/>
          <w:color w:val="111111"/>
          <w:sz w:val="28"/>
          <w:sz w:val="28"/>
          <w:szCs w:val="28"/>
          <w:rtl w:val="true"/>
          <w:lang w:bidi="ar-SA"/>
        </w:rPr>
        <w:t>السيد الأستاذ</w:t>
      </w:r>
      <w:r>
        <w:rPr>
          <w:rStyle w:val="FootnoteAnchor"/>
          <w:rtl w:val="true"/>
        </w:rPr>
        <w:footnoteReference w:id="767"/>
      </w:r>
      <w:r>
        <w:rPr>
          <w:rFonts w:ascii="Amiri" w:hAnsi="Amiri" w:eastAsia="Amiri" w:cs="Amiri"/>
          <w:color w:val="111111"/>
          <w:sz w:val="28"/>
          <w:sz w:val="28"/>
          <w:szCs w:val="28"/>
          <w:rtl w:val="true"/>
          <w:lang w:bidi="ar-SA"/>
        </w:rPr>
        <w:t>قائلاً بأنه لا منافاة بينه وبين كون المراد بالسبيل في الآية هو الحجّة في الدنيا أو الآخرة لأنّها أحد مصاديقه لا أنّه تمام المراد من الآية ولعلّه هو الأقوى، فلا وجه حينئذ لبطلان نفس الإجارة مطلقاً سواء كانت في الذمة أو على النفس، وذلك لأنّ تمليك العين بناء على هذا الوجه ليس باطلاً فكيف بتمليك المنافع، نعم يلزم محجوريته بالنسبة إليها، فإذا كان له وكيل مسلم للاستيفاء فلا إشكال حينئذ، وإلاّ فلابدّ إما من تبديل الإجارة إلى الذمة وتعيين العمل ويكون للكافر حقّ العمل فقط، وإما أن تباع المنافع ـ كما إذا كان عبداً ـ أو يصالح عليها ـ كما إذا كان حرّاً ـ ويعطي بدلها للكافر كما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تمليك الانتفاع فهل يجوز للمسلم أن يرهن شيئاً من أمواله عند الكافر أو لا؟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اختلفت كلمات الفقهاء في ذلك ففي نهاية الأحكام</w:t>
      </w:r>
      <w:r>
        <w:rPr>
          <w:rStyle w:val="FootnoteAnchor"/>
          <w:rtl w:val="true"/>
        </w:rPr>
        <w:footnoteReference w:id="768"/>
      </w:r>
      <w:r>
        <w:rPr>
          <w:rFonts w:ascii="Amiri" w:hAnsi="Amiri" w:eastAsia="Amiri" w:cs="Amiri"/>
          <w:color w:val="111111"/>
          <w:sz w:val="28"/>
          <w:sz w:val="28"/>
          <w:szCs w:val="28"/>
          <w:rtl w:val="true"/>
          <w:lang w:bidi="ar-SA"/>
        </w:rPr>
        <w:t>القول بالجواز مطلقاً، وفي القواعد</w:t>
      </w:r>
      <w:r>
        <w:rPr>
          <w:rStyle w:val="FootnoteAnchor"/>
          <w:rtl w:val="true"/>
        </w:rPr>
        <w:footnoteReference w:id="769"/>
      </w:r>
      <w:r>
        <w:rPr>
          <w:rFonts w:ascii="Amiri" w:hAnsi="Amiri" w:eastAsia="Amiri" w:cs="Amiri"/>
          <w:color w:val="111111"/>
          <w:sz w:val="28"/>
          <w:sz w:val="28"/>
          <w:szCs w:val="28"/>
          <w:rtl w:val="true"/>
          <w:lang w:bidi="ar-SA"/>
        </w:rPr>
        <w:t>والإيضاح</w:t>
      </w:r>
      <w:r>
        <w:rPr>
          <w:rStyle w:val="FootnoteAnchor"/>
          <w:rtl w:val="true"/>
        </w:rPr>
        <w:footnoteReference w:id="770"/>
      </w:r>
      <w:r>
        <w:rPr>
          <w:rFonts w:ascii="IRNazanin" w:hAnsi="IRNazanin" w:eastAsia="IRNazanin"/>
          <w:color w:val="111111"/>
          <w:sz w:val="28"/>
          <w:sz w:val="28"/>
          <w:szCs w:val="28"/>
          <w:rtl w:val="true"/>
          <w:lang w:bidi="fa-IR"/>
        </w:rPr>
        <w:t>القول بالمنع مطلقاً، وظاهر المبسوط</w:t>
      </w:r>
      <w:r>
        <w:rPr>
          <w:rStyle w:val="FootnoteAnchor"/>
          <w:rtl w:val="true"/>
        </w:rPr>
        <w:footnoteReference w:id="771"/>
      </w:r>
      <w:r>
        <w:rPr>
          <w:rFonts w:ascii="IRNazanin" w:hAnsi="IRNazanin" w:eastAsia="IRNazanin"/>
          <w:color w:val="111111"/>
          <w:sz w:val="28"/>
          <w:sz w:val="28"/>
          <w:szCs w:val="28"/>
          <w:rtl w:val="true"/>
          <w:lang w:bidi="fa-IR"/>
        </w:rPr>
        <w:t>والدروس</w:t>
      </w:r>
      <w:r>
        <w:rPr>
          <w:rStyle w:val="FootnoteAnchor"/>
          <w:rtl w:val="true"/>
        </w:rPr>
        <w:footnoteReference w:id="772"/>
      </w:r>
      <w:r>
        <w:rPr>
          <w:rFonts w:ascii="IRNazanin" w:hAnsi="IRNazanin" w:eastAsia="IRNazanin"/>
          <w:color w:val="111111"/>
          <w:sz w:val="28"/>
          <w:sz w:val="28"/>
          <w:szCs w:val="28"/>
          <w:rtl w:val="true"/>
          <w:lang w:bidi="fa-IR"/>
        </w:rPr>
        <w:t>وجامع المقاصد</w:t>
      </w:r>
      <w:r>
        <w:rPr>
          <w:rStyle w:val="FootnoteAnchor"/>
          <w:rtl w:val="true"/>
        </w:rPr>
        <w:footnoteReference w:id="773"/>
      </w:r>
      <w:r>
        <w:rPr>
          <w:rFonts w:ascii="IRNazanin" w:hAnsi="IRNazanin" w:eastAsia="IRNazanin"/>
          <w:color w:val="111111"/>
          <w:sz w:val="28"/>
          <w:sz w:val="28"/>
          <w:szCs w:val="28"/>
          <w:rtl w:val="true"/>
          <w:lang w:bidi="fa-IR"/>
        </w:rPr>
        <w:t>والقواعد</w:t>
      </w:r>
      <w:r>
        <w:rPr>
          <w:rStyle w:val="FootnoteAnchor"/>
          <w:rtl w:val="true"/>
        </w:rPr>
        <w:footnoteReference w:id="774"/>
      </w:r>
      <w:r>
        <w:rPr>
          <w:rFonts w:ascii="Amiri" w:hAnsi="Amiri" w:eastAsia="Amiri" w:cs="Amiri"/>
          <w:color w:val="111111"/>
          <w:sz w:val="28"/>
          <w:sz w:val="28"/>
          <w:szCs w:val="28"/>
          <w:rtl w:val="true"/>
          <w:lang w:bidi="ar-SA"/>
        </w:rPr>
        <w:t>والإيضاح</w:t>
      </w:r>
      <w:r>
        <w:rPr>
          <w:rStyle w:val="FootnoteAnchor"/>
          <w:rtl w:val="true"/>
        </w:rPr>
        <w:footnoteReference w:id="775"/>
      </w:r>
      <w:r>
        <w:rPr>
          <w:rFonts w:ascii="Amiri" w:hAnsi="Amiri" w:eastAsia="Amiri" w:cs="Amiri"/>
          <w:color w:val="111111"/>
          <w:sz w:val="28"/>
          <w:sz w:val="28"/>
          <w:szCs w:val="28"/>
          <w:rtl w:val="true"/>
          <w:lang w:bidi="ar-SA"/>
        </w:rPr>
        <w:t>في كتاب الرهن القول بالتفصيل بين ما إذا لم يكن تحت يد الكافر كما إذا وضع عند مسلم فيجوز، وإلاّ فلا، وتردّد العلاّمة في التذكرة</w:t>
      </w:r>
      <w:r>
        <w:rPr>
          <w:rStyle w:val="FootnoteAnchor"/>
          <w:rtl w:val="true"/>
        </w:rPr>
        <w:footnoteReference w:id="776"/>
      </w:r>
      <w:r>
        <w:rPr>
          <w:rFonts w:ascii="Amiri" w:hAnsi="Amiri" w:eastAsia="Amiri" w:cs="Amiri"/>
          <w:color w:val="111111"/>
          <w:sz w:val="28"/>
          <w:sz w:val="28"/>
          <w:szCs w:val="28"/>
          <w:rtl w:val="true"/>
          <w:lang w:bidi="ar-SA"/>
        </w:rPr>
        <w:t>وقد رجّح الشيخ</w:t>
      </w:r>
      <w:r>
        <w:rPr>
          <w:rStyle w:val="FootnoteAnchor"/>
          <w:rtl w:val="true"/>
        </w:rPr>
        <w:footnoteReference w:id="777"/>
      </w:r>
      <w:r>
        <w:rPr>
          <w:rFonts w:ascii="IRNazanin" w:hAnsi="IRNazanin" w:eastAsia="IRNazanin"/>
          <w:color w:val="111111"/>
          <w:sz w:val="28"/>
          <w:sz w:val="28"/>
          <w:szCs w:val="28"/>
          <w:rtl w:val="true"/>
          <w:lang w:bidi="fa-IR"/>
        </w:rPr>
        <w:t xml:space="preserve">والمحقق </w:t>
      </w:r>
    </w:p>
    <w:p>
      <w:pPr>
        <w:pStyle w:val="BookText"/>
        <w:rPr/>
      </w:pPr>
      <w:r>
        <w:rPr>
          <w:rFonts w:ascii="Amiri" w:hAnsi="Amiri" w:eastAsia="Amiri" w:cs="Amiri"/>
          <w:color w:val="111111"/>
          <w:sz w:val="28"/>
          <w:sz w:val="28"/>
          <w:szCs w:val="28"/>
          <w:rtl w:val="true"/>
          <w:lang w:bidi="ar-SA"/>
        </w:rPr>
        <w:t>النائيني</w:t>
      </w:r>
      <w:r>
        <w:rPr>
          <w:rStyle w:val="FootnoteAnchor"/>
          <w:rtl w:val="true"/>
        </w:rPr>
        <w:footnoteReference w:id="778"/>
      </w:r>
      <w:r>
        <w:rPr>
          <w:rFonts w:ascii="Amiri" w:hAnsi="Amiri" w:eastAsia="Amiri" w:cs="Amiri"/>
          <w:color w:val="111111"/>
          <w:sz w:val="28"/>
          <w:sz w:val="28"/>
          <w:szCs w:val="28"/>
          <w:rtl w:val="true"/>
          <w:lang w:bidi="ar-SA"/>
        </w:rPr>
        <w:t>والسيد الأستاذ</w:t>
      </w:r>
      <w:r>
        <w:rPr>
          <w:rStyle w:val="FootnoteAnchor"/>
          <w:rtl w:val="true"/>
        </w:rPr>
        <w:footnoteReference w:id="779"/>
      </w:r>
      <w:r>
        <w:rPr>
          <w:rFonts w:ascii="Amiri" w:hAnsi="Amiri" w:eastAsia="Amiri" w:cs="Amiri"/>
          <w:color w:val="111111"/>
          <w:sz w:val="28"/>
          <w:sz w:val="28"/>
          <w:szCs w:val="28"/>
          <w:rtl w:val="true"/>
          <w:lang w:bidi="ar-SA"/>
        </w:rPr>
        <w:t>القول الأخير لأنّ كون الرهن تحت يده سبيل بخلاف ما إذا لم يكن كذلك، فإنّ مجرّد استحقاقه الأخذ من ثمنه لا يعدّ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الظاهر أنّ ما ذكرناه في الإجارة يأتي في المقام فإنّه لا إشكال في نفس الارتهان، نعم يلزم أن لا يكون تحت يده للحجر عليه كما قلنا هناك، فإن رضي بأن تكون العين تحت يد مسلم فلا إشكال وإلاّ فيجبر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العقود الأمانية كالوديعة والعارية، فهل يجوز الإيداع عند الكافر وإعارته أو لا؟</w:t>
      </w:r>
    </w:p>
    <w:p>
      <w:pPr>
        <w:pStyle w:val="BookText"/>
        <w:rPr/>
      </w:pPr>
      <w:r>
        <w:rPr>
          <w:rFonts w:ascii="Amiri" w:hAnsi="Amiri" w:eastAsia="Amiri" w:cs="Amiri"/>
          <w:color w:val="111111"/>
          <w:sz w:val="28"/>
          <w:sz w:val="28"/>
          <w:szCs w:val="28"/>
          <w:rtl w:val="true"/>
          <w:lang w:bidi="ar-SA"/>
        </w:rPr>
        <w:t>قد يقال بالمنع وعدم الجواز لأنّ ذلك أقوى منعاً من الارتهان، وفصّل الشيخ</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بين العارية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سبيل، لأنّ المقصود منها هو الاستفادة من العين بخلافالوديعة فإنّه ملزم بحفظها فقط وليس له عليها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هو التفصيل في الوديعة أيضاً كالتفصيل في الرهن فإنّ الوديعة إذا كانت تحت يده فإنه وإن لم يكن له حق التصرف فيها بل هو ملزم بحفظها ولكن لما كانت العين تحت اختياره يقلبها كيف شاء ويحملها وينقلها من مكان إلى آخر وغير ذلك من التصرفات فلا يبعد أن يعدّ ذلك سبيلاً عرفاً وهو منفي فالأحوط المنع، وأما إذا كانت تحت يد مسلم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الكافر عبده المسلم على أهل ملّته فهل يعدّ ذلك سبيلاً أو لا؟</w:t>
      </w:r>
    </w:p>
    <w:p>
      <w:pPr>
        <w:pStyle w:val="BookText"/>
        <w:rPr/>
      </w:pPr>
      <w:r>
        <w:rPr>
          <w:rFonts w:ascii="Amiri" w:hAnsi="Amiri" w:eastAsia="Amiri" w:cs="Amiri"/>
          <w:color w:val="111111"/>
          <w:sz w:val="28"/>
          <w:sz w:val="28"/>
          <w:szCs w:val="28"/>
          <w:rtl w:val="true"/>
          <w:lang w:bidi="ar-SA"/>
        </w:rPr>
        <w:t>وذلك يتحقق فيما إذا كان العبد كافراً فأوقفه ثم أسلم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كلمات الفقهاء صدق السبيل عليه، لأنّه أحد منافع الموقوف </w:t>
      </w:r>
    </w:p>
    <w:p>
      <w:pPr>
        <w:pStyle w:val="BookText"/>
        <w:rPr/>
      </w:pPr>
      <w:r>
        <w:rPr>
          <w:rFonts w:ascii="Amiri" w:hAnsi="Amiri" w:eastAsia="Amiri" w:cs="Amiri"/>
          <w:color w:val="111111"/>
          <w:sz w:val="28"/>
          <w:sz w:val="28"/>
          <w:szCs w:val="28"/>
          <w:rtl w:val="true"/>
          <w:lang w:bidi="ar-SA"/>
        </w:rPr>
        <w:t>عليهم فيكون سبيلاً، والحكم في هذه المسألة هو الحكم المتقدم في مسألة الإجارة وما مرّ من التفاصيل هناك يأتي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عقد الوكالة فهل يصح إجراؤه بين المسلم والكافر أو لا؟</w:t>
      </w:r>
    </w:p>
    <w:p>
      <w:pPr>
        <w:pStyle w:val="BookText"/>
        <w:rPr/>
      </w:pPr>
      <w:r>
        <w:rPr>
          <w:rFonts w:ascii="Amiri" w:hAnsi="Amiri" w:eastAsia="Amiri" w:cs="Amiri"/>
          <w:color w:val="111111"/>
          <w:sz w:val="28"/>
          <w:sz w:val="28"/>
          <w:szCs w:val="28"/>
          <w:rtl w:val="true"/>
          <w:lang w:bidi="ar-SA"/>
        </w:rPr>
        <w:t>وهي تارة تكون من الكافر للمسلم ولا إشكال فيها لأنّها توجب تسلّط المسلم على الكافر وعلى أمواله، وتارة بالعكس، فإن كانت على أموال المسلم فجائزة، وإن كانت على نفسه وشؤونه أو أطفاله وعبيده فهي محلّ إشكال، وكذا الكلام في الوصية العهدية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تقدم حكم الإشتغال للكافر اختياراً سواء كان في بلاد الإسلام أو في خارجها، فإن كان بعنوان الإجارة على العمل في الذمة فلا إشكال فيه، وإن كان على المنافع فحكمه يبتني على ما تقدم من الأقوال والتفاصيل،وعلى ما ذكرناه من التفصيل تكون الإجارة صحيحة، نعم لا يستحق الكافر الاستيفاء للحجر عليه في ذلك، وعليه فإمّا أن يوكّل مسلماً لذلك وإلاّ ألزم بالبيع أو المصالحة أو بتبديلها إلى الذمّة وتعيين العمل، وإن لم يقبل ذلك فللمسلم أن يأخذ الأجرة التي يستحقها بالغلبة والاستعلاء إذا لم يكن الكافر ذمّياً وأما إذا كان ذميّاً فله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المسلم إلى الإيجار أو الارتهان، أو الإيداع، أو الإعارة إلى الكافر، من جهة المعيشة، أو للتقية على القول ببطلان البيع وفساده مطلقاً، أو في بعض الموارد على التفصيل المتقدم، فهل يحكم بصحّتها وضعاً كعدم الإشكال في جوازها أو لا؟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الكلام في هذه المسألة مفصّلاً في أوائل بحث التقية من الجزء الأول من هذا الكتاب فراجع</w:t>
      </w:r>
      <w:r>
        <w:rPr>
          <w:rFonts w:eastAsia="Amiri" w:cs="Amiri" w:ascii="Amiri" w:hAnsi="Amiri"/>
          <w:color w:val="111111"/>
          <w:sz w:val="28"/>
          <w:szCs w:val="28"/>
          <w:rtl w:val="true"/>
          <w:lang w:bidi="ar-SA"/>
        </w:rPr>
        <w:t xml:space="preserve">. </w:t>
      </w:r>
      <w:bookmarkStart w:id="139" w:name="pg16406_258630"/>
    </w:p>
    <w:p>
      <w:pPr>
        <w:pStyle w:val="Heading4"/>
        <w:numPr>
          <w:ilvl w:val="3"/>
          <w:numId w:val="1"/>
        </w:numPr>
        <w:rPr/>
      </w:pPr>
      <w:bookmarkStart w:id="140" w:name="__RefHeading___Toc7246549_1280447820"/>
      <w:bookmarkStart w:id="141" w:name="_Toc45"/>
      <w:bookmarkEnd w:id="139"/>
      <w:bookmarkEnd w:id="140"/>
      <w:r>
        <w:rPr>
          <w:rtl w:val="true"/>
        </w:rPr>
        <w:t>تنبيهان</w:t>
      </w:r>
      <w:r>
        <w:rPr>
          <w:rtl w:val="true"/>
        </w:rPr>
        <w:t>:</w:t>
      </w:r>
      <w:bookmarkEnd w:id="14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استثني من حرمة بيع العبد المسلم عدّة موارد وحيث إنّ المسألة ليست ابتلائية فمن أراد الوقوف عليها فليرجع إلى الكتب التي تناولتها بالبحث كمكاسب الشيخ وغيره، وكذا الكلام في حقّ الكافر في الخيار والفسخ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إجراء قاعدة الإلزام في الموارد التي يختلف حكمها بيننا وبين العامة، ويسوغ أخذ الحق منهم إلزاماً لهم بما ألزموا به أنفسهم، ولا بأس بالإشارة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خيار الرؤية على مذهب الشافعي لمن اشترى شيئاً بالوصف ثمرآه، وإن كان المبيع حاوياً للوصف المذكور في عقد البيع</w:t>
      </w:r>
      <w:r>
        <w:rPr>
          <w:rStyle w:val="FootnoteAnchor"/>
          <w:rtl w:val="true"/>
        </w:rPr>
        <w:footnoteReference w:id="781"/>
      </w:r>
      <w:r>
        <w:rPr>
          <w:rFonts w:ascii="Amiri" w:hAnsi="Amiri" w:eastAsia="Amiri" w:cs="Amiri"/>
          <w:color w:val="111111"/>
          <w:sz w:val="28"/>
          <w:sz w:val="28"/>
          <w:szCs w:val="28"/>
          <w:rtl w:val="true"/>
          <w:lang w:bidi="ar-SA"/>
        </w:rPr>
        <w:t>، وعليه فلو اشترى الإمامي من شافعي شيئاً بالوصف ثم رآه ثبت له الخيار بقاعدة الإلزام وإن كان المبيع مشتملاً على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يثبت خيار الغبن للمغبون عند الشافعي</w:t>
      </w:r>
      <w:r>
        <w:rPr>
          <w:rStyle w:val="FootnoteAnchor"/>
          <w:rtl w:val="true"/>
        </w:rPr>
        <w:footnoteReference w:id="782"/>
      </w:r>
      <w:r>
        <w:rPr>
          <w:rFonts w:ascii="Amiri" w:hAnsi="Amiri" w:eastAsia="Amiri" w:cs="Amiri"/>
          <w:color w:val="111111"/>
          <w:sz w:val="28"/>
          <w:sz w:val="28"/>
          <w:szCs w:val="28"/>
          <w:rtl w:val="true"/>
          <w:lang w:bidi="ar-SA"/>
        </w:rPr>
        <w:t>، وعليه فلو اشترى إمامي من شافعي شيئاً ثم انكشف أن البائع مغبون فللإمامي إلزامه بعدم حق الفسخ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عند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الأحناف في صحة عقد السلم أن يكون المسلم فيه موجوداً</w:t>
      </w:r>
      <w:r>
        <w:rPr>
          <w:rStyle w:val="FootnoteAnchor"/>
          <w:rtl w:val="true"/>
        </w:rPr>
        <w:footnoteReference w:id="783"/>
      </w:r>
      <w:r>
        <w:rPr>
          <w:rFonts w:ascii="Amiri" w:hAnsi="Amiri" w:eastAsia="Amiri" w:cs="Amiri"/>
          <w:color w:val="111111"/>
          <w:sz w:val="28"/>
          <w:sz w:val="28"/>
          <w:szCs w:val="28"/>
          <w:rtl w:val="true"/>
          <w:lang w:bidi="ar-SA"/>
        </w:rPr>
        <w:t>، ولا يشترط ذلك عند الإمامية، وعليه فلو اشترى الإمامي من حنفي شيئاً ولم يكن المسلم فيه موجوداً جاز للإمامي إلزامه ببطلان العقد، وهكذا الحكم في سائر الموارد في باب التجارة</w:t>
      </w:r>
      <w:r>
        <w:rPr>
          <w:rFonts w:eastAsia="Amiri" w:cs="Amiri" w:ascii="Amiri" w:hAnsi="Amiri"/>
          <w:color w:val="111111"/>
          <w:sz w:val="28"/>
          <w:szCs w:val="28"/>
          <w:rtl w:val="true"/>
          <w:lang w:bidi="ar-SA"/>
        </w:rPr>
        <w:t xml:space="preserve">. </w:t>
      </w:r>
      <w:bookmarkStart w:id="142" w:name="pg16406_258631"/>
    </w:p>
    <w:p>
      <w:pPr>
        <w:pStyle w:val="Heading4"/>
        <w:numPr>
          <w:ilvl w:val="3"/>
          <w:numId w:val="1"/>
        </w:numPr>
        <w:rPr/>
      </w:pPr>
      <w:bookmarkStart w:id="143" w:name="__RefHeading___Toc7246551_1280447820"/>
      <w:bookmarkStart w:id="144" w:name="_Toc46"/>
      <w:bookmarkEnd w:id="142"/>
      <w:bookmarkEnd w:id="143"/>
      <w:r>
        <w:rPr>
          <w:rtl w:val="true"/>
        </w:rPr>
        <w:t>المبحث الثالث</w:t>
      </w:r>
      <w:r>
        <w:rPr>
          <w:rtl w:val="true"/>
        </w:rPr>
        <w:t xml:space="preserve">: </w:t>
      </w:r>
      <w:r>
        <w:rPr>
          <w:rtl w:val="true"/>
        </w:rPr>
        <w:t>في الغناء</w:t>
      </w:r>
      <w:r>
        <w:rPr>
          <w:rtl w:val="true"/>
        </w:rPr>
        <w:t>:</w:t>
      </w:r>
      <w:bookmarkEnd w:id="144"/>
    </w:p>
    <w:p>
      <w:pPr>
        <w:pStyle w:val="BookText"/>
        <w:rPr/>
      </w:pPr>
      <w:r>
        <w:rPr>
          <w:rFonts w:ascii="Amiri" w:hAnsi="Amiri" w:eastAsia="Amiri" w:cs="Amiri"/>
          <w:color w:val="111111"/>
          <w:sz w:val="28"/>
          <w:sz w:val="28"/>
          <w:szCs w:val="28"/>
          <w:rtl w:val="true"/>
          <w:lang w:bidi="ar-SA"/>
        </w:rPr>
        <w:t>والغناء من المسائل الخلافية بين الخاصة والعامة، ونظراً لكونه من القضايا الابتلائية وله مدخلية بوجه في باب المكاسب، كما أنّ له ارتباطاً بموضوع التقية فلابدّ من البحث فيه بما يناسب المقام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بين الخاصة في أنّ الغناء محرّم في الجملة، بل عن غير واحد دعوىالإجماع إلى حدّ الاستفاضة، بل الإجماع المحقق نقلاً وتحصيلاً كما في المستند</w:t>
      </w:r>
      <w:r>
        <w:rPr>
          <w:rStyle w:val="FootnoteAnchor"/>
          <w:rtl w:val="true"/>
        </w:rPr>
        <w:footnoteReference w:id="784"/>
      </w:r>
      <w:r>
        <w:rPr>
          <w:rFonts w:ascii="IRNazanin" w:hAnsi="IRNazanin" w:eastAsia="IRNazanin"/>
          <w:color w:val="111111"/>
          <w:sz w:val="28"/>
          <w:sz w:val="28"/>
          <w:szCs w:val="28"/>
          <w:rtl w:val="true"/>
          <w:lang w:bidi="fa-IR"/>
        </w:rPr>
        <w:t>والجواهر</w:t>
      </w:r>
      <w:r>
        <w:rPr>
          <w:rStyle w:val="FootnoteAnchor"/>
          <w:rtl w:val="true"/>
        </w:rPr>
        <w:footnoteReference w:id="785"/>
      </w:r>
      <w:r>
        <w:rPr>
          <w:rFonts w:ascii="Amiri" w:hAnsi="Amiri" w:eastAsia="Amiri" w:cs="Amiri"/>
          <w:color w:val="111111"/>
          <w:sz w:val="28"/>
          <w:sz w:val="28"/>
          <w:szCs w:val="28"/>
          <w:rtl w:val="true"/>
          <w:lang w:bidi="ar-SA"/>
        </w:rPr>
        <w:t>، بل في الأول دعوى كونه ضرورة دينية، وفي الثاني أنه يمكن دعوى كونه ضرورياً في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عند العامة فالذي يظهر من كلماتهم أنّ المشهورعندهم هو إباحته في نفسه، ففي الفقه على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التغنّي من حيث كونه ترديد الصوت بالألحان مباح لا شيء فيه، ولكن قد يعرض ما يجعله حراماً أو مكروهاً</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أبو طالب المالكي إباحة السماع من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الحجازيون عندنا بمكة يسمعون السماع في أفضل أيام السنة وهي الأيام المعدودات التي أمر الله عباده فيها بذكره كأيام التشريق، ولم يزل أهل المدينة مواظبين كأهل مكة على السماع إلى زماننا هذا</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نيل الأوطار بعد أن نقل الخلاف في الحرمة والجواز حكى عن ابن النحوي في العمدة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الغناء وسماعه عن جماعة من الصحابة والتابعين، فمن الصحابة عمر كما رواه ابن عبد البر وغيره، وعثمان كما نقله </w:t>
      </w:r>
    </w:p>
    <w:p>
      <w:pPr>
        <w:pStyle w:val="BookText"/>
        <w:rPr/>
      </w:pPr>
      <w:r>
        <w:rPr>
          <w:rFonts w:ascii="Amiri" w:hAnsi="Amiri" w:eastAsia="Amiri" w:cs="Amiri"/>
          <w:color w:val="111111"/>
          <w:sz w:val="28"/>
          <w:sz w:val="28"/>
          <w:szCs w:val="28"/>
          <w:rtl w:val="true"/>
          <w:lang w:bidi="ar-SA"/>
        </w:rPr>
        <w:t>الماوردي وصاحب البيان والرافعي، وعبد الرحمن بن عوف كما رواه ابن أبي شيبة، وأبو عبيدة بن الجراح كما أخرجه البيهقي، وسعد بن أبي وقاص كما أخرجه ابنقتيبة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عدّ زهاء عشرين شخصاً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التابعون فسعيد بن المسيب، وسالم بن عمرو بن حسان، وخارجة بن زيد، وشريح القاضي، وسعيد بن جبير، وعامر الشعبي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تابعوهم فخلق لا يحصون منهم الأئمة الأربعة، وابن عيينة، وجمهور الشافعية</w:t>
      </w:r>
      <w:r>
        <w:rPr>
          <w:rStyle w:val="FootnoteAnchor"/>
          <w:rtl w:val="true"/>
        </w:rPr>
        <w:footnoteReference w:id="788"/>
      </w:r>
      <w:r>
        <w:rPr>
          <w:rFonts w:ascii="Amiri" w:hAnsi="Amiri" w:eastAsia="Amiri" w:cs="Amiri"/>
          <w:color w:val="111111"/>
          <w:sz w:val="28"/>
          <w:sz w:val="28"/>
          <w:szCs w:val="28"/>
          <w:rtl w:val="true"/>
          <w:lang w:bidi="ar-SA"/>
        </w:rPr>
        <w:t>ومن هذا يتبين أن المشهور عندهم هو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الكلام في هذه المسألة في خمسة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الغناء وحدوده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الموارد المستثناة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الآلات اللهوية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الأفعال اللهوية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الأول ـ وإنما قدّمناه بالذكر تبعاً للشيخ، ولاستفادة بعض الخصوصيات المتعلقة بالموضع الثاني من خلال بيان الحكم وإلاّ فالطبع يقتضي تقديم الموضوع على الحكم ـ فقد استدل على الحرمة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ـ كما تقدم عن المستند والجواهر ـ محصّلاً ومنقولاً إلى حدّ الاستفاضة، فلا إشكال في تحقّقه وإن لم يحرز كونه تعبّدياً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وهي عدة،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الأَوْثَانِوَاجْتَنِبُوا قَوْلَ الزُّورِ</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والاستدلال بهذه الآية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بها مع قطع النظر عن الروايات الواردة في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بها مع ملاحظة الروايات التفسيرية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بالاجتناب عن قول الزور مطلقاً سواء كان على نحو السماع أو التكلم أو غيرهما، وأما القول فهو الكلام مصدراً كان أو اسم مصدر، والثاني هو الأظهر، وأما الزور فهو بمعنى الميل والانحراف ـ والمراد به هنا الانحراف عن الحق ـ وقد ورد بهذا المعنى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تَزَاوَرُ عَنْ كَهْفِهِمْ</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 xml:space="preserve">أي تمايل عنه، كما ورد في غير واحد من كتب اللغة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يقال للكذوب زَوْرٌ لأنه يميل عن الحق،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تزاور عنه تزاوراً عدل عنه وانحرف</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وازورّ عن الشيء وتزاور عنه مال، والزور بفتحتين الميل</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والزَّور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والزُّور جمع أزور من الزَّور الميل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والزور الكذب والباطل وقيل شهادة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زور، وقوم زوروكلام مُزَوّر ومزوَّر مموه بكذب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 قد زوّر عليه كذا وكذا،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أربعة أقوال، يكون التزوير فعل الكذب والباطل، والزور الكذب، وقال خالد بن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التزوير التشبيه، وقال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التزويرالتزويق والتحسين وزوّرت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حسّنته وقوّمته، وقال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التزوير تهيئة </w:t>
      </w:r>
    </w:p>
    <w:p>
      <w:pPr>
        <w:pStyle w:val="BookText"/>
        <w:rPr/>
      </w:pPr>
      <w:r>
        <w:rPr>
          <w:rFonts w:ascii="Amiri" w:hAnsi="Amiri" w:eastAsia="Amiri" w:cs="Amiri"/>
          <w:color w:val="111111"/>
          <w:sz w:val="28"/>
          <w:sz w:val="28"/>
          <w:szCs w:val="28"/>
          <w:rtl w:val="true"/>
          <w:lang w:bidi="ar-SA"/>
        </w:rPr>
        <w:t xml:space="preserve">الكلام وتقديره </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الزور الباطل وشهادة الباطل والكذب، ومجلس اللهو والغناء</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والجامع بين هذه المعاني ـ في محل الكلام ـ هو الميل والانحراف عن الحقّ وتمويه الباطل، وهو منهي عنه بمقتضى الآية الشريفة بلا فرق بين ما كان موجباً للانحراف من جهة المادة كما في الكذب وشهادة الباطل، وبين ما كان من جهة الهيئة والتركيب كما في اللهو والغناء، فإنّ مقتضى إطلاق قول الزور يصدق على الغناء إذا كان موجباً للانحراف عن الحق والميل إلى الباطل، سواء كان من جهة المادة أو الهيئة، وسواء كان التغني بأمر باطل كالكذب وهجاء المؤمن أو كان بأمر حق كالقرآن أو المراثي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يتم الاستدلال بالآية الشريفة على حرمة الغناء كما في حرمة شهادة الزور والكذب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أشكل على هذا الاستدلال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كلمة قول الزور، إما أن تكون من إضافة المصدر إلى مفعوله، أوتكون من إضافة الموصوف إلى صفته بمعنى أنّ المراد هو التكلم بالباطل، أو الكلام الباطل، وعلى كلا التقديرين فلا يشمل الغناء إذا لم يكن باطلاً من جهة مادته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 فواضح، وأما على الثاني فكذلك، لأنّ ظاهره أنّ نفس القول باطل، فما كانت مادته حقاً فليس بباطل وإن كانت هيئته وكيفية أدائه باطلة، وبناء على هذا فالدليل أخصّ من المدّعى فلا يتم المطلوب</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الإضافة أنّها من قبيل الثاني لا الأول؛ وذلك </w:t>
      </w:r>
    </w:p>
    <w:p>
      <w:pPr>
        <w:pStyle w:val="BookText"/>
        <w:rPr/>
      </w:pPr>
      <w:r>
        <w:rPr>
          <w:rFonts w:ascii="Amiri" w:hAnsi="Amiri" w:eastAsia="Amiri" w:cs="Amiri"/>
          <w:color w:val="111111"/>
          <w:sz w:val="28"/>
          <w:sz w:val="28"/>
          <w:szCs w:val="28"/>
          <w:rtl w:val="true"/>
          <w:lang w:bidi="ar-SA"/>
        </w:rPr>
        <w:t>لأنّ المناسبة بين الأمر بوجوب الاجتناب عن قول الزور مطلقاً أي سواء كان من جهة السماع أو التكلم تقتضي أن يكون بمعنى اسم المصدر لا من إضافة الموصوف إلى الصفة، وعليه فكل ما أوجب الانحراف عن الحق ـ في المقام ـ يشمله قول الزور، بلا فرق فيه بين كونه من جهة المادة وحدها أو من جهة الهيئة وحدها أو من جهتهما معاً، وحينئذ فاختصاص قول الزور بما يكون من جهة المادة فقط ودعوى ظهوره في ذلك بلا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هذا المعنى ما ورد من الروايات الدالة على أنّ الهيئة وكيفية الأداء داخلة في الزور ويشملها حكمه وإن كانت المادة في نفسها خارجة عنه لكونها حقاً أو ليست بباطل، كرواية عبد الأعلى</w:t>
      </w:r>
      <w:r>
        <w:rPr>
          <w:rStyle w:val="FootnoteAnchor"/>
          <w:rtl w:val="true"/>
        </w:rPr>
        <w:footnoteReference w:id="795"/>
      </w:r>
      <w:r>
        <w:rPr>
          <w:rFonts w:ascii="Amiri" w:hAnsi="Amiri" w:eastAsia="Amiri" w:cs="Amiri"/>
          <w:color w:val="111111"/>
          <w:sz w:val="28"/>
          <w:sz w:val="28"/>
          <w:szCs w:val="28"/>
          <w:rtl w:val="true"/>
          <w:lang w:bidi="ar-SA"/>
        </w:rPr>
        <w:t xml:space="preserve">فإنه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يزعمون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في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جئناكم جئناكم حيّونا حيّونا نحيكم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إنّ الله عزوجليقول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خَلَقْنَا السَّمَاءَ وَالأَرْضَ وَمَا بَيْنَهُمَا لاعِبِينَ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أَرَدْنَا أَنْ نَتَّخِذَ لَهْواً لاتَّخَذْنَاهُ مِنْ لَدُنَّا إِنْ كُنَّا 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وكرواية عبد الله بن عباس</w:t>
      </w:r>
      <w:r>
        <w:rPr>
          <w:rStyle w:val="FootnoteAnchor"/>
          <w:rtl w:val="true"/>
        </w:rPr>
        <w:footnoteReference w:id="796"/>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فعندها يكون أقوام يتعلمون القرآن لغير الله ويتخذونه مزامير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ويتغنون بالقرآن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والمستفاد من ذلك أنّ المناط ليس هو المادة وحدها بل هو شامل للهيئة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المنهي عنه هو قول الزور، والقول هو الكلام المركّب المفيد فلا يشمل المفرد والمهمل ومجرد الصوت، لعدم إطلاق القول على هذه الأمور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الأمور داخلة في المنهي عنه، إما من جهة أنّ الوصف مشعر بالعلّية، وأنّ مناط الحرمة هو كونه زوراً وباطلاً وموجباً للانحراف، وهذا </w:t>
      </w:r>
    </w:p>
    <w:p>
      <w:pPr>
        <w:pStyle w:val="BookText"/>
        <w:rPr/>
      </w:pPr>
      <w:r>
        <w:rPr>
          <w:rFonts w:ascii="Amiri" w:hAnsi="Amiri" w:eastAsia="Amiri" w:cs="Amiri"/>
          <w:color w:val="111111"/>
          <w:sz w:val="28"/>
          <w:sz w:val="28"/>
          <w:szCs w:val="28"/>
          <w:rtl w:val="true"/>
          <w:lang w:bidi="ar-SA"/>
        </w:rPr>
        <w:t>لا يختص بالكلام المركب المفيد، بل يشمل المفرد والمهمل والصوت، وإما من جهة القول بعدم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أنّ الأصوات المجرّدة والألفاظ المفردة والمهملة التي قد تقع بين أداء الحروف فيما إذا كانت المادة باطلة حرام منهي عنها بلا إشكال، ولم يقل أحد بأنّ المجموع مركب من الحرام والحلال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ورد في بعض الروايات من أنّ المناط في الحرمة هو الصوت كرواية ياسر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نزّه نفسه عن الغناء فإنّ في الجنة شجرة يأمر الله عزوجل الرياح أن تحرّكها فيسمع صوتاً لم يسمع مثله، ومن لميتنزّه عنه لم يسمعه</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عنبسة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اللهو والغناء ينبت النفاق كما ينبت الماء الزرع</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ظاهر الرواية الأولى أنّ الشجرة تصدر صوتاً وهو ليس بكلام مركب مفيد، كما أنّ الظاهر من عطف الغناء على اللهو في الرواية الثانية أنهما متغايران، والمراد من اللهو ما لا فائدة فيه، فليس المادة وحدها هي المناط في الحكم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ظاهر النهي والأمر بالاجتناب هو حرمة قول الزور مطلقاً أي سواء كان عن نفسه أو من غيره، ومقتضى إطلاق قول الزور هو شموله لكل باطل سواء كان حراماً أو غير حرام، ولا يمكن الجمع بينهما، فلابدّ من رفع اليد عن أحد الإطلاقين، إما عن إطلاق ظاهر النهي بحمله على الكراهة، وإما عن إطلاق قول الزور بحمله على الباطل الذي يحرم ارتكابه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النهي في الحرمة أقوى من ظهور الآخر؛ ووجهه أنّ </w:t>
      </w:r>
    </w:p>
    <w:p>
      <w:pPr>
        <w:pStyle w:val="BookText"/>
        <w:rPr/>
      </w:pPr>
      <w:r>
        <w:rPr>
          <w:rFonts w:ascii="Amiri" w:hAnsi="Amiri" w:eastAsia="Amiri" w:cs="Amiri"/>
          <w:color w:val="111111"/>
          <w:sz w:val="28"/>
          <w:sz w:val="28"/>
          <w:szCs w:val="28"/>
          <w:rtl w:val="true"/>
          <w:lang w:bidi="ar-SA"/>
        </w:rPr>
        <w:t>الآية الكريمة اشتملت على الأمر باجتناب الرجس من الأوثان، وهو قرينة على أنّ المراد فيما نحن فيه هو الحرمة لا الكراهة، فلا مناص عن الالتزام برفع اليد عن الإطلاق الثاني وأنّ المراد هو الباطل الذي يحرم ارتكابه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 ذلك ما ورد في بعض الأخبار من أنّ شهادة الزور عدلت بالشرك بالله</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الجهة الثانية وهي الاستدلال بالآية الشريفة مع ملاحظة الروايات التفسيرية فقد وردت عدة روايات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الزور الغناء</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من الأوثان الشطرنج وقول الزور الغناء</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ابن أبي عمير عن بعض أصحابه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الزور الغناء</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 ذلك ما ورد في صحيحة أبي الصباح ـ والظاهر أنه الكناني الثقة كما سيأتي ـ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يَشْهَدُونَ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وإنما جعلنا هذه الرواية مؤيدة لأنها واردة في تفسير الزور لا قول الزور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من جهة السند فهي وإن رواها الكليني عن أبي علي الأشعري، عن محمد بن عبد الجبار، عن صفوان، عن أبي أيوب الخزّار، عن محمد بن مسلم، عن أبي الصباح، إلاّ أن الكليني نفسه روى عين الرواية بسنده عن علي بن إبراهيم، عن أبيه، عن ابن أبي عمير، عن أبي أيوب، عن محمد بن مسلم وأبي الصباح الكناني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لا يَشْهَدُونَ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ويشترك السندان في أبي أيوب ومن قبله، وسند الرواية الثانية هو الأصح لأنّ محمد بن مسلم لا يروي عن أبي الصباح كما جاء في سند الرواية الأولى، مع أنّ أبي أيوب يروي عن أبي الصباح بلا واسطة، والظاهر أنه وقع تصحيف في سند الرواية الأولى بإبدال الواو بعن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أيوب يروي الرواية عن محمد بن مسلم وأبي الصباح معاً لا عن محمد بن مسلم عن أبي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ويؤيده أيضاً عدة روايات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فَاجْتَنِبُوا الرِّجْسَ مِنْ الأَوْثَانِ وَاجْتَنِبُوا قَوْلَ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من الأوثان الشطرنج، وقول الزور الغناء،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يَشْتَرِي لَهْوَ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الغناء</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محمد بن عمرو بن حزم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اجتنبوا الغناء اجتنبوا قول الزور، فما زال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اجتنبوا الغناء اجتنبوا، فضاق بي المجلس وعلمت أنّه يعنيني</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الأخيرة وإن لم تكن صريحة في كونها تفسيراً لقول الزور بالغناء لاحتمال كونها بياناً للمصداق إلاّ أن ظاهرها هو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فهذه الروايات واضحة الدلالة كما أنّ بعضها صحيح السند كالروايات الثلاث الأولى، والمستفاد من جميعها أنّ قول الزور في  الآية الشريفة هو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ورد في بعض الروايات تفسير قول الزور بشهادة</w:t>
      </w:r>
      <w:r>
        <w:rPr>
          <w:rStyle w:val="FootnoteAnchor"/>
          <w:rtl w:val="true"/>
        </w:rPr>
        <w:footnoteReference w:id="808"/>
      </w:r>
      <w:r>
        <w:rPr>
          <w:rFonts w:ascii="Amiri" w:hAnsi="Amiri" w:eastAsia="Amiri" w:cs="Amiri"/>
          <w:color w:val="111111"/>
          <w:sz w:val="28"/>
          <w:sz w:val="28"/>
          <w:szCs w:val="28"/>
          <w:rtl w:val="true"/>
          <w:lang w:bidi="ar-SA"/>
        </w:rPr>
        <w:t>الزور كما ورد في بعض التفاسير</w:t>
      </w:r>
      <w:r>
        <w:rPr>
          <w:rStyle w:val="FootnoteAnchor"/>
          <w:rtl w:val="true"/>
        </w:rPr>
        <w:footnoteReference w:id="809"/>
      </w:r>
      <w:r>
        <w:rPr>
          <w:rFonts w:ascii="Amiri" w:hAnsi="Amiri" w:eastAsia="Amiri" w:cs="Amiri"/>
          <w:color w:val="111111"/>
          <w:sz w:val="28"/>
          <w:sz w:val="28"/>
          <w:szCs w:val="28"/>
          <w:rtl w:val="true"/>
          <w:lang w:bidi="ar-SA"/>
        </w:rPr>
        <w:t>أنّ المراد من قول الزور هو تلبية المشركين لبيك لاشريك لك، إلاّ شريكاً هو لك، تملكه وما ملك، وهذا يخالف ما ورد في الروايات السابقة من أنّ قول الزور هو الغناء تفسيراً أو انطباقاً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الزور وإن كان يطلق على شهادة الزور كثيراً كما يطلق على الكذب والافتراء أيضاً، إلاّ أنّ هذا الإطلاق لم يرد مجرّداً بل مقيّداً بشهادة الزور، مضافاً إلى أنّ الروايات الواردة في تفسير قول الزور بشهادة الزور أو كونها مصداقاً له كلها ضعيفة، فلا تقاوم تلك الروايات الصحيحة الواردة في تفسيره بالغناء، ولا مناص عن الأخذ بمضمونها والعمل عليها والالتزام بأنّ المراد من قول الزور في الآية الشريفة هو الغناء</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من جهة النصوص التي لابدّ من التمسك بها في تفسير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ما ذكرناه من إمكان الاستدلال بالآية مع قطع النظر عن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القريب جداً أن يكون المراد بقول الزور هو الباطل والموجب للانحراف عن الحق في نفس القول سواء كان من جهة مادته أو هيئته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يَشْتَرِي لَهْوَ الْحَدِيثِ لِيُضِلَّ عَنْ سَبِيلِ اللَّهِ بِغَيْرِ عِلْمٍ وَيَتَّخِذَهَا هُزُواً أُولَئِكَ لَهُمْ عَذَابٌ مُهِينٌ</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والاستدلال بها على نحو ما تقدّم في الآية الأولى من الكلام حولها تارة مع قطع النظر عن الروايات، وأخرى مع ملاحظة الروايات الواردة في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الشريفة تتضمن الوعيد بالعذاب المهين لمن يشتريلهو الحديث، ولا إشكال في دلالته على الحرمة وذلك لترتب عدة أمور عليه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موجباً للإضلال والصدّ عن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مع الجهل وعدم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اتخاذ الحق هزواً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موجب للعذاب المهين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الآية التالية متفرعة على هذه الآية وهي كالنتيجة لها،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تُتْلَى عَلَيْهِ آيَاتُنَا وَلَّى مُسْتَكْبِراً كَأَنْ لَمْ يَسْمَعْهَا كَأَنَّ فِي أُذُنَيْهِ وَقْراً فَبَشِّرْهُ بِعَذَابٍ أَلِيمٍ</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إشكال في استفادة الحرمة الشديدة بل إن ذلك من الكبائر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لهو الحديث فهو ما يشغل الإنسان ويلهيه عن الواقع والحقيقة كما يستفاد ذلك من موارد استعمالات هذه الكلمة في القرآن الكريم كقوله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رَأَوْا تِجَارَةً أَوْ لَهْواً انفَضُّوا إِلَيْهَا وَتَرَكُوكَ قَائِماً</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لاهِيَةً قُلُوبُهُمْ</w:t>
      </w:r>
      <w:r>
        <w:rPr>
          <w:rFonts w:eastAsia="Amiri" w:cs="Amiri" w:ascii="Amiri" w:hAnsi="Amiri"/>
          <w:color w:val="111111"/>
          <w:sz w:val="28"/>
          <w:szCs w:val="28"/>
          <w:rtl w:val="true"/>
          <w:lang w:bidi="ar-SA"/>
        </w:rPr>
        <w:t>»</w:t>
      </w:r>
      <w:r>
        <w:rPr>
          <w:rStyle w:val="FootnoteAnchor"/>
          <w:rtl w:val="true"/>
        </w:rPr>
        <w:footnoteReference w:id="814"/>
      </w:r>
      <w:r>
        <w:rPr>
          <w:rFonts w:ascii="Amiri" w:hAnsi="Amiri" w:eastAsia="Amiri" w:cs="Amiri"/>
          <w:color w:val="111111"/>
          <w:sz w:val="28"/>
          <w:sz w:val="28"/>
          <w:szCs w:val="28"/>
          <w:rtl w:val="true"/>
          <w:lang w:bidi="ar-SA"/>
        </w:rPr>
        <w:t>وغيرها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بما ورد في كلمات اللغويين ففي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لاهِيَةًقُلُوبُهُمْ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ساهية مشغولة بالباطل عن الحق وتذكّره،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باطله وما يلهي عن ذكر الله</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معجم مفردات ألفاظ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 ما يشغل الإنسان عما يعنيه ويهمه</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الطرطوشي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اللهو الترويح عن النفس بما لا تقتضيه الحكمة وألهاني الشيء بالألف شغلني</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 ما لهوت به ولعبت به وشغلك من هوى وطرب ونحوهما،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من اللهو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منه مباح إلاّ هذه، لأنّ كل واحدة منها إذا تأمّلتها وجدتها معينة على حق أو ذريعة إليه، واللهو اللعب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لهوت بالشيء ألهو به لهواً وتلهيت به إذا لعبت به وتشاغلت وغفلت به عن غيره</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الحديث فهو معلوم وهو الخبر ويرادف الكلام ـ كما في المجمع ـ وسمي به لتجدده وحدوثه شيئاً فشيئاً</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ما يتحدث به وينقل</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ما يحدث به المحدّث تحديثاً، وقد حدّثه الحديث وحدّثه به،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المحادثة والتحادث والتحدّث والتحديث معروفات</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إضافة اللهو إلى الحديث هو كل ما يلهي الإنسان ويشغله عن الحق ويوجب انحرافه سواء كان ذلك في الحديث من جهة المادة أو من جهة الهيئة أو من جهتهما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شأن نزول الآية الشريفة من الاختلاف في المعنى المراد وأنّ المقصود به هل هو النضر بن الحرث بن علقمة بن كلدة بن عبد الدار بن قصي بن كلاب الذي كان يتجر فيخرج إلى فارس فيشتري أخبار الأعاجم ويحدّث بها قريشاً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يحدّثكم بحديث عاد وثمود، وأنا أحدّثكم بحديث رستم واسفنديار وأخبار الأكاسرة فيستمعون حديثه ويتركون استماع القرآن</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أنه اشترى جارية تغنيه ليلاً ونهاراً</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ما كان أبو جهل وأصحابه يجيئون به من الطعن بالحق والاستهزاء به،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ألا أطعمكم من الزقوم الذي يخوّفكم به صاحبكم، ثم يرسل إلى زبد وتمر ويقول هذا الزقوم الذي يخوّفكم به</w:t>
      </w:r>
      <w:r>
        <w:rPr>
          <w:rStyle w:val="FootnoteAnchor"/>
          <w:rtl w:val="true"/>
        </w:rPr>
        <w:footnoteReference w:id="824"/>
      </w:r>
      <w:r>
        <w:rPr>
          <w:rFonts w:ascii="Amiri" w:hAnsi="Amiri" w:eastAsia="Amiri" w:cs="Amiri"/>
          <w:color w:val="111111"/>
          <w:sz w:val="28"/>
          <w:sz w:val="28"/>
          <w:szCs w:val="28"/>
          <w:rtl w:val="true"/>
          <w:lang w:bidi="ar-SA"/>
        </w:rPr>
        <w:t>، لا ينافي ما ذكرناه في تقريب الاستدلال بالآية الشريفة لأنّ هذه الأمور من مصاديق الآية، ولايتوقف تفسير الآية على المصاديق وإلاّ لزم انتهاء  القرآن وهو محال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ذلك فيمكن الاستدلال بالآية الشريفة على حرمة مطلق الغناء سواء كان بكلام حق أو 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وقد أشكل على هذه الآية ـ نظير ما تقدّم في الآية السابقة ـ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الإضافة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لَهْوَ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تكون من إضافة الصفة إلى الموصوف والمراد هو الحديث الملهي كما لعله الظاهر، وإما أن تكون بالعكس أي من إضافة الموصوف إلى الصفة والمراد هو اللهو المتصف بكونه حديثاً وعلى كلا التقديرين فاللهو لا يكون محرماً مطلقاً، وإنما المحرّم منه ما كان في الحديث، ومجرّد الصوت لا تشمله الحرمة لعدم دخوله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أن يكون لهو الحديث من إضافة المصدر إلى مفعوله فيكون المراد هو اللهو الذي يوجب الحديث بمعنى أنّ للأصوات تنظيماً خاصاً رتبت على طبيعة الإنسان بحيث توجب إحداث الخيالات والأفكار في نفس الإنسان وقلبه، 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للغناء لساناً، فهو بعيد عن فهم العرف، ولا يستفاد من ظاهر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الشريفة مطلقة، وظاهرها أنّ المناط في الحرمة هو لهو الحديث سواء كانت اللهوية في مادة الحديث أو هيئته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الشريفة تدل بظاهرها على حرمة اشتراء لهو الحديث والقابل للاشتراء هو نفس القصص والحكايات، وأما الغناء من حيث هو كيفية مخصوصة فليس قابلاً لذلك فتكون الآية أخصّ من المدعى</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موضوعية للاشتراء بل هو كناية عن التعليم والتعلّم،والغرض هو تحصيل اللهو بأي طريق كان، فهو من باب التشبيه والكناية، ولعلّ التعبير بالاشتراء في الآية الشريفة إنما كان من جهة ما ورد في شأن نزول الآية حيث ذكر أنها نزلت في النضر بن الحرث بن علقمة أو في رجل اشترى مغنّية تغنّيه ليلاً ونهاراً كما ذكرنا ذلك آنفاً، وعلى أي حال فلا خصوصية للاشتراء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ويؤيد هذا ما ورد في الروايات من المنع عن اللهو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الحرمة بمقتضى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لِيُضِلَّ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بما إذا كان القصد هو الإضلال وأما إذا كان بدون هذا القصد فالاستدلال بالآية على الحرمة مطلقاً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للعاقبة والنتيجة لا للغاية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لِيَكُونَ لَهُمْ عَدُوّاً وَحَزَناً</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 وهو المناسب لمعنى الآية إذ الإضلال عن سبيل الله واتخاذ آيات الله هزواً، وكذلك الآية التالية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تُتْلَى عَلَيْهِ آيَاتُنَا وَلَّى مُسْتَكْبِراً </w:t>
      </w:r>
      <w:r>
        <w:rPr>
          <w:rFonts w:eastAsia="Amiri" w:cs="Amiri" w:ascii="Amiri" w:hAnsi="Amiri"/>
          <w:color w:val="111111"/>
          <w:sz w:val="28"/>
          <w:szCs w:val="28"/>
          <w:rtl w:val="true"/>
          <w:lang w:bidi="ar-SA"/>
        </w:rPr>
        <w:t>...»</w:t>
      </w:r>
      <w:r>
        <w:rPr>
          <w:rStyle w:val="FootnoteAnchor"/>
          <w:rtl w:val="true"/>
        </w:rPr>
        <w:footnoteReference w:id="826"/>
      </w:r>
      <w:r>
        <w:rPr>
          <w:rFonts w:ascii="Amiri" w:hAnsi="Amiri" w:eastAsia="Amiri" w:cs="Amiri"/>
          <w:color w:val="111111"/>
          <w:sz w:val="28"/>
          <w:sz w:val="28"/>
          <w:szCs w:val="28"/>
          <w:rtl w:val="true"/>
          <w:lang w:bidi="ar-SA"/>
        </w:rPr>
        <w:t>هي نتائج مترتبة على اشتراء لهو الحديث فحمل اللام على التعليل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مورد الحرمة هو لهو الحديث الذي يترتب عليه الإضلال عن سبيل الله، وأما إذا لم يكن كذلك ـ بحيث يكون لهو الحديث مشتملاً على الكذب والباطل الذي يوجب الانحراف عن الحق والإضلال عن سبيل الله ـ كما إذا كانت مادته حق أو كان باطلاً في كيفيته فقط فلا تكون مشمولة للحرمة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سبيل الله مطلق وهو شامل للأصول الاعتقادية والواجبات والمحرّمات الإلهية، وهو عبارة أخرى عن دين الله ولا وجه لاختصاصه بأصول الاعتقاد، فالحرمة شاملة لكل ما يصدّ عن الحقّ سواء كان في الاعتقاد أو غيره وهو داخل تحت المراد من الآية، ولا إشكال في أنّ الكيفية لها دخل في الصدّ عن سبيل الله سواء كان في كلام حقّ أو باطل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يمكن أن يكون في الواقع مؤثراً وموجباً للانحراف في الأمور </w:t>
      </w:r>
    </w:p>
    <w:p>
      <w:pPr>
        <w:pStyle w:val="BookText"/>
        <w:rPr/>
      </w:pPr>
      <w:r>
        <w:rPr>
          <w:rFonts w:ascii="Amiri" w:hAnsi="Amiri" w:eastAsia="Amiri" w:cs="Amiri"/>
          <w:color w:val="111111"/>
          <w:sz w:val="28"/>
          <w:sz w:val="28"/>
          <w:szCs w:val="28"/>
          <w:rtl w:val="true"/>
          <w:lang w:bidi="ar-SA"/>
        </w:rPr>
        <w:t>الاعتقادية كما ورد في بعض الروايات من أنّ استماع اللهو والغناء ينبت النفاق كما ينبت الماء الزرع</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فهذه هي أهم الإشكالات الواردة على الآية الشريفة وهي قابلة للدفع كما 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الاستدلال بالآية مع ملاحظة الروايات، فقد وردت عدة روايات في المقام إلاّ أنّ بعضها يفسّر لهو الحديث بالغناء، وبعضها الآخر يعدّ الغناء من 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يَشْتَرِي لَهْوَ الْحَدِيثِ لِيُضِلَّ عَنْ سَبِيلِ اللَّهِ</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من جهة دلالتها واضحة فإنّها تفسر لهو الحديث بالغناء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جهة السند فهي ضعيفة لوقوع سهل بن زياد في سندها، وهو ممّن لم تثبت وثاقته، وهذه الرواية هي الصريحة في دلالتها على تفسير لهو الحديث بالغناء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مما وعد الله عليه النار، وتلا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يَشْتَرِي لَهْوَ الْحَدِيثِ لِيُضِلَّ عَنْ سَبِيلِ اللَّهِ بِغَيْرِ عِلْمٍ وَيَتَّخِذَهَا هُزُواً أُولَئِكَ لَهُمْ عَذَابٌ مُهِينٌ</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من حيث السند معتبرة، وأما من حيث الدلالة فهي تحتمل الأمرين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مهران بن محمد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الغناء مما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يَشْتَرِي لَهْوَ الْحَدِيثِ لِيُضِلَّ عَنْ سَبِيلِ اللَّهِ</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من حيث السند معتبرة، فإنّ مهران بن محمد وإن لم يرد فيه توثيق إلاّ أنه يمكن الحكم بوثاقته لرواية ابن أبي عمير عنه، كما في هذه الرواية، وهو ـ أي ابن أبي عمير ـ الراوي لكتابه</w:t>
      </w:r>
      <w:r>
        <w:rPr>
          <w:rStyle w:val="FootnoteAnchor"/>
          <w:rtl w:val="true"/>
        </w:rPr>
        <w:footnoteReference w:id="831"/>
      </w:r>
      <w:r>
        <w:rPr>
          <w:rFonts w:ascii="Amiri" w:hAnsi="Amiri" w:eastAsia="Amiri" w:cs="Amiri"/>
          <w:color w:val="111111"/>
          <w:sz w:val="28"/>
          <w:sz w:val="28"/>
          <w:szCs w:val="28"/>
          <w:rtl w:val="true"/>
          <w:lang w:bidi="ar-SA"/>
        </w:rPr>
        <w:t>، مضافاً إلى وقوعه في أسناد كتاب نوادر الحكمة</w:t>
      </w:r>
      <w:r>
        <w:rPr>
          <w:rStyle w:val="FootnoteAnchor"/>
          <w:rtl w:val="true"/>
        </w:rPr>
        <w:footnoteReference w:id="832"/>
      </w:r>
      <w:r>
        <w:rPr>
          <w:rFonts w:ascii="Amiri" w:hAnsi="Amiri" w:eastAsia="Amiri" w:cs="Amiri"/>
          <w:color w:val="111111"/>
          <w:sz w:val="28"/>
          <w:sz w:val="28"/>
          <w:szCs w:val="28"/>
          <w:rtl w:val="true"/>
          <w:lang w:bidi="ar-SA"/>
        </w:rPr>
        <w:t>فلا إشكال في سند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حيث الدلالة فهي واردة لبيان أنّ الغناء أحد مصاديق لهو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رواية الحسن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مجلس لا ينظر الله إلى أهله، وهو مما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يَشْتَرِي لَهْوَ الْحَدِيثِ لِيُضِلَّ عَنْ سَبِيلِ اللَّهِ</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من جهة الدلالة كالسابقة، وأما من جهة السند فليست بمعتبرة لأنّ الحسن بن هارون مشترك بين جماعة لم يرد فيهم توثيق، ولذلك جعلناها مؤيدة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في التأييد أيضاً رواية عبد الأعلى المتقدمة وهي واردة لبيان المصداق وقد 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يَشْتَرِي لَهْوَ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الغناء</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تقدم من الروايتين المعتبرتين كاف في الدلالة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وبناء على هذا فلا مناص عن القول بأنّ الغناء هو أحد مصاديق لهو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فرضنا عدم تمامية دلالة الآية بنفسها فلابدّ من القول بذلك استناداً إلى هاتين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استدلّ على حرمة الغناء بآيات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لا يَشْهَدُونَ الزُّورَ وَإِذَا مَرُّوا بِاللَّغْوِ مَرُّواكِرَاماً</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واستفادة الحرمة منها محل تأمل، فإنها واردة في تعداد صفات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رَأَوْا تِجَارَةً أَوْ لَهْواً انفَضُّوا إِلَيْهَا وَتَرَكُوكَ قَائِماً</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كالآية السابقة في عدم تمامية دلالتها على الحرمة لاقتران اللهو بأمور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الآيات التي ادعي أنها تدلّ على الحرمة، والحقّ أن استفادة الحرمة منها غير تام، ويكفي في المقام الآيتان المتقدمتان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وهي كثيرة جداً بل ادّعى صاحب الجواهر</w:t>
      </w:r>
      <w:r>
        <w:rPr>
          <w:rStyle w:val="FootnoteAnchor"/>
          <w:rtl w:val="true"/>
        </w:rPr>
        <w:footnoteReference w:id="837"/>
      </w:r>
      <w:r>
        <w:rPr>
          <w:rFonts w:ascii="Amiri" w:hAnsi="Amiri" w:eastAsia="Amiri" w:cs="Amiri"/>
          <w:color w:val="111111"/>
          <w:sz w:val="28"/>
          <w:sz w:val="28"/>
          <w:szCs w:val="28"/>
          <w:rtl w:val="true"/>
          <w:lang w:bidi="ar-SA"/>
        </w:rPr>
        <w:t>وغيره تواترها، وفيما يلي نذكر جملة منها مع غضّ النظر عن أسنادها اتكالاً على دعوى التواتر وهي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تفسير قول الزور، وقد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تفسير لهو الحديث، وقد تقدمت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ذمّ الغناء، وما يترتب عليه من الآثار وهي عدة روايات</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موثقة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الغناء،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يزعمون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في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جئناكم جئناكم حيّونا حيّونا نحيّكم،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خَلَقْنَا السَّمَاءَ وَالأَرْضَ وَمَا بَيْنَهُمَا لاعِبِينَ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أَرَدْنَا أَنْ نَتَّخِذَ لَهْواً لاتَّخَذْنَاهُ مِنْ لَدُنَّا إِنْ كُنَّا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عَلَى الْبَاطِلِ فَيَدْمَغُهُ فَإِذَا هُوَ زَاهِقٌ وَلَكُمْ الْوَيْلُ مِمَّا تَصِفُونَ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لفلان مما يصف، رجل لم يحضر المجلس</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 هذه الرواية أنّ هذا المقدار غير مرخّص فيه لانطباق اللهو والباطل عليه، فكيف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إلى هذه الرواية فيما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أبي أسامة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غشّ النفاق</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الخراساني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الغناء،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العباسي ذكر عنك أنّك ترخّص في الغناء،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الزنديق، ما هكذا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سألني عن الغناء،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أتى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عن الغناء،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إذا ميّز الله بين الحق والباطل فأين يكون الغناء؟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الباطل،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حكمت</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هذه الرواية حيث كذّب الإمامُ العبّاسيَّ في دعواه ترخيص الغناء وأنه في عداد الباطل، أنّ حكم الغناء هو الحرمة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الشيخ الصدوق في المقنع حيث نقل وصية والده إليه وفيها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وإيّاك والغناء فإنّ الله توعّد عليه النار،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الأصوات الغناء</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وهي تدل بظاهرها على أنّ الغناء شرّ من الكذب والبهتان ونحوهما، وذلك يدلّ على الحرمة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الحسن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يورث النفاق، ويعقب الفقر</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عبد الله بن عباس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أشراط الساعة إضاعة الصلوات، واتباع الشهوات، والميل إلى الأهواء،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فعندها يكون أقوام يتعلّمون القرآن لغير الله، ويتّخذونه مزامير، ويكون أقوام يتفقهون لغير الله، وتكثر أولاد الزنا، ويتغنّون بالقرآن،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ويستحسنون الكوبة والمعازف، وينكرون الأمر بالمعروف والنهي عن المنكر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فأولئك يدعون في ملكوت السموات الأرجاس الأنجاس</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إسحاق بن جرير،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شيطاناً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القفندر إذا ضرب في منزل الرجل أربعين صباحاً بالبربط، ودخل الرجال وضع ذلك الشيطان كلّ عضو منه على مثله من صاحبالبيت، ثم نفخ فيه نفخة فلا يغار بعدها، حتى تؤتى نساؤه فلا يغار</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تدل على الحرمة بناء على إلحاق البربط ـ وهو شيء من ملاهي العجم يشبه صدر البط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 العود</w:t>
      </w:r>
      <w:r>
        <w:rPr>
          <w:rStyle w:val="FootnoteAnchor"/>
          <w:rtl w:val="true"/>
        </w:rPr>
        <w:footnoteReference w:id="845"/>
      </w:r>
      <w:r>
        <w:rPr>
          <w:rFonts w:ascii="IRNazanin" w:hAnsi="IRNazanin" w:eastAsia="IRNazanin"/>
          <w:color w:val="111111"/>
          <w:sz w:val="28"/>
          <w:sz w:val="28"/>
          <w:szCs w:val="28"/>
          <w:rtl w:val="true"/>
          <w:lang w:bidi="fa-IR"/>
        </w:rPr>
        <w:t>ـ بالغناء</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ونحوها رواية أبي داود المسترق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 في بيته بربط أربعين يوماً سلّط الله عليهم شيطاناً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القفندر فلا يبقى عضو من أعضائه إلاّ قعد </w:t>
      </w:r>
    </w:p>
    <w:p>
      <w:pPr>
        <w:pStyle w:val="BookText"/>
        <w:rPr/>
      </w:pPr>
      <w:r>
        <w:rPr>
          <w:rFonts w:ascii="Amiri" w:hAnsi="Amiri" w:eastAsia="Amiri" w:cs="Amiri"/>
          <w:color w:val="111111"/>
          <w:sz w:val="28"/>
          <w:sz w:val="28"/>
          <w:szCs w:val="28"/>
          <w:rtl w:val="true"/>
          <w:lang w:bidi="ar-SA"/>
        </w:rPr>
        <w:t>عليه، فإذا كان كذلك نزع منه الحياء ولم يبال ما قال ولا ما قيل فيه</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كليب الصيداوي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العيدان ينبت النفاق في القلب كما ينبت الماء الخضرة</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حرمة استماع الغناء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عنبسة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اللهو والغناء ينبت النفاق كما ينبت الماء الزرع</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العياشي في تفسيره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أطيل القعود في المخرج لأسمع غناء بعض الجيران،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وَالْبَصَرَ وَالْفُؤَادَ كُلُّ أُوْلَئِكَ كَانَ عَنْهُ مَسْئُولاً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وما وعى والبصر وما رأى والفؤاد وما عقد عليه</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وغيرهما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ذمّ مجلس الغناء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الغناء لا تؤمن فيه الفجيعة، ولا تجاب فيه الدعوة، ولا يدخله الملك</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علي بن جعفر في كتابه، عن أخيه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يتعمّد الغناء يجلس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عاصم بن 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كنت؟ فظننت أنه قد عرف الموضع،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كنت مررت بفلان فدخلت إلى داره ونظرت إلى جواريه،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مجلس لا ينظر الله عزوجل إلى أهله، أمنت الله على أهلك ومالك</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إنما تدل على الحرمة بناء على أنّ الجواري كن يغنّين، وإلاّ فمجرد النظر إلى الجواري بإذن مالكها لا إشكال فيه، وإنما أوردها صاحب الوسائل في باب تحريم سماع الغناء والملاهي لاحتمال أنّ الجواري كنّ يغنّين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 هذا الاحتمال أنّ صاحب الدعائم قد روى هذه الرواية باختلاف يسير في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زيادة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إليّ جارية له فغنّت</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إبراهيم بن محمد المدني عمّن ذكره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الغناء وأنا حاضر،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تدخلوا بيوتاً الله معرض عن أهلها</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ورّام بن أبي فراس في كتابه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 الملائكة بيتاً فيه خمر أو دف أو طنبور أو نرد، ولا تستجاب دعاؤهم، وترفع عنهم البركة</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تدل على الحرمة بناء على إلحاق آلات اللهو بالغناء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حرمة ثمن المغنية وكسبها وتعليمها، وهي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صحيحة إبراهيم بن أبي البلاد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 رجلاً من مواليك عنده جوار مغنيات قيمتهن أربعة عشر ألف دينار، </w:t>
      </w:r>
    </w:p>
    <w:p>
      <w:pPr>
        <w:pStyle w:val="BookText"/>
        <w:rPr/>
      </w:pPr>
      <w:r>
        <w:rPr>
          <w:rFonts w:ascii="Amiri" w:hAnsi="Amiri" w:eastAsia="Amiri" w:cs="Amiri"/>
          <w:color w:val="111111"/>
          <w:sz w:val="28"/>
          <w:sz w:val="28"/>
          <w:szCs w:val="28"/>
          <w:rtl w:val="true"/>
          <w:lang w:bidi="ar-SA"/>
        </w:rPr>
        <w:t>وقد جعل لك ثلثها،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فيها، إنّ ثمن الكلب والمغنية سحت</w:t>
      </w:r>
      <w:r>
        <w:rPr>
          <w:rStyle w:val="FootnoteAnchor"/>
          <w:rtl w:val="true"/>
        </w:rPr>
        <w:footnoteReference w:id="8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الحسن بن علي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شراء المغنية،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تكون للرجل الجارية تلهيه، وما ثمنها إلاّ ثمن كلب، وثمن الكلب سحت والسحت في النار</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إشكال في دلالة هذه الرواية على الحرمة، وإنما الإشكال في سندها فإنّ فيه سهل بن زياد، وهو ممّن لم يوثق إلاّ أنّه يمكننا تصحيح الطريق بنحو آخر، وهو أنّ للشيخ طريقاً آخر إلى كتاب الحسن بن علي الوشاء برواية أحمد بن محمد بن عيسى</w:t>
      </w:r>
      <w:r>
        <w:rPr>
          <w:rStyle w:val="FootnoteAnchor"/>
          <w:rtl w:val="true"/>
        </w:rPr>
        <w:footnoteReference w:id="858"/>
      </w:r>
      <w:r>
        <w:rPr>
          <w:rFonts w:ascii="IRNazanin" w:hAnsi="IRNazanin" w:eastAsia="IRNazanin"/>
          <w:color w:val="111111"/>
          <w:sz w:val="28"/>
          <w:sz w:val="28"/>
          <w:szCs w:val="28"/>
          <w:rtl w:val="true"/>
          <w:lang w:bidi="fa-IR"/>
        </w:rPr>
        <w:t xml:space="preserve">، وطريق الشيخ وإن كان ضعيفاً كما أنه لم يصرّح في طريقه بأنّ الكتاب هو مسائل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ولكن للشيخ طرق معتبرة إلى جميع روايات وكتب أحمد بن محمد بن عيسى</w:t>
      </w:r>
      <w:r>
        <w:rPr>
          <w:rStyle w:val="FootnoteAnchor"/>
          <w:rtl w:val="true"/>
        </w:rPr>
        <w:footnoteReference w:id="859"/>
      </w:r>
      <w:r>
        <w:rPr>
          <w:rFonts w:ascii="IRNazanin" w:hAnsi="IRNazanin" w:eastAsia="IRNazanin"/>
          <w:color w:val="111111"/>
          <w:sz w:val="28"/>
          <w:sz w:val="28"/>
          <w:szCs w:val="28"/>
          <w:rtl w:val="true"/>
          <w:lang w:bidi="fa-IR"/>
        </w:rPr>
        <w:t xml:space="preserve">، ومن جملتها كتاب مسائل الرضا، فيكون للشيخ طريق معتبر إلى هذه الرواية، ولعل انتهاء طريق الشيخ إلى أحمد بن محمد بن عيسى قرينة على أنّ المراد بالكتاب هو كتاب مسائل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نعم طريقه ضعيف كما ذكرنا، ولكن للنجاشي طريق آخر معتبر</w:t>
      </w:r>
      <w:r>
        <w:rPr>
          <w:rStyle w:val="FootnoteAnchor"/>
          <w:rtl w:val="true"/>
        </w:rPr>
        <w:footnoteReference w:id="860"/>
      </w:r>
      <w:r>
        <w:rPr>
          <w:rFonts w:ascii="IRNazanin" w:hAnsi="IRNazanin" w:eastAsia="IRNazanin"/>
          <w:color w:val="111111"/>
          <w:sz w:val="28"/>
          <w:sz w:val="28"/>
          <w:szCs w:val="28"/>
          <w:rtl w:val="true"/>
          <w:lang w:bidi="fa-IR"/>
        </w:rPr>
        <w:t xml:space="preserve">ينتهي إلى أحمد بن محمد بن عيسى، وليس فيه سهل بن زياد، فيعلم أنّ كتاب مسائل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تنحصر روايته بسهل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الشيخ قد روى هذه الرواية في التهذيب</w:t>
      </w:r>
      <w:r>
        <w:rPr>
          <w:rStyle w:val="FootnoteAnchor"/>
          <w:rtl w:val="true"/>
        </w:rPr>
        <w:footnoteReference w:id="861"/>
      </w:r>
      <w:r>
        <w:rPr>
          <w:rFonts w:ascii="IRNazanin" w:hAnsi="IRNazanin" w:eastAsia="IRNazanin"/>
          <w:color w:val="111111"/>
          <w:sz w:val="28"/>
          <w:sz w:val="28"/>
          <w:szCs w:val="28"/>
          <w:rtl w:val="true"/>
          <w:lang w:bidi="fa-IR"/>
        </w:rPr>
        <w:t>والاستبصار</w:t>
      </w:r>
      <w:r>
        <w:rPr>
          <w:rStyle w:val="FootnoteAnchor"/>
          <w:rtl w:val="true"/>
        </w:rPr>
        <w:footnoteReference w:id="862"/>
      </w:r>
      <w:r>
        <w:rPr>
          <w:rFonts w:ascii="IRNazanin" w:hAnsi="IRNazanin" w:eastAsia="IRNazanin"/>
          <w:color w:val="111111"/>
          <w:sz w:val="28"/>
          <w:sz w:val="28"/>
          <w:szCs w:val="28"/>
          <w:rtl w:val="true"/>
          <w:lang w:bidi="fa-IR"/>
        </w:rPr>
        <w:t xml:space="preserve">بإسناده </w:t>
      </w:r>
    </w:p>
    <w:p>
      <w:pPr>
        <w:pStyle w:val="BookText"/>
        <w:rPr/>
      </w:pPr>
      <w:r>
        <w:rPr>
          <w:rFonts w:ascii="Amiri" w:hAnsi="Amiri" w:eastAsia="Amiri" w:cs="Amiri"/>
          <w:color w:val="111111"/>
          <w:sz w:val="28"/>
          <w:sz w:val="28"/>
          <w:szCs w:val="28"/>
          <w:rtl w:val="true"/>
          <w:lang w:bidi="ar-SA"/>
        </w:rPr>
        <w:t>عن الكليني فيكون للشيخ طريقان، أحدهما فيه سهل، والآخر بدونه، وبناء على ذلك يمكن اعتبار الطريق إلى الوشاء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ـ والله العالم ـ أنّ للكليني أيضاً طريقاً آخر إذ من البعيد جداً أن تكون طرق الكليني منحصرة بسهل مع أنّ للنجاشي والشيخ عدة طرق وهما متأخران عنه، مضافاً إلى أنّ الكليني يروي عن عدة عن سهل ومن جملة العدة محمد بن الحسن</w:t>
      </w:r>
      <w:r>
        <w:rPr>
          <w:rStyle w:val="FootnoteAnchor"/>
          <w:rtl w:val="true"/>
        </w:rPr>
        <w:footnoteReference w:id="863"/>
      </w:r>
      <w:r>
        <w:rPr>
          <w:rFonts w:ascii="Amiri" w:hAnsi="Amiri" w:eastAsia="Amiri" w:cs="Amiri"/>
          <w:color w:val="111111"/>
          <w:sz w:val="28"/>
          <w:sz w:val="28"/>
          <w:szCs w:val="28"/>
          <w:rtl w:val="true"/>
          <w:lang w:bidi="ar-SA"/>
        </w:rPr>
        <w:t>وهو مشترك بين الصفار وغيره، فإن كان هو الصفار ـ كما استظهره بعضهم</w:t>
      </w:r>
      <w:r>
        <w:rPr>
          <w:rStyle w:val="FootnoteAnchor"/>
          <w:rtl w:val="true"/>
        </w:rPr>
        <w:footnoteReference w:id="864"/>
      </w:r>
      <w:r>
        <w:rPr>
          <w:rFonts w:ascii="Amiri" w:hAnsi="Amiri" w:eastAsia="Amiri" w:cs="Amiri"/>
          <w:color w:val="111111"/>
          <w:sz w:val="28"/>
          <w:sz w:val="28"/>
          <w:szCs w:val="28"/>
          <w:rtl w:val="true"/>
          <w:lang w:bidi="ar-SA"/>
        </w:rPr>
        <w:t>ـ فله إلى روايات الحسن بن علي الوشاء طريقان أحدهما أحمد بن محمد بن عيسى وإبراهيم بن هاشم جميعاً كما صرح بذلك الشيخ الصدوق عند ذكر طريقه إلى روايات الحسن بن علي الوشاء</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فهذا الطريق يمكن اعتباره، كما يمكن أيضاً بما ذكرنا استظهار أنّ للكليني طرقاً أخرى عن غير سهل، وإن أورد الروايات في الكافي عن طريقه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الرواية 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سعيد بن محمد الطاطري عن أبيه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عن بيع الجواري المغنيات،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شراؤهن وبيعهنّ حرام، وتعليمهنّ كفر، واستماعهنّ نفاق</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تامة الدلالة إلاّ أنها من جهة السند اشتملت على سعيد بن محمد الطاطري، وهو ممن لم يرد فيه توثيق، إلاّ أنه يمكن اعتباره بناء على أنّ روايات الطاطريين معتبرة كما ذكره الشيخ في العدة</w:t>
      </w:r>
      <w:r>
        <w:rPr>
          <w:rStyle w:val="FootnoteAnchor"/>
          <w:rtl w:val="true"/>
        </w:rPr>
        <w:footnoteReference w:id="867"/>
      </w:r>
      <w:r>
        <w:rPr>
          <w:rFonts w:ascii="Amiri" w:hAnsi="Amiri" w:eastAsia="Amiri" w:cs="Amiri"/>
          <w:color w:val="111111"/>
          <w:sz w:val="28"/>
          <w:sz w:val="28"/>
          <w:szCs w:val="28"/>
          <w:rtl w:val="true"/>
          <w:lang w:bidi="ar-SA"/>
        </w:rPr>
        <w:t xml:space="preserve">، ويكون حالهم حال </w:t>
      </w:r>
    </w:p>
    <w:p>
      <w:pPr>
        <w:pStyle w:val="BookText"/>
        <w:rPr/>
      </w:pPr>
      <w:r>
        <w:rPr>
          <w:rFonts w:ascii="Amiri" w:hAnsi="Amiri" w:eastAsia="Amiri" w:cs="Amiri"/>
          <w:color w:val="111111"/>
          <w:sz w:val="28"/>
          <w:sz w:val="28"/>
          <w:szCs w:val="28"/>
          <w:rtl w:val="true"/>
          <w:lang w:bidi="ar-SA"/>
        </w:rPr>
        <w:t>بني فضّال في الأخذ برواياتهم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التوقيع الشريف الوارد على إسحاق بن يعقوب عن محمد بن عثمان العمري بخط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وقد جاء فيه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سألت عنه أرشدك الله وثبّتك من أمر المنكرين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وصلتنا به فلا قبول عندنا إلاّ لما طاب وطهر، وثمن المغنية حرام</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وموضع الشاهد هو الجملة الأخيرة وهي واضحة الدلالة، وأما من جهة السند فقد تقدّم البحث مفصّلاً حول سند التوقيع وقلنا بإمكان اعتباره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روايات أخرى تؤيد ما ذكرنا من حرمة ثمن المغنية وكسبها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كسبالمغنيات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يدخل عليها الرجال حرام، والتي تدعى إلى الأعراس ليس به بأس 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يَشْتَرِي لَهْوَ الْحَدِيثِ لِيُضِلَّ عَنْ سَبِيلِ اللَّهِ</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وموضع الشاهد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يدخل عليها الرجال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من نفي البأس بالنسبة إلى الأعراس فسيأتي البحث عنه، كما سيأتي الكلام حول سند هذه الرواية فإنه قابل للتصحيح</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إبراهيم بن أبي البلاد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إسحاق بن عمر بجوار له مغنّيات أن تبيعهنّ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ويحمل ثمنهنّ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فبعت الجواري بثلاثمائة ألف درهم، وحملت الثمن إليه،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مولى لك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عمر أوصى عند وفاته ببيع جوار له مغنيات وحمل الثمن إليك، وقد بعتهنّ وهذا الثمن ثلاثمائة ألف درهم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لي فيه، إنّ هذا </w:t>
      </w:r>
    </w:p>
    <w:p>
      <w:pPr>
        <w:pStyle w:val="BookText"/>
        <w:rPr/>
      </w:pPr>
      <w:r>
        <w:rPr>
          <w:rFonts w:ascii="Amiri" w:hAnsi="Amiri" w:eastAsia="Amiri" w:cs="Amiri"/>
          <w:color w:val="111111"/>
          <w:sz w:val="28"/>
          <w:sz w:val="28"/>
          <w:szCs w:val="28"/>
          <w:rtl w:val="true"/>
          <w:lang w:bidi="ar-SA"/>
        </w:rPr>
        <w:t>سحت وتعليمهنّ كفر، والاستماع منهنّ نفاق وثمنهنّ سحت</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أجر المغنّي والمغنّية سحت</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 الدالة على حرمة ثمن المغنية وكسبها وتعلّمها وتعليمها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ورد في مقابل هذه الطائفة روايات قد يقال بدلالتها على  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عبد الله بن الحسن الدينوري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تقول في النصرانية أشتريها وأبيعها من النصراني؟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وبع،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فأنكح؟ فسكت عن ذلك قليلاً، ثم نظر إليّ وقال شبه الإخفاء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لك حلال،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فأشتري المغنّية أو الجارية تُحسن أن تغنّي أريد بها الرزق لا سوى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وبع</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 هذه الرواية أنّ الجارية المغنية يجوز شراؤها وبيعها، وهو مناف لما تقدم من حرمة ثمنها وأنّه 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المناقشة في هذه الرواية سنداً ودلالة، أما من جهة السند فهي ضعيفة لعدم توثيق عبد الله بن الحسن الدينوري، وأما من جهة الدلالة فيمكن حملها على أنّ المغنية نصرانية وأنّ البيع والشراء من النصارى بقرينة صدر الرواية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شراء جارية لها صوت،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عليك لو اشتريتها فذكرتك الجنة، يعني بقراءة القرآن والزهد والفضائل التي ليست بغناء، فأما الغناء فمحظور</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والظاهر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تفسير من الصدوق لا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وبناء عليه فيمكن القول بدلالتها على جواز شراء المغنية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هذه الرواية قابلة للمناقشة سنداً ودلالة، أما من جهة السند فهي ضعيفة بالإرسال، وأما من جهة الدلالة فهي غير تامة لأنّ السؤال عن الصوت،ولا دليل على أنّها مغنية فإنّ حسن الصوت أعم من الغناء، كما ذكر ذلك صاحب الوسائل</w:t>
      </w:r>
      <w:r>
        <w:rPr>
          <w:rStyle w:val="FootnoteAnchor"/>
          <w:rtl w:val="true"/>
        </w:rPr>
        <w:footnoteReference w:id="874"/>
      </w:r>
      <w:r>
        <w:rPr>
          <w:rFonts w:ascii="Amiri" w:hAnsi="Amiri" w:eastAsia="Amiri" w:cs="Amiri"/>
          <w:color w:val="111111"/>
          <w:sz w:val="28"/>
          <w:sz w:val="28"/>
          <w:szCs w:val="28"/>
          <w:rtl w:val="true"/>
          <w:lang w:bidi="ar-SA"/>
        </w:rPr>
        <w:t>، وعليه فالرواية لا دلالة فيها على جواز شراء المغنّية فليس كل جارية حسنة الصوت يحرم شراؤها، بل قد يكون الشراء راجحاً كما إذا كان صوتها للتذكير بالجنة وقراءة القرآن والدعاء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كسب المغنية النائحة فكرهه</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كراهة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لكسب المغنية لا يعني الحرمة، فتدل على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الكراهة قد تطلق ويراد بها التحريم، ولا دلالة فيها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سند الرواية فهي معتبرة وإن كانت مضمرة، فإنّ مضمرات سماعة لا إشكال فيها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سعيد بن عمر الجعفي عن رجل من أهل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إليّ أخي بجارية فارهة، وجعلها هدياً لبيت الله الحرام، فقدمت مكة فسألت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إلى بني شيبة، وقيل لي غير ذلك من القول، فاختلف عليّ فيه، فقال لي رجل من أهل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أرشدك من يرشدك في هذا إلى  الحق؟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إلى شيخ جالس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جعفر بن </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وقصصت عليه القصّة،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الكعبة لا تأكل ولا تشرب وما أهدي لها فهو لزوّارها، بع الجارية وقم علىالحجر فناد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منقطع به؟ وهل من محتاج من زوّارها؟ فإذا أتوك فسل عنهم وأعطهم واقسم فيهم ثمنها،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من سألته أمرني بدفعها إلى بني شيبة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قائمنا لو قد قام لقد أخذهم فقطع أيديهم وطاف بهم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سرّاق الله</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الرواية تدل أيضاً على جواز بيع الجارية المغنية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الرواية غير تامة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جهة السند فلجهالة الراوي إذ لم يعلم سوى أنه من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الدلالة فلعلّ المراد أنّ أمر الإمام ببيع الجارية من جهة كونها جارية لا من جهة أنها مغنية، ويحتمل أنّ السائل من العامة والأمر عندهم جائز فأفتاه الإمام على طبق مذهبه، وعلى أي حال فلا دلالة في الرواية على جواز بيع المغنية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الروايات الدالة على جواز شراء المغنية وإباحة كسبها وهي مخدوشة دلالة وسنداً، وأما روايات الحرمة بطوائفها الست الدالة على حرمة أصل الغناء فهي تامة الدلالة، وبعضها معتبر السند بل ادّعي فيها التواتر كما ذكرنا فلا إشكال فيها ولا مناص عن الالتزام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بيان موضوع الغناء وحدوده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فيه تارة بملاحظة أقوال أهل اللغة، وأخرى بملاحظة أقوالالفقهاء</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كلمات اللغويين فهي كثيرة ومختلفة جداً، وقد تربوا على أكثر من عشرة معان ففي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والغناء مثال كتاب الصوت، وقياسه الضمّ لأنه </w:t>
      </w:r>
    </w:p>
    <w:p>
      <w:pPr>
        <w:pStyle w:val="BookText"/>
        <w:rPr/>
      </w:pPr>
      <w:r>
        <w:rPr>
          <w:rFonts w:ascii="Amiri" w:hAnsi="Amiri" w:eastAsia="Amiri" w:cs="Amiri"/>
          <w:color w:val="111111"/>
          <w:sz w:val="28"/>
          <w:sz w:val="28"/>
          <w:szCs w:val="28"/>
          <w:rtl w:val="true"/>
          <w:lang w:bidi="ar-SA"/>
        </w:rPr>
        <w:t>صوت، وغنّى بالتشديد إذا ترنم بالغناء</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طرباً فهو طرب من باب تعب وطروب مبالغة، وهي خفة تصيبه لشدة حزن أو سرور، والعامة تخصّه بالسرور، وطرّب في صوته بالتضعيف رجّعه ومدّه</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رفع صوته ووالاه فصوته عند العرب 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والغناء من الصوت ما طُرّب به</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والغناء ككساء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المشتمل على الترجيع المطرب أو ما يسمّى بالعرف غناء، وإن لم يطرب، سواء كان في شعر أو قرآن أو غيرهما</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والغناء من السماع</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المعجم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التطريب والترنّم بالكلام الموزون وغيره يكون مصحوباً بالموسيقى وغير مصحوب</w:t>
      </w:r>
      <w:r>
        <w:rPr>
          <w:rStyle w:val="FootnoteAnchor"/>
          <w:rtl w:val="true"/>
        </w:rPr>
        <w:footnoteReference w:id="8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المعاني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جمع صاحب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هذه المعاني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كلمات العلماء من اللغويين والأدباء والفقهاء مختلفة في تفسير الغناء، ففسّره بعضهم بالصوت المطرب، وآخر بالصوت المشتمل على الترجيع، وثالث بالصوت المشتمل على الترجيع والإطراب معاً، ورابع بالترجيع، وخامس بالتطريب، وسادس بالترجيع مع التطريب، وسابع برفع الصوت مع الترجيع، وثامن بمدّ الصوت </w:t>
      </w:r>
    </w:p>
    <w:p>
      <w:pPr>
        <w:pStyle w:val="BookText"/>
        <w:rPr/>
      </w:pPr>
      <w:r>
        <w:rPr>
          <w:rFonts w:ascii="Amiri" w:hAnsi="Amiri" w:eastAsia="Amiri" w:cs="Amiri"/>
          <w:color w:val="111111"/>
          <w:sz w:val="28"/>
          <w:sz w:val="28"/>
          <w:szCs w:val="28"/>
          <w:rtl w:val="true"/>
          <w:lang w:bidi="ar-SA"/>
        </w:rPr>
        <w:t>وتاسع بمدّه مع أحد الوصفين أو كليهما، وعاشر بتحسين الصوت، وحادي عشر بمدّ الصوت وموالاته، وثاني عشر وهو الغزالي بالصوت الموزون المفهم المحرّك للقلب</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وأضاف بعضهم ما يسمّى بالعرف غناء وإن لم يطرب، وبالصوت اللهوي، وبألحان أهل المعاصي والكبائر، وبما كان مناسباً لبعض آلات اللهو والرقص، وبالصوت المعدّ لمجالس اللهو، وبالصوت المثير لشهوة النكاح وغير ذلك من التفاسير</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كلمات الفقهاء، فالمشهور عندهم أنّ الغناء هو مدّ الصوت المشتمل على الترجيع المطرب، كما نسبه صاحب المفاتيح إليهم على ما جاء في مفتاح الكرامة، وعن الشهيد في المسالك والروضة والفاضل المقداد هو ما يسمى فيالعرف غناء وإن لم يطرب، وعن السرائر وإيضاح النافع أنه الصوت المطرب</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الاختلاف بحسب الظاهر بين هذه المعاني والتفاسير، فكم فرق بين مدّ الصوت أو رفعه وبين الترجيع والاطراب، وكذا الفرق بين قول المشهور من الفقهاء وبين غيرهم، وعلى ضوء هذا الاختلاف يختلف الحكم كثيراً وإن كان يمكن إرجاع هذه الأقوال والجمع بينها كما تصدّى إلى ذلك صاحب مفتاح الكرامة</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يهمّنا في المقام هو الرجوع إلى الأدلة الدالة على التحريم، فإن فهمنا منها موضوع الغناء وحدوده فهو، ولابد حينئذ من الالتزام به، وإلاّ </w:t>
      </w:r>
    </w:p>
    <w:p>
      <w:pPr>
        <w:pStyle w:val="BookText"/>
        <w:rPr/>
      </w:pPr>
      <w:r>
        <w:rPr>
          <w:rFonts w:ascii="Amiri" w:hAnsi="Amiri" w:eastAsia="Amiri" w:cs="Amiri"/>
          <w:color w:val="111111"/>
          <w:sz w:val="28"/>
          <w:sz w:val="28"/>
          <w:szCs w:val="28"/>
          <w:rtl w:val="true"/>
          <w:lang w:bidi="ar-SA"/>
        </w:rPr>
        <w:t>فمقتضى القاعدة هو الرجوع إلى العرف أو الأخذ بالقدر المتيقن من هذه المعاني، وأما ما زاد عليه فالمرجع فيه إلى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الآيتين ـ كما تقدم ـ هو حرمة الصوت اللهوي سواء كان من جهة المادة أو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الواردة فهي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مجرد رفع الصوت ليس من الغناء كما في الأخبار الواردة في استحباب رفع الصوت بالأذان</w:t>
      </w:r>
      <w:r>
        <w:rPr>
          <w:rStyle w:val="FootnoteAnchor"/>
          <w:rtl w:val="true"/>
        </w:rPr>
        <w:footnoteReference w:id="887"/>
      </w:r>
      <w:r>
        <w:rPr>
          <w:rFonts w:ascii="Amiri" w:hAnsi="Amiri" w:eastAsia="Amiri" w:cs="Amiri"/>
          <w:color w:val="111111"/>
          <w:sz w:val="28"/>
          <w:sz w:val="28"/>
          <w:szCs w:val="28"/>
          <w:rtl w:val="true"/>
          <w:lang w:bidi="ar-SA"/>
        </w:rPr>
        <w:t>، ولم يتوهم أحد أن ذلك من الغناء، ومثله ما إذا رفع الإنسان صوته لنداء غيره أو بداع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رفع الصوت مع كونه حسناً لا يعدّ من  الغناء فقد ورد في بعض الروايات أنه ما بعث الله نبياً إلاّ حسن الصوت</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بعضها أنّ الصوت مع الترجيع ليس من الغناء فقد ورد ورجّع بالقرآن صوتك فإنّ الله عزوجل يحب الصوت الحسن يرجّع فيه ترجيعاً</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أيضاً أنّ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أحسن الناس صوتاً بالقرآن</w:t>
      </w:r>
      <w:r>
        <w:rPr>
          <w:rStyle w:val="FootnoteAnchor"/>
          <w:rtl w:val="true"/>
        </w:rPr>
        <w:footnoteReference w:id="890"/>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يقرأ القرآن فربما مرّ به المارّ فصعق من حسن صوته</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حسن الصوت ملازم للترجيع وموالاته لا أنّه مجرد المدّ والرفع، ومن المستبعد جداً أن يكون هذا استثناء من الغناء المحرم، بل الظاهر </w:t>
      </w:r>
    </w:p>
    <w:p>
      <w:pPr>
        <w:pStyle w:val="BookText"/>
        <w:rPr/>
      </w:pPr>
      <w:r>
        <w:rPr>
          <w:rFonts w:ascii="Amiri" w:hAnsi="Amiri" w:eastAsia="Amiri" w:cs="Amiri"/>
          <w:color w:val="111111"/>
          <w:sz w:val="28"/>
          <w:sz w:val="28"/>
          <w:szCs w:val="28"/>
          <w:rtl w:val="true"/>
          <w:lang w:bidi="ar-SA"/>
        </w:rPr>
        <w:t>أنه غير داخل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اعتبار كون مادة الكلام باطلة، بل حتى فيما إذا كان الكلام حقاً، كما في معتبرة عبد الأعلى المتقدمة في الطائفة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ويؤيده رواية العيون عن الرضا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عليكم استخفافاً بالدين، وبيع الحكم، وقطيعة الرحم، وأن تتخذوا القرآن مزامير، تقدّمونأحدكم وليس بأفضلكم في الدين</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وموضع الشاهد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تتخذوا القرآن مزامير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عبد الله بن عباس المتقدمة في الطائفة الثالثة وقد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فعندها يكون أقوام يتعلمون القرآن لغير الله ويتخذونه مزامير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ويتغنّون بالقرآن</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جمع فيها بين التغنّي بالقرآن واتّخاذه مزامير، ولعل المراد من اتخاذ القرآن مزامير إما أن تكون القراءة في المزمار، وإما أن تكون مع المزمار، وإما أن تكون القراءة مزمارية وهو التغني بالقرآن، إلاّ أن التصريح بالتغني بالقرآن يقتضي حمل اتخاذ القرآن مزامير على أحد المعنيين الأوليين لئلاّ يلزم التكرار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ورواية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اقرؤا القرآن بألحان العرب وأصواتها، وإياكم ولحون أهل الفسق وأهل الكبائر، فإنّه سيجيء من بعدي أقوام يرجّعون القرآن ترجيع الغناء والنوح والرهبانية لا يجوز تراقيهم، قلوبهم مقلوبة وقلوب من يعجبه شأنهم</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والمستفاد من هذه الروايات وغيرها أنّ الغناء هو نفس الصوت ذو اللحن </w:t>
      </w:r>
    </w:p>
    <w:p>
      <w:pPr>
        <w:pStyle w:val="BookText"/>
        <w:rPr/>
      </w:pPr>
      <w:r>
        <w:rPr>
          <w:rFonts w:ascii="Amiri" w:hAnsi="Amiri" w:eastAsia="Amiri" w:cs="Amiri"/>
          <w:color w:val="111111"/>
          <w:sz w:val="28"/>
          <w:sz w:val="28"/>
          <w:szCs w:val="28"/>
          <w:rtl w:val="true"/>
          <w:lang w:bidi="ar-SA"/>
        </w:rPr>
        <w:t>اللهوي من دون ملاحظة المادة ولا إشكال في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وهي أكثر الروايات ـ ما ورد في النهي عن الغناء مطلقاً، كما ورد فيتفسير قول الزور، ولهو الحديث، وغيرهما كما تقدم وهي تنطبق على ما يصدق عليه الغناء عرفاً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والجامع بين الآيتين والروايات أنّ كل ما يعدّ غناء ويترتب عليه الإضلال شأناً بمعنى أنّ فيه اقتضاء لخروج السامع فضلاً عن المتكلم عن الحالة الطبيعية في الجملة، وهو مصداق للغناء المحرم سواء اشتمل على الترجيع أم لا، وسواء كان الأثر اللهوي من جهة المادة والصوت معاً بحيث يكون لكل منهما دخل في ذلك أو من جهة الصوت فقط، وسواء انطبقت عليه التفاسير المتقدمة أو لا، فإنّ أدلّة حرمة الغناء شاملة لكل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أنّه قد يكون للمادة دخل في صدق كون الكلام لهواً وغناء، وقد لا يكون لها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ففي ما إذا كان الكلام حقّاً كالقرآن والدعاء وغيرهما، ولا يعدّ ذلك مصداقاً للغناء بل هو خارج موضوعاً عنه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ففي ما إذا كان نفس الصوت لهوياً فإنه يعدّ من الغناء بلا فرق حينئذ بين كون الكلام حقاً أو باطلاً، بل وإن لم يكن هناك صوت أصلاً فإنّ مجرد الصوت فقط كالمزامير والبرابط وأصوات سائر الآلات اللهوية داخلة في الغناء، فلو جيء بالكلام الحق كالقرآن والدعاء ونحوهما بالصوت اللهوي المختص بمجالس اللهو والطرب فهو داخل في الغناء، بل قد يكون أشد كما أفاده الشيخ</w:t>
      </w:r>
      <w:r>
        <w:rPr>
          <w:rFonts w:eastAsia="Amiri" w:cs="Amiri" w:ascii="Amiri" w:hAnsi="Amiri"/>
          <w:color w:val="111111"/>
          <w:sz w:val="28"/>
          <w:szCs w:val="28"/>
          <w:rtl w:val="true"/>
          <w:lang w:bidi="ar-SA"/>
        </w:rPr>
        <w:t>!</w:t>
      </w:r>
      <w:r>
        <w:rPr>
          <w:rStyle w:val="FootnoteAnchor"/>
          <w:rtl w:val="true"/>
        </w:rPr>
        <w:footnoteReference w:id="895"/>
      </w:r>
      <w:r>
        <w:rPr>
          <w:rFonts w:ascii="Amiri" w:hAnsi="Amiri" w:eastAsia="Amiri" w:cs="Amiri"/>
          <w:color w:val="111111"/>
          <w:sz w:val="28"/>
          <w:sz w:val="28"/>
          <w:szCs w:val="28"/>
          <w:rtl w:val="true"/>
          <w:lang w:bidi="ar-SA"/>
        </w:rPr>
        <w:t xml:space="preserve">والسيد الأستاذ </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 xml:space="preserve">أيضاً لكونه مصداقاً للهتك، وقد ورد </w:t>
      </w:r>
      <w:bookmarkStart w:id="145" w:name="pg16406_258663"/>
    </w:p>
    <w:p>
      <w:pPr>
        <w:pStyle w:val="BookText"/>
        <w:rPr/>
      </w:pPr>
      <w:bookmarkEnd w:id="145"/>
      <w:r>
        <w:rPr>
          <w:rFonts w:ascii="Amiri" w:hAnsi="Amiri" w:eastAsia="Amiri" w:cs="Amiri"/>
          <w:color w:val="111111"/>
          <w:sz w:val="28"/>
          <w:sz w:val="28"/>
          <w:szCs w:val="28"/>
          <w:rtl w:val="true"/>
          <w:lang w:bidi="ar-SA"/>
        </w:rPr>
        <w:t>النهي عنه بخصوصه، وكذا مجرد النفخ في آلات اللهو بما هو متعارف عند أهل الفسوق، فإنه داخل في الغناء أيضاً وتشمله أدلة التحريم</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7246553_1280447820"/>
      <w:bookmarkStart w:id="147" w:name="_Toc47"/>
      <w:bookmarkEnd w:id="146"/>
      <w:r>
        <w:rPr>
          <w:rtl w:val="true"/>
        </w:rPr>
        <w:t>تنبيه</w:t>
      </w:r>
      <w:r>
        <w:rPr>
          <w:rtl w:val="true"/>
        </w:rPr>
        <w:t>:</w:t>
      </w:r>
      <w:bookmarkEnd w:id="147"/>
    </w:p>
    <w:p>
      <w:pPr>
        <w:pStyle w:val="BookText"/>
        <w:rPr/>
      </w:pPr>
      <w:r>
        <w:rPr>
          <w:rFonts w:ascii="Amiri" w:hAnsi="Amiri" w:eastAsia="Amiri" w:cs="Amiri"/>
          <w:color w:val="111111"/>
          <w:sz w:val="28"/>
          <w:sz w:val="28"/>
          <w:szCs w:val="28"/>
          <w:rtl w:val="true"/>
          <w:lang w:bidi="ar-SA"/>
        </w:rPr>
        <w:t>نسب القول بالتفصيل إلى المحققين صاحبي الوافي</w:t>
      </w:r>
      <w:r>
        <w:rPr>
          <w:rStyle w:val="FootnoteAnchor"/>
          <w:rtl w:val="true"/>
        </w:rPr>
        <w:footnoteReference w:id="897"/>
      </w:r>
      <w:r>
        <w:rPr>
          <w:rFonts w:ascii="Amiri" w:hAnsi="Amiri" w:eastAsia="Amiri" w:cs="Amiri"/>
          <w:color w:val="111111"/>
          <w:sz w:val="28"/>
          <w:sz w:val="28"/>
          <w:szCs w:val="28"/>
          <w:rtl w:val="true"/>
          <w:lang w:bidi="ar-SA"/>
        </w:rPr>
        <w:t>والكفاية</w:t>
      </w:r>
      <w:r>
        <w:rPr>
          <w:rStyle w:val="FootnoteAnchor"/>
          <w:rtl w:val="true"/>
        </w:rPr>
        <w:footnoteReference w:id="898"/>
      </w:r>
      <w:r>
        <w:rPr>
          <w:rFonts w:ascii="Amiri" w:hAnsi="Amiri" w:eastAsia="Amiri" w:cs="Amiri"/>
          <w:color w:val="111111"/>
          <w:sz w:val="28"/>
          <w:sz w:val="28"/>
          <w:szCs w:val="28"/>
          <w:rtl w:val="true"/>
          <w:lang w:bidi="ar-SA"/>
        </w:rPr>
        <w:t>وقد يميل إليهما الأردبيلي</w:t>
      </w:r>
      <w:r>
        <w:rPr>
          <w:rStyle w:val="FootnoteAnchor"/>
          <w:rtl w:val="true"/>
        </w:rPr>
        <w:footnoteReference w:id="899"/>
      </w:r>
      <w:r>
        <w:rPr>
          <w:rFonts w:ascii="Amiri" w:hAnsi="Amiri" w:eastAsia="Amiri" w:cs="Amiri"/>
          <w:color w:val="111111"/>
          <w:sz w:val="28"/>
          <w:sz w:val="28"/>
          <w:szCs w:val="28"/>
          <w:rtl w:val="true"/>
          <w:lang w:bidi="ar-SA"/>
        </w:rPr>
        <w:t>والنراقي</w:t>
      </w:r>
      <w:r>
        <w:rPr>
          <w:rStyle w:val="FootnoteAnchor"/>
          <w:rtl w:val="true"/>
        </w:rPr>
        <w:footnoteReference w:id="900"/>
      </w:r>
      <w:r>
        <w:rPr>
          <w:rFonts w:ascii="Amiri" w:hAnsi="Amiri" w:eastAsia="Amiri" w:cs="Amiri"/>
          <w:color w:val="111111"/>
          <w:sz w:val="28"/>
          <w:sz w:val="28"/>
          <w:szCs w:val="28"/>
          <w:rtl w:val="true"/>
          <w:lang w:bidi="ar-SA"/>
        </w:rPr>
        <w:t>في بعض الموارد،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الغناء ليست ذاتية، وإنما تكون من جهة المحرمات التي تقترن به كدخول الرجال على النساء، وتكلّمهنّ بالأباطيل ولعبهنّ بالملاهي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ذلك لا يستفاد من كلماتهما بل المستفاد أنّ الغناء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وهو ما يكون مصداقاً للهو عرفاً، ومباح وهو ما تكون مادته غير لهوية كالقرآن والأدعية والمواعظ كالتذكير بالجنة والنار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فالمستفاد من كلام الأول في الوافي</w:t>
      </w:r>
      <w:r>
        <w:rPr>
          <w:rStyle w:val="FootnoteAnchor"/>
          <w:rtl w:val="true"/>
        </w:rPr>
        <w:footnoteReference w:id="901"/>
      </w:r>
      <w:r>
        <w:rPr>
          <w:rFonts w:ascii="Amiri" w:hAnsi="Amiri" w:eastAsia="Amiri" w:cs="Amiri"/>
          <w:color w:val="111111"/>
          <w:sz w:val="28"/>
          <w:sz w:val="28"/>
          <w:szCs w:val="28"/>
          <w:rtl w:val="true"/>
          <w:lang w:bidi="ar-SA"/>
        </w:rPr>
        <w:t>أنّ ذلك هو مقتضى الجمع بين الروايات وذلك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في رواية الفقيه المتقدمة عن شراء الجارية التي لها صوت وقدجاء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لو اشتريتها فذكّرتك الجنة</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جعل هذه الرواية وجهاً للجمع لأنّ هذا النحو من الغناء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الكلام في الرواية دلالة وسنداً، وقلنا بعدم دلالتها على ذلك أصلاً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ورد في صحيحة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 </w:t>
      </w:r>
    </w:p>
    <w:p>
      <w:pPr>
        <w:pStyle w:val="BookText"/>
        <w:rPr/>
      </w:pPr>
      <w:r>
        <w:rPr>
          <w:rFonts w:ascii="Amiri" w:hAnsi="Amiri" w:eastAsia="Amiri" w:cs="Amiri"/>
          <w:color w:val="111111"/>
          <w:sz w:val="28"/>
          <w:sz w:val="28"/>
          <w:szCs w:val="28"/>
          <w:rtl w:val="true"/>
          <w:lang w:bidi="ar-SA"/>
        </w:rPr>
        <w:t>المغنّية التي تزفّ العرائس ليس به بأس، وليست بالتي يدخل عليها الرجال</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في الوسائل والفقيه</w:t>
      </w:r>
      <w:r>
        <w:rPr>
          <w:rStyle w:val="FootnoteAnchor"/>
          <w:rtl w:val="true"/>
        </w:rPr>
        <w:footnoteReference w:id="904"/>
      </w:r>
      <w:r>
        <w:rPr>
          <w:rFonts w:ascii="Amiri" w:hAnsi="Amiri" w:eastAsia="Amiri" w:cs="Amiri"/>
          <w:color w:val="111111"/>
          <w:sz w:val="28"/>
          <w:sz w:val="28"/>
          <w:szCs w:val="28"/>
          <w:rtl w:val="true"/>
          <w:lang w:bidi="ar-SA"/>
        </w:rPr>
        <w:t>ولكن في الوافي</w:t>
      </w:r>
      <w:r>
        <w:rPr>
          <w:rStyle w:val="FootnoteAnchor"/>
          <w:rtl w:val="true"/>
        </w:rPr>
        <w:footnoteReference w:id="905"/>
      </w:r>
      <w:r>
        <w:rPr>
          <w:rFonts w:ascii="Amiri" w:hAnsi="Amiri" w:eastAsia="Amiri" w:cs="Amiri"/>
          <w:color w:val="111111"/>
          <w:sz w:val="28"/>
          <w:sz w:val="28"/>
          <w:szCs w:val="28"/>
          <w:rtl w:val="true"/>
          <w:lang w:bidi="ar-SA"/>
        </w:rPr>
        <w:t>والكافي</w:t>
      </w:r>
      <w:r>
        <w:rPr>
          <w:rStyle w:val="FootnoteAnchor"/>
          <w:rtl w:val="true"/>
        </w:rPr>
        <w:footnoteReference w:id="906"/>
      </w:r>
      <w:r>
        <w:rPr>
          <w:rFonts w:ascii="Amiri" w:hAnsi="Amiri" w:eastAsia="Amiri" w:cs="Amiri"/>
          <w:color w:val="111111"/>
          <w:sz w:val="28"/>
          <w:sz w:val="28"/>
          <w:szCs w:val="28"/>
          <w:rtl w:val="true"/>
          <w:lang w:bidi="ar-SA"/>
        </w:rPr>
        <w:t>والتهذيبين</w:t>
      </w:r>
      <w:r>
        <w:rPr>
          <w:rStyle w:val="FootnoteAnchor"/>
          <w:rtl w:val="true"/>
        </w:rPr>
        <w:footnoteReference w:id="9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بالتي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فالاستدلال بهذه الرواية مبني على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أو ليست، علة للحكم، وبناء على اختصاص العلة بما يكون في الأعراس لا مطلقاً وحينئذ فيجوز، ولكن من المحتمل أن لا يكون قوله وليست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للحكم أصلاً بل شرط في عدم الحرمة بمعنى أنّ حلية أجر المغنية مشروط بشرطين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تزفّ العرائس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يدخل عليها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الاحتمال لا يمكن التمسك بهذه الرواية لإثبات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من الحث على قراءة القرآن واستحباب قراءته بصوت حسن وهو لا ينفكّ عن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أجبنا عن ذلك فيما تقدم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ربما استدل على التفصيل بصحيحة علي بن جعفر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الغناء هل يصلح في الفطر والأضحى والفرح؟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ما لم يعص به</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اختلفت النسخ في الجملة الأخيرة ففي قرب الإسناد</w:t>
      </w:r>
      <w:r>
        <w:rPr>
          <w:rStyle w:val="FootnoteAnchor"/>
          <w:rtl w:val="true"/>
        </w:rPr>
        <w:footnoteReference w:id="909"/>
      </w:r>
      <w:r>
        <w:rPr>
          <w:rFonts w:ascii="Amiri" w:hAnsi="Amiri" w:eastAsia="Amiri" w:cs="Amiri"/>
          <w:color w:val="111111"/>
          <w:sz w:val="28"/>
          <w:sz w:val="28"/>
          <w:szCs w:val="28"/>
          <w:rtl w:val="true"/>
          <w:lang w:bidi="ar-SA"/>
        </w:rPr>
        <w:t>هو كما ذكره صاحب الوسائل، وقال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علي بن جعفر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يؤمر به</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البحار</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المسائل لعلي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يزمّر مكان ما لم يعص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ما في كتاب علي بن جعفر فالرواية خارجة عن محلّ الكلاملورودها مورد التقية، واحتمله صاحب الوسائل</w:t>
      </w:r>
      <w:r>
        <w:rPr>
          <w:rStyle w:val="FootnoteAnchor"/>
          <w:rtl w:val="true"/>
        </w:rPr>
        <w:footnoteReference w:id="912"/>
      </w:r>
      <w:r>
        <w:rPr>
          <w:rFonts w:ascii="Amiri" w:hAnsi="Amiri" w:eastAsia="Amiri" w:cs="Amiri"/>
          <w:color w:val="111111"/>
          <w:sz w:val="28"/>
          <w:sz w:val="28"/>
          <w:szCs w:val="28"/>
          <w:rtl w:val="true"/>
          <w:lang w:bidi="ar-SA"/>
        </w:rPr>
        <w:t>، إلاّ أنّ الحمل على التقية إنما يصحّ فيما إذا لم يكن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في الرواية، وإلاّ كان المعنى غلطاً وهذه العبارة لم نعثر عليها في غير كتاب الوسائل حتى كتاب علي بن جعفر نفسه فإنّ فيه ما لم يزمّر به، ولعل ما وقع في الوسائل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ما في البحار ففيه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على صورة النفخ في المزمار، وإن كان في نفسه غناء وبهذا الوجه يمكن الاستدلال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الغناء مزمارياً وحينئذ لا مجال للاستدلال بالرواية على التفصيل لأنّه عبارة أخرى عن الغناء المحرم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وينطبق هذا الاحتمال على ما ورد في نسخة قرب الإسناد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يعص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الأظهر لعدم الحاجة فيه إلى التقدير بخلاف الاحتمال الأول فإنه يحتاج إلى التقدير المصحح للكلام، مضافاً إلى أنّ الأخذ بالاحتمال الأول وهو إباحة الغناء إذا لم يقترن بالمحرّمات الأخرى في الموارد الثلاثة </w:t>
      </w:r>
    </w:p>
    <w:p>
      <w:pPr>
        <w:pStyle w:val="BookText"/>
        <w:rPr/>
      </w:pPr>
      <w:r>
        <w:rPr>
          <w:rFonts w:ascii="Amiri" w:hAnsi="Amiri" w:eastAsia="Amiri" w:cs="Amiri"/>
          <w:color w:val="111111"/>
          <w:sz w:val="28"/>
          <w:sz w:val="28"/>
          <w:szCs w:val="28"/>
          <w:rtl w:val="true"/>
          <w:lang w:bidi="ar-SA"/>
        </w:rPr>
        <w:t>المذكورة في الرواية غير تام، حيث لا يخلو الحال إما أن يكون الغناء في نفسه ليس بحرام وإنما الحرمة من جهة المقارنات، وعلى هذا فلا وجه لاختصاص الإباحة بالموارد الثلاثة، وإما أن يكون الغناء محرّماً بذاته إلاّ أن الموارد الثلاثة مستثناة، وهذا مقطوع البطلان فإنّ الحرام لا يحل بمناسبة عيد أو فرح بل كيف يباح الحرام لمناسبة الفطروالأضحى وهما من أيام الطاعة والقربات إلى الله تعالى والأعمال الصالحة، على أنه يمكن لكثير من الناس أن يرتكبوا هذا الحرام والتحايل على تحليله بإيجاد موضوع الفرح، وفي ذلك فتح لباب من أبواب الفساد، وعليه فلابدّ على هذا الاحتمال من حمل الرواية على التقية فإنها موافقة لمشهور المخالفين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لا شاهد فيها على التفصيل ولا وجه له، والصحيح هو ما ذكرناه من الجمع بين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الثالث فهو في مستثنيات الغناء وقد استثني منه عدة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في زفّ العرائس</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نسب الجواز إلى الشهرة كما في الجواهر</w:t>
      </w:r>
      <w:r>
        <w:rPr>
          <w:rStyle w:val="FootnoteAnchor"/>
          <w:rtl w:val="true"/>
        </w:rPr>
        <w:footnoteReference w:id="913"/>
      </w:r>
      <w:r>
        <w:rPr>
          <w:rFonts w:ascii="Amiri" w:hAnsi="Amiri" w:eastAsia="Amiri" w:cs="Amiri"/>
          <w:color w:val="111111"/>
          <w:sz w:val="28"/>
          <w:sz w:val="28"/>
          <w:szCs w:val="28"/>
          <w:rtl w:val="true"/>
          <w:lang w:bidi="ar-SA"/>
        </w:rPr>
        <w:t>، وإلى أعاظم الأصحاب كما في المصباح</w:t>
      </w:r>
      <w:r>
        <w:rPr>
          <w:rStyle w:val="FootnoteAnchor"/>
          <w:rtl w:val="true"/>
        </w:rPr>
        <w:footnoteReference w:id="914"/>
      </w:r>
      <w:r>
        <w:rPr>
          <w:rFonts w:ascii="Amiri" w:hAnsi="Amiri" w:eastAsia="Amiri" w:cs="Amiri"/>
          <w:color w:val="111111"/>
          <w:sz w:val="28"/>
          <w:sz w:val="28"/>
          <w:szCs w:val="28"/>
          <w:rtl w:val="true"/>
          <w:lang w:bidi="ar-SA"/>
        </w:rPr>
        <w:t>، ونسب عدمه إلى جماعة منهم المفيد في المقنعة</w:t>
      </w:r>
      <w:r>
        <w:rPr>
          <w:rStyle w:val="FootnoteAnchor"/>
          <w:rtl w:val="true"/>
        </w:rPr>
        <w:footnoteReference w:id="915"/>
      </w:r>
      <w:r>
        <w:rPr>
          <w:rFonts w:ascii="Amiri" w:hAnsi="Amiri" w:eastAsia="Amiri" w:cs="Amiri"/>
          <w:color w:val="111111"/>
          <w:sz w:val="28"/>
          <w:sz w:val="28"/>
          <w:szCs w:val="28"/>
          <w:rtl w:val="true"/>
          <w:lang w:bidi="ar-SA"/>
        </w:rPr>
        <w:t>، والسيد في المراسم</w:t>
      </w:r>
      <w:r>
        <w:rPr>
          <w:rStyle w:val="FootnoteAnchor"/>
          <w:rtl w:val="true"/>
        </w:rPr>
        <w:footnoteReference w:id="916"/>
      </w:r>
      <w:r>
        <w:rPr>
          <w:rFonts w:ascii="Amiri" w:hAnsi="Amiri" w:eastAsia="Amiri" w:cs="Amiri"/>
          <w:color w:val="111111"/>
          <w:sz w:val="28"/>
          <w:sz w:val="28"/>
          <w:szCs w:val="28"/>
          <w:rtl w:val="true"/>
          <w:lang w:bidi="ar-SA"/>
        </w:rPr>
        <w:t>، وصريح الحلي في السرائر</w:t>
      </w:r>
      <w:r>
        <w:rPr>
          <w:rStyle w:val="FootnoteAnchor"/>
          <w:rtl w:val="true"/>
        </w:rPr>
        <w:footnoteReference w:id="917"/>
      </w:r>
      <w:r>
        <w:rPr>
          <w:rFonts w:ascii="Amiri" w:hAnsi="Amiri" w:eastAsia="Amiri" w:cs="Amiri"/>
          <w:color w:val="111111"/>
          <w:sz w:val="28"/>
          <w:sz w:val="28"/>
          <w:szCs w:val="28"/>
          <w:rtl w:val="true"/>
          <w:lang w:bidi="ar-SA"/>
        </w:rPr>
        <w:t>، والفخر في الإيضاح</w:t>
      </w:r>
      <w:r>
        <w:rPr>
          <w:rStyle w:val="FootnoteAnchor"/>
          <w:rtl w:val="true"/>
        </w:rPr>
        <w:footnoteReference w:id="918"/>
      </w:r>
      <w:r>
        <w:rPr>
          <w:rFonts w:ascii="Amiri" w:hAnsi="Amiri" w:eastAsia="Amiri" w:cs="Amiri"/>
          <w:color w:val="111111"/>
          <w:sz w:val="28"/>
          <w:sz w:val="28"/>
          <w:szCs w:val="28"/>
          <w:rtl w:val="true"/>
          <w:lang w:bidi="ar-SA"/>
        </w:rPr>
        <w:t>، وظاهر المحقق في الشرائع</w:t>
      </w:r>
      <w:r>
        <w:rPr>
          <w:rStyle w:val="FootnoteAnchor"/>
          <w:rtl w:val="true"/>
        </w:rPr>
        <w:footnoteReference w:id="919"/>
      </w:r>
      <w:r>
        <w:rPr>
          <w:rFonts w:ascii="Amiri" w:hAnsi="Amiri" w:eastAsia="Amiri" w:cs="Amiri"/>
          <w:color w:val="111111"/>
          <w:sz w:val="28"/>
          <w:sz w:val="28"/>
          <w:szCs w:val="28"/>
          <w:rtl w:val="true"/>
          <w:lang w:bidi="ar-SA"/>
        </w:rPr>
        <w:t xml:space="preserve">، وكل من لم يتعرض للاستثناء، وجعله في </w:t>
      </w:r>
    </w:p>
    <w:p>
      <w:pPr>
        <w:pStyle w:val="BookText"/>
        <w:rPr/>
      </w:pPr>
      <w:r>
        <w:rPr>
          <w:rFonts w:ascii="IRNazanin" w:hAnsi="IRNazanin" w:eastAsia="IRNazanin"/>
          <w:color w:val="111111"/>
          <w:sz w:val="28"/>
          <w:sz w:val="28"/>
          <w:szCs w:val="28"/>
          <w:rtl w:val="true"/>
          <w:lang w:bidi="fa-IR"/>
        </w:rPr>
        <w:t>الدروس</w:t>
      </w:r>
      <w:r>
        <w:rPr>
          <w:rStyle w:val="FootnoteAnchor"/>
          <w:rtl w:val="true"/>
        </w:rPr>
        <w:footnoteReference w:id="920"/>
      </w:r>
      <w:r>
        <w:rPr>
          <w:rFonts w:ascii="IRNazanin" w:hAnsi="IRNazanin" w:eastAsia="IRNazanin"/>
          <w:color w:val="111111"/>
          <w:sz w:val="28"/>
          <w:sz w:val="28"/>
          <w:szCs w:val="28"/>
          <w:rtl w:val="true"/>
          <w:lang w:bidi="fa-IR"/>
        </w:rPr>
        <w:t>هو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وقد استدل على الجواز بروايات كلها عن أبي بصير، ولعلها رواية واحدة مختلفة الألفاظ والأسانيد بناء على ما ورد في الوسائل من أنّ المسؤول في الرواية الثالثة الآتية هو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 بناء على ما ورد في الكافي</w:t>
      </w:r>
      <w:r>
        <w:rPr>
          <w:rStyle w:val="FootnoteAnchor"/>
          <w:rtl w:val="true"/>
        </w:rPr>
        <w:footnoteReference w:id="921"/>
      </w:r>
      <w:r>
        <w:rPr>
          <w:rFonts w:ascii="Amiri" w:hAnsi="Amiri" w:eastAsia="Amiri" w:cs="Amiri"/>
          <w:color w:val="111111"/>
          <w:sz w:val="28"/>
          <w:sz w:val="28"/>
          <w:szCs w:val="28"/>
          <w:rtl w:val="true"/>
          <w:lang w:bidi="ar-SA"/>
        </w:rPr>
        <w:t>والتهذيبين</w:t>
      </w:r>
      <w:r>
        <w:rPr>
          <w:rStyle w:val="FootnoteAnchor"/>
          <w:rtl w:val="true"/>
        </w:rPr>
        <w:footnoteReference w:id="922"/>
      </w:r>
      <w:r>
        <w:rPr>
          <w:rFonts w:ascii="IRNazanin" w:hAnsi="IRNazanin" w:eastAsia="IRNazanin"/>
          <w:color w:val="111111"/>
          <w:sz w:val="28"/>
          <w:sz w:val="28"/>
          <w:szCs w:val="28"/>
          <w:rtl w:val="true"/>
          <w:lang w:bidi="fa-IR"/>
        </w:rPr>
        <w:t xml:space="preserve">من أنّ المسؤول هو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 المغنية التي تزفّ العرائس ليس به بأس، وليست بالتي يدخل عليها الرجال</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من جهة السند صحيحة كما أنّها من جهة الدلالة واضحة، وقد تقدمت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روايته الأخرى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المغنية التي تزفّ العرائس لا بأس بكسبها</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واضحة الدلالة فإنّ حلّية الكسب تدل على مشروعية العمل، وأما من جهة السند ففيه حكم الخياط، وهو وإن لم يرد فيه توثيق إلاّ أنه قد روىعنه المشايخ الثقات</w:t>
      </w:r>
      <w:r>
        <w:rPr>
          <w:rStyle w:val="FootnoteAnchor"/>
          <w:rtl w:val="true"/>
        </w:rPr>
        <w:footnoteReference w:id="925"/>
      </w:r>
      <w:r>
        <w:rPr>
          <w:rFonts w:ascii="Amiri" w:hAnsi="Amiri" w:eastAsia="Amiri" w:cs="Amiri"/>
          <w:color w:val="111111"/>
          <w:sz w:val="28"/>
          <w:sz w:val="28"/>
          <w:szCs w:val="28"/>
          <w:rtl w:val="true"/>
          <w:lang w:bidi="ar-SA"/>
        </w:rPr>
        <w:t>، وذلك أمارة على وثاقته، كما حققناه في محلّه، وبناء عليه فلا بأس بسند الرواية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روايته الثالثة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كسب المغنّيات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يدخل عليها الرجال حرام، والتي تدعى إلى الأعراس ليس به بأس، </w:t>
      </w:r>
    </w:p>
    <w:p>
      <w:pPr>
        <w:pStyle w:val="BookText"/>
        <w:rPr/>
      </w:pPr>
      <w:r>
        <w:rPr>
          <w:rFonts w:ascii="Amiri" w:hAnsi="Amiri" w:eastAsia="Amiri" w:cs="Amiri"/>
          <w:color w:val="111111"/>
          <w:sz w:val="28"/>
          <w:sz w:val="28"/>
          <w:szCs w:val="28"/>
          <w:rtl w:val="true"/>
          <w:lang w:bidi="ar-SA"/>
        </w:rPr>
        <w:t>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يَشْتَرِي لَهْوَ الْحَدِيثِ لِيُضِلَّ عَنْ سَبِيلِ اللَّهِ</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من جهة الدلالة أوضح من السابقة إلاّ أن سندها اشتمل على علي بن أبي حمزة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تصحيح السند من جهة أخرى، وهي أنّ الشيخ قد روى هذه الرواية في التهذيب</w:t>
      </w:r>
      <w:r>
        <w:rPr>
          <w:rStyle w:val="FootnoteAnchor"/>
          <w:rtl w:val="true"/>
        </w:rPr>
        <w:footnoteReference w:id="927"/>
      </w:r>
      <w:r>
        <w:rPr>
          <w:rFonts w:ascii="Amiri" w:hAnsi="Amiri" w:eastAsia="Amiri" w:cs="Amiri"/>
          <w:color w:val="111111"/>
          <w:sz w:val="28"/>
          <w:sz w:val="28"/>
          <w:szCs w:val="28"/>
          <w:rtl w:val="true"/>
          <w:lang w:bidi="ar-SA"/>
        </w:rPr>
        <w:t>عن الحسين بن سعيد فيعلم أنه قد رواها من كتابه، مضافاً إلى ما ورد من أنّ كتب الحسين بن سعيد معمول بها عند الأصحاب</w:t>
      </w:r>
      <w:r>
        <w:rPr>
          <w:rStyle w:val="FootnoteAnchor"/>
          <w:rtl w:val="true"/>
        </w:rPr>
        <w:footnoteReference w:id="928"/>
      </w:r>
      <w:r>
        <w:rPr>
          <w:rFonts w:ascii="Amiri" w:hAnsi="Amiri" w:eastAsia="Amiri" w:cs="Amiri"/>
          <w:color w:val="111111"/>
          <w:sz w:val="28"/>
          <w:sz w:val="28"/>
          <w:szCs w:val="28"/>
          <w:rtl w:val="true"/>
          <w:lang w:bidi="ar-SA"/>
        </w:rPr>
        <w:t>وهذه الرواية منها، فيمكن اعتبارها، ولا يبعد أن يكون للحسين بن سعيد طريق إلى أبي بصير غير طريق علي 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هذه الروايات حلّية الغناء الخاص بزف العرائس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نوقشت هذه الروايات بوجوه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ضعيفة الأسناد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تام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حرمة الغناء متواترة كأدلة حرمة الزنا، وقد عبّر في القرآن الكريم عنه بقول الزور ولهو الحديث، وصرّحت الروايات بأنه الباعث على الفجور والفساد فتحريمه عقلي لا يقبل التخصيص، فلابدّ من حمل ما دل على الجواز إما على التقية أو الطرح</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الوجه غير سديد، وذلك لأنّ شدة حرمة الغناء وكثرة الروايات الناهية عنه ليست بأزيد من الربا، مع أنه قد ورد فيه التقييد، فما ذكر في هذا الوجه إنما هو استحسان في مقابل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حلية الأجر لا يلازم حلية الغناء، ولعل الأجرة في مقابل الزفّ لا الغناء، وذلك لا ينافي حرمة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الوجه ضعيف، لأنّ الظاهر من الروايات ولا سيما الرواية الثالثة، حيث جعلت الغناء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حرام، والآخر حلال، وأنّ الأجرة في مقابل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فمقتضى القاعدة هو الأخذ بروايات الاستثناء لتمامية دلالتها واعتبار أسنادها كما قال به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لابدّ من الاقتصار على مورد الروايات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أن يكون ذلك في المغنية دون المغنّي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أن يكون في زفّ العرائس لا في غيره من سائر الأفراح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أن يختص بوقت الزفاف لا قبله ولا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أن لا يدخل عليهن الرجال، والظاهر عدم اختصاصه بالأجانب بل هو شامل للمحارم أيضاً، ولا يبعد اعتبار عدم سماع أصواتهن لا مجرّد عدم الدخول للقطع بحرمة استماع أصواتهنّ ولو مع عدم الدخول بالنسبة إلى  الأجانب، والأحوط أن لا يكون مقترناً بسائر المحرّمات كالتغنّي بالكذب والفحش وآلات اللهو وإن كان الإطلاق يشملها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الحُداء كدعاء لسير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بالإبل حدواً وحداء مثل 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زجرها وغنّى لها ليحثّها على السير</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حدوت بالإبل أحدو حدواً حثثتها على السير بالحداء مثل غراب وهو الغناء لها</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اختلف في حكمه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جوازه مشهور كما في الكفاية</w:t>
      </w:r>
      <w:r>
        <w:rPr>
          <w:rStyle w:val="FootnoteAnchor"/>
          <w:rtl w:val="true"/>
        </w:rPr>
        <w:footnoteReference w:id="931"/>
      </w:r>
      <w:r>
        <w:rPr>
          <w:rFonts w:ascii="Amiri" w:hAnsi="Amiri" w:eastAsia="Amiri" w:cs="Amiri"/>
          <w:color w:val="111111"/>
          <w:sz w:val="28"/>
          <w:sz w:val="28"/>
          <w:szCs w:val="28"/>
          <w:rtl w:val="true"/>
          <w:lang w:bidi="ar-SA"/>
        </w:rPr>
        <w:t>والرياض</w:t>
      </w:r>
      <w:r>
        <w:rPr>
          <w:rStyle w:val="FootnoteAnchor"/>
          <w:rtl w:val="true"/>
        </w:rPr>
        <w:footnoteReference w:id="932"/>
      </w:r>
      <w:r>
        <w:rPr>
          <w:rFonts w:ascii="IRNazanin" w:hAnsi="IRNazanin" w:eastAsia="IRNazanin"/>
          <w:color w:val="111111"/>
          <w:sz w:val="28"/>
          <w:sz w:val="28"/>
          <w:szCs w:val="28"/>
          <w:rtl w:val="true"/>
          <w:lang w:bidi="fa-IR"/>
        </w:rPr>
        <w:t>والمستند</w:t>
      </w:r>
      <w:r>
        <w:rPr>
          <w:rStyle w:val="FootnoteAnchor"/>
          <w:rtl w:val="true"/>
        </w:rPr>
        <w:footnoteReference w:id="933"/>
      </w:r>
      <w:r>
        <w:rPr>
          <w:rFonts w:ascii="Amiri" w:hAnsi="Amiri" w:eastAsia="Amiri" w:cs="Amiri"/>
          <w:color w:val="111111"/>
          <w:sz w:val="28"/>
          <w:sz w:val="28"/>
          <w:szCs w:val="28"/>
          <w:rtl w:val="true"/>
          <w:lang w:bidi="ar-SA"/>
        </w:rPr>
        <w:t>، وقال جماعة بالجواز منهم المحقق</w:t>
      </w:r>
      <w:r>
        <w:rPr>
          <w:rStyle w:val="FootnoteAnchor"/>
          <w:rtl w:val="true"/>
        </w:rPr>
        <w:footnoteReference w:id="934"/>
      </w:r>
      <w:r>
        <w:rPr>
          <w:rFonts w:ascii="Amiri" w:hAnsi="Amiri" w:eastAsia="Amiri" w:cs="Amiri"/>
          <w:color w:val="111111"/>
          <w:sz w:val="28"/>
          <w:sz w:val="28"/>
          <w:szCs w:val="28"/>
          <w:rtl w:val="true"/>
          <w:lang w:bidi="ar-SA"/>
        </w:rPr>
        <w:t>في كتاب الشهادات في الشرائعوالعلاّمة</w:t>
      </w:r>
      <w:r>
        <w:rPr>
          <w:rStyle w:val="FootnoteAnchor"/>
          <w:rtl w:val="true"/>
        </w:rPr>
        <w:footnoteReference w:id="935"/>
      </w:r>
      <w:r>
        <w:rPr>
          <w:rFonts w:ascii="Amiri" w:hAnsi="Amiri" w:eastAsia="Amiri" w:cs="Amiri"/>
          <w:color w:val="111111"/>
          <w:sz w:val="28"/>
          <w:sz w:val="28"/>
          <w:szCs w:val="28"/>
          <w:rtl w:val="true"/>
          <w:lang w:bidi="ar-SA"/>
        </w:rPr>
        <w:t>في القواعد والشهيد في الدروس</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وذهب آخرون إلى عدم الجواز ومنهم صاحب الجواهر</w:t>
      </w:r>
      <w:r>
        <w:rPr>
          <w:rStyle w:val="FootnoteAnchor"/>
          <w:rtl w:val="true"/>
        </w:rPr>
        <w:footnoteReference w:id="937"/>
      </w:r>
      <w:r>
        <w:rPr>
          <w:rFonts w:ascii="Amiri" w:hAnsi="Amiri" w:eastAsia="Amiri" w:cs="Amiri"/>
          <w:color w:val="111111"/>
          <w:sz w:val="28"/>
          <w:sz w:val="28"/>
          <w:szCs w:val="28"/>
          <w:rtl w:val="true"/>
          <w:lang w:bidi="ar-SA"/>
        </w:rPr>
        <w:t>واستضعفوا القول بالشهرة،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الشهرة على خلافه</w:t>
      </w:r>
      <w:r>
        <w:rPr>
          <w:rStyle w:val="FootnoteAnchor"/>
          <w:rtl w:val="true"/>
        </w:rPr>
        <w:footnoteReference w:id="938"/>
      </w:r>
      <w:r>
        <w:rPr>
          <w:rFonts w:ascii="Amiri" w:hAnsi="Amiri" w:eastAsia="Amiri" w:cs="Amiri"/>
          <w:color w:val="111111"/>
          <w:sz w:val="28"/>
          <w:sz w:val="28"/>
          <w:szCs w:val="28"/>
          <w:rtl w:val="true"/>
          <w:lang w:bidi="ar-SA"/>
        </w:rPr>
        <w:t>، وذلك لعدم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على الجواز بروايتين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لعبد الله بن رواحة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 بالنوق فاندفع يرتجز، وكان عبد الله جيّد الحداء وكان مع الرجال، وكان أنجشة مع النساء، فلما سمعه تبعه،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لأنجشة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رويدك، رفقاً بالقوارير</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والمستفاد من الرواية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بتحريك النوق فلما حدا عبد الله وتبعه أنجشة لم ينههما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يدل على الجواز</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الرواية غير تامة سنداً ودلالة، أما من جهة السند فهي عامية مرسلة ولم يحرز انجبارها بعمل المشهور، فلا يمكن الاعتماد عليها من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من جهة الدلالة فلم يعلم أنّ الحداء من الغناء، وذلك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 بالنوق فاندفع يرتجز، والرجَز بحر من بحور الشعر ونوع من </w:t>
      </w:r>
    </w:p>
    <w:p>
      <w:pPr>
        <w:pStyle w:val="BookText"/>
        <w:rPr/>
      </w:pPr>
      <w:r>
        <w:rPr>
          <w:rFonts w:ascii="Amiri" w:hAnsi="Amiri" w:eastAsia="Amiri" w:cs="Amiri"/>
          <w:color w:val="111111"/>
          <w:sz w:val="28"/>
          <w:sz w:val="28"/>
          <w:szCs w:val="28"/>
          <w:rtl w:val="true"/>
          <w:lang w:bidi="ar-SA"/>
        </w:rPr>
        <w:t>أنواعه ويستخدم عادة في الحروب لإثارة الحماس وشحذ العزيمة للقتال وتهيّج النفس لملاقاة العدو، فيكون معنى مقابلاً للغناء وإن كان كلاهما يحدثان التهيّج إلاّ أنهما يختلفان في الأثر، فلعلّه قسيم للغناء لا قسم منه كما مال إليه صاحب الجواهر</w:t>
      </w:r>
      <w:r>
        <w:rPr>
          <w:rStyle w:val="FootnoteAnchor"/>
          <w:rtl w:val="true"/>
        </w:rPr>
        <w:footnoteReference w:id="940"/>
      </w:r>
      <w:r>
        <w:rPr>
          <w:rFonts w:ascii="Amiri" w:hAnsi="Amiri" w:eastAsia="Amiri" w:cs="Amiri"/>
          <w:color w:val="111111"/>
          <w:sz w:val="28"/>
          <w:sz w:val="28"/>
          <w:szCs w:val="28"/>
          <w:rtl w:val="true"/>
          <w:lang w:bidi="ar-SA"/>
        </w:rPr>
        <w:t>مستشهداً بالعرف، وعليه فهو خارج موضوعاً لا حكماً، ولعل التعبير بالاستثناء في كلماتهم لهذه الجهة كما أنّ التعبير عنه في ألسنة اللغويين مبني على المسامحة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فالاستدلال بهذه الرواية غير 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بموثقة السكوني بإسناده يعني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المسافر الحداء والشعر ما كان منه ليس فيه جفاء وفي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فيه خناء</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وإن كانت من جهة السند تامة إلاّ أنّ الكلام فيها من جهة الدلالة، فقد يقال بعدم دلالتها على الاستثناء، وذلك لما ورد في ذيل الرواية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جفاء أو خناء، والجفاء هو غلظ الطبع والبعد عن آداب الشرع</w:t>
      </w:r>
      <w:r>
        <w:rPr>
          <w:rStyle w:val="FootnoteAnchor"/>
          <w:rtl w:val="true"/>
        </w:rPr>
        <w:footnoteReference w:id="9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الخناء فهو الفحش من القول</w:t>
      </w:r>
      <w:r>
        <w:rPr>
          <w:rStyle w:val="FootnoteAnchor"/>
          <w:rtl w:val="true"/>
        </w:rPr>
        <w:footnoteReference w:id="943"/>
      </w:r>
      <w:r>
        <w:rPr>
          <w:rFonts w:ascii="Amiri" w:hAnsi="Amiri" w:eastAsia="Amiri" w:cs="Amiri"/>
          <w:color w:val="111111"/>
          <w:sz w:val="28"/>
          <w:sz w:val="28"/>
          <w:szCs w:val="28"/>
          <w:rtl w:val="true"/>
          <w:lang w:bidi="ar-SA"/>
        </w:rPr>
        <w:t>والباطل، وذكر صاحب الوسائل أنّ من معانيه الطرب</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يعلم أنّ الحداء المحلّل هو الذي لا فحش ولا باطل فيه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فرض عدم ظهوره في هذا المعنى فهو مجمل، ولا يمكن الاستدلال بالرواية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إنّ الظاهر أنّ مرجع الضمير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منه ليس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الشعر لا الحداء وإلاّ لجاء الضمير بالتثنية، وحينئذ فيبقى  الحداء على إطلاقه شاملاً للغناء بمعنى الطرب أو الارتجاز أو غيرهما وإن كان الحداء في نفسه مجملاً، نعم ورد في بعض الروايات التوبيخ على التغنّي على ظهر الدابّة كما روي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يستحي أحدكم أن يغنّي على دابته وهي تسبّح</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تغنّوا على ظهورها، أما يستحي أحدكم أن يغنّي على ظهر دابّته وهي تسبّح</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هاتين الروايتين غير تامتين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القول بجواز الحداء فالاحتياط يقتضي أن يكون بغير الغناء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في قراءة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اشتهرت نسبة الجواز إلى صاحب الكفاية</w:t>
      </w:r>
      <w:r>
        <w:rPr>
          <w:rStyle w:val="FootnoteAnchor"/>
          <w:rtl w:val="true"/>
        </w:rPr>
        <w:footnoteReference w:id="947"/>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 واحد من الأخبار يدلّ على جواز الغناء في القرآن، بل استحبابه، بناء على دلالة الروايات على استحباب حسن الصوت والتحزين والترجيع به، والظاهر أنّ شيئاً منها لا يوجد بدون الغناء، على ما استفيد من كلام أهل اللغة وغيرهم، على ما فصّلنا في بعض رسائلنا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وجهين للجمع بين الأخبار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تلك الأخبار الواردة المانعة بما عدا القرآن، وحمل ما يدل على ذمّ التغنّي بالقرآن على قراءة تكون على سبيل اللهو كما يصنعه الفساق</w:t>
      </w:r>
      <w:r>
        <w:rPr>
          <w:rStyle w:val="FootnoteAnchor"/>
          <w:rtl w:val="true"/>
        </w:rPr>
        <w:footnoteReference w:id="948"/>
      </w:r>
      <w:r>
        <w:rPr>
          <w:rFonts w:ascii="Amiri" w:hAnsi="Amiri" w:eastAsia="Amiri" w:cs="Amiri"/>
          <w:color w:val="111111"/>
          <w:sz w:val="28"/>
          <w:sz w:val="28"/>
          <w:szCs w:val="28"/>
          <w:rtl w:val="true"/>
          <w:lang w:bidi="ar-SA"/>
        </w:rPr>
        <w:t xml:space="preserve">، المؤيدة برواية عبد الله بن سنان </w:t>
      </w:r>
    </w:p>
    <w:p>
      <w:pPr>
        <w:pStyle w:val="BookText"/>
        <w:rPr/>
      </w:pPr>
      <w:r>
        <w:rPr>
          <w:rFonts w:ascii="Amiri" w:hAnsi="Amiri" w:eastAsia="Amiri" w:cs="Amiri"/>
          <w:color w:val="111111"/>
          <w:sz w:val="28"/>
          <w:sz w:val="28"/>
          <w:szCs w:val="28"/>
          <w:rtl w:val="true"/>
          <w:lang w:bidi="ar-SA"/>
        </w:rPr>
        <w:t>الناهية عن قراءة القرآن بألحان أهل الفسوق</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إليه في كلام الشيخ </w:t>
      </w:r>
      <w:r>
        <w:rPr>
          <w:rFonts w:eastAsia="Amiri" w:cs="Amiri" w:ascii="Amiri" w:hAnsi="Amiri"/>
          <w:color w:val="111111"/>
          <w:sz w:val="28"/>
          <w:szCs w:val="28"/>
          <w:rtl w:val="true"/>
          <w:lang w:bidi="ar-SA"/>
        </w:rPr>
        <w:t xml:space="preserve">! </w:t>
      </w:r>
      <w:r>
        <w:rPr>
          <w:rStyle w:val="FootnoteAnchor"/>
          <w:rtl w:val="true"/>
        </w:rPr>
        <w:footnoteReference w:id="950"/>
      </w:r>
      <w:r>
        <w:rPr>
          <w:rFonts w:ascii="Amiri" w:hAnsi="Amiri" w:eastAsia="Amiri" w:cs="Amiri"/>
          <w:color w:val="111111"/>
          <w:sz w:val="28"/>
          <w:sz w:val="28"/>
          <w:szCs w:val="28"/>
          <w:rtl w:val="true"/>
          <w:lang w:bidi="ar-SA"/>
        </w:rPr>
        <w:t>من جواز الغناء في القرآن مطلقاً بناء على وقوع التعارض بين الأخبار الكثيرة المتواترة الدالّة على فضل قراءة القرآن والأدعية والأذكار، وبين ما دلّ على حرمة الغناء مطلقاً بالعموم من وجه، وبعد التساقط في مورد الاجتماع يكون المرجع هو أصالة الإباحة، والنتيجة هي الحكم بالجواز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لا عين منه ولا أثر في كتاب الكفاية ولا لما نسبه الشيخ إليه من العبارات</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وتوجيهه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أنه قد نقله من بعض رسائل صاحب الكفاية والتي أشار إليها في عبارته المتقدمة، وإما أنه قد استفاده من مجموع الكلام ونقله بالمعنى وشاهده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 أن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وحاصل ما قال</w:t>
      </w:r>
      <w:r>
        <w:rPr>
          <w:rStyle w:val="FootnoteAnchor"/>
          <w:rtl w:val="true"/>
        </w:rPr>
        <w:footnoteReference w:id="9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تقدير فلا إشكال في الوجه الأول، وإنما الكلام في الوجه الثاني فقد أشكل عليه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وجه للقول بالتعارض بين أدلة المستحبات والأدلة الإلزامية من الواجبات والمحرمات، وذلك لأنّ مرجع أدلة الاستحباب إلى استحباب إيجاد الشيء بسببه المباح لا بسببه المحرّم، ولذا لا يجوز إدخال السرور في قلب المؤمن وإجابته بالمحرمات كالزنا واللواط والغناء، وسرّه أنّ دليل الاستحباب إنما يدل على كون الفعل لو خلي وطبعه كان خالياً عما يوجب لزوم أحد طرفيه، فلا ينافي ذلك طروّ عنوان من الخارج يوجب لزوم فعله أو تركه كما إذا صار مقدمة لواجب، أو صادفه عنوان محرّم، </w:t>
      </w:r>
    </w:p>
    <w:p>
      <w:pPr>
        <w:pStyle w:val="BookText"/>
        <w:rPr/>
      </w:pPr>
      <w:r>
        <w:rPr>
          <w:rFonts w:ascii="Amiri" w:hAnsi="Amiri" w:eastAsia="Amiri" w:cs="Amiri"/>
          <w:color w:val="111111"/>
          <w:sz w:val="28"/>
          <w:sz w:val="28"/>
          <w:szCs w:val="28"/>
          <w:rtl w:val="true"/>
          <w:lang w:bidi="ar-SA"/>
        </w:rPr>
        <w:t>وجهات الأحكام الثلاثة أي الإباحة والاستحباب والكراهة لا تزاحم جهة الوجوب أو الحرمة، فالحكم لهما مع اجتماع جهتيهما بإحدى الجهات الثلاث، ويشهد لذلك عدم تأدّي المستحباتفي ضمن المحرّمات</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أشكل على الشيخ جماعة ممن تأخر عنه منهم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ما أورده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الشيخ إنما يتم فيما إذا كان التعارض في مقام الامتثال لا في مقام الجعل والإنشاء، وإلاّ فلا فرق بين الحكمين المتعارضين سواء أكانا إلزاميين أو أحدهما أو كلاهما غير إلزاميين، فإنّ التعارض ـ وهو تكاذب الدليلين ـ واقع لا محالة، ولذا لو صرّح ـ في محل كلامنا ـ باستحباب قراءة القرآن بالصوت اللهوي كان معارضاً لما دل على حرمة الغناء مطلقاً، مع أنّ قراءة القرآن مما لا إشكال في استحبابها، إلاّ أن يكون أحدهما مقيداً بعدم وجود الآخر، أو يكون أحدهما حكماً أولياً والآخر ثانوياً، ولابدّ من علاج آخر وهو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للحكم بالتساقط والرجوع إلى أصالة الإباحة بل الرجحان لأدلة المنع على أدلة الجواز لمخالفتها لما ذهب إليه العامة من الجواز</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ليس من البعيد أن يكون مراد الشيخ من عدم المقاومة هو تقييد أدلة الجواز بما هو مرتكز في عرف المتشرعة، بمعنى أنّ كل مستحب وإن كانت أدلّته مطلقة إلاّ أنها مقيدة بما إذا لم يترتب عليها الحرام فتدبر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لصاحب مفتاح الكرامة كلاماً لطيفاً لا بأس بذكره قال في مقام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 المحدّث الكاشاني والفاضل الخراساني فنسجا على منوال الغزالي وأمثاله من علماء العامة، وخصّا الحرام منه بما اشتمل على محرّم من </w:t>
      </w:r>
    </w:p>
    <w:p>
      <w:pPr>
        <w:pStyle w:val="BookText"/>
        <w:rPr/>
      </w:pPr>
      <w:r>
        <w:rPr>
          <w:rFonts w:ascii="Amiri" w:hAnsi="Amiri" w:eastAsia="Amiri" w:cs="Amiri"/>
          <w:color w:val="111111"/>
          <w:sz w:val="28"/>
          <w:sz w:val="28"/>
          <w:szCs w:val="28"/>
          <w:rtl w:val="true"/>
          <w:lang w:bidi="ar-SA"/>
        </w:rPr>
        <w:t xml:space="preserve">خارج، مثلاللعب بآلات اللهو ودخول الرجال والكلام في الباطل، واستندا في ذلك إلى أخبار تقرب من اثني عشر خبراً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أنها ضعيفة ومتعارضة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على تقدير تسليم وضوح دلالتها مخالفة للكتاب المجيد موافقة للعامة محمولة على التقية، مع أنها معارضة بخمسة وعشرين خبراً بين صريحة الدلالة أو ظاهرة على تحريم الغناء مطلقاً من غير تقييد، ويعضدها الأخبار الدالة على تحريم استماع الغناء وهي ثلاثة أخبار، والأخبار الدالة على تحريم ثمن المغنية وهي خمسة أخبار، فلو كان الغناء حلالاً بل مستحباً في نحو القرآن والأدعية والمناجاة كما هو ظاهر كلامهما لما حكم بتحريم سماعه، وتحريم ثمن المغنية وأنه سحت وأنّ تعليمها كفر</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تقدم منّا أنّ قراءة القرآن خارجة عن الغناء تخصّصاً واستشهدنا بما ورد في رواية عبد الله بن سنان إذ ورد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اقرأوا القرآن بألحان العرب وأصواتها وإياكم ولحون أهل الفسق والكبائر</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ومعه فلا تصل النوبة إلى تكلّف الترجيح أو الجمع بين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في رثاء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المحقق الأردبيلي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مجمع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استثني مراثي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ودليله غير واضح، ولعل دليل الكلّ أنه ما ثبت بالإجماع إلاّ في غيرها، والأخبار ليست بصحيحة صريحة في التحريم مطلقاً، والأصل الجواز،فما ثبت تحريمه يحرم والباقي يبقى فتأمل فيه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ويؤيده أنّ البكاء والتفجّع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ومرغوب، وفيه ثواب عظيم، والغناء معين على ذلك، وأنه متعارف دائماً في بلاد المسلمين في زمن المشايخ </w:t>
      </w:r>
    </w:p>
    <w:p>
      <w:pPr>
        <w:pStyle w:val="BookText"/>
        <w:rPr/>
      </w:pPr>
      <w:r>
        <w:rPr>
          <w:rFonts w:ascii="Amiri" w:hAnsi="Amiri" w:eastAsia="Amiri" w:cs="Amiri"/>
          <w:color w:val="111111"/>
          <w:sz w:val="28"/>
          <w:sz w:val="28"/>
          <w:szCs w:val="28"/>
          <w:rtl w:val="true"/>
          <w:lang w:bidi="ar-SA"/>
        </w:rPr>
        <w:t xml:space="preserve">إلى زماننا من غير نكير، وهو يدلّ على الجواز غالباً ويؤيده جواز النياحة بالغناء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أنّ التحريم للطرب على الظاهر، ولهذا قيد بالمطرب، وليس في المراثي طرب بل ليس إلاّ الحزن، وأكثر هذا يجري في استثناء مطلق المراثي وكأنّه ترك للظهور</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 هذا المورد هو ما مر في المورد السابق، فإنّ المراثي خارجة عن الغناء موضوعاً، إذ هي ليست من أحد القسمين المحرّمين إلاّ أن يكون اللحن لهوياً بحيث يُعدّ من ألحان أهل الفسوق والكبائر، فيحكم حينئذ بحرمتها كما إذا قرىء القرآن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ورد في فضل الرثاء وثواب إقامة العزاء على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يعارض ما دلّ على حرمة الغناء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فرض إطلاق أدلة المراثي فلا تقاوم أدلة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المؤيدات فهي مندفعة بأدنى تأمّل، إذ كيف يكون الغناء المحرّم معيناً على البكاء والتفجّع؟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السيرة قائمة على الغناء في بلاد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هذه السيرة ـ على فرض تحققها ـ مورد للاعتبار؟ وهل هي متصلة بزمان المعصومين؟ وكذا الكلام في ما ذكره من المؤيدات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الرابع وهو في حكم الآلات اللهوية فالذي يقال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قد ورد النهي عن استعمال آلات اللهو كالطبل والناي والطنبور والمزمار وغيرها، والاستماع إليها في أكثر من أربعين رواية كما في الوسائل والمستدرك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وتنقسم هذه الروايات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جواز استعمالها بعنوان عام شامل لكل الآلات اللهوية وهي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النهي عن اللهو والملاهي وهي عدة روايات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موثقة عنبسة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اللهو والغناء ينبت النفاق كما ينبت الماء الزرع</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حمران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ـ وهو طويل يتضمّن أخبار الملاحم ـ وقد جاء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 الملاهي قد ظهرت يمرّ بها لا يمنعها أحدٌ أحداً، ولا يجتري أحدٌ على منعها </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المقنع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واجتنب الملاهي واللعب بالخواتيم والأربعة عشر،وكلّ قمار، فإنّ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نهوا عن ذلك</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عبد الله بن علي، عن علي بن موسى،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ألهى عن ذكر الله فهو من الميسر</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 المراد بعبد الله هو عبد الله بن علي بن الحسين بن زيد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له نسخة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يرد فيه توثيق</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آدم شمت به إبليس وقابيل فاجتمعا في الأرض، فجعل إبليس وقابيل المعازف والملاهي </w:t>
      </w:r>
    </w:p>
    <w:p>
      <w:pPr>
        <w:pStyle w:val="BookText"/>
        <w:rPr/>
      </w:pPr>
      <w:r>
        <w:rPr>
          <w:rFonts w:ascii="IRNazanin" w:hAnsi="IRNazanin" w:eastAsia="IRNazanin"/>
          <w:color w:val="111111"/>
          <w:sz w:val="28"/>
          <w:sz w:val="28"/>
          <w:szCs w:val="28"/>
          <w:rtl w:val="true"/>
          <w:lang w:bidi="fa-IR"/>
        </w:rPr>
        <w:t xml:space="preserve">شماتة بآدم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ما كان في الأرض من هذا الضرب الذي يتلذذ به الناس فإنما هو من ذلك</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تدل على أنّ الملاهي من عمل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تحف العقول المعروفة الواردة في أقسام المعائش وقد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إنما حرّم الله الصناعة التي هي حرام كلّها التي يجيء منها الفساد محضاً نظير البرابط والمزامير والشطرنج وكلّ ملهوّ به</w:t>
      </w:r>
      <w:r>
        <w:rPr>
          <w:rStyle w:val="FootnoteAnchor"/>
          <w:rtl w:val="true"/>
        </w:rPr>
        <w:footnoteReference w:id="9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الصدوق في العيون بإسناده عن الفضل بن شاذان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في تعداد جملة من الكبائر، وقد جاء في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والمحاربة لأولياء الله والاشتغال بالملاهي والإصرار على الذنوب</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أصل زيد النرسي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المؤمن لفي شغل عن ذلك، شغله طلب الآخرة عن الملاهي ـ إلى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المؤمن عن جميع ذلك لفي شغل، ماله وللملاهي، فإنّ الملاهي تورث قساوة القلب، وتورث النفاق </w:t>
      </w:r>
      <w:r>
        <w:rPr>
          <w:rFonts w:eastAsia="IRNazanin" w:cs="IRNazanin"/>
          <w:color w:val="111111"/>
          <w:sz w:val="28"/>
          <w:szCs w:val="28"/>
          <w:rtl w:val="true"/>
          <w:lang w:bidi="fa-IR"/>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القطب الراوندي في لبّ اللباب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استمع إلى اللهو يذاب في أذنه الآنك</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 ذلك ما رواه الصدوق بإسناده عن حماد بن عمرو، وأنس بن محمد، عن أبيه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ثلاثة يقسين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اللهو، وطلب الصيد، وإتيان باب السلطان</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النهي عن المعازف وهي على ما في كتب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آلات اللهو يضرب بها، الواحد عَزْفٌ رواية عن العرب، وإذا أفرد المعزف بكسرالميم، فهو نوع من الطنابير يتخذه أهل اليمن كذا نقل عن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العزف اللعب بالمعازف وهي الدفوف وغيرها مما يضرب بها، والعزف كفلس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المعازف على غير قياس، والعازف اللاعب، وعزف عزفاً من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 بالمعازف</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فيها عدة روايات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حمران المتقدمة في الطائفة الأولى وقد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المعازف ظاهرة في الحرمين</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عبد الله بن عباس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أشراط الساعة إضاعة الصلوات واتّباع الشهوات والميل إلى الأهواء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ويستحسنون الكوبة والمعازف</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الديلمي في الإرشاد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في أمتي الخسف والقذف،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ظهرت المعازف والقينات وشربت الخمور</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روايته الأخرى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عملت أمتي خمس عشرة خصلة حلّ بهم البلاء ـ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واتخذوا المعازفوالقينات وشربوا </w:t>
      </w:r>
    </w:p>
    <w:p>
      <w:pPr>
        <w:pStyle w:val="BookText"/>
        <w:rPr/>
      </w:pPr>
      <w:r>
        <w:rPr>
          <w:rFonts w:ascii="Amiri" w:hAnsi="Amiri" w:eastAsia="Amiri" w:cs="Amiri"/>
          <w:color w:val="111111"/>
          <w:sz w:val="28"/>
          <w:sz w:val="28"/>
          <w:szCs w:val="28"/>
          <w:rtl w:val="true"/>
          <w:lang w:bidi="ar-SA"/>
        </w:rPr>
        <w:t>الخمور وكثر الزنا، فارتقبوا عند ذلك ريحاً حمراء وخسفاً أو مسخاً وظهور العدوّ عليكم، ثم لا تنصرون</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سماعة المتقدمة في الطائفة الأولى</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النهي عن الأوتار، وهي تطلق على جملة من آلات اللهو كالعود والطنبور والقيثار</w:t>
      </w:r>
      <w:r>
        <w:rPr>
          <w:rStyle w:val="FootnoteAnchor"/>
          <w:rtl w:val="true"/>
        </w:rPr>
        <w:footnoteReference w:id="975"/>
      </w:r>
      <w:r>
        <w:rPr>
          <w:rFonts w:ascii="Amiri" w:hAnsi="Amiri" w:eastAsia="Amiri" w:cs="Amiri"/>
          <w:color w:val="111111"/>
          <w:sz w:val="28"/>
          <w:sz w:val="28"/>
          <w:szCs w:val="28"/>
          <w:rtl w:val="true"/>
          <w:lang w:bidi="ar-SA"/>
        </w:rPr>
        <w:t>ونحوها من الآلات اللهوية ذات الأوتار، وقد وردت فيها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الأعمش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شرائع الدين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والكبائر محرمة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والمحاربة لأولياء الله، والملاهي التي تصدّ عن ذكر الله عزّوجلّ مكروهة كالغناء وضرب الأوتار، والإصرار على صغائر الذنوب</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والكراهة هنا إما بمعنى الحرمة وإما أنها محمولة على التقية فإنّ الغناء والإصرار على الذنوب مما لا إشكال في حرمتهما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 أبو الفتوح في تفسيره عن أبي أمامة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بعثني هدى ورحمة للعالمين،وأمرني أن أمحو المزامير والمعازف والأوتار والأوثان، وأمور الجاهلية ـ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آلات المزامير شراؤها وبيعها وثمنها والتجارة بها حرام</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صاحب الروضات عن رسالة قبائح الخمر للسيد الجليل الأمير صدر الدين الدشتكي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الأوتار من الكبائر</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ويؤيد هذه الروايات ما تقدّم في رواية سماعة حيث ورد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كان في الأرض من هذا الضرب الذي يتلذذ به الناس فإنما هو من ذلك</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معنى عام شامل لكل ما يكون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النهي عن استعمال واستماع الآلات اللهوية الخاصة وهي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إسحاق بن جرير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شيطاناً يقال له القفندر إذا ضرب في منزل الرجل أربعين صباحاً بالبربط ودخل الرجال، وضع ذلك الشيطان كل عضو منه على مثله من صاحب البيت، ثم نفخ فيه نفخة فلا يغار بعدها حتى تؤتى نساؤه فلا يغار</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أنهاكم عن الزفن والمزمار وعن الكوبات والكبرات</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أبي داود المسترق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 في بيته بربط أربعين يوماً سلط الله عليهم شيطاناً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القفندر فلا يبقى عضو من أعضائه إلاّ قعد عليه، فإذا كان كذلك نزع منه الحياء، ولم يبال ما قال ولا ما قيل فيه</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كليب الصيداوي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العيدان ينبت النفاق في القلب كما ينبت الماء الخضرة</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موسى بن حبيب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يقدّس الله أمّة فيها بربط يقعقع وناية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تفجع</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عبد الله بن أحمد بن عامر الطائي عن أبيه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الشامي أنه سأل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معنى هدير الحمام الراعية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على أهل المعازف والمزامير والعيدان</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مرفوعة السياري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السفلة،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يشرب الخمر ويضرب الطنبور</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نوف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نوف إياك أن تكون عشّاراً أو شاعراً أو شرطياً أو عرّيفاً أو صاحب عرطبة وهي الطنبور أو صاحب كوبة وهو الطبل، فإنّ نبي الله خرج ذات ليلة فنظر إلى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الساعة التي لا تردّ فيها دعوة إلاّ دعوة عرّيف، أو دعوة شاعر، أو دعوة عاشر أو شرطي أو صاحب عرطبة أو صاحب كوبة</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ورّام بن أبي فراس في كتابه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 الملائكة بيتاً فيه خمر أو دفّ أو طنبور أو نرد، ولا تستجاب دعاؤهم، وترفع عنهم البركة</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تحف العقول وقد تقدم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الله الصناعة التي هي حرام كلّها التي يجيء منها الفساد محضاً نظير البرابط والمزامير</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الحسين بن زيد 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المناهي،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اللعب بالنرد والشطرنج والكوبة والعرطبة </w:t>
      </w:r>
    </w:p>
    <w:p>
      <w:pPr>
        <w:pStyle w:val="BookText"/>
        <w:rPr/>
      </w:pPr>
      <w:r>
        <w:rPr>
          <w:rFonts w:ascii="Amiri" w:hAnsi="Amiri" w:eastAsia="Amiri" w:cs="Amiri"/>
          <w:color w:val="111111"/>
          <w:sz w:val="28"/>
          <w:sz w:val="28"/>
          <w:szCs w:val="28"/>
          <w:rtl w:val="true"/>
          <w:lang w:bidi="ar-SA"/>
        </w:rPr>
        <w:t>وهي الطنبور والعود، ونهى عن بيع النرد</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الأصبغ بن نباتة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لاينبغي أن يُسلّم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اليهود، والنصارى، وأصحاب النرد والشطرنج، وأصحاب الخمر والبربط والطنبور، والمتفكّهون بسب الأمهات، والشعراء</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القطب الراوندي في لبّ اللباب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حرّم الدف والكوبة والمزامير وما يلعب به</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الجعفريات بإسناده عن جعفر بن محمد عن آبائه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تقوم الساعة على قوم يشهدون من غير أن يستشهدوا، وعلى الذين يعملون عمل قوم لوط، وعلى قوم يضربون بالدفوف والمعازف</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 الكثيرة الناهية عن استعمال واستماع هذه الآلات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أكثر أسناد هذه الروايات وإن كان محل كلام إلاّ أننا أشرنا في مطلع هذا الفصل إلى الاكتفاء بدعوى التواتر عن البحث حول أسنادها، مع أنّه قد تقدمت بعض الروايات المعتبرة، كما أنّ كثيراً منها تكرر ذكره لاقتضاء المناسبة، وبناء على هذا فلا إشكال في حرمة استعمال واستماع جميع الآلات اللهوية سواء نصّ عليها في الروايات أم لا، وذلك لشمول روايات القسم الأول لجميع الآلات اللهوية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الخامس ففي حكم اللهو بالأفعال وهو الرقص</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 الرقص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تأدية حركات بجزء أو أكثر من أجزاء الجسم علىأيقاع ما، للتعبير عن شعور أو معان معينة</w:t>
      </w:r>
      <w:r>
        <w:rPr>
          <w:rStyle w:val="FootnoteAnchor"/>
          <w:rtl w:val="true"/>
        </w:rPr>
        <w:footnoteReference w:id="9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ملازم لقصد اللهو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ورد النهي عنه في الروايات تارة بنحو عام وأخرى بنحو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ورد من النحو الأول فكما تقدم في الموضع الرابع من النهي عن الملاهي واللهو واللعب وعن كل ما يشغل الإنسان عن ذكر الله وهو شامل للرقص بلا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ورد من النحو الثاني فقد جاء في موثّقة السكوني المتقدمة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أنهاكم عن الزفن والمزمار وعن الكوبات والكبرات</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والزفن هو الرقص واللعب</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ويؤيده رواية العوالي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نهى عن الضرب بالدف والرقص وعن اللعب كلّه، وعن حضوره وعن الاستماع إليه</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الدعائم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أنهى أمتي عن الزفن والمزمار وعن الكوبة والكبارات</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حرمة الرقص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أمران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الشهيد الثاني في المسالك</w:t>
      </w:r>
      <w:r>
        <w:rPr>
          <w:rStyle w:val="FootnoteAnchor"/>
          <w:rtl w:val="true"/>
        </w:rPr>
        <w:footnoteReference w:id="999"/>
      </w:r>
      <w:r>
        <w:rPr>
          <w:rFonts w:ascii="Amiri" w:hAnsi="Amiri" w:eastAsia="Amiri" w:cs="Amiri"/>
          <w:color w:val="111111"/>
          <w:sz w:val="28"/>
          <w:sz w:val="28"/>
          <w:szCs w:val="28"/>
          <w:rtl w:val="true"/>
          <w:lang w:bidi="ar-SA"/>
        </w:rPr>
        <w:t>والروضة</w:t>
      </w:r>
      <w:r>
        <w:rPr>
          <w:rStyle w:val="FootnoteAnchor"/>
          <w:rtl w:val="true"/>
        </w:rPr>
        <w:footnoteReference w:id="1000"/>
      </w:r>
      <w:r>
        <w:rPr>
          <w:rFonts w:ascii="Amiri" w:hAnsi="Amiri" w:eastAsia="Amiri" w:cs="Amiri"/>
          <w:color w:val="111111"/>
          <w:sz w:val="28"/>
          <w:sz w:val="28"/>
          <w:szCs w:val="28"/>
          <w:rtl w:val="true"/>
          <w:lang w:bidi="ar-SA"/>
        </w:rPr>
        <w:t>استثناء الضرب بالدف ـ في الأعراس ـ إذا لم يكن فيه صُنَج وهي حلقات من نحاس تجعل في أطراف الدف، ونسب إلى الأردبيلي في شرح الإرشاد</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والسبزواري في الكفاية</w:t>
      </w:r>
      <w:r>
        <w:rPr>
          <w:rStyle w:val="FootnoteAnchor"/>
          <w:rtl w:val="true"/>
        </w:rPr>
        <w:footnoteReference w:id="1002"/>
      </w:r>
      <w:r>
        <w:rPr>
          <w:rFonts w:ascii="Amiri" w:hAnsi="Amiri" w:eastAsia="Amiri" w:cs="Amiri"/>
          <w:color w:val="111111"/>
          <w:sz w:val="28"/>
          <w:sz w:val="28"/>
          <w:szCs w:val="28"/>
          <w:rtl w:val="true"/>
          <w:lang w:bidi="ar-SA"/>
        </w:rPr>
        <w:t>وجماعة آخرين، وقد نقل مضافاً إلى</w:t>
      </w:r>
    </w:p>
    <w:p>
      <w:pPr>
        <w:pStyle w:val="BookText"/>
        <w:rPr/>
      </w:pPr>
      <w:r>
        <w:rPr>
          <w:rFonts w:ascii="Amiri" w:hAnsi="Amiri" w:eastAsia="Amiri" w:cs="Amiri"/>
          <w:color w:val="111111"/>
          <w:sz w:val="28"/>
          <w:sz w:val="28"/>
          <w:szCs w:val="28"/>
          <w:rtl w:val="true"/>
          <w:lang w:bidi="ar-SA"/>
        </w:rPr>
        <w:t>الشهرة دعوى الوفاق على جوازه في النكاح والعرس كما عن الخلاف</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الاستدلال على ذلك بعدة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 في أماليه بإسناده عن صنعي بن عبد الرحمن بن محمد بن علي بن هيّار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عن جده علي بن هيار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اجتاز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 علي بن هيّار فسمع صوت دفّ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هيّار عرس بأهله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هذا للنكاح لا السفاح،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اشتدوا النكاح وأعلنوه بينكم واضربوا عليه بالدف فجرت السنة في ذلك للنكاح</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الجعفريات بإسناده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النكاح والسفاح ضرب الدف</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السيد الراوندي في نوادره</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عوالي اللئالي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نهى عن الضرب بالدف والرقص وعن اللعب كله وعن حضوره وعن الاستماع إليه، ولم يجز ضرب الدف إلاّ في الإملاك والدخول بشرط أن يكون في البكر ولا يدخل الرجال عليهنّ</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نقلنا صدر هذه الرواية فيما تقدم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الدعائم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مرّ ببني زريق فسمع عزفاً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نكح 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كمل دينه هذا النكاح لا السفاح، ولا </w:t>
      </w:r>
    </w:p>
    <w:p>
      <w:pPr>
        <w:pStyle w:val="BookText"/>
        <w:rPr/>
      </w:pPr>
      <w:r>
        <w:rPr>
          <w:rFonts w:ascii="Amiri" w:hAnsi="Amiri" w:eastAsia="Amiri" w:cs="Amiri"/>
          <w:color w:val="111111"/>
          <w:sz w:val="28"/>
          <w:sz w:val="28"/>
          <w:szCs w:val="28"/>
          <w:rtl w:val="true"/>
          <w:lang w:bidi="ar-SA"/>
        </w:rPr>
        <w:t>نكاح في  السر حتى يرى دخان أو يسمع حسّ دف،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ما بين النكاح والسفاح ضرب الدفّ</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عنه أيضاً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الليلة التي بنى فيها علي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الدف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هذهأسماء بنت عميس تضرب الدف أرادت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لئلا ترى أنه لما ماتت أمها لم تجد من يقوم لها فرفع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إلى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أدخل على أسماء بنت عميس السرور كما فرحت ابنتي، ثم دعا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أسماء ما تقولون إذا نقرتن الدفّ؟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ندري ما نقول في ذلك، وإنما أردت فرحها،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تقولوا هجراً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وهذراً</w:t>
      </w:r>
      <w:r>
        <w:rPr>
          <w:rFonts w:eastAsia="IRNazanin" w:cs="IRNazanin"/>
          <w:color w:val="111111"/>
          <w:sz w:val="28"/>
          <w:szCs w:val="28"/>
          <w:rtl w:val="true"/>
          <w:lang w:bidi="fa-IR"/>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أرسله العلاّمة في التذكرة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جواز ذلك في العرس</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الروايات التي يمكن أن يستدل بها على الجواز وكلّها ضعيفة الأسناد، فإن قلنا بانجبارها بعمل المشهور فهو، وإلاّ فلا مناص عن الأخذ بالعمومات المتقدمة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عن جماعة من الفقهاء منهم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فيما نسب إليه ـ جواز رقص الزوجة لزوجها وبالعكس، وكذا جواز رقص الرجال للرجال والنساء للنساء، ولا نعرف لهذا الاستثناء مستنداً، فإنّ ما ورد من النهي عن الرقص والزفن ـ كما تقدم ـ كان مطلقاً وهو يشمل المذكورين، وهم أدرى بمستند الحكم، والمسألة تحتاج إلى فحص وتتبع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إنّ هاهنا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إنسان أو خاف على نفسه جاز له الغناء أو الاستماع إليه أو استعمال أو ممارسة الآلات والأفعال اللهوية، بل يجب بمقتضى الأدلة العامةالدالة على وجوب التقية وحرمة إلقاء النفس في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الخوف راجعاً إلى العرض فالكلام فيه هو ما تقدم في مسألة دوران الأمر بين أحد الضررين، وقد مرّ البحث عنه مفصّلاً في الجزء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جواز ارتكاب هذه الأمور في التقية المداراتية، فإنّ أدلتها مختصّة بغير ارتكاب الحرام من الواجبات والمستحبات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w:t>
      </w:r>
    </w:p>
    <w:p>
      <w:pPr>
        <w:pStyle w:val="BookText"/>
        <w:rPr/>
      </w:pPr>
      <w:r>
        <w:rPr>
          <w:rFonts w:ascii="Amiri" w:hAnsi="Amiri" w:eastAsia="Amiri" w:cs="Amiri"/>
          <w:color w:val="111111"/>
          <w:sz w:val="28"/>
          <w:sz w:val="28"/>
          <w:szCs w:val="28"/>
          <w:rtl w:val="true"/>
          <w:lang w:bidi="ar-SA"/>
        </w:rPr>
        <w:t>التقية في السماع فهل يجوز له الاستماع أو لا؟ والظاهر عدم الجواز، لتمكنه من إشغال قلبه بأمور أخرى بحيث لا يضطرّ إلى الاستماع نظير ما تقدم في الجزء الثاني في مسألة أخذ الجائزة من السلطان الجائر مع علمه بأنها غصب، فله أخذها ولكن لا يجوز له تملّكها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مضطراً في حفظ نفسه إلى فعل أحد هذه الأمور فلا إشكال في جوازه بل وجوبه، وأما إذا كان اضطراره لجهة أخرى كتخفيف ألمه أو تهدئة أعصابه أو نحوهما فهل يجوز له ذلك أو لا؟ وهذا يبتني على مسألة حرمة الإضرار بالنفس الذي لا يوجب الهلكة ولا يعد منها، وعدم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يكون من قبيل دوران الأمر بين المحذورين وقد تقدّم حكمه في مسألة الضرر، وأما على الثاني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حول التقيّة في الغناء وبه يتم البحث حول التقية في المكاسب</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148" w:name="pg16406_258688"/>
    </w:p>
    <w:p>
      <w:pPr>
        <w:pStyle w:val="Heading2"/>
        <w:numPr>
          <w:ilvl w:val="1"/>
          <w:numId w:val="1"/>
        </w:numPr>
        <w:rPr/>
      </w:pPr>
      <w:bookmarkStart w:id="149" w:name="__RefHeading___Toc7246555_1280447820"/>
      <w:bookmarkStart w:id="150" w:name="_Toc48"/>
      <w:bookmarkEnd w:id="148"/>
      <w:bookmarkEnd w:id="149"/>
      <w:r>
        <w:rPr>
          <w:rtl w:val="true"/>
        </w:rPr>
        <w:t>الفصل الثالث عشر</w:t>
      </w:r>
      <w:r>
        <w:rPr>
          <w:rtl w:val="true"/>
        </w:rPr>
        <w:t xml:space="preserve">: </w:t>
      </w:r>
      <w:r>
        <w:rPr/>
        <w:t>11</w:t>
      </w:r>
      <w:r>
        <w:rPr>
          <w:rtl w:val="true"/>
        </w:rPr>
        <w:t xml:space="preserve"> </w:t>
      </w:r>
      <w:r>
        <w:rPr>
          <w:rtl w:val="true"/>
        </w:rPr>
        <w:t>ـ التقية في أحكام الذباحة</w:t>
      </w:r>
      <w:bookmarkEnd w:id="150"/>
    </w:p>
    <w:p>
      <w:pPr>
        <w:pStyle w:val="Heading3"/>
        <w:numPr>
          <w:ilvl w:val="2"/>
          <w:numId w:val="1"/>
        </w:numPr>
        <w:rPr/>
      </w:pPr>
      <w:bookmarkStart w:id="151" w:name="__RefHeading___Toc7246557_1280447820"/>
      <w:bookmarkStart w:id="152" w:name="_Toc49"/>
      <w:bookmarkEnd w:id="151"/>
      <w:r>
        <w:rPr>
          <w:rtl w:val="true"/>
        </w:rPr>
        <w:t>اشارة</w:t>
      </w:r>
      <w:bookmarkEnd w:id="1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أهمية هذه المسألة ومدخليتها في كثير من القضايا الشرعية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تقسيم البحث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الاتفاق على حرمة ذبيحة الكافر غير الكتابي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الاختلاف في حلّية ذبائح اليهود والنصارى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استعراض الأدلّة ونقدها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التحقيق في اشتراط إسلام الذابح وتسميته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اشتراط استقبال القبلة حالة الذبح واستثناء الناسي والجاهل والمضطر ومن لا يعتقد الوجوب وبيان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يشترط أن يكون الذبح بالحديد؟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التقية في الذباحة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ما يحلّ من حيوان البحر وكيفية صيده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سوق المسلمين وعسر تمييز ما هو من المسلمين من غيرهم وأهمية المسألة والبحث التفصيلي فيها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التحقيق في ما يقتضيه الأصل ومناقشة بعض الأعلام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حول أصالة عدم التذكية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استعراض النصوص في حلّية ما يباع في سوق المسلمين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سوق المسلمين ليس أمارة مستقلة بل هو كاشف عن الأمارة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فروع وقع الخلاف فيها وبيان أقسام السوق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16406_258690"/>
      <w:bookmarkStart w:id="154" w:name="pg16406_258690"/>
      <w:bookmarkEnd w:id="154"/>
    </w:p>
    <w:p>
      <w:pPr>
        <w:pStyle w:val="Heading3"/>
        <w:numPr>
          <w:ilvl w:val="2"/>
          <w:numId w:val="1"/>
        </w:numPr>
        <w:rPr/>
      </w:pPr>
      <w:bookmarkStart w:id="155" w:name="pg16406_258690"/>
      <w:bookmarkStart w:id="156" w:name="__RefHeading___Toc7246559_1280447820"/>
      <w:bookmarkStart w:id="157" w:name="_Toc50"/>
      <w:bookmarkEnd w:id="155"/>
      <w:bookmarkEnd w:id="156"/>
      <w:r>
        <w:rPr>
          <w:rtl w:val="true"/>
        </w:rPr>
        <w:t>التقية في أحكام الذباحة</w:t>
      </w:r>
      <w:bookmarkEnd w:id="157"/>
    </w:p>
    <w:p>
      <w:pPr>
        <w:pStyle w:val="Heading4"/>
        <w:numPr>
          <w:ilvl w:val="3"/>
          <w:numId w:val="1"/>
        </w:numPr>
        <w:rPr/>
      </w:pPr>
      <w:bookmarkStart w:id="158" w:name="__RefHeading___Toc7246561_1280447820"/>
      <w:bookmarkStart w:id="159" w:name="_Toc51"/>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إنّ من المسائل المهمة التي يكثر الابتلاء بها ولا سيما في زماننا، حيث التقدم العلمي، والتطور في وسائل الإنتاج، وسهولة الاتصال بين أطراف الأرض، واختلاط البشر وتبادل المنتجات، مسألة لحوم الذبائح من حيث الحلية والطهارة إذ الملاحظ انتشار اللحوم المجلوبة من بلاد الكفر في أسواق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حلية أكل اللحوم تتوقف على شرائط معيّنة حددها الشارع المقدس، ونظراً لوقوع الاختلاف بين العامة والخاصة في أحكام الذباحة فلابدّ من البحث في هذه المسألة بشيء من التفصيل، بغية التوصّل إلى معرفة نظر الشارع وأحكامه الأولية والثانوية في هذه المسألة المهمة التي تترتب عليها كثير من الأحكام الشرعية والأخلاقية، وذلك من خلال النصوص والآثار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المسألة وإن لم تكن من المسائل المستحدثة إلاّ أنها لم تكن بهذا النحو من التعقيد والإبهام كما هي عليه اليوم، وقد وعدنا ـ في  الجزء الأول ـ بالبحث حولها في الموضع المناسب من هذا الكتاب وها نحن نفي بما وعدنا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أركان الذباحة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الذابح، وآلة الذبح، وكيفيته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الركن الأول فالكلام فيه في موضعين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تذكية حيوان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تذكية حيوان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فالبحث فيه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ذبيحة المشرك والكافر غير الكتابي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ذبيحة الكافر الكتابي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ذبيحة المجوسي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ذبيحة المرتدّ والناصبي والغالي وأمثالهم كالمشبّهة ونحوهم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ذبيحة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بين المسلمين من الخاصة والعامة في حرمة ذبيحة الكافر غير الكتابي من المشركين، وعبدة الأوثان، ومن لا يعتقدون بالمبدأ، وإن توفّرت سائر الشرائط كالتسمية والاستقبال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أجمع المسلمون قاطبة على ذلك</w:t>
      </w:r>
      <w:r>
        <w:rPr>
          <w:rStyle w:val="FootnoteAnchor"/>
          <w:rtl w:val="true"/>
        </w:rPr>
        <w:footnoteReference w:id="1011"/>
      </w:r>
      <w:r>
        <w:rPr>
          <w:rFonts w:ascii="Amiri" w:hAnsi="Amiri" w:eastAsia="Amiri" w:cs="Amiri"/>
          <w:color w:val="111111"/>
          <w:sz w:val="28"/>
          <w:sz w:val="28"/>
          <w:szCs w:val="28"/>
          <w:rtl w:val="true"/>
          <w:lang w:bidi="ar-SA"/>
        </w:rPr>
        <w:t>، كما أنّ الظاهر من الآيات والمفهوم من الروايات الكثيرة الدالة على حلية ذبائح أهل الكتاب على ما سيأتي في الجهة الثانية، هو حرمة ذبائح من عداهم من الكفار كمشركي العرب ونصاراهم وغيرهم ممن لا يدين بدين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الغريب ما ذهب إليه صاحب المباني من القول بحلية ذبيحة الكافر ولو كان مشركاً مع التسمية</w:t>
      </w:r>
      <w:r>
        <w:rPr>
          <w:rStyle w:val="FootnoteAnchor"/>
          <w:rtl w:val="true"/>
        </w:rPr>
        <w:footnoteReference w:id="1012"/>
      </w:r>
      <w:r>
        <w:rPr>
          <w:rFonts w:ascii="Amiri" w:hAnsi="Amiri" w:eastAsia="Amiri" w:cs="Amiri"/>
          <w:color w:val="111111"/>
          <w:sz w:val="28"/>
          <w:sz w:val="28"/>
          <w:szCs w:val="28"/>
          <w:rtl w:val="true"/>
          <w:lang w:bidi="ar-SA"/>
        </w:rPr>
        <w:t>، وذلك لمخالفته إجماع الأمة، ولم نقف على قائل بالحلية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لو ذكر اسمَ الله الوثني أو المجوسي لم يحلّ أكله بلا خلاف</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المولى النراقي في 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إجماع المسلمين في عبارات المتقدمين والمتأخرين، بل هو إجماع محقق فهو الحجة فيه</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الجزيري في الفقه على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الصائد فيشترط له شروط،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مسلماً أو كتابياً، فلا يحلّ صيد المجوسي والوثني والمرتدّ وكلّ من لا يدين بكتاب كما لا تحلّ ذبيحتهم </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استدلال صاحب المباني بصحيحة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ذبيحة المشرك إذا ذكر اسم الله عليها وأنت تسمع، ولا تأكل ذبيحة نصارى العرب</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شاذّة، وهي مخالفة للكتاب والسنة والإجماع، ولابدّ من طرحها أو ردّ علمها إلى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الجهة مما لا إشكال في وضوح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حكم ذبائح أهل الكتاب من اليهود والنصارى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وقع الخلاف فيها، والمشهور ـ عند الخاصة ـ شهرة عظيمة هو عدم الحليةبل ادّعي الإجماع عليه من زمن الصدوقين وقبلهما، بل كاد أن يكون من ضروريات المذهب إلى زماننا</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ونسب الخلاف إلى ابن أبي عقيل، وابن الجنيد</w:t>
      </w:r>
      <w:r>
        <w:rPr>
          <w:rStyle w:val="FootnoteAnchor"/>
          <w:rtl w:val="true"/>
        </w:rPr>
        <w:footnoteReference w:id="1018"/>
      </w:r>
      <w:r>
        <w:rPr>
          <w:rFonts w:ascii="Amiri" w:hAnsi="Amiri" w:eastAsia="Amiri" w:cs="Amiri"/>
          <w:color w:val="111111"/>
          <w:sz w:val="28"/>
          <w:sz w:val="28"/>
          <w:szCs w:val="28"/>
          <w:rtl w:val="true"/>
          <w:lang w:bidi="ar-SA"/>
        </w:rPr>
        <w:t>، وذهب الصدوق إلى القول بالحلّية مع سماع التسمية من الذابح</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واختار القول بالحلية ـ من المتأخرين ـ الشهيد الثاني في المسالك</w:t>
      </w:r>
      <w:r>
        <w:rPr>
          <w:rStyle w:val="FootnoteAnchor"/>
          <w:rtl w:val="true"/>
        </w:rPr>
        <w:footnoteReference w:id="102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ومال إليه صاحب الرياض</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العامة فقد اتفقت كلمتهم على القول بالحلية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في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انفردت الإمامية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ذبائح أهل الكتاب محرّمة، لا يحلّ أكلها ولا التصرّف فيها، لأنّ الذكاة ما لحقتها، وكذلك صيدهم وما يصيدونه بكلب أو غيره، وخالف باقي الفقهاء في ذلك</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ذبائح أهل الكتاب ـ اليهود والنصارى ـ عند المحصّلين من أصحابنا وقال شذاذ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يجوز أكله، وخالف جميع الفقهاء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يخالف فيها من لا يعتد بقوله من الطائفة</w:t>
      </w:r>
      <w:r>
        <w:rPr>
          <w:rStyle w:val="FootnoteAnchor"/>
          <w:rtl w:val="true"/>
        </w:rPr>
        <w:footnoteReference w:id="10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حزم في 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ذبحه أو نحره يهودي أو نصراني أو مجوسي نساؤهم أو رجالهم فهو حلال لنا، وشحومها حلال لنا إذا ذكروا اسم الله عليه، ولو نحر اليهودي بعيراً أو أرنباً حلّ أكله، ولا نبالي ما حرم عليهم في التوراة وما لم يحرم، 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أكل شحوم ما ذبحه اليهودي ولا ما ذبحوه مما لا يستحلّونه، وهذا قول في غاية الفساد لأنّه خلاف القرآن والسنن والمعقول</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وقولنا هو قول سفيان الثوري، والأوزاعي، والليث بن سعيد، وأبي حنيفة والشافعي، وأبي سليمان، وأحمد، وإسحاق، وأصحابهم</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قدامة في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 أهل العلم على إباحة ذبائح أهل الكتاب،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وَطَعَامُ الَّذِينَ أُوتُوا الْكِتَابَ حِلٌّ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ذبائحهم،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طعامهم ذبائحهم، وكذلك قال مجاهد، وقتادة، </w:t>
      </w:r>
      <w:bookmarkStart w:id="160" w:name="pg16406_258694"/>
    </w:p>
    <w:p>
      <w:pPr>
        <w:pStyle w:val="BookText"/>
        <w:rPr/>
      </w:pPr>
      <w:bookmarkEnd w:id="160"/>
      <w:r>
        <w:rPr>
          <w:rFonts w:ascii="Amiri" w:hAnsi="Amiri" w:eastAsia="Amiri" w:cs="Amiri"/>
          <w:color w:val="111111"/>
          <w:sz w:val="28"/>
          <w:sz w:val="28"/>
          <w:szCs w:val="28"/>
          <w:rtl w:val="true"/>
          <w:lang w:bidi="ar-SA"/>
        </w:rPr>
        <w:t xml:space="preserve">وروي معناه عن ابن مسعود، وأكثر أهل العلم يرون إباحة صيدهم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 أحداً حرّم صيد أهل الكتاب إلاّ مالكاً أباح ذبائحهم وحرّم صيدهم</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7246563_1280447820"/>
      <w:bookmarkStart w:id="162" w:name="_Toc52"/>
      <w:bookmarkEnd w:id="161"/>
      <w:r>
        <w:rPr>
          <w:rtl w:val="true"/>
        </w:rPr>
        <w:t>أدلة الأقوال</w:t>
      </w:r>
      <w:r>
        <w:rPr>
          <w:rtl w:val="true"/>
        </w:rPr>
        <w:t>:</w:t>
      </w:r>
      <w:bookmarkEnd w:id="162"/>
    </w:p>
    <w:p>
      <w:pPr>
        <w:pStyle w:val="BookText"/>
        <w:rPr/>
      </w:pPr>
      <w:r>
        <w:rPr>
          <w:rFonts w:ascii="Amiri" w:hAnsi="Amiri" w:eastAsia="Amiri" w:cs="Amiri"/>
          <w:color w:val="111111"/>
          <w:sz w:val="28"/>
          <w:sz w:val="28"/>
          <w:szCs w:val="28"/>
          <w:rtl w:val="true"/>
          <w:lang w:bidi="ar-SA"/>
        </w:rPr>
        <w:t>استدلّ الخاصة للقول المشهور ـ مضافاً إلى الأصل حيث إنّ المستفاد من الأدلة حرمة أكل الحيوان، وأنه بمنزلة الميتة إلاّ مع التذكية، ولابدّ من إحرازها وأنّ كل مورد شك في تحقّق التذكية وعدمها فمقتضى الاستصحاب هو العدمفيكون مشمولاً لأدلّة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الأصل قد تسالم عليه الفقهاء وإن اختلفوا في الحكم بالنجاسة وعدمها ـ بدليلين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واستدل منه بآيتين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مِمَّا لَمْ يُذْكَرْ اسْمُ اللَّهِ عَلَيْهِ</w:t>
      </w:r>
      <w:r>
        <w:rPr>
          <w:rFonts w:eastAsia="Amiri" w:cs="Amiri" w:ascii="Amiri" w:hAnsi="Amiri"/>
          <w:color w:val="111111"/>
          <w:sz w:val="28"/>
          <w:szCs w:val="28"/>
          <w:rtl w:val="true"/>
          <w:lang w:bidi="ar-SA"/>
        </w:rPr>
        <w:t>»</w:t>
      </w:r>
      <w:r>
        <w:rPr>
          <w:rStyle w:val="FootnoteAnchor"/>
          <w:rtl w:val="true"/>
        </w:rPr>
        <w:footnoteReference w:id="1027"/>
      </w:r>
      <w:r>
        <w:rPr>
          <w:rFonts w:ascii="IRNazanin" w:hAnsi="IRNazanin" w:eastAsia="IRNazanin"/>
          <w:color w:val="111111"/>
          <w:sz w:val="28"/>
          <w:sz w:val="28"/>
          <w:szCs w:val="28"/>
          <w:rtl w:val="true"/>
          <w:lang w:bidi="fa-IR"/>
        </w:rPr>
        <w:t>حيث اعتبر في جواز الأكل من لحم الذبيحة وإباحته، ذكر الله تعالى وتسميته حين الذبح أو النحر، وهو لا يتحقّق من الكتابي لأنه إما لا يعتبر ذلك فلا يذكر ولا يسمّي، وإما لا يعتقد بذلك اعتقاداً صحيحاً، وإن ذكر وسمّى فهو بمنزلة عدم الذكر، لأنه ذكر من غير قصد، والمنصرف من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يُذْكَرْ اسْمُ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تحقق التسمية على النحو الصحيح ممن يعتقد بنية صادقة، وقد ورد في بعض الروايات استدلال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بالآية كما في معتبرة شعيب العقرقوفي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وأناس من أهل الجبل يسألونه عن ذبائح أهل الكتاب، فقال لهم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سمعتم ما قال الله عزوجل في كتابه فقالوا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أن تخبرنا،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تأكلوها </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سمعتم ما قال الله عزوجل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هذه 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أورد على هذا الاستدلال بوجهين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مطلقة، والمعتبر فيها هو مجرّد ذكر الله تعالى سواء صدرت التسمية من مسلم أو غيره، فالتقييد بالمسلم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في الآية الأخرى،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أُحِلَّ لَكُمْ الطَّيِّبَاتُ وَطَعَامُ الَّذِينَ أُوتُوا الْكِتَابَ حِلٌّ لَكُمْ وَطَعَامُكُمْ حِلٌّ لَهُمْ</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قال الرازي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بالطعام هاهنا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الذبائح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هو الخبز والفاكهة وما لا يحتاج فيه إلى الذكاة، وهو منقول عن بعض أئمة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جميع المطعومات والأكثرون على القول الأول رجّحوا ذلك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الذبائح هي التي تصير طعاماً بفعل الذابح فحمل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وَطَعَامُ الَّذِينَ 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الذبائح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سوى الذبائح فهي محلّلة قبل أن كانت لأهل الكتاب، وبعد أن صارت لهم، فلا يبقى لتخصيصها بأهل الكتاب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 هذه الآية في بيان الصيد والذبائح فحمل هذه الآية على الذبائح أولى</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وأضاف صاحب المنار ـ كما نقله في الميزان ـ وجوهاً أخرى، أهمها وجهان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حصر الطعام بغير الذبائح أي بالحبوبات وأشباهها مما يخالف </w:t>
      </w:r>
    </w:p>
    <w:p>
      <w:pPr>
        <w:pStyle w:val="BookText"/>
        <w:rPr/>
      </w:pPr>
      <w:r>
        <w:rPr>
          <w:rFonts w:ascii="Amiri" w:hAnsi="Amiri" w:eastAsia="Amiri" w:cs="Amiri"/>
          <w:color w:val="111111"/>
          <w:sz w:val="28"/>
          <w:sz w:val="28"/>
          <w:szCs w:val="28"/>
          <w:rtl w:val="true"/>
          <w:lang w:bidi="ar-SA"/>
        </w:rPr>
        <w:t>عرف القرآن في استعمال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هو الغالب في لغة القرآن فقد قال الله تعالى في هذه السورة ـ أي سورة المائدة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صَيْدُ الْبَحْرِ وَطَعَامُهُ مَتَاعاً لَكُمْ وَلِلسَّيَّارَةِ</w:t>
      </w:r>
      <w:r>
        <w:rPr>
          <w:rFonts w:eastAsia="Amiri" w:cs="Amiri" w:ascii="Amiri" w:hAnsi="Amiri"/>
          <w:color w:val="111111"/>
          <w:sz w:val="28"/>
          <w:szCs w:val="28"/>
          <w:rtl w:val="true"/>
          <w:lang w:bidi="ar-SA"/>
        </w:rPr>
        <w:t>»</w:t>
      </w:r>
      <w:r>
        <w:rPr>
          <w:rStyle w:val="FootnoteAnchor"/>
          <w:rtl w:val="true"/>
        </w:rPr>
        <w:footnoteReference w:id="1031"/>
      </w:r>
      <w:r>
        <w:rPr>
          <w:rFonts w:ascii="Amiri" w:hAnsi="Amiri" w:eastAsia="Amiri" w:cs="Amiri"/>
          <w:color w:val="111111"/>
          <w:sz w:val="28"/>
          <w:sz w:val="28"/>
          <w:szCs w:val="28"/>
          <w:rtl w:val="true"/>
          <w:lang w:bidi="ar-SA"/>
        </w:rPr>
        <w:t>ولا يقول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الطعام من صيد البحر هو البُرّ أو الحبوب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الطَّعَامِ كَانَ حِلاًّ لِبَنِي إِسْرَائِيلَ إِلاَّ مَا حَرَّمَ إِسْرَائِيلُ عَلَى نَفْسِهِ</w:t>
      </w:r>
      <w:r>
        <w:rPr>
          <w:rFonts w:eastAsia="Amiri" w:cs="Amiri" w:ascii="Amiri" w:hAnsi="Amiri"/>
          <w:color w:val="111111"/>
          <w:sz w:val="28"/>
          <w:szCs w:val="28"/>
          <w:rtl w:val="true"/>
          <w:lang w:bidi="ar-SA"/>
        </w:rPr>
        <w:t>»</w:t>
      </w:r>
      <w:r>
        <w:rPr>
          <w:rStyle w:val="FootnoteAnchor"/>
          <w:rtl w:val="true"/>
        </w:rPr>
        <w:footnoteReference w:id="1032"/>
      </w:r>
      <w:r>
        <w:rPr>
          <w:rFonts w:ascii="Amiri" w:hAnsi="Amiri" w:eastAsia="Amiri" w:cs="Amiri"/>
          <w:color w:val="111111"/>
          <w:sz w:val="28"/>
          <w:sz w:val="28"/>
          <w:szCs w:val="28"/>
          <w:rtl w:val="true"/>
          <w:lang w:bidi="ar-SA"/>
        </w:rPr>
        <w:t>، ولم يقل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الطعام هنا البُرّ أو الحبّ مطلقاً، إذ لم يحرم شيء منه على بني إسرائيل لا قبل التوراة ولا بعدها، فالطعام في الأصل كل ما يطعم أي يذاق أو يؤكل، قال تعالى في ماء النهر حكاية عن طالوت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شَرِبَ مِنْهُ فَلَيْسَ مِنِّي وَمَنْ لَمْ يَطْعَمْهُ فَإِنَّهُ مِنِّي</w:t>
      </w:r>
      <w:r>
        <w:rPr>
          <w:rFonts w:eastAsia="Amiri" w:cs="Amiri" w:ascii="Amiri" w:hAnsi="Amiri"/>
          <w:color w:val="111111"/>
          <w:sz w:val="28"/>
          <w:szCs w:val="28"/>
          <w:rtl w:val="true"/>
          <w:lang w:bidi="ar-SA"/>
        </w:rPr>
        <w:t>»</w:t>
      </w:r>
      <w:r>
        <w:rPr>
          <w:rStyle w:val="FootnoteAnchor"/>
          <w:rtl w:val="true"/>
        </w:rPr>
        <w:footnoteReference w:id="103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طَعِمْتُمْ فَانْتَشِرُوا</w:t>
      </w:r>
      <w:r>
        <w:rPr>
          <w:rFonts w:eastAsia="Amiri" w:cs="Amiri" w:ascii="Amiri" w:hAnsi="Amiri"/>
          <w:color w:val="111111"/>
          <w:sz w:val="28"/>
          <w:szCs w:val="28"/>
          <w:rtl w:val="true"/>
          <w:lang w:bidi="ar-SA"/>
        </w:rPr>
        <w:t>»</w:t>
      </w:r>
      <w:r>
        <w:rPr>
          <w:rStyle w:val="FootnoteAnchor"/>
          <w:rtl w:val="true"/>
        </w:rPr>
        <w:footnoteReference w:id="1034"/>
      </w:r>
      <w:r>
        <w:rPr>
          <w:rFonts w:ascii="Amiri" w:hAnsi="Amiri" w:eastAsia="Amiri" w:cs="Amiri"/>
          <w:color w:val="111111"/>
          <w:sz w:val="28"/>
          <w:sz w:val="28"/>
          <w:szCs w:val="28"/>
          <w:rtl w:val="true"/>
          <w:lang w:bidi="ar-SA"/>
        </w:rPr>
        <w:t>أي أكلتم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الحبّ مظنّة للتحليل والتحريم، وإنما اللحم هو الذي يعرض ذلك لوصف حسّي كموت الحيوان حتف أنفه، أو معنوي كالتقرّب به إلى غير الله، ولذلك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 مُحَرَّماً عَلَى طَاعِمٍ يَطْعَمُهُ إِلاَّ أَنْ يَكُونَ مَيْتَةً أَوْ دَماً مَسْفُوحاً</w:t>
      </w:r>
      <w:r>
        <w:rPr>
          <w:rFonts w:eastAsia="Amiri" w:cs="Amiri" w:ascii="Amiri" w:hAnsi="Amiri"/>
          <w:color w:val="111111"/>
          <w:sz w:val="28"/>
          <w:szCs w:val="28"/>
          <w:rtl w:val="true"/>
          <w:lang w:bidi="ar-SA"/>
        </w:rPr>
        <w:t>»</w:t>
      </w:r>
      <w:r>
        <w:rPr>
          <w:rStyle w:val="FootnoteAnchor"/>
          <w:rtl w:val="true"/>
        </w:rPr>
        <w:footnoteReference w:id="10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وكله يتعلّق بالحيوان وهو نصّ في حصر التحريم فيما ذكر، فتحريم ما عداه يحتاج إلى نصّ</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من هذه الوجوه أنّ المراد من الطعام هو الذبائح، وحكمها الحلّية، ومقتضى الجمع بينها وبين الآية الأولى أنهم إذا ذكروا اسم الله على </w:t>
      </w:r>
    </w:p>
    <w:p>
      <w:pPr>
        <w:pStyle w:val="BookText"/>
        <w:rPr/>
      </w:pPr>
      <w:r>
        <w:rPr>
          <w:rFonts w:ascii="Amiri" w:hAnsi="Amiri" w:eastAsia="Amiri" w:cs="Amiri"/>
          <w:color w:val="111111"/>
          <w:sz w:val="28"/>
          <w:sz w:val="28"/>
          <w:szCs w:val="28"/>
          <w:rtl w:val="true"/>
          <w:lang w:bidi="ar-SA"/>
        </w:rPr>
        <w:t>الذبيحة حلّ 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الوجهين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منصرفة إلى اعتبار التسمية في الحلّية والإتيان بها عن اعتقاد وقصد صحيحين، والقصد الفاسد لا أثر له، ولذلك لو سمّى بغير قصد الذبح فلا تحلّ الذبيحة، كما لا تحلّ ذبيحة المشرك أو المشبّه أو المجسّم ونحوهم وإن ذكروا اسم الله على الذبيحة لعدم تأتي القصد الصحيح منهم، ومع هذا الانصراف فلا يصحّ التمسّك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ففيه أنّ جميع تلك الوجوه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بطلان الوجه الأول فلأنّ الطعام كما يصير بفعل الذابح كذلك يصير بفعل غير الذابح كالزارع، والغارس، والطاحن، والطابخ، وغيرهم، فلا يختصّ صدق الطعام بما يكون بالذبح فقط ـ كما تخيّله الرازي ـ بل صدقه على المزروع والمغروس والمطحون والمطبوخ أولى من صدقه على الذبائح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الوجه الثاني فهو ظاهر، لأنّ حلّية الحبوب ـ مثلاً ـ لأهل الكتابقبل أن يكون لهم وبعده، إنما هو خصوص ما كان حاصلاً قبل فعلهم، وأما حصول الطعام بفعلهم كالزرع والطبخ ونحوهما فليس له حالة سابقة حتى يقال إنها كانت محلّلة قبل ذلك، وحينئذ فللسؤال عن حكمها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الثالث فهو مجرّد استحسان لا يمكن المصير إليه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بطلان الوجهين اللذين ذكرهما صاحب المنار فبما أجاب به في الميزان وحاصل الجواب عن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هو لفظ الطعام المجرّد عن أيّ قرينة، وما ذكره هذا القائل إنما هو مشتقات الفعل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خارج عن محلّ الكلام، ومثله المحفوف بالقرينة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وطعام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الإضافة أجلى قرينة، فليس ينبت في البحر </w:t>
      </w:r>
    </w:p>
    <w:p>
      <w:pPr>
        <w:pStyle w:val="BookText"/>
        <w:rPr/>
      </w:pPr>
      <w:r>
        <w:rPr>
          <w:rFonts w:ascii="Amiri" w:hAnsi="Amiri" w:eastAsia="Amiri" w:cs="Amiri"/>
          <w:color w:val="111111"/>
          <w:sz w:val="28"/>
          <w:sz w:val="28"/>
          <w:szCs w:val="28"/>
          <w:rtl w:val="true"/>
          <w:lang w:bidi="ar-SA"/>
        </w:rPr>
        <w:t>برّ ولا شعير،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الطَّعَامِ كَانَ حِلاًّ لِبَنِي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قرينة على أنّ البرّ والحبّ لم يكونا محرّمين عليهم فما ذكره أجنبي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موارد استعمال الطعام مجرّداً عن القرائن والأفعال المصوغة منه، ولو راجع من القرآن موارد إطلاق لفظ الطعام لعلم أنّ المراد به هو الحبوب وأشباهها،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فِدْيَةٌ طَعَامُ مِسْكِينٍ</w:t>
      </w:r>
      <w:r>
        <w:rPr>
          <w:rFonts w:eastAsia="Amiri" w:cs="Amiri" w:ascii="Amiri" w:hAnsi="Amiri"/>
          <w:color w:val="111111"/>
          <w:sz w:val="28"/>
          <w:szCs w:val="28"/>
          <w:rtl w:val="true"/>
          <w:lang w:bidi="ar-SA"/>
        </w:rPr>
        <w:t>»</w:t>
      </w:r>
      <w:r>
        <w:rPr>
          <w:rStyle w:val="FootnoteAnchor"/>
          <w:rtl w:val="true"/>
        </w:rPr>
        <w:footnoteReference w:id="1037"/>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كَفَّارَةٌ طَعَامُ مَسَاكِينَ</w:t>
      </w:r>
      <w:r>
        <w:rPr>
          <w:rFonts w:eastAsia="Amiri" w:cs="Amiri" w:ascii="Amiri" w:hAnsi="Amiri"/>
          <w:color w:val="111111"/>
          <w:sz w:val="28"/>
          <w:szCs w:val="28"/>
          <w:rtl w:val="true"/>
          <w:lang w:bidi="ar-SA"/>
        </w:rPr>
        <w:t>»</w:t>
      </w:r>
      <w:r>
        <w:rPr>
          <w:rStyle w:val="FootnoteAnchor"/>
          <w:rtl w:val="true"/>
        </w:rPr>
        <w:footnoteReference w:id="1038"/>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w:t>
      </w:r>
      <w:r>
        <w:rPr>
          <w:rFonts w:eastAsia="Amiri" w:cs="Amiri" w:ascii="Amiri" w:hAnsi="Amiri"/>
          <w:color w:val="111111"/>
          <w:sz w:val="28"/>
          <w:szCs w:val="28"/>
          <w:rtl w:val="true"/>
          <w:lang w:bidi="ar-SA"/>
        </w:rPr>
        <w:t>»</w:t>
      </w:r>
      <w:r>
        <w:rPr>
          <w:rStyle w:val="FootnoteAnchor"/>
          <w:rtl w:val="true"/>
        </w:rPr>
        <w:footnoteReference w:id="1039"/>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w:t>
      </w:r>
      <w:r>
        <w:rPr>
          <w:rStyle w:val="FootnoteAnchor"/>
          <w:rtl w:val="true"/>
        </w:rPr>
        <w:footnoteReference w:id="1040"/>
      </w:r>
      <w:r>
        <w:rPr>
          <w:rFonts w:ascii="Amiri" w:hAnsi="Amiri" w:eastAsia="Amiri" w:cs="Amiri"/>
          <w:color w:val="111111"/>
          <w:sz w:val="28"/>
          <w:sz w:val="28"/>
          <w:szCs w:val="28"/>
          <w:rtl w:val="true"/>
          <w:lang w:bidi="ar-SA"/>
        </w:rPr>
        <w:t>ونحوذلك</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حاصل جوابه عن الوجه الثاني فهو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أعجب من سابقه، أما قوله ليس الحبّ مظنّة للتحليل والتحريم وإنما اللحم هو الذي يعرض له ذلك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 زمان يعني ذلك؟ أفي مثل هذه الأزمنة، وقد استأنس الأذهان بالإسلام وعامة أحكامه منذ عدة قرون؟ أم في زمان النزول ولم يمض من عمر الدين إلاّ عدة سنين؟ وقد سألوا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أشياء هي أوضح من حكم الحبوب وأشباهها وأجلى، وقد حكى الله تعالى بعض ذلك كما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يَسْأَلُونَكَ مَاذَا يُنفِقُونَ</w:t>
      </w:r>
      <w:r>
        <w:rPr>
          <w:rFonts w:eastAsia="IRNazanin" w:cs="IRNazanin"/>
          <w:color w:val="111111"/>
          <w:sz w:val="28"/>
          <w:szCs w:val="28"/>
          <w:rtl w:val="true"/>
          <w:lang w:bidi="fa-IR"/>
        </w:rPr>
        <w:t>»</w:t>
      </w:r>
      <w:r>
        <w:rPr>
          <w:rStyle w:val="FootnoteAnchor"/>
          <w:rtl w:val="true"/>
        </w:rPr>
        <w:footnoteReference w:id="1042"/>
      </w:r>
      <w:r>
        <w:rPr>
          <w:rFonts w:ascii="Amiri" w:hAnsi="Amiri" w:eastAsia="Amiri" w:cs="Amiri"/>
          <w:color w:val="111111"/>
          <w:sz w:val="28"/>
          <w:sz w:val="28"/>
          <w:szCs w:val="28"/>
          <w:rtl w:val="true"/>
          <w:lang w:bidi="ar-SA"/>
        </w:rPr>
        <w:t>وقد روى عبد بن حميد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لنا أنّ رجالاً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نتزوج نساءهم وهم على دين ونحن على دين؟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يَكْفُرْ بِالإِيمَانِ فَقَدْ حَبِطَ عَمَلُهُ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 وغير ذلك</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أفاض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عن ذلك، وما نقلناه عنه كاف في إفادة المطلوب، وهو متين في غاية الوضوح خصوصاً بملاحظة ما ذكرناه في الجواب عن الوجوه المتقدمة من أنّ الطعام شامل لزرعهم وغرسهم وما تباشره أيديهم، فيصحّ السؤال عنه، ولا يختصّ بما يملكونه من الحبوب وأشباهها فما ذكر من الاستبعاد لا وجه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قابل للمناقشة فإنّ موارد استعمال لفظ الطعام الواردة في القرآن الكريم مجرّدة أكثر مما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المراد في جميع الموارد هو البُرّ والحبّ،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وَأُمُّهُ صِدِّيقَةٌ كَانَا يَأْكُلانِ الطَّعَامَ</w:t>
      </w:r>
      <w:r>
        <w:rPr>
          <w:rFonts w:eastAsia="Amiri" w:cs="Amiri" w:ascii="Amiri" w:hAnsi="Amiri"/>
          <w:color w:val="111111"/>
          <w:sz w:val="28"/>
          <w:szCs w:val="28"/>
          <w:rtl w:val="true"/>
          <w:lang w:bidi="ar-SA"/>
        </w:rPr>
        <w:t>»</w:t>
      </w:r>
      <w:r>
        <w:rPr>
          <w:rStyle w:val="FootnoteAnchor"/>
          <w:rtl w:val="true"/>
        </w:rPr>
        <w:footnoteReference w:id="1044"/>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يَأْتِيكُمَا طَعَامٌ تُرْزَقَانِهِ إِلاَّ نَبَّأْتُكُمَا بِتَأْوِيلِهِ</w:t>
      </w:r>
      <w:r>
        <w:rPr>
          <w:rFonts w:eastAsia="Amiri" w:cs="Amiri" w:ascii="Amiri" w:hAnsi="Amiri"/>
          <w:color w:val="111111"/>
          <w:sz w:val="28"/>
          <w:szCs w:val="28"/>
          <w:rtl w:val="true"/>
          <w:lang w:bidi="ar-SA"/>
        </w:rPr>
        <w:t>»</w:t>
      </w:r>
      <w:r>
        <w:rPr>
          <w:rStyle w:val="FootnoteAnchor"/>
          <w:rtl w:val="true"/>
        </w:rPr>
        <w:footnoteReference w:id="1045"/>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جَعَلْنَاهُمْ جَسَداً لا يَأْكُلُونَ الطَّعَامَ</w:t>
      </w:r>
      <w:r>
        <w:rPr>
          <w:rFonts w:eastAsia="Amiri" w:cs="Amiri" w:ascii="Amiri" w:hAnsi="Amiri"/>
          <w:color w:val="111111"/>
          <w:sz w:val="28"/>
          <w:szCs w:val="28"/>
          <w:rtl w:val="true"/>
          <w:lang w:bidi="ar-SA"/>
        </w:rPr>
        <w:t>»</w:t>
      </w:r>
      <w:r>
        <w:rPr>
          <w:rStyle w:val="FootnoteAnchor"/>
          <w:rtl w:val="true"/>
        </w:rPr>
        <w:footnoteReference w:id="1046"/>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مَالِ هَذَا الرَّسُولِ يَأْكُلُ الطَّعَامَ وَيَمْشِي فِي الأَسْوَاقِ</w:t>
      </w:r>
      <w:r>
        <w:rPr>
          <w:rFonts w:eastAsia="Amiri" w:cs="Amiri" w:ascii="Amiri" w:hAnsi="Amiri"/>
          <w:color w:val="111111"/>
          <w:sz w:val="28"/>
          <w:szCs w:val="28"/>
          <w:rtl w:val="true"/>
          <w:lang w:bidi="ar-SA"/>
        </w:rPr>
        <w:t>»</w:t>
      </w:r>
      <w:r>
        <w:rPr>
          <w:rStyle w:val="FootnoteAnchor"/>
          <w:rtl w:val="true"/>
        </w:rPr>
        <w:footnoteReference w:id="1047"/>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قَبْلَكَ مِنْ الْمُرْسَلِينَ إِلاَّ إِنَّهُمْ لَيَأْكُلُونَ الطَّعَامَ</w:t>
      </w:r>
      <w:r>
        <w:rPr>
          <w:rFonts w:eastAsia="Amiri" w:cs="Amiri" w:ascii="Amiri" w:hAnsi="Amiri"/>
          <w:color w:val="111111"/>
          <w:sz w:val="28"/>
          <w:szCs w:val="28"/>
          <w:rtl w:val="true"/>
          <w:lang w:bidi="ar-SA"/>
        </w:rPr>
        <w:t>»</w:t>
      </w:r>
      <w:r>
        <w:rPr>
          <w:rStyle w:val="FootnoteAnchor"/>
          <w:rtl w:val="true"/>
        </w:rPr>
        <w:footnoteReference w:id="1048"/>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يُؤْذَنَ لَكُمْ إِلَى طَعَامٍ غَيْرَ نَاظِرِينَ إِنَاهُ</w:t>
      </w:r>
      <w:r>
        <w:rPr>
          <w:rFonts w:eastAsia="Amiri" w:cs="Amiri" w:ascii="Amiri" w:hAnsi="Amiri"/>
          <w:color w:val="111111"/>
          <w:sz w:val="28"/>
          <w:szCs w:val="28"/>
          <w:rtl w:val="true"/>
          <w:lang w:bidi="ar-SA"/>
        </w:rPr>
        <w:t>»</w:t>
      </w:r>
      <w:r>
        <w:rPr>
          <w:rStyle w:val="FootnoteAnchor"/>
          <w:rtl w:val="true"/>
        </w:rPr>
        <w:footnoteReference w:id="1049"/>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يَحُضُّ عَلَى طَعَامِ الْمِسْكِينِ</w:t>
      </w:r>
      <w:r>
        <w:rPr>
          <w:rFonts w:eastAsia="Amiri" w:cs="Amiri" w:ascii="Amiri" w:hAnsi="Amiri"/>
          <w:color w:val="111111"/>
          <w:sz w:val="28"/>
          <w:szCs w:val="28"/>
          <w:rtl w:val="true"/>
          <w:lang w:bidi="ar-SA"/>
        </w:rPr>
        <w:t>»</w:t>
      </w:r>
      <w:r>
        <w:rPr>
          <w:rStyle w:val="FootnoteAnchor"/>
          <w:rtl w:val="true"/>
        </w:rPr>
        <w:footnoteReference w:id="1050"/>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تَحَاضُّونَ عَلَى طَعَامِ الْمِسْكِينِ</w:t>
      </w:r>
      <w:r>
        <w:rPr>
          <w:rFonts w:eastAsia="Amiri" w:cs="Amiri" w:ascii="Amiri" w:hAnsi="Amiri"/>
          <w:color w:val="111111"/>
          <w:sz w:val="28"/>
          <w:szCs w:val="28"/>
          <w:rtl w:val="true"/>
          <w:lang w:bidi="ar-SA"/>
        </w:rPr>
        <w:t>»</w:t>
      </w:r>
      <w:r>
        <w:rPr>
          <w:rStyle w:val="FootnoteAnchor"/>
          <w:rtl w:val="true"/>
        </w:rPr>
        <w:footnoteReference w:id="1051"/>
      </w:r>
      <w:r>
        <w:rPr>
          <w:rFonts w:ascii="Amiri" w:hAnsi="Amiri" w:eastAsia="Amiri" w:cs="Amiri"/>
          <w:color w:val="111111"/>
          <w:sz w:val="28"/>
          <w:sz w:val="28"/>
          <w:szCs w:val="28"/>
          <w:rtl w:val="true"/>
          <w:lang w:bidi="ar-SA"/>
        </w:rPr>
        <w:t>وغيرها من الآيات الدالة على أنّ المراد بالطعام هو الأعم من البرّ والحبّ، إلاّ أن يدعى أنّ استفادة ذلك لغلبة الاستعمال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تحصيل الغلبة بما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الموارد المعدودة مشكل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ولكن يمكن استظهار أنّ المراد من الطعام في الآية هو الحبوب وأشباهها لا الذبائح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أنّ معنى الطعام في الآية هو أحد وجوه ثلاثة كما تقدم عن الرازي فالأنسب بمقتضى الجمع بين الآية الأولى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مِمَّا لَمْ يُذْكَرْ اسْمُ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هذه الآية، هو أن يكون المراد به خصوص الحبوب، وذلك لأنّه لو كان المراد به خصوص الذبائح أو الأعم منها ومن الحبوب لزم التنافي بين الآيتين، لأنّ أهل الكتاب إما أنهم لا يعتبرون التسمية على ذبائحهم، أو لا يسمّون، فحلّية ذبائحهم تنافي النهي الوارد عن الأكل مما لم يذكر اسم الله عليه، فلابدّ حينئذ إما أن تكون ناسخة لها، وهو مع بعده في نفسه لم يقل به أحد، وإما أن  تكون مقيّدة أو مخصّصة بما إذا سمعت التسمية الصحيحة منهم، وفيه، مضافاً إلى لزوم تقدم المخصّص، لم يلتزم به العامة بل ذهبوا إلى القول بالجواز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حمل معناه على الحبوب ـ كما هو الاحتمال الأرجح ـ فلا يرد عليه أي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استظهار ذلك أيضاً بقرينة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وَطَعَامُكُمْ حِلٌّ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ذبائح المسلمين كانت محرّمة عندهم كما يظهر من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ابن أبي عمير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ذبيحة أهل الكتاب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يأكلون ذبائحكم فكيفتستحلون أن تأكلوا ذبائحهم</w:t>
      </w:r>
      <w:r>
        <w:rPr>
          <w:rStyle w:val="FootnoteAnchor"/>
          <w:rtl w:val="true"/>
        </w:rPr>
        <w:footnoteReference w:id="1052"/>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مرسلة إلاّ أنّه يمكن الاعتماد عليها بناء على ما </w:t>
      </w:r>
    </w:p>
    <w:p>
      <w:pPr>
        <w:pStyle w:val="BookText"/>
        <w:rPr/>
      </w:pPr>
      <w:r>
        <w:rPr>
          <w:rFonts w:ascii="Amiri" w:hAnsi="Amiri" w:eastAsia="Amiri" w:cs="Amiri"/>
          <w:color w:val="111111"/>
          <w:sz w:val="28"/>
          <w:sz w:val="28"/>
          <w:szCs w:val="28"/>
          <w:rtl w:val="true"/>
          <w:lang w:bidi="ar-SA"/>
        </w:rPr>
        <w:t>حقّقناه في محله</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الحسين الأحمسي،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إنّ لنا جاراً قصّاباً فيجيء يهودي فيذبح له حتى يشتري منه اليهود،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 من ذبيحته ولا تشتر منه</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التعليل أنّ اليهود لا يأكلون من ذبائح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علي بن إبراهيم في تفسيره بسنده الصحيح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عنى بطعامهم هاهنا الحبوب والفاكهة غير الذبائح التي يذبحون، فإنهم لا يذكرون اسم الله على ذبائحهم،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استحلوا ذبائحكم فكيف تستحلون ذبائحهم</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أهل الكتاب لا يأكلون من ذبائح المسلمين فالمراد بالطعام هنا هو خصوص الحبوب فكذلك الحال في مقابله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أنّ هذه الجملة إخبار عن الحكم في شريعتهم، وأما إذا كانت إنشاء في شريعتنا بمعنى جواز إعطائهم الطعام كما يجوز لنا أكل طعامهم فلاتكون شاهدة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تفسيران آخران قد يقال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كلتا الجملتين المتقابلتين على جواز الضيافة بمعنى إجابة دعوتهم وجواز إطعامهم ولا ربط للآية بنوعية الطعام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كلتا الجملتين على الإخبار بأنّ كل ما كان عندنا حلال فهو حلال في شريعتهم، وهذا المعنى أيضاً لا ربط له بالنوع بل بالجنس من دون اعتبار الذبح وعدمه كلحم البقر والغنم ونحو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فيهما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من الروايات الخاصة في تفسير هذه الآية، وهي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وطعامهم حلّ لكم</w:t>
      </w:r>
      <w:r>
        <w:rPr>
          <w:rFonts w:eastAsia="IRNazanin" w:cs="IRNazanin"/>
          <w:color w:val="111111"/>
          <w:sz w:val="28"/>
          <w:szCs w:val="28"/>
          <w:rtl w:val="true"/>
          <w:lang w:bidi="fa-IR"/>
        </w:rPr>
        <w:t>»</w:t>
      </w:r>
      <w:r>
        <w:rPr>
          <w:rStyle w:val="FootnoteAnchor"/>
          <w:rtl w:val="true"/>
        </w:rPr>
        <w:footnoteReference w:id="105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العدس والحمص وغير ذلك</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نظائر العدس والحمص من أنواع الحبوب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بعينها وردت في تفسير العياشي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 ذلك</w:t>
      </w:r>
      <w:r>
        <w:rPr>
          <w:rStyle w:val="FootnoteAnchor"/>
          <w:rtl w:val="true"/>
        </w:rPr>
        <w:footnoteReference w:id="1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فالرواية واضحة الدلالة كما أنها معتبرة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قتيبة الأعشى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أنهسئل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وَطَعَامُ الَّذِينَ أُوتُوا الْكِتَابَ حِلٌّ لَكُمْ وَطَعَامُكُمْ حِلٌّ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الحبوب وأشباهها</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والرواية صريحة في دلالتها، حيث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 في الحبوب وأشباهها، وليس اللحم من أشباه الحبوب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وَطَعَامُ الَّذِينَ أُوتُوا الْكِتَابَ حِلٌّ لَكُمْ وَطَعَامُكُمْ حِلٌّ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الحبوب والبقول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أيضاً واضحة الدلالة كما أنها من حيث السند معتبرة، فإنه وإن كان فيه محمد بن سنان إلاّ أننا قد ذكرنا غير مرة أنّ مقتضى التحقيق</w:t>
      </w:r>
      <w:r>
        <w:rPr>
          <w:rStyle w:val="FootnoteAnchor"/>
          <w:rtl w:val="true"/>
        </w:rPr>
        <w:footnoteReference w:id="1060"/>
      </w:r>
      <w:r>
        <w:rPr>
          <w:rFonts w:ascii="IRNazanin" w:hAnsi="IRNazanin" w:eastAsia="IRNazanin"/>
          <w:color w:val="111111"/>
          <w:sz w:val="28"/>
          <w:sz w:val="28"/>
          <w:szCs w:val="28"/>
          <w:rtl w:val="true"/>
          <w:lang w:bidi="fa-IR"/>
        </w:rPr>
        <w:t xml:space="preserve">هو اعتبار </w:t>
      </w:r>
    </w:p>
    <w:p>
      <w:pPr>
        <w:pStyle w:val="BookText"/>
        <w:rPr/>
      </w:pPr>
      <w:r>
        <w:rPr>
          <w:rFonts w:ascii="Amiri" w:hAnsi="Amiri" w:eastAsia="Amiri" w:cs="Amiri"/>
          <w:color w:val="111111"/>
          <w:sz w:val="28"/>
          <w:sz w:val="28"/>
          <w:szCs w:val="28"/>
          <w:rtl w:val="true"/>
          <w:lang w:bidi="ar-SA"/>
        </w:rPr>
        <w:t>روايته، ومثله أبو الجارود فإنه واقع في أسناد نوادر الحكمة، وتفسير القمي، وروى عنه المشايخ الثقات</w:t>
      </w:r>
      <w:r>
        <w:rPr>
          <w:rStyle w:val="FootnoteAnchor"/>
          <w:rtl w:val="true"/>
        </w:rPr>
        <w:footnoteReference w:id="1061"/>
      </w:r>
      <w:r>
        <w:rPr>
          <w:rFonts w:ascii="Amiri" w:hAnsi="Amiri" w:eastAsia="Amiri" w:cs="Amiri"/>
          <w:color w:val="111111"/>
          <w:sz w:val="28"/>
          <w:sz w:val="28"/>
          <w:szCs w:val="28"/>
          <w:rtl w:val="true"/>
          <w:lang w:bidi="ar-SA"/>
        </w:rPr>
        <w:t>، فلا إشكال في سند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الصدوق في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وَطَعَامُ الَّذِينَ أُوتُوا الْكِتَابَ حِلٌّ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الحبوب</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روايات أخرى وردت في السؤال عن طعام أهل الكتاب وتعيينهبالحبوب وهي وإن لم تكن صريحة في تفسير الآية إلاّ أنّ الظاهر منها هو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طعام أهل الذمة ما يحلّ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الحبوب</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الآية بضميمة ما ذكرنا من الوجوه أنّ المراد من الطعام فيها هو غير الذبائح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أَكَلَ السَّبُعُ إِلاَّ مَا ذَكَّيْتُمْ</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حصرت الحلّية بتذكية المسلمين المستفادة من الخطاب، وبإلغاء الخصوصية بين الصيد وغيره فالمعتبر في حلّية الذبيحة إسلام الذابح وأما غير المسلم فلا تحلّ ذبيحته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الاستدلال بهذه الآية غير تام، وذلك لأنّه استدلال بمفهوم اللقب، وهو غير ثابت، كما قرّر في محله، نعم تدل الآية على انحصار الحلية في التذكية، وأما خصوص تذكية المسلم فلا يستفاد إلاّ بمفهوم اللقب كما ذكرنا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والروايات الدالة على حرمة ذبائح أهل الكتاب كثيرة وهي على طوائف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النهي عن الأكل من ذبيحة الكتابي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الحسين الأحمسي المتقدمة، وموضع الشاهد 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 من ذبيحته ولا تشتر منه</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واضحة الدلالة كما أنها صحيحة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ذبيحة الذمّي،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تأكله، إن سمّى وإن لم يسمّ</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من حيث الدلالة واضحة، ولكنها من حيث السند غير تامة، فإنّ في طريقها مفضل بن صالح وهو ضعيف على ما ذكر النجاشي</w:t>
      </w:r>
      <w:r>
        <w:rPr>
          <w:rStyle w:val="FootnoteAnchor"/>
          <w:rtl w:val="true"/>
        </w:rPr>
        <w:footnoteReference w:id="1067"/>
      </w:r>
      <w:r>
        <w:rPr>
          <w:rFonts w:ascii="Amiri" w:hAnsi="Amiri" w:eastAsia="Amiri" w:cs="Amiri"/>
          <w:color w:val="111111"/>
          <w:sz w:val="28"/>
          <w:sz w:val="28"/>
          <w:szCs w:val="28"/>
          <w:rtl w:val="true"/>
          <w:lang w:bidi="ar-SA"/>
        </w:rPr>
        <w:t>ووقوعه في أسناد تفسير القمي</w:t>
      </w:r>
      <w:r>
        <w:rPr>
          <w:rStyle w:val="FootnoteAnchor"/>
          <w:rtl w:val="true"/>
        </w:rPr>
        <w:footnoteReference w:id="1068"/>
      </w:r>
      <w:r>
        <w:rPr>
          <w:rFonts w:ascii="Amiri" w:hAnsi="Amiri" w:eastAsia="Amiri" w:cs="Amiri"/>
          <w:color w:val="111111"/>
          <w:sz w:val="28"/>
          <w:sz w:val="28"/>
          <w:szCs w:val="28"/>
          <w:rtl w:val="true"/>
          <w:lang w:bidi="ar-SA"/>
        </w:rPr>
        <w:t>، ورواية المشايخ الثقات عنه</w:t>
      </w:r>
      <w:r>
        <w:rPr>
          <w:rStyle w:val="FootnoteAnchor"/>
          <w:rtl w:val="true"/>
        </w:rPr>
        <w:footnoteReference w:id="1069"/>
      </w:r>
      <w:r>
        <w:rPr>
          <w:rFonts w:ascii="Amiri" w:hAnsi="Amiri" w:eastAsia="Amiri" w:cs="Amiri"/>
          <w:color w:val="111111"/>
          <w:sz w:val="28"/>
          <w:sz w:val="28"/>
          <w:szCs w:val="28"/>
          <w:rtl w:val="true"/>
          <w:lang w:bidi="ar-SA"/>
        </w:rPr>
        <w:t>يجعله مورداً للتعارض، فيعامل معاملة المجهول، وعليه فالرواية مؤيدة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إسماعيل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 ذبائحهم ولا تأكل في آنيتهم، يعني أهل الكتاب</w:t>
      </w:r>
      <w:r>
        <w:rPr>
          <w:rStyle w:val="FootnoteAnchor"/>
          <w:rtl w:val="true"/>
        </w:rPr>
        <w:footnoteReference w:id="10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إسماعيل بن جابر، وعبد الله بن طلحة، قال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إسماعيل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 من ذبائح اليهود والنصارى، ولا تأكل من آنيتهم</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ولعلّ هاتين الروايتين واحدة فإنّ سندهما إلى إسماعيل بن جابر واحد، وألفاظهما متقاربة، ودلالتهما واحدة، وكون محمد بن سنان واقعاً في السند لا يضرّ باعتباره بناء على ما حقّقناه من ترجيح وثاقته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شعيب العقرقوفي ـ المتقدمة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 أبو بصير وأناس من أهل الجبل يسألونه عن ذبائح أهل الكتاب، فقال لهم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سمعتم ما قال الله عزوجل في كتابه،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نحبّ أن تخبرنا،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تأكلوها فلما خرجنا قال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في عنقي، ما فيها قد سمعته وأباه جميعاً يأمران بأكلها فرجعنا إليه، فقال لي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تقول في ذبائح أهل الكتاب؟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قد شهدتنا بالغداة وسمعت؟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تأكلها</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وهي واضحة الدلالة على عدم الجواز، وأما ما رواه أبو بصير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الجواز فقد حمله صاحب الوسائل على التقية</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يحيى الخثعمي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أتاني رجلان أظنهما من أهل الجبل فسألني أحدهما عن الذبيحة،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برد لكما على ظهري، لا تأكل، 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أنا عن ذبيحة اليهودي والنصراني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 منه</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كالروايات السابقة في وضوح الدلالة واعتبار السند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حميد بن المثنى عن العبد الصالح أنه سأله عن ذبيحة اليهودي والنصراني،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تقربوها</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وهي أيضاً تامة سنداً ودلالة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الحسين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اصطحب المعلّى بن خنيس، وابن أبي يعفور في سفر، فأكل أحدهما ذبيحة اليهود والنصارى وأبى الآخر عن أكلها، فاجتمعا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أيكما الذي أباه؟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وإن كانت واضحة الدلالة إلاّ أنها من حيث السند غير تامة، فإنّ الحسين بن عبد الله ـ والظاهر من حيث الطبقة أنّه الأرجاني ـ لم يرد فيه توثيق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ورد مضمون هذه الرواية بسند معتبر عن ابن أبي عمير، أنّ ابن أبي يعفور ومعلّى بن خنيس كانا بالنيل على عهد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فاختلفا في ذبائح اليهود، فأكل المعلّى ولم يأكل ابن أبي يعفور، فلما صارا إلى أبيعبد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أخبراه، فرضي بفعل ابن أبي يعفور وخطّأ المعلّى في أكله إياه</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محمد بن عذافر،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يجلب الغنم من الجبل يكون فيها الأجير المجوسي والنصراني فتقع العارضة فيأتيه بها مملّحة،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تأكلها</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وإن كانت واضحة الدلالة إلاّ أنّ في سندها أحمد بن هلال وهو ضعيف</w:t>
      </w:r>
      <w:r>
        <w:rPr>
          <w:rStyle w:val="FootnoteAnchor"/>
          <w:rtl w:val="true"/>
        </w:rPr>
        <w:footnoteReference w:id="1079"/>
      </w:r>
      <w:r>
        <w:rPr>
          <w:rFonts w:ascii="Amiri" w:hAnsi="Amiri" w:eastAsia="Amiri" w:cs="Amiri"/>
          <w:color w:val="111111"/>
          <w:sz w:val="28"/>
          <w:sz w:val="28"/>
          <w:szCs w:val="28"/>
          <w:rtl w:val="true"/>
          <w:lang w:bidi="ar-SA"/>
        </w:rPr>
        <w:t>، فالرواية مؤيدة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اشتراط حلية الذبيحة بالتسمية ولا يؤمن عليها إلاّ المسلم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حسين الأحمسي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p>
    <w:p>
      <w:pPr>
        <w:pStyle w:val="BookText"/>
        <w:rPr/>
      </w:pPr>
      <w:r>
        <w:rPr>
          <w:rFonts w:ascii="Amiri" w:hAnsi="Amiri" w:eastAsia="Amiri" w:cs="Amiri"/>
          <w:color w:val="111111"/>
          <w:sz w:val="28"/>
          <w:sz w:val="28"/>
          <w:szCs w:val="28"/>
          <w:rtl w:val="true"/>
          <w:lang w:bidi="ar-SA"/>
        </w:rPr>
        <w:t>الاسم ولا يؤمن عليه إلاّ مسلم</w:t>
      </w:r>
      <w:r>
        <w:rPr>
          <w:rStyle w:val="FootnoteAnchor"/>
          <w:rtl w:val="true"/>
        </w:rPr>
        <w:footnoteReference w:id="1080"/>
      </w:r>
      <w:r>
        <w:rPr>
          <w:rFonts w:ascii="Amiri" w:hAnsi="Amiri" w:eastAsia="Amiri" w:cs="Amiri"/>
          <w:color w:val="111111"/>
          <w:sz w:val="28"/>
          <w:sz w:val="28"/>
          <w:szCs w:val="28"/>
          <w:rtl w:val="true"/>
          <w:lang w:bidi="ar-SA"/>
        </w:rPr>
        <w:t>، 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المسلم</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قتيبة الأعشى،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ذبائح اليهود والنصارى،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الذبيحة اسم، ولا يؤمن على الاسم إلاّ مسلم</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وإن كان في سندها محمد بن سنان إلاّ أنّنا رجحنا العمل بروايته كما ذكرنا غير مرة، فلا إشكال في السند وهي كالرواية السابقة في وضوح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ابن أبي عمير ـ المتقدمة ـ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ذبيحة أهل الكتاب،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يأكلون ذبائحكم فكيف تستحلون أن تأكلوا ذبائحهم؟ إنما هو الاسم، ولا يؤمن عليه إلاّ مسلم</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إشكال في سند الرواية بناء على ما حقّقناه من اعتبار مراسيل ابن أبي عمير كما لا إشكال في وضوح دلالتها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حسين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قوم نختلف إلى الجبل، والطريق بعيد، بيننا وبين الجبل فراسخ، فنشتري القطيع والإثنين والثلاثة، ويكون في القطيع ألف وخمسمائة شاة، وألف وستمائة شاة، وألف وسبعمائة شاة، فتقع الشاة، والإثنتان والثلاثة فنسأل الرعاة عن أديانهم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قولك في ذبائح اليهود والنصارى؟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الذبيحة بالاسم، ولا يؤمن عليها إلاّ أهل التوحيد</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وإن كانت واضحة الدلالة إلاّ أنها من حيث السند غير تامة؛ </w:t>
      </w:r>
    </w:p>
    <w:p>
      <w:pPr>
        <w:pStyle w:val="BookText"/>
        <w:rPr/>
      </w:pPr>
      <w:r>
        <w:rPr>
          <w:rFonts w:ascii="Amiri" w:hAnsi="Amiri" w:eastAsia="Amiri" w:cs="Amiri"/>
          <w:color w:val="111111"/>
          <w:sz w:val="28"/>
          <w:sz w:val="28"/>
          <w:szCs w:val="28"/>
          <w:rtl w:val="true"/>
          <w:lang w:bidi="ar-SA"/>
        </w:rPr>
        <w:t>لعدم وثاقة حسين بن المنذر فإنّ ما ورد في حقّه وإن أشعر بالحسن إلاّ أنه وارد عن طريقه</w:t>
      </w:r>
      <w:r>
        <w:rPr>
          <w:rStyle w:val="FootnoteAnchor"/>
          <w:rtl w:val="true"/>
        </w:rPr>
        <w:footnoteReference w:id="1085"/>
      </w:r>
      <w:r>
        <w:rPr>
          <w:rFonts w:ascii="Amiri" w:hAnsi="Amiri" w:eastAsia="Amiri" w:cs="Amiri"/>
          <w:color w:val="111111"/>
          <w:sz w:val="28"/>
          <w:sz w:val="28"/>
          <w:szCs w:val="28"/>
          <w:rtl w:val="true"/>
          <w:lang w:bidi="ar-SA"/>
        </w:rPr>
        <w:t>وذلك لا يستوجب التوثيق، وبناء على هذا فتكون الرواية مؤيدة لما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الحسين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نكون في الجبل فنبعث الرعاء في الغنم، فربّما عطبت الشاة أو أصابها شيء فذبحوها فنأكلها؟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الذبيحة، ولا يؤمن عليها إلاّ مسلم</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واضحة الدلالة إلاّ أنّها من حيث السند غير تامة، فتكون مؤيدة كالرواية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النهي عن ذبح أهل الكتاب الأضحيّة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بصير يعني المرادي،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يذبح أضحيتك يهودي ولا نصراني ولا مجوسي، وإن كانت امرأة فلتذبح لنفسها</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واضحة الدلالة ومعتبرة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يذبح لك اليهودي ولا النصراني أضحيتك</w:t>
      </w:r>
      <w:r>
        <w:rPr>
          <w:rStyle w:val="FootnoteAnchor"/>
          <w:rtl w:val="true"/>
        </w:rPr>
        <w:footnoteReference w:id="10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صحيحته الأخرى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ذبائح نصارى العرب هل تؤكل؟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ينهاهم عن أكل ذبائحهم وصيدهم،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يذبح لك يهودي ولا نصراني أضحيتك</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وموضع الشاهد منها الجملة الأخيرة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إسحاق بن عمار، عن جعفر عن أبيه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يذبح نسككم إلاّ أهل ملّتكم، ولا تصدّقوا بشيء من نسككم إلاّ على المسلمين، وتصدّقوا بما سواه غير الذكاة على أهل الذمّة</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الحسين بن علوان،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يأمر مناديه بالكوفة أيام الأضحى ألا لا تذبح نسائككم يعني نسككم اليهود والنصارى، ولا يذبحها إلاّ المسلمون</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وأسناد هذه الروايات 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سلمة أبي حفص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يذبح ضحاياك اليهود ولا النصارى، ولا يذبحها إلاّ مسلم</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الرواية وإن كانت واضحة الدلالة إلاّ أنها من حيث السند غير تامة، لعدم ورود ما يدلّ على وثاقة سلمة أبي حفص، فتكون مؤيّدة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الصدوق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يذبح المجوسي، ولا النصراني، ولا نصارى العرب الأضاحي</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هذه الطائفة على المدّعى يتوقّف على إلغاء الخصوصية في الأضحية، وإلاّ فلا دلالة فيها، بل قد يدّعى دلالتها على الجواز استناداً للمفهوم، بمعنى أنه إذا لم تكن الذبيحة أضحية جاز أن يذبحها اليهودي والنصراني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المراد بطعام أهل الكتاب في تفسير الآية هو الحبوب وقد تقدّم ذكرها، وهي بمفهومها تدلّ على أنّ غير الحبوب كالذبائح لا يجوز أكله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النهي عن أكل ذبائح نساء أهل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ذبيحة الغلام والمرأة هل تؤكل؟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المرأة مسلمة فذكرت اسم الله على ذبيحتها حلّت ذبيحتها، وكذلك الغلام إذا قوي على الذبيحة فذكر اسم الله، وذلك إذا خيف فوت الذبيحة ولم يوجد من يذبح غيرهما</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والرواية من حيث السند تامة وأما من حيث الدلالة فهي تدل بمفهومها على عدم جواز الأكل إذا كانت المرأة غير 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مسعدة بن صدقة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أنه سئل عن ذبيحة المرأة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مسلمة فذكرت اسم الله عليها فكل</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من حيث الدلالة كالرواية السابقة ومن حيث السند معتبرة، فإنّ مسعدة من حيث الطبقة هو مسعدة بن زياد الواقع في تفسير القمي</w:t>
      </w:r>
      <w:r>
        <w:rPr>
          <w:rStyle w:val="FootnoteAnchor"/>
          <w:rtl w:val="true"/>
        </w:rPr>
        <w:footnoteReference w:id="1096"/>
      </w:r>
      <w:r>
        <w:rPr>
          <w:rFonts w:ascii="Amiri" w:hAnsi="Amiri" w:eastAsia="Amiri" w:cs="Amiri"/>
          <w:color w:val="111111"/>
          <w:sz w:val="28"/>
          <w:sz w:val="28"/>
          <w:szCs w:val="28"/>
          <w:rtl w:val="true"/>
          <w:lang w:bidi="ar-SA"/>
        </w:rPr>
        <w:t>، وكتاب نوادر الحكمة</w:t>
      </w:r>
      <w:r>
        <w:rPr>
          <w:rStyle w:val="FootnoteAnchor"/>
          <w:rtl w:val="true"/>
        </w:rPr>
        <w:footnoteReference w:id="1097"/>
      </w:r>
      <w:r>
        <w:rPr>
          <w:rFonts w:ascii="Amiri" w:hAnsi="Amiri" w:eastAsia="Amiri" w:cs="Amiri"/>
          <w:color w:val="111111"/>
          <w:sz w:val="28"/>
          <w:sz w:val="28"/>
          <w:szCs w:val="28"/>
          <w:rtl w:val="true"/>
          <w:lang w:bidi="ar-SA"/>
        </w:rPr>
        <w:t>، والذي يروي عنه هارون بن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ذبيحة المرأة والغلام هل تؤكل؟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كانت المرأة مسلمة وذكرت  اسم الله حلت ذبيحتها</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كالسابقة في دلالتها إلاّ أنها من حيث السند غير تامة، فتكون مؤيّدة لما تقدم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رواية واحدة تدلّ على النهي عن أكل ذبيحة كل من كان على </w:t>
      </w:r>
    </w:p>
    <w:p>
      <w:pPr>
        <w:pStyle w:val="BookText"/>
        <w:rPr/>
      </w:pPr>
      <w:r>
        <w:rPr>
          <w:rFonts w:ascii="IRNazanin" w:hAnsi="IRNazanin" w:eastAsia="IRNazanin"/>
          <w:color w:val="111111"/>
          <w:sz w:val="28"/>
          <w:sz w:val="28"/>
          <w:szCs w:val="28"/>
          <w:rtl w:val="true"/>
          <w:lang w:bidi="fa-IR"/>
        </w:rPr>
        <w:t>خلاف الحق، وهي صحيحة زكريا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أنهاك عن ذبيحة كلّ من كان على خلاف الذي أنت عليه وأصحابك إلاّ في وقت الضرورة إليه</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بمقتضى عمومها شاملة لأهل الكتاب، وهي تامة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مجموع الروايات التي استدلّ بها على حرمة ذبيحة الكتابي، وفي مقابلها روايات أخرى تدل على الحلّية، وهي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أكل ذبيحة الكتابي وإن سمّى المسيح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إسماعيل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ذبائح اليهود والنصارى وطعامهم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ذبيحة أهل الكتاب ونسائهم،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شعيب العقرقوفي المتقدمة، وموضع الشاهد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في عنقي، ما فيها فقد سمعته وأباه جميعاً يأمران بأكلها</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يونس بن بهمن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أهدى إليّ قرابة لي نصراني دجاجاً وفراخاً قد شواها، وعمل لي فالوذجة فأكله؟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من حيث الدلالة واضحة وأما سندها فهو وإن اشتمل على يونس بن بهمن ولم يرد فيه توثيق إلاّ أنّه بناء على ما حقّقناه</w:t>
      </w:r>
      <w:r>
        <w:rPr>
          <w:rStyle w:val="FootnoteAnchor"/>
          <w:rtl w:val="true"/>
        </w:rPr>
        <w:footnoteReference w:id="1104"/>
      </w:r>
      <w:r>
        <w:rPr>
          <w:rFonts w:ascii="Amiri" w:hAnsi="Amiri" w:eastAsia="Amiri" w:cs="Amiri"/>
          <w:color w:val="111111"/>
          <w:sz w:val="28"/>
          <w:sz w:val="28"/>
          <w:szCs w:val="28"/>
          <w:rtl w:val="true"/>
          <w:lang w:bidi="ar-SA"/>
        </w:rPr>
        <w:t xml:space="preserve">من أنّ رواية </w:t>
      </w:r>
    </w:p>
    <w:p>
      <w:pPr>
        <w:pStyle w:val="BookText"/>
        <w:rPr/>
      </w:pPr>
      <w:r>
        <w:rPr>
          <w:rFonts w:ascii="Amiri" w:hAnsi="Amiri" w:eastAsia="Amiri" w:cs="Amiri"/>
          <w:color w:val="111111"/>
          <w:sz w:val="28"/>
          <w:sz w:val="28"/>
          <w:szCs w:val="28"/>
          <w:rtl w:val="true"/>
          <w:lang w:bidi="ar-SA"/>
        </w:rPr>
        <w:t>أحد المشايخالثقات عن شخص أمارة على وثاقته فيمكن الاعتماد على هذه الرواية لأنّ أحمد بن محمد بن أبي نصر قد روى عن يونس بن بهمن كما في نفس هذه الرواية، وعليه فالرواية 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ذبيحة اليهودي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سمّى المسيح؟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سمّى المسيح فإنه إنّما يريد الله</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واضحة في دلالتها كالروايات السابقة إلاّ أن في سندها علياً وهو ابن أبي حمزة، وفي وثاقته خلاف فتكون مؤيدة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عبد الملك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ذبائح النصارى؟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يذكرون عليها المسيح،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أرادوا بالمسيح الله</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من جهة الدلالة واضحة، وأما من جهة السند فإنّ عبد الملك بن عمرو وإن لم يرد فيه توثيق إلاّ أنّه واقع في أسناد نوادر الحكمة</w:t>
      </w:r>
      <w:r>
        <w:rPr>
          <w:rStyle w:val="FootnoteAnchor"/>
          <w:rtl w:val="true"/>
        </w:rPr>
        <w:footnoteReference w:id="1107"/>
      </w:r>
      <w:r>
        <w:rPr>
          <w:rFonts w:ascii="Amiri" w:hAnsi="Amiri" w:eastAsia="Amiri" w:cs="Amiri"/>
          <w:color w:val="111111"/>
          <w:sz w:val="28"/>
          <w:sz w:val="28"/>
          <w:szCs w:val="28"/>
          <w:rtl w:val="true"/>
          <w:lang w:bidi="ar-SA"/>
        </w:rPr>
        <w:t>، وذلك كاف في اعتباره والأخذ بروايته، بناء على ما حققناه في محله، نعم في دلالتها بحث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حلّيّة ذبائح أهل الكتاب إذا ذكروا اسم الله على الذبيحة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ذبائح أهل الكتاب،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إذا ذكروا اسم الله، ولكن أعني منهم من يكون على أمر </w:t>
      </w:r>
    </w:p>
    <w:p>
      <w:pPr>
        <w:pStyle w:val="BookText"/>
        <w:rPr/>
      </w:pPr>
      <w:r>
        <w:rPr>
          <w:rFonts w:ascii="IRNazanin" w:hAnsi="IRNazanin" w:eastAsia="IRNazanin"/>
          <w:color w:val="111111"/>
          <w:sz w:val="28"/>
          <w:sz w:val="28"/>
          <w:szCs w:val="28"/>
          <w:rtl w:val="true"/>
          <w:lang w:bidi="fa-IR"/>
        </w:rPr>
        <w:t xml:space="preserve">موسى وعيسى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وإن كان في سندها إسماعيل بن مرار إلاّ أنّه واقع في أسناد تفسير القمي</w:t>
      </w:r>
      <w:r>
        <w:rPr>
          <w:rStyle w:val="FootnoteAnchor"/>
          <w:rtl w:val="true"/>
        </w:rPr>
        <w:footnoteReference w:id="1109"/>
      </w:r>
      <w:r>
        <w:rPr>
          <w:rFonts w:ascii="IRNazanin" w:hAnsi="IRNazanin" w:eastAsia="IRNazanin"/>
          <w:color w:val="111111"/>
          <w:sz w:val="28"/>
          <w:sz w:val="28"/>
          <w:szCs w:val="28"/>
          <w:rtl w:val="true"/>
          <w:lang w:bidi="fa-IR"/>
        </w:rPr>
        <w:t>فتكون معتبرة السند، وأما من جهة الدلالة فهي واضحة، والمراد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أعني منهم من يكون على أمر موسى وعيسى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إما اليهود والنصارى، وإما من ليس منحرفاً عن ملّته منهم على ما سيأتي في الطائفة التالية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ذبيحة اليهود والنصارى هل تحلّ؟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ذكر اسم الله عليه</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من حيث الدلالة واضحة، وأما من حيث السند فهي وإن وقع في طريقها عبد الله بن الحسن وهو لم يوثّق، إلاّ أننا ذكرنا أن بالإمكان تصحيح روايات الحميري عن عبد الله بن الحسن، عن جدّه علي بن جعفر، بعدّة وجوه</w:t>
      </w:r>
      <w:r>
        <w:rPr>
          <w:rStyle w:val="FootnoteAnchor"/>
          <w:rtl w:val="true"/>
        </w:rPr>
        <w:footnoteReference w:id="1111"/>
      </w:r>
      <w:r>
        <w:rPr>
          <w:rFonts w:ascii="Amiri" w:hAnsi="Amiri" w:eastAsia="Amiri" w:cs="Amiri"/>
          <w:color w:val="111111"/>
          <w:sz w:val="28"/>
          <w:sz w:val="28"/>
          <w:szCs w:val="28"/>
          <w:rtl w:val="true"/>
          <w:lang w:bidi="ar-SA"/>
        </w:rPr>
        <w:t>، وبناء على ذلك فالرواية معتبرة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ذبيحةالناصب واليهودي والنصراني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ذبيحته حتى تسمعه يذكر اسم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سمعته يذكر اسم الله، أما سمعت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مِمَّا لَمْ يُذْكَرْ اسْمُ اللَّهِ عَلَيْهِ</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من حيث السند تامة، وأما من حيث الدلالة فهي وإن ذكر فيها حلّية ذبيحة الناصب والمجوسي وقد نهي عن أكل ذبيحتهما في روايات أخرى، </w:t>
      </w:r>
    </w:p>
    <w:p>
      <w:pPr>
        <w:pStyle w:val="BookText"/>
        <w:rPr/>
      </w:pPr>
      <w:r>
        <w:rPr>
          <w:rFonts w:ascii="Amiri" w:hAnsi="Amiri" w:eastAsia="Amiri" w:cs="Amiri"/>
          <w:color w:val="111111"/>
          <w:sz w:val="28"/>
          <w:sz w:val="28"/>
          <w:szCs w:val="28"/>
          <w:rtl w:val="true"/>
          <w:lang w:bidi="ar-SA"/>
        </w:rPr>
        <w:t>إلاّ أنه لا يضرّ بموضع الشاهد في ما نحن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جميل ومحمد بن حمران أنهما سألا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ذبائح اليهود والنصارى والمجوس،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لا يسمّون،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حضرتموهم فلم يسمّوا فلا تأكلوا،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غاب فكل</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واضحة الدلالة وتامة السند وفي هذه الرواية بحث سيأتي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حريز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ذبائح اليهود والنصارى والمجوس،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سمعتهم يسمّون وشهد لك من رآهم يسمّون فكل، وإن لم تسمعهم ولم يشهد عندك من رآهم يسمّون فلا تأكل ذبيحتهم</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من حيث الدلالة واضحة، وأما من حيث السند فلا بأس بها وإن اشتمل سندها على القاسم بن سليمان، فإنه واقع في أسناد تفسير القمي</w:t>
      </w:r>
      <w:r>
        <w:rPr>
          <w:rStyle w:val="FootnoteAnchor"/>
          <w:rtl w:val="true"/>
        </w:rPr>
        <w:footnoteReference w:id="1115"/>
      </w:r>
      <w:r>
        <w:rPr>
          <w:rFonts w:ascii="Amiri" w:hAnsi="Amiri" w:eastAsia="Amiri" w:cs="Amiri"/>
          <w:color w:val="111111"/>
          <w:sz w:val="28"/>
          <w:sz w:val="28"/>
          <w:szCs w:val="28"/>
          <w:rtl w:val="true"/>
          <w:lang w:bidi="ar-SA"/>
        </w:rPr>
        <w:t>، وذلك كاف في اعتبار روايته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حريز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أنهما قالا في ذبائح أهل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شهدتموهم وقد سمّوا اسم الله فكلوا ذبائحهم، وإن لم تشهدوهم فلا تأكلوا، وإن أتاك رجل مسلم فأخبرك أنهم سمّوا فكل</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واضحة الدلالة وتامة السند</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الورد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حديثاً وأمله عليّ حتى أكتبه،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حفظكم يا أهل 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لا يردّه عليّ أحد، ما تقول في مجوسي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ثم ذبح؟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ذبح ولم يسمّ؟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تأكله، إنّ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فكلوا مما ذكر اسم لله عليه </w:t>
      </w:r>
    </w:p>
    <w:p>
      <w:pPr>
        <w:pStyle w:val="BookText"/>
        <w:rPr/>
      </w:pPr>
      <w:r>
        <w:rPr>
          <w:rFonts w:ascii="Amiri" w:hAnsi="Amiri" w:eastAsia="Amiri" w:cs="Amiri"/>
          <w:color w:val="111111"/>
          <w:sz w:val="28"/>
          <w:sz w:val="28"/>
          <w:szCs w:val="28"/>
          <w:rtl w:val="true"/>
          <w:lang w:bidi="ar-SA"/>
        </w:rPr>
        <w:t>ولا تأكلوا مما لم يذكر اسم الله عليه</w:t>
      </w:r>
      <w:r>
        <w:rPr>
          <w:rFonts w:eastAsia="Amiri" w:cs="Amiri" w:ascii="Amiri" w:hAnsi="Amiri"/>
          <w:color w:val="111111"/>
          <w:sz w:val="28"/>
          <w:szCs w:val="28"/>
          <w:rtl w:val="true"/>
          <w:lang w:bidi="ar-SA"/>
        </w:rPr>
        <w:t xml:space="preserve">»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وإن كانت واضحة الدلالة إلاّ أنها من جهة السند غير تامة، فإنّ الورد بن زيد لم يرد فيه توثيق، فتكون مؤيدة للروايات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العياشي في تفسيره، عن عمر بن حنظلة،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ذُكِرَ اسْمُ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المجوس فليسوا من أهل الكتاب، وأما اليهود والنصارى فلا بأس إذا سمّوا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سمعوا</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وإن كانت واضحة الدلالة إلاّ أنها من جهة السند غير تامة لجهالة طريق العياشي إلى عمر بن حنظلة، فتكون مؤيدة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عامر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نأكل ذبائح أهل الكتاب ولا ندري يسمّون عليها أم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سمعتم قد سمّوا فكلوا</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وإن كانت واضحة الدلالة إلاّ أنها من جهة السند غير تامة لاشتمالها على من لم يرد فيه توثيق فتكون مؤيدة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الصدوق، 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تأكلوا ذبيحة اليهودي، والنصراني، والمجوسي، وجميع من خالف الدين، إلاّ إذا سمعته يذكر اسم الله عليها، وفي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يذبح المجوسي ولا النصراني ولا نصارى العرب الأضاحي،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تأكل ذبيحته إذا ذكر اسم الله عزوجل</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حلّية ذبائح نصارى العرب لأنّهم ليسوا من أهل الكتاب</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علي بن جعفر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ذبائح نصارى العرب،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هم بأهل الكتاب، ولا تحلّ ذبائحهم</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تدلّ بمفهومها على حلّية ذبائح أهل الكتاب إذا لم يكونوا من نصارى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تأكلوا ذبيحة نصارى العرب فإنّهم ليسوا أهل الكتاب</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من حيث الدلالة كالرواية السابقة كما أنها معتبرة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 ذبيحة نصارى العرب</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من حيث الدلالة كالسابقة ومن حيث السند 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 من ذبيحة المجوسي،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 ذبيحة نصارى تغلب فإنهم مشركوا العرب</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وهي وإن كانت من جهة الدلالة كالروايات المتقدمة إلاّ أنّ في سندها علياً وهو ابن أبي حمزة وفي وثاقته خلاف كما ذكرنا، فتكون مؤيدة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الحلبي ـ المتقدمة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ذبائح نصارى العرب هل تؤكل؟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ينهاهم عن أكل ذبائحهم وصيدهم،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يذبح لك يهودي ولا نصراني أضحيّتك</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الرواية من حيث السند تامة، ولكن دلالتها على المفهوم ليست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كلام الراوي، فإنّ الظاهر أنه يرى حلّية ذبائح النصارى </w:t>
      </w:r>
    </w:p>
    <w:p>
      <w:pPr>
        <w:pStyle w:val="BookText"/>
        <w:rPr/>
      </w:pPr>
      <w:r>
        <w:rPr>
          <w:rFonts w:ascii="Amiri" w:hAnsi="Amiri" w:eastAsia="Amiri" w:cs="Amiri"/>
          <w:color w:val="111111"/>
          <w:sz w:val="28"/>
          <w:sz w:val="28"/>
          <w:szCs w:val="28"/>
          <w:rtl w:val="true"/>
          <w:lang w:bidi="ar-SA"/>
        </w:rPr>
        <w:t>من غير العرب وإلاّ لم يكن لسؤاله عن ذبائح نصارى العرب وجه، فالرواية تدلّ بمفهومها المستفاد من كلام السائل على حلّية ذبائح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مجموع الروايات الواردة في حكم ذبائح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في ذلك يتمّ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يستفاد من مجموع الآيات والروايات أنّ المدار في حلّية الذبيحة هو ذكر اسم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الآيات فمنها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أَمْسَكْنَ عَلَيْكُمْ وَاذْكُرُوا اسْمَ اللَّهِ عَلَيْهِ</w:t>
      </w:r>
      <w:r>
        <w:rPr>
          <w:rFonts w:eastAsia="Amiri" w:cs="Amiri" w:ascii="Amiri" w:hAnsi="Amiri"/>
          <w:color w:val="111111"/>
          <w:sz w:val="28"/>
          <w:szCs w:val="28"/>
          <w:rtl w:val="true"/>
          <w:lang w:bidi="ar-SA"/>
        </w:rPr>
        <w:t>»</w:t>
      </w:r>
      <w:r>
        <w:rPr>
          <w:rStyle w:val="FootnoteAnchor"/>
          <w:rtl w:val="true"/>
        </w:rPr>
        <w:footnoteReference w:id="1126"/>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ذُكِرَ اسْمُ اللَّهِ عَلَيْهِ إِنْ كُنتُمْ بِآيَاتِهِ مُؤْمِنِينَ</w:t>
      </w:r>
      <w:r>
        <w:rPr>
          <w:rFonts w:eastAsia="Amiri" w:cs="Amiri" w:ascii="Amiri" w:hAnsi="Amiri"/>
          <w:color w:val="111111"/>
          <w:sz w:val="28"/>
          <w:szCs w:val="28"/>
          <w:rtl w:val="true"/>
          <w:lang w:bidi="ar-SA"/>
        </w:rPr>
        <w:t>»</w:t>
      </w:r>
      <w:r>
        <w:rPr>
          <w:rStyle w:val="FootnoteAnchor"/>
          <w:rtl w:val="true"/>
        </w:rPr>
        <w:footnoteReference w:id="1127"/>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مِمَّا لَمْ يُذْكَرْ اسْمُ اللَّهِ عَلَيْهِ وَإِنَّهُ لَفِسْقٌ</w:t>
      </w:r>
      <w:r>
        <w:rPr>
          <w:rFonts w:eastAsia="Amiri" w:cs="Amiri" w:ascii="Amiri" w:hAnsi="Amiri"/>
          <w:color w:val="111111"/>
          <w:sz w:val="28"/>
          <w:szCs w:val="28"/>
          <w:rtl w:val="true"/>
          <w:lang w:bidi="ar-SA"/>
        </w:rPr>
        <w:t>»</w:t>
      </w:r>
      <w:r>
        <w:rPr>
          <w:rStyle w:val="FootnoteAnchor"/>
          <w:rtl w:val="true"/>
        </w:rPr>
        <w:footnoteReference w:id="1128"/>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وَأَنْعَامٌ لا يَذْكُرُونَ اسْمَ اللَّهِ عَلَيْهَا افْتِرَاءً عَلَيْهِ</w:t>
      </w:r>
      <w:r>
        <w:rPr>
          <w:rFonts w:eastAsia="Amiri" w:cs="Amiri" w:ascii="Amiri" w:hAnsi="Amiri"/>
          <w:color w:val="111111"/>
          <w:sz w:val="28"/>
          <w:szCs w:val="28"/>
          <w:rtl w:val="true"/>
          <w:lang w:bidi="ar-SA"/>
        </w:rPr>
        <w:t>»</w:t>
      </w:r>
      <w:r>
        <w:rPr>
          <w:rStyle w:val="FootnoteAnchor"/>
          <w:rtl w:val="true"/>
        </w:rPr>
        <w:footnoteReference w:id="1129"/>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فِسْقاً أُهِلَّ لِغَيْرِ اللَّهِ بِهِ</w:t>
      </w:r>
      <w:r>
        <w:rPr>
          <w:rFonts w:eastAsia="Amiri" w:cs="Amiri" w:ascii="Amiri" w:hAnsi="Amiri"/>
          <w:color w:val="111111"/>
          <w:sz w:val="28"/>
          <w:szCs w:val="28"/>
          <w:rtl w:val="true"/>
          <w:lang w:bidi="ar-SA"/>
        </w:rPr>
        <w:t>»</w:t>
      </w:r>
      <w:r>
        <w:rPr>
          <w:rStyle w:val="FootnoteAnchor"/>
          <w:rtl w:val="true"/>
        </w:rPr>
        <w:footnoteReference w:id="1130"/>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أُهِلَّ لِغَيْرِ اللَّهِ بِهِ</w:t>
      </w:r>
      <w:r>
        <w:rPr>
          <w:rFonts w:eastAsia="Amiri" w:cs="Amiri" w:ascii="Amiri" w:hAnsi="Amiri"/>
          <w:color w:val="111111"/>
          <w:sz w:val="28"/>
          <w:szCs w:val="28"/>
          <w:rtl w:val="true"/>
          <w:lang w:bidi="ar-SA"/>
        </w:rPr>
        <w:t>»</w:t>
      </w:r>
      <w:r>
        <w:rPr>
          <w:rStyle w:val="FootnoteAnchor"/>
          <w:rtl w:val="true"/>
        </w:rPr>
        <w:footnoteReference w:id="1131"/>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أَلاَّ تَأْكُلُوا مِمَّا ذُكِرَ اسْمُ اللَّهِ عَلَيْهِ</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هذه الآيات أنّ ذكر اسم الله على الذبيحة ركن أساس في حلّيتها فإذا لم يذكر اسم الله عليها فلا يجوز أكلها، وهذا الركن مطلق بمعنى توقّف حلّية الذبيحة على التسمية أيّاً كان الذابح</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هناك آيات أخرى تدل على اشتراط التسمية وردت تخاطب المسلمين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وَلِكُلِّ أُمَّةٍ جَعَلْنَا مَنْسَكاً لِيَذْكُرُوا اسْمَ اللَّهِ عَلَى مَا رَزَقَهُمْ </w:t>
      </w:r>
    </w:p>
    <w:p>
      <w:pPr>
        <w:pStyle w:val="BookText"/>
        <w:rPr/>
      </w:pPr>
      <w:r>
        <w:rPr>
          <w:rFonts w:ascii="Amiri" w:hAnsi="Amiri" w:eastAsia="Amiri" w:cs="Amiri"/>
          <w:color w:val="111111"/>
          <w:sz w:val="28"/>
          <w:sz w:val="28"/>
          <w:szCs w:val="28"/>
          <w:rtl w:val="true"/>
          <w:lang w:bidi="ar-SA"/>
        </w:rPr>
        <w:t>مِنْ بَهِيمَةِ الأَنْعَامِ</w:t>
      </w:r>
      <w:r>
        <w:rPr>
          <w:rFonts w:eastAsia="Amiri" w:cs="Amiri" w:ascii="Amiri" w:hAnsi="Amiri"/>
          <w:color w:val="111111"/>
          <w:sz w:val="28"/>
          <w:szCs w:val="28"/>
          <w:rtl w:val="true"/>
          <w:lang w:bidi="ar-SA"/>
        </w:rPr>
        <w:t>»</w:t>
      </w:r>
      <w:r>
        <w:rPr>
          <w:rStyle w:val="FootnoteAnchor"/>
          <w:rtl w:val="true"/>
        </w:rPr>
        <w:footnoteReference w:id="1133"/>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وَالْبُدْنَ جَعَلْنَاهَا لَكُمْ مِنْ شَعَائِرِ اللَّهِ لَكُمْ فِيهَا خَيْرٌ فَاذْكُرُوا اسْمَ اللَّهِ عَلَيْهَا صَوَافَّ فَإِذَا وَجَبَتْ جُنُوبُهَا فَكُلُوا مِنْهَا وَأَطْعِمُوا الْقَانِعَ وَالْمُعْتَرَّ</w:t>
      </w:r>
      <w:r>
        <w:rPr>
          <w:rFonts w:eastAsia="Amiri" w:cs="Amiri" w:ascii="Amiri" w:hAnsi="Amiri"/>
          <w:color w:val="111111"/>
          <w:sz w:val="28"/>
          <w:szCs w:val="28"/>
          <w:rtl w:val="true"/>
          <w:lang w:bidi="ar-SA"/>
        </w:rPr>
        <w:t>»</w:t>
      </w:r>
      <w:r>
        <w:rPr>
          <w:rStyle w:val="FootnoteAnchor"/>
          <w:rtl w:val="true"/>
        </w:rPr>
        <w:footnoteReference w:id="1134"/>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مَنَافِعَ لَهُمْ وَيَذْكُرُوا اسْمَ اللَّهِ فِي أَيَّامٍ مَعْلُومَاتٍ عَلَى مَا رَزَقَهُمْ مِنْ بَهِيمَةِ الأَنْعَامِ فَكُلُوا مِنْهَا وَأَطْعِمُوا الْبَائِسَ الْفَقِيرَ</w:t>
      </w:r>
      <w:r>
        <w:rPr>
          <w:rFonts w:eastAsia="Amiri" w:cs="Amiri" w:ascii="Amiri" w:hAnsi="Amiri"/>
          <w:color w:val="111111"/>
          <w:sz w:val="28"/>
          <w:szCs w:val="28"/>
          <w:rtl w:val="true"/>
          <w:lang w:bidi="ar-SA"/>
        </w:rPr>
        <w:t>»</w:t>
      </w:r>
      <w:r>
        <w:rPr>
          <w:rStyle w:val="FootnoteAnchor"/>
          <w:rtl w:val="true"/>
        </w:rPr>
        <w:footnoteReference w:id="1135"/>
      </w:r>
      <w:r>
        <w:rPr>
          <w:rFonts w:ascii="Amiri" w:hAnsi="Amiri" w:eastAsia="Amiri" w:cs="Amiri"/>
          <w:color w:val="111111"/>
          <w:sz w:val="28"/>
          <w:sz w:val="28"/>
          <w:szCs w:val="28"/>
          <w:rtl w:val="true"/>
          <w:lang w:bidi="ar-SA"/>
        </w:rPr>
        <w:t>بناء على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رزقهم من بهيمة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هو ذكر اسم الله على البهيمة عند ذبحها كما 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كانت هذه الآيات خاصّة بخطاب المسلمين لأنها واردة في 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الآيات تدلّ على أن ذكر اسم الله على الذبيحة شرط في حلّيتها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الدالة على ذلك فهي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حنان،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الحسين بن المنذر روى لنا عنك أنّك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الذبيحة اسم ولا يؤمن عليها إلاّ أهلها،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أحدثوا فيها شيئاً لا أشتهيه، قال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نصرانياً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تقولون إذا ذبحتم؟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المسيح</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الحسين الأحمسي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الاسم ولا يؤمن عليه إلاّ مسلم</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ابن أبي عمير ومحل الشاهد 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الاسم</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قتيبة الأعشى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عنده رجلاً يسأله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أخاً يسلف في الغنم في الجبال، فيعطي السنّ مكان السنّ،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بطيبة نفس من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يكون فيها الوكيل فيكون يهودياً أو نصرانياً، فتقع فيها العارضة فيبيعها مذبوحة، ويأتيه بثمنها وربما ملّحها فأتاه بها مملوحة،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أتاه بثمنها فلايخلطه بماله ولا يحركه، وإن أتاه بها مملوحة فلا يأكلها، فإنما هو الاسم، وليس يؤمن على الاسم إلاّ مسلم، فقال له بعض من في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طعام الذين أوتوا الكتاب حل لكم وطعامكم حلّ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الحبوب وما أشبهها</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الحسين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نتكارى هؤلاء الأكراد في قطاع الغنم، وإنما هم عبدة النيران وأشباه ذلك، فتسقط العارضة فيذبحونها ويبيعونها،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 تجعله في مالك، إنما الذبيحة اسم ولا يؤمن على الاسم إلاّ مسلم</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جميع هذه الروايات حُصرت حلية الذبيحة في ذكر اسم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خصوص الآيات وبعض الروايات أنّ حلية الذبيحة تتوقّف على شروط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ذكر اسم الله عليها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الذبيحة إذا كانت أضحية فلابدّ أن يكون الذابح مسلماً وإن كان مخالفاً، وذلك لما ورد من إطلاق روايتي الحسين بن علوان وسلمة أبي حفص </w:t>
      </w:r>
    </w:p>
    <w:p>
      <w:pPr>
        <w:pStyle w:val="BookText"/>
        <w:rPr/>
      </w:pPr>
      <w:r>
        <w:rPr>
          <w:rFonts w:ascii="Amiri" w:hAnsi="Amiri" w:eastAsia="Amiri" w:cs="Amiri"/>
          <w:color w:val="111111"/>
          <w:sz w:val="28"/>
          <w:sz w:val="28"/>
          <w:szCs w:val="28"/>
          <w:rtl w:val="true"/>
          <w:lang w:bidi="ar-SA"/>
        </w:rPr>
        <w:t>المتقدمين، فقد ورد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يذبحها إلاّ المسلمون، وورد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ولايذبحها إلاّ مسلم، فهما شاملتان للمخالف وأما إذا لم يكن مسلماً سواء كان كتابياً أو غيره فلا 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التسمية من المسلم المباشر للصيد إذا كانت آلة الصيد حيواناً كالكلب المعلّم، فلا تجزي تسمية غير المرسل كتابياً كان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الشرط الأول وهو لزوم ذكر اسم الله على الذبيحة فهل المعتبر أن يكون مسلماً أو موحّداً، فيه 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هو صدور التسمية من الموحّد المعتقد مع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هو صدورها من الموحّد المعتقد سواء كان معتقداً بالوجوب أو لا، وسواء كان بقصد القربة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صدورها من مطلق القائل موحّداً كان أو لا، معتقداً بالوجوب أو لا، قاصداً للقربة أو لا، بل يشمل ما إذا وقع من غير ذي شعور كآلة حفظ الصوت مثلاً، أو من غير المباشر، أو من الطفل، أو من المجنون، ونحو ذلك فإنّ مقتضى إطلاق ذكر اسم الله شموله لهذه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عدم صحّة الأخير فإنّ التقييد في الآية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كونه بقصد  الذبح، فلا تحلّ الذبيحة إلاّ ممّن يعتقد بالله تعالى قاصداً بالذكر الذبح، وأما ما عداه كالطفل والمجنون وآلة حفظ الصوت فغير داخل في الآية وذلك لورودها في مقابل ما أهلّ به لغير الله، أي ما كان المقصود به غير الله تعالى، وأما الاعتقاد بالوجوب وعدمه فالظاهر من الآية الإطلاق بالنسبة إليه، فلا يبعد القول بالاحتمال الثاني وإن كان الاحتمال الأول هو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الواردة على أقسام ثلاثة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المنع من أكل ذبيحة أهل الكتاب </w:t>
      </w:r>
    </w:p>
    <w:p>
      <w:pPr>
        <w:pStyle w:val="BookText"/>
        <w:rPr/>
      </w:pPr>
      <w:r>
        <w:rPr>
          <w:rFonts w:ascii="Amiri" w:hAnsi="Amiri" w:eastAsia="Amiri" w:cs="Amiri"/>
          <w:color w:val="111111"/>
          <w:sz w:val="28"/>
          <w:sz w:val="28"/>
          <w:szCs w:val="28"/>
          <w:rtl w:val="true"/>
          <w:lang w:bidi="ar-SA"/>
        </w:rPr>
        <w:t>مطلقاً كمعتبرة ابن أبي عمير</w:t>
      </w:r>
      <w:r>
        <w:rPr>
          <w:rStyle w:val="FootnoteAnchor"/>
          <w:rtl w:val="true"/>
        </w:rPr>
        <w:footnoteReference w:id="1141"/>
      </w:r>
      <w:r>
        <w:rPr>
          <w:rFonts w:ascii="Amiri" w:hAnsi="Amiri" w:eastAsia="Amiri" w:cs="Amiri"/>
          <w:color w:val="111111"/>
          <w:sz w:val="28"/>
          <w:sz w:val="28"/>
          <w:szCs w:val="28"/>
          <w:rtl w:val="true"/>
          <w:lang w:bidi="ar-SA"/>
        </w:rPr>
        <w:t>المتقدمة الواردة في شأن ابن أبي يعفور والمعلّى بن خنيس حيث اختلفا في ذبائح اليهود فأكل المعلّى ولم يأكل ابن أبي يعفور، وموثقة سماعة</w:t>
      </w:r>
      <w:r>
        <w:rPr>
          <w:rStyle w:val="FootnoteAnchor"/>
          <w:rtl w:val="true"/>
        </w:rPr>
        <w:footnoteReference w:id="1142"/>
      </w:r>
      <w:r>
        <w:rPr>
          <w:rFonts w:ascii="IRNazanin" w:hAnsi="IRNazanin" w:eastAsia="IRNazanin"/>
          <w:color w:val="111111"/>
          <w:sz w:val="28"/>
          <w:sz w:val="28"/>
          <w:szCs w:val="28"/>
          <w:rtl w:val="true"/>
          <w:lang w:bidi="fa-IR"/>
        </w:rPr>
        <w:t xml:space="preserve">المتقدمة أيضاً عن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ومعتبرة إسماعيل</w:t>
      </w:r>
      <w:r>
        <w:rPr>
          <w:rStyle w:val="FootnoteAnchor"/>
          <w:rtl w:val="true"/>
        </w:rPr>
        <w:footnoteReference w:id="1143"/>
      </w:r>
      <w:r>
        <w:rPr>
          <w:rFonts w:ascii="Amiri" w:hAnsi="Amiri" w:eastAsia="Amiri" w:cs="Amiri"/>
          <w:color w:val="111111"/>
          <w:sz w:val="28"/>
          <w:sz w:val="28"/>
          <w:szCs w:val="28"/>
          <w:rtl w:val="true"/>
          <w:lang w:bidi="ar-SA"/>
        </w:rPr>
        <w:t>بن جابر وعبد الله بن طلحة، وصحيحة محمد بن يحيى الخثعمي</w:t>
      </w:r>
      <w:r>
        <w:rPr>
          <w:rStyle w:val="FootnoteAnchor"/>
          <w:rtl w:val="true"/>
        </w:rPr>
        <w:footnoteReference w:id="1144"/>
      </w:r>
      <w:r>
        <w:rPr>
          <w:rFonts w:ascii="Amiri" w:hAnsi="Amiri" w:eastAsia="Amiri" w:cs="Amiri"/>
          <w:color w:val="111111"/>
          <w:sz w:val="28"/>
          <w:sz w:val="28"/>
          <w:szCs w:val="28"/>
          <w:rtl w:val="true"/>
          <w:lang w:bidi="ar-SA"/>
        </w:rPr>
        <w:t>، وصحيحة حميد بن المثنى</w:t>
      </w:r>
      <w:r>
        <w:rPr>
          <w:rStyle w:val="FootnoteAnchor"/>
          <w:rtl w:val="true"/>
        </w:rPr>
        <w:footnoteReference w:id="1145"/>
      </w:r>
      <w:r>
        <w:rPr>
          <w:rFonts w:ascii="Amiri" w:hAnsi="Amiri" w:eastAsia="Amiri" w:cs="Amiri"/>
          <w:color w:val="111111"/>
          <w:sz w:val="28"/>
          <w:sz w:val="28"/>
          <w:szCs w:val="28"/>
          <w:rtl w:val="true"/>
          <w:lang w:bidi="ar-SA"/>
        </w:rPr>
        <w:t>، وصحيحة سليمان بن خالد</w:t>
      </w:r>
      <w:r>
        <w:rPr>
          <w:rStyle w:val="FootnoteAnchor"/>
          <w:rtl w:val="true"/>
        </w:rPr>
        <w:footnoteReference w:id="1146"/>
      </w:r>
      <w:r>
        <w:rPr>
          <w:rFonts w:ascii="Amiri" w:hAnsi="Amiri" w:eastAsia="Amiri" w:cs="Amiri"/>
          <w:color w:val="111111"/>
          <w:sz w:val="28"/>
          <w:sz w:val="28"/>
          <w:szCs w:val="28"/>
          <w:rtl w:val="true"/>
          <w:lang w:bidi="ar-SA"/>
        </w:rPr>
        <w:t>، وموثقة مسعدة بن صدقة</w:t>
      </w:r>
      <w:r>
        <w:rPr>
          <w:rStyle w:val="FootnoteAnchor"/>
          <w:rtl w:val="true"/>
        </w:rPr>
        <w:footnoteReference w:id="1147"/>
      </w:r>
      <w:r>
        <w:rPr>
          <w:rFonts w:ascii="Amiri" w:hAnsi="Amiri" w:eastAsia="Amiri" w:cs="Amiri"/>
          <w:color w:val="111111"/>
          <w:sz w:val="28"/>
          <w:sz w:val="28"/>
          <w:szCs w:val="28"/>
          <w:rtl w:val="true"/>
          <w:lang w:bidi="ar-SA"/>
        </w:rPr>
        <w:t>، والروايتان الأخيرتان إنما تدلاّن على عدم حلّية ذبائح أهل الكتاب بالمفهوم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هذه الروايات قد ذكرناها في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الجواز مطلقاً كصحيحة العقرقوفي</w:t>
      </w:r>
      <w:r>
        <w:rPr>
          <w:rStyle w:val="FootnoteAnchor"/>
          <w:rtl w:val="true"/>
        </w:rPr>
        <w:footnoteReference w:id="1148"/>
      </w:r>
      <w:r>
        <w:rPr>
          <w:rFonts w:ascii="Amiri" w:hAnsi="Amiri" w:eastAsia="Amiri" w:cs="Amiri"/>
          <w:color w:val="111111"/>
          <w:sz w:val="28"/>
          <w:sz w:val="28"/>
          <w:szCs w:val="28"/>
          <w:rtl w:val="true"/>
          <w:lang w:bidi="ar-SA"/>
        </w:rPr>
        <w:t>وموضع الشاهد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في عنقي، ما فيها فقد سمعته وأباه جميعاً يأمران بأكلها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وصحيحة محمد الحلبي</w:t>
      </w:r>
      <w:r>
        <w:rPr>
          <w:rStyle w:val="FootnoteAnchor"/>
          <w:rtl w:val="true"/>
        </w:rPr>
        <w:footnoteReference w:id="1149"/>
      </w:r>
      <w:r>
        <w:rPr>
          <w:rFonts w:ascii="Amiri" w:hAnsi="Amiri" w:eastAsia="Amiri" w:cs="Amiri"/>
          <w:color w:val="111111"/>
          <w:sz w:val="28"/>
          <w:sz w:val="28"/>
          <w:szCs w:val="28"/>
          <w:rtl w:val="true"/>
          <w:lang w:bidi="ar-SA"/>
        </w:rPr>
        <w:t>، ومعتبرة يونس بن بهمن</w:t>
      </w:r>
      <w:r>
        <w:rPr>
          <w:rStyle w:val="FootnoteAnchor"/>
          <w:rtl w:val="true"/>
        </w:rPr>
        <w:footnoteReference w:id="1150"/>
      </w:r>
      <w:r>
        <w:rPr>
          <w:rFonts w:ascii="Amiri" w:hAnsi="Amiri" w:eastAsia="Amiri" w:cs="Amiri"/>
          <w:color w:val="111111"/>
          <w:sz w:val="28"/>
          <w:sz w:val="28"/>
          <w:szCs w:val="28"/>
          <w:rtl w:val="true"/>
          <w:lang w:bidi="ar-SA"/>
        </w:rPr>
        <w:t>، وصحيحة إسماعيل بن عيسى</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w:t>
      </w:r>
      <w:r>
        <w:rPr>
          <w:rStyle w:val="FootnoteAnchor"/>
          <w:rtl w:val="true"/>
        </w:rPr>
        <w:footnoteReference w:id="1152"/>
      </w:r>
      <w:r>
        <w:rPr>
          <w:rFonts w:ascii="Amiri" w:hAnsi="Amiri" w:eastAsia="Amiri" w:cs="Amiri"/>
          <w:color w:val="111111"/>
          <w:sz w:val="28"/>
          <w:sz w:val="28"/>
          <w:szCs w:val="28"/>
          <w:rtl w:val="true"/>
          <w:lang w:bidi="ar-SA"/>
        </w:rPr>
        <w:t>، وصحيحة الحلبي</w:t>
      </w:r>
      <w:r>
        <w:rPr>
          <w:rStyle w:val="FootnoteAnchor"/>
          <w:rtl w:val="true"/>
        </w:rPr>
        <w:footnoteReference w:id="1153"/>
      </w:r>
      <w:r>
        <w:rPr>
          <w:rFonts w:ascii="Amiri" w:hAnsi="Amiri" w:eastAsia="Amiri" w:cs="Amiri"/>
          <w:color w:val="111111"/>
          <w:sz w:val="28"/>
          <w:sz w:val="28"/>
          <w:szCs w:val="28"/>
          <w:rtl w:val="true"/>
          <w:lang w:bidi="ar-SA"/>
        </w:rPr>
        <w:t>، وصحيحة محمد بن قيس</w:t>
      </w:r>
      <w:r>
        <w:rPr>
          <w:rStyle w:val="FootnoteAnchor"/>
          <w:rtl w:val="true"/>
        </w:rPr>
        <w:footnoteReference w:id="1154"/>
      </w:r>
      <w:r>
        <w:rPr>
          <w:rFonts w:ascii="Amiri" w:hAnsi="Amiri" w:eastAsia="Amiri" w:cs="Amiri"/>
          <w:color w:val="111111"/>
          <w:sz w:val="28"/>
          <w:sz w:val="28"/>
          <w:szCs w:val="28"/>
          <w:rtl w:val="true"/>
          <w:lang w:bidi="ar-SA"/>
        </w:rPr>
        <w:t>، ومعتبرة علي بن جعفر</w:t>
      </w:r>
      <w:r>
        <w:rPr>
          <w:rStyle w:val="FootnoteAnchor"/>
          <w:rtl w:val="true"/>
        </w:rPr>
        <w:footnoteReference w:id="1155"/>
      </w:r>
      <w:r>
        <w:rPr>
          <w:rFonts w:ascii="Amiri" w:hAnsi="Amiri" w:eastAsia="Amiri" w:cs="Amiri"/>
          <w:color w:val="111111"/>
          <w:sz w:val="28"/>
          <w:sz w:val="28"/>
          <w:szCs w:val="28"/>
          <w:rtl w:val="true"/>
          <w:lang w:bidi="ar-SA"/>
        </w:rPr>
        <w:t>ودلالة الروايات الأربع الأخيرة على الجواز بالمفهوم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ذكر جميع هذه الروايات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أنّ وجه الحرمة هو عدم ائتمانهم على التسمية، وإذا سمّوا أو قامت البيّنة على أنّهم سمّوا حلت ذبيحتهم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كصحيحتي الحسين الأحمسي</w:t>
      </w:r>
      <w:r>
        <w:rPr>
          <w:rStyle w:val="FootnoteAnchor"/>
          <w:rtl w:val="true"/>
        </w:rPr>
        <w:footnoteReference w:id="1156"/>
      </w:r>
      <w:r>
        <w:rPr>
          <w:rFonts w:ascii="Amiri" w:hAnsi="Amiri" w:eastAsia="Amiri" w:cs="Amiri"/>
          <w:color w:val="111111"/>
          <w:sz w:val="28"/>
          <w:sz w:val="28"/>
          <w:szCs w:val="28"/>
          <w:rtl w:val="true"/>
          <w:lang w:bidi="ar-SA"/>
        </w:rPr>
        <w:t>، ومعتبرة ابن أبي عمير</w:t>
      </w:r>
      <w:r>
        <w:rPr>
          <w:rStyle w:val="FootnoteAnchor"/>
          <w:rtl w:val="true"/>
        </w:rPr>
        <w:footnoteReference w:id="1157"/>
      </w:r>
      <w:r>
        <w:rPr>
          <w:rFonts w:ascii="Amiri" w:hAnsi="Amiri" w:eastAsia="Amiri" w:cs="Amiri"/>
          <w:color w:val="111111"/>
          <w:sz w:val="28"/>
          <w:sz w:val="28"/>
          <w:szCs w:val="28"/>
          <w:rtl w:val="true"/>
          <w:lang w:bidi="ar-SA"/>
        </w:rPr>
        <w:t>، ومعتبرة قتيبة الأعشى</w:t>
      </w:r>
      <w:r>
        <w:rPr>
          <w:rStyle w:val="FootnoteAnchor"/>
          <w:rtl w:val="true"/>
        </w:rPr>
        <w:footnoteReference w:id="1158"/>
      </w:r>
      <w:r>
        <w:rPr>
          <w:rFonts w:ascii="Amiri" w:hAnsi="Amiri" w:eastAsia="Amiri" w:cs="Amiri"/>
          <w:color w:val="111111"/>
          <w:sz w:val="28"/>
          <w:sz w:val="28"/>
          <w:szCs w:val="28"/>
          <w:rtl w:val="true"/>
          <w:lang w:bidi="ar-SA"/>
        </w:rPr>
        <w:t>، ومعتبرة معاوية بن وهب</w:t>
      </w:r>
      <w:r>
        <w:rPr>
          <w:rStyle w:val="FootnoteAnchor"/>
          <w:rtl w:val="true"/>
        </w:rPr>
        <w:footnoteReference w:id="1159"/>
      </w:r>
      <w:r>
        <w:rPr>
          <w:rFonts w:ascii="Amiri" w:hAnsi="Amiri" w:eastAsia="Amiri" w:cs="Amiri"/>
          <w:color w:val="111111"/>
          <w:sz w:val="28"/>
          <w:sz w:val="28"/>
          <w:szCs w:val="28"/>
          <w:rtl w:val="true"/>
          <w:lang w:bidi="ar-SA"/>
        </w:rPr>
        <w:t>، ومعتبرة علي بن جعفر</w:t>
      </w:r>
      <w:r>
        <w:rPr>
          <w:rStyle w:val="FootnoteAnchor"/>
          <w:rtl w:val="true"/>
        </w:rPr>
        <w:footnoteReference w:id="1160"/>
      </w:r>
      <w:r>
        <w:rPr>
          <w:rFonts w:ascii="Amiri" w:hAnsi="Amiri" w:eastAsia="Amiri" w:cs="Amiri"/>
          <w:color w:val="111111"/>
          <w:sz w:val="28"/>
          <w:sz w:val="28"/>
          <w:szCs w:val="28"/>
          <w:rtl w:val="true"/>
          <w:lang w:bidi="ar-SA"/>
        </w:rPr>
        <w:t>، وصحيحةحمران</w:t>
      </w:r>
      <w:r>
        <w:rPr>
          <w:rStyle w:val="FootnoteAnchor"/>
          <w:rtl w:val="true"/>
        </w:rPr>
        <w:footnoteReference w:id="1161"/>
      </w:r>
      <w:r>
        <w:rPr>
          <w:rFonts w:ascii="Amiri" w:hAnsi="Amiri" w:eastAsia="Amiri" w:cs="Amiri"/>
          <w:color w:val="111111"/>
          <w:sz w:val="28"/>
          <w:sz w:val="28"/>
          <w:szCs w:val="28"/>
          <w:rtl w:val="true"/>
          <w:lang w:bidi="ar-SA"/>
        </w:rPr>
        <w:t>، وصحيحة جميل ومحمد بن حمران</w:t>
      </w:r>
      <w:r>
        <w:rPr>
          <w:rStyle w:val="FootnoteAnchor"/>
          <w:rtl w:val="true"/>
        </w:rPr>
        <w:footnoteReference w:id="1162"/>
      </w:r>
      <w:r>
        <w:rPr>
          <w:rFonts w:ascii="Amiri" w:hAnsi="Amiri" w:eastAsia="Amiri" w:cs="Amiri"/>
          <w:color w:val="111111"/>
          <w:sz w:val="28"/>
          <w:sz w:val="28"/>
          <w:szCs w:val="28"/>
          <w:rtl w:val="true"/>
          <w:lang w:bidi="ar-SA"/>
        </w:rPr>
        <w:t>، وصحيحة حريز</w:t>
      </w:r>
      <w:r>
        <w:rPr>
          <w:rStyle w:val="FootnoteAnchor"/>
          <w:rtl w:val="true"/>
        </w:rPr>
        <w:footnoteReference w:id="1163"/>
      </w:r>
      <w:r>
        <w:rPr>
          <w:rFonts w:ascii="Amiri" w:hAnsi="Amiri" w:eastAsia="Amiri" w:cs="Amiri"/>
          <w:color w:val="111111"/>
          <w:sz w:val="28"/>
          <w:sz w:val="28"/>
          <w:szCs w:val="28"/>
          <w:rtl w:val="true"/>
          <w:lang w:bidi="ar-SA"/>
        </w:rPr>
        <w:t>، وصحيحتي حريز وزرارة</w:t>
      </w:r>
      <w:r>
        <w:rPr>
          <w:rStyle w:val="FootnoteAnchor"/>
          <w:rtl w:val="true"/>
        </w:rPr>
        <w:footnoteReference w:id="1164"/>
      </w:r>
      <w:r>
        <w:rPr>
          <w:rFonts w:ascii="Amiri" w:hAnsi="Amiri" w:eastAsia="Amiri" w:cs="Amiri"/>
          <w:color w:val="111111"/>
          <w:sz w:val="28"/>
          <w:sz w:val="28"/>
          <w:szCs w:val="28"/>
          <w:rtl w:val="true"/>
          <w:lang w:bidi="ar-SA"/>
        </w:rPr>
        <w:t>، ورواية عامر بن علي</w:t>
      </w:r>
      <w:r>
        <w:rPr>
          <w:rStyle w:val="FootnoteAnchor"/>
          <w:rtl w:val="true"/>
        </w:rPr>
        <w:footnoteReference w:id="1165"/>
      </w:r>
      <w:r>
        <w:rPr>
          <w:rFonts w:ascii="Amiri" w:hAnsi="Amiri" w:eastAsia="Amiri" w:cs="Amiri"/>
          <w:color w:val="111111"/>
          <w:sz w:val="28"/>
          <w:sz w:val="28"/>
          <w:szCs w:val="28"/>
          <w:rtl w:val="true"/>
          <w:lang w:bidi="ar-SA"/>
        </w:rPr>
        <w:t>، ورواية عمر بن حنظلة</w:t>
      </w:r>
      <w:r>
        <w:rPr>
          <w:rStyle w:val="FootnoteAnchor"/>
          <w:rtl w:val="true"/>
        </w:rPr>
        <w:footnoteReference w:id="1166"/>
      </w:r>
      <w:r>
        <w:rPr>
          <w:rFonts w:ascii="Amiri" w:hAnsi="Amiri" w:eastAsia="Amiri" w:cs="Amiri"/>
          <w:color w:val="111111"/>
          <w:sz w:val="28"/>
          <w:sz w:val="28"/>
          <w:szCs w:val="28"/>
          <w:rtl w:val="true"/>
          <w:lang w:bidi="ar-SA"/>
        </w:rPr>
        <w:t>، ورواية علي بن إبراهيم في تفسيره</w:t>
      </w:r>
      <w:r>
        <w:rPr>
          <w:rStyle w:val="FootnoteAnchor"/>
          <w:rtl w:val="true"/>
        </w:rPr>
        <w:footnoteReference w:id="1167"/>
      </w:r>
      <w:r>
        <w:rPr>
          <w:rFonts w:ascii="Amiri" w:hAnsi="Amiri" w:eastAsia="Amiri" w:cs="Amiri"/>
          <w:color w:val="111111"/>
          <w:sz w:val="28"/>
          <w:sz w:val="28"/>
          <w:szCs w:val="28"/>
          <w:rtl w:val="true"/>
          <w:lang w:bidi="ar-SA"/>
        </w:rPr>
        <w:t xml:space="preserve">، ومرسلة </w:t>
      </w:r>
    </w:p>
    <w:p>
      <w:pPr>
        <w:pStyle w:val="BookText"/>
        <w:rPr/>
      </w:pPr>
      <w:r>
        <w:rPr>
          <w:rFonts w:ascii="IRNazanin" w:hAnsi="IRNazanin" w:eastAsia="IRNazanin"/>
          <w:color w:val="111111"/>
          <w:sz w:val="28"/>
          <w:sz w:val="28"/>
          <w:szCs w:val="28"/>
          <w:rtl w:val="true"/>
          <w:lang w:bidi="fa-IR"/>
        </w:rPr>
        <w:t>الصدوق</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وجميع هذه الروايات قد تقدم ذكرها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حنان بن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وأبي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فداك إن لنا خلطاء من النصارى، وإنّا نأتيهم فيذبحون لنا الدجاج، والفراخ، والجداء، أفنأكلها؟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تأكلوها ولا تقربوها، فإنهم يقولون على ذبائحهم ما لا أحبّ لكم أكلها ـ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إنّا لنقول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المسيح</w:t>
      </w:r>
      <w:r>
        <w:rPr>
          <w:rStyle w:val="FootnoteAnchor"/>
          <w:rtl w:val="true"/>
        </w:rPr>
        <w:footnoteReference w:id="1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معتبرته الثانية المتقدمة</w:t>
      </w:r>
      <w:r>
        <w:rPr>
          <w:rStyle w:val="FootnoteAnchor"/>
          <w:rtl w:val="true"/>
        </w:rPr>
        <w:footnoteReference w:id="1170"/>
      </w:r>
      <w:r>
        <w:rPr>
          <w:rFonts w:ascii="Amiri" w:hAnsi="Amiri" w:eastAsia="Amiri" w:cs="Amiri"/>
          <w:color w:val="111111"/>
          <w:sz w:val="28"/>
          <w:sz w:val="28"/>
          <w:szCs w:val="28"/>
          <w:rtl w:val="true"/>
          <w:lang w:bidi="ar-SA"/>
        </w:rPr>
        <w:t>وهاتان الروايتان تدلان على الحرمة لأنّهم أحدثوا ما أوجب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فالمستفاد من بعض هذه الروايات أنّ حرمة ذبائحهم إنما هي لعدم التسمية، أو لأنّهم أحدثوا في التسمية ما أوجب حرمتها، كما يستفاد من عدة منها حلّية ذبائحهم مع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الصناعة والجمع بين الروايات وحمل المطلق على  المقيد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القسمان الأولان على القسم الثالث، ويقال بحلّية ذبائحهم إذا صدرت التسمية الصحيحة منهم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يعارض ما ذكرنا من الجمع ما ورد من النهي عن أكل ذبائحهم وإن سمّوا وهي رواية زيد الشحام</w:t>
      </w:r>
      <w:r>
        <w:rPr>
          <w:rStyle w:val="FootnoteAnchor"/>
          <w:rtl w:val="true"/>
        </w:rPr>
        <w:footnoteReference w:id="1171"/>
      </w:r>
      <w:r>
        <w:rPr>
          <w:rFonts w:ascii="Amiri" w:hAnsi="Amiri" w:eastAsia="Amiri" w:cs="Amiri"/>
          <w:color w:val="111111"/>
          <w:sz w:val="28"/>
          <w:sz w:val="28"/>
          <w:szCs w:val="28"/>
          <w:rtl w:val="true"/>
          <w:lang w:bidi="ar-SA"/>
        </w:rPr>
        <w:t>وما ورد في مقابلها مما يدل على الجواز وإن سمّوا المسيح وهي رواية عبد الملك بن عمرو</w:t>
      </w:r>
      <w:r>
        <w:rPr>
          <w:rStyle w:val="FootnoteAnchor"/>
          <w:rtl w:val="true"/>
        </w:rPr>
        <w:footnoteReference w:id="1172"/>
      </w:r>
      <w:r>
        <w:rPr>
          <w:rFonts w:ascii="Amiri" w:hAnsi="Amiri" w:eastAsia="Amiri" w:cs="Amiri"/>
          <w:color w:val="111111"/>
          <w:sz w:val="28"/>
          <w:sz w:val="28"/>
          <w:szCs w:val="28"/>
          <w:rtl w:val="true"/>
          <w:lang w:bidi="ar-SA"/>
        </w:rPr>
        <w:t>، ورواية أبي بصير</w:t>
      </w:r>
      <w:r>
        <w:rPr>
          <w:rStyle w:val="FootnoteAnchor"/>
          <w:rtl w:val="true"/>
        </w:rPr>
        <w:footnoteReference w:id="117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وذلك لأنّ هذه الروايات الثلاثة كلّها ضعيفة الاسناد ولا يمكن الاعتماد عليها فلا تصلح للمعارضة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رواية عبد الملك بن عمرو معتبرة، فإنّ للصدوق طريقاً</w:t>
      </w:r>
      <w:r>
        <w:rPr>
          <w:rStyle w:val="FootnoteAnchor"/>
          <w:rtl w:val="true"/>
        </w:rPr>
        <w:footnoteReference w:id="1174"/>
      </w:r>
      <w:r>
        <w:rPr>
          <w:rFonts w:ascii="Amiri" w:hAnsi="Amiri" w:eastAsia="Amiri" w:cs="Amiri"/>
          <w:color w:val="111111"/>
          <w:sz w:val="28"/>
          <w:sz w:val="28"/>
          <w:szCs w:val="28"/>
          <w:rtl w:val="true"/>
          <w:lang w:bidi="ar-SA"/>
        </w:rPr>
        <w:t>معتبراً إليها، ووقوع الحكم بن مسكين في الطريق لا يضرّ باعتباره لوروده في أسناد نوادرالحكمة</w:t>
      </w:r>
      <w:r>
        <w:rPr>
          <w:rStyle w:val="FootnoteAnchor"/>
          <w:rtl w:val="true"/>
        </w:rPr>
        <w:footnoteReference w:id="1175"/>
      </w:r>
      <w:r>
        <w:rPr>
          <w:rFonts w:ascii="Amiri" w:hAnsi="Amiri" w:eastAsia="Amiri" w:cs="Amiri"/>
          <w:color w:val="111111"/>
          <w:sz w:val="28"/>
          <w:sz w:val="28"/>
          <w:szCs w:val="28"/>
          <w:rtl w:val="true"/>
          <w:lang w:bidi="ar-SA"/>
        </w:rPr>
        <w:t>، ورواية المشايخ الثقات عنه</w:t>
      </w:r>
      <w:r>
        <w:rPr>
          <w:rStyle w:val="FootnoteAnchor"/>
          <w:rtl w:val="true"/>
        </w:rPr>
        <w:footnoteReference w:id="1176"/>
      </w:r>
      <w:r>
        <w:rPr>
          <w:rFonts w:ascii="Amiri" w:hAnsi="Amiri" w:eastAsia="Amiri" w:cs="Amiri"/>
          <w:color w:val="111111"/>
          <w:sz w:val="28"/>
          <w:sz w:val="28"/>
          <w:szCs w:val="28"/>
          <w:rtl w:val="true"/>
          <w:lang w:bidi="ar-SA"/>
        </w:rPr>
        <w:t>، فيحكم بوثاقته، وأما نفس عبد الملك بن عمرو فيكفي في الحكم بوثاقته وقوعه في أسناد نوادر الحكمة، وقد أشرنا إلى ذلك فيما تقدم، ولكن مع ذلك لا يمكن الاعتماد عليها لضعف دلالتها وذلك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معارضة بما دلّ على لزوم ذكر اسم الله تعالى كما تقدم، ولما ورد من النهي عن أكل ذبائحهم لأنهم يسمّون المسيح عليها، كما في معتبرة حنان،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وأبي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فداك إنّ لنا خلطاء من النصارى وإنا نأتيهم فيذبحون لنا الدجاج والفراخ والجداء أفنأكلها؟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تأكلوها ولا تقربوها، فأنهم يقولون على ذبائحهم ما لا أحبّ لكم أكلها ـ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إنا لنقول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المسيح</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يلتزم أحد من الفقهاء بالاكتفاء في حلّية الذبيحة بذكر اسم مخلوق وإن قصد به الخالق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فلابدّ من طرح الرواية أو ردّ علمها إلى أهلها، وما ذكرناه من الجمع سليم عن المعارضة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الذي يضعّف هذا الجمع أمران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أكثر الأصحاب إلى روايات المنع مطلقاً وطرحهم روايات الجواز مع التسمية وحملها على التقية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ولعل الوجه في الحمل على التقية ما فهموه من سياق هذه الروايات من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لم يتمكنوا من بيان الحكم ـ وهو عدم الحلّية ـ صريحاً بيّنوه بذكر العلّة المقبولة عند العامة وهي اعتبار التسمية وأنه لا يؤمن عليها إلاّ مسلم، نظير ما ورد في الصوم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إلى الإمام </w:t>
      </w:r>
      <w:r>
        <w:rPr>
          <w:rFonts w:eastAsia="IRNazanin" w:cs="IRNazanin"/>
          <w:color w:val="111111"/>
          <w:sz w:val="28"/>
          <w:szCs w:val="28"/>
          <w:rtl w:val="true"/>
          <w:lang w:bidi="fa-IR"/>
        </w:rPr>
        <w:t xml:space="preserve">...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الكبرى وإن كانت مسلمة إلاّ أن الكلام في تحقّق المصداق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 ما ذكرنا رواية بشير ابن أبي غيلان الشيباني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ذبائح اليهود والنصارى والنصّاب،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فلوى شدقه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إلى يوم مّا</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فإنها تشعر بأنّ الحلّية مؤقتة وأنّها للتقية وقد حملها الشيخ على ذلك</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ويؤيده أيضاً معتبرة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ذبائح أهل الكتاب،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إذا ذكروا اسم الله، ولكن أعني منهم من يكون على أمر موسى وعيسى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تشعر بأنّ هؤلاء اليهود والنصارى ليسوا على أمر موسى وعيسى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حكمهم بالجواز مع سماع التسمية كما ورد في بعض الروايات المتقدمةمن باب التعليق على أمر لا يتحقّق في الخارج</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فالتقييد ـ حينئذ ـ يكون مورد الشك، ولا يصحّ رفع اليد عن إطلاقات </w:t>
      </w:r>
    </w:p>
    <w:p>
      <w:pPr>
        <w:pStyle w:val="BookText"/>
        <w:rPr/>
      </w:pPr>
      <w:r>
        <w:rPr>
          <w:rFonts w:ascii="Amiri" w:hAnsi="Amiri" w:eastAsia="Amiri" w:cs="Amiri"/>
          <w:color w:val="111111"/>
          <w:sz w:val="28"/>
          <w:sz w:val="28"/>
          <w:szCs w:val="28"/>
          <w:rtl w:val="true"/>
          <w:lang w:bidi="ar-SA"/>
        </w:rPr>
        <w:t>الروايات الناهية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الذي يوهن ذلك، ما يظهر من جملة من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كالمعلّى بن خنيس، وأبي بصير، وحريز، وزرارة، ومحمد بن مسلم، بل في رواية عامر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نأكل ذبائح أهل الكتاب </w:t>
      </w:r>
      <w:r>
        <w:rPr>
          <w:rFonts w:eastAsia="IRNazanin" w:cs="IRNazanin"/>
          <w:color w:val="111111"/>
          <w:sz w:val="28"/>
          <w:szCs w:val="28"/>
          <w:rtl w:val="true"/>
          <w:lang w:bidi="fa-IR"/>
        </w:rPr>
        <w:t xml:space="preserve">... </w:t>
      </w:r>
      <w:r>
        <w:rPr>
          <w:rStyle w:val="FootnoteAnchor"/>
          <w:rtl w:val="true"/>
        </w:rPr>
        <w:footnoteReference w:id="1182"/>
      </w:r>
      <w:r>
        <w:rPr>
          <w:rFonts w:ascii="IRNazanin" w:hAnsi="IRNazanin" w:eastAsia="IRNazanin"/>
          <w:color w:val="111111"/>
          <w:sz w:val="28"/>
          <w:sz w:val="28"/>
          <w:szCs w:val="28"/>
          <w:rtl w:val="true"/>
          <w:lang w:bidi="fa-IR"/>
        </w:rPr>
        <w:t xml:space="preserve">الدالة على أنّ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يرون الجواز والحلّية ـ أنّ المسألة محل خلاف عندهم وأكثرهم على القول بالحلّية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من هذا الجمع رفع اليد عن القدر المتيقن من الآية، وهو الاحتمال الأول، والالتزام بأنّ المراد من الذكر مطلق التلفظ باسم الله تعالى على الذبيحة سواء صدر من المسلم أو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يقوّى هذا الوجه ويصار إليه لإطلاق الذكر وشموله لكل صادر من المعتقد بالله على الذبيحة إذا كان مع القصد، ولكن الالتزام بشموله لمن لا يعتقد بالله سبحانه ـ كما هو الاحتمال الثالث ـ بعيد جداً، فإنه خلاف المنصرف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صدور الذكر من غير المعتقد بالله لا يخلو إما أن يكون لغواً، وإما أن يكون استهزاءاً، وعلى كلا التقديرين لا يترتّب على الذكر أيّ أثر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من كتابي التهذيبين بعد أن نقل أخبار الحليةوالحرمة، فأول ما في هذه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الدالة على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تقابل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الدالة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أكثر، ولا يجوز العدول عن الأكثر إلى الأقل لما قد بيّن في غير موضع، ولأنّ من روى هذه الأخبار قد روى أحاديث الحظر التي قدّمناها، وهم الحلبي، وأبو بصير، ومحمد بن مسلم، ثم لو سلّمت من هذا كلّه لاحتملت وجهين</w:t>
      </w:r>
      <w:r>
        <w:rPr>
          <w:rFonts w:eastAsia="Amiri" w:cs="Amiri" w:ascii="Amiri" w:hAnsi="Amiri"/>
          <w:color w:val="111111"/>
          <w:sz w:val="28"/>
          <w:szCs w:val="28"/>
          <w:rtl w:val="true"/>
          <w:lang w:bidi="ar-SA"/>
        </w:rPr>
        <w:t xml:space="preserve">: </w:t>
      </w:r>
      <w:bookmarkStart w:id="163" w:name="pg16406_258727"/>
    </w:p>
    <w:p>
      <w:pPr>
        <w:pStyle w:val="BookText"/>
        <w:rPr/>
      </w:pPr>
      <w:bookmarkEnd w:id="163"/>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الإباحة فيها إنما تضمّنت في حال الضرورة دون حال الاختيار، وعند الضرورة تحلّ الميتة، فكيف ذبيحة من خالف الإسلام، والذي يدلّ على ذلك ما رواه محمد بن أحمد بن يحيى، عن أحمد بن حمزة القمي، عن زكريا بن آدم، 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أنهاك عن ذبيحة كل من كان على خلاف الذي أنت عليه وأصحابك إلاّ في وقت الضرورة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هذه الأخبار وردت للتقية لأنّ من خالفنا ـ يجيز أكل ذبيحة من خالف الإسلام من أهل الذمّة، والذي يدلّ على ذلك ما رواه محمد بن أحمد بن يحيى، عن سهل بن زياد، عن أحمد بن بشير بن أبي غفيلة الحسن بن أيوب، عن داود بن كثير الرقي، عن بشر بن أبي غيلان الشيباني،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ذبائح اليهود، والنصارى، والنصّاب،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فلوى شدقه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إلى يوم مّا</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أربعة وجوه لترجيح روايات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الأولان ففيهما ما تقدّم، وأما الثالث وهي رواية زكريا بن آدم فمحمول على الكراهة وحمل الضرورة على الحاجة، وأما الرابع وهي رواية الشيباني فمع غض النظر عن سندها يمكن أن يكون المراد باليوم هو يوم ظهور الحق، وعليه فليست الرواية صريحة في دلالتها على التقية كما سيأتي، ومع ذلك كلّه فالاحتياط في محلّه</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7246565_1280447820"/>
      <w:bookmarkStart w:id="165" w:name="_Toc53"/>
      <w:bookmarkEnd w:id="164"/>
      <w:r>
        <w:rPr>
          <w:rtl w:val="true"/>
        </w:rPr>
        <w:t>تنبيه</w:t>
      </w:r>
      <w:r>
        <w:rPr>
          <w:rtl w:val="true"/>
        </w:rPr>
        <w:t>:</w:t>
      </w:r>
      <w:bookmarkEnd w:id="165"/>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في روايات الطائفة الثانية الدالة على الجواز، صحيحة جميل ومحمد بن حمران أنّهما سألا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ذبائح اليهود والنصارى </w:t>
      </w:r>
      <w:bookmarkStart w:id="166" w:name="pg16406_258728"/>
    </w:p>
    <w:p>
      <w:pPr>
        <w:pStyle w:val="BookText"/>
        <w:rPr/>
      </w:pPr>
      <w:bookmarkEnd w:id="166"/>
      <w:r>
        <w:rPr>
          <w:rFonts w:ascii="Amiri" w:hAnsi="Amiri" w:eastAsia="Amiri" w:cs="Amiri"/>
          <w:color w:val="111111"/>
          <w:sz w:val="28"/>
          <w:sz w:val="28"/>
          <w:szCs w:val="28"/>
          <w:rtl w:val="true"/>
          <w:lang w:bidi="ar-SA"/>
        </w:rPr>
        <w:t>والمجوس،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يسمون،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حضرتموهم فلم يسمّوا فلا تأكلوا،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فكل</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منها أنّ مجرّد الغيبة عنهم حال الذبح كاف في الحكم بحلّية ذبائحهم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يمكن الأخذ بإطلاق هذه الرواية بل تقيّد بما ورد في بعض الروايات من توقّف الحلية على إخبار الشهود على سماع التسمية منهم، وذلك لأنّ الأخذ بإطلاقها مخالف لما تقدم ولا يمكن الالتزام به، وعلى فرض ثبوت الإطلاق وعدم إمكان تقييدها فلابدّ من طرحها أو ردّ علمها إلى أهلها لمخالفتها الكتاب والسنة</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7246567_1280447820"/>
      <w:bookmarkStart w:id="168" w:name="_Toc54"/>
      <w:bookmarkEnd w:id="167"/>
      <w:r>
        <w:rPr>
          <w:rtl w:val="true"/>
        </w:rPr>
        <w:t>الجهة الثالثة</w:t>
      </w:r>
      <w:r>
        <w:rPr>
          <w:rtl w:val="true"/>
        </w:rPr>
        <w:t xml:space="preserve">: </w:t>
      </w:r>
      <w:r>
        <w:rPr>
          <w:rtl w:val="true"/>
        </w:rPr>
        <w:t>في حكم ذبائح المجوس</w:t>
      </w:r>
      <w:r>
        <w:rPr>
          <w:rtl w:val="true"/>
        </w:rPr>
        <w:t>:</w:t>
      </w:r>
      <w:bookmarkEnd w:id="168"/>
    </w:p>
    <w:p>
      <w:pPr>
        <w:pStyle w:val="BookText"/>
        <w:rPr/>
      </w:pPr>
      <w:r>
        <w:rPr>
          <w:rFonts w:ascii="Amiri" w:hAnsi="Amiri" w:eastAsia="Amiri" w:cs="Amiri"/>
          <w:color w:val="111111"/>
          <w:sz w:val="28"/>
          <w:sz w:val="28"/>
          <w:szCs w:val="28"/>
          <w:rtl w:val="true"/>
          <w:lang w:bidi="ar-SA"/>
        </w:rPr>
        <w:t>وقد وقع الخلاف فيها بين الفقهاء، ويظهر من جماعة القول بحرمة أكل ذبائحهم وأنهم ملحقون بالكفار، منهم الشيخ في الخلاف</w:t>
      </w:r>
      <w:r>
        <w:rPr>
          <w:rStyle w:val="FootnoteAnchor"/>
          <w:rtl w:val="true"/>
        </w:rPr>
        <w:footnoteReference w:id="1185"/>
      </w:r>
      <w:r>
        <w:rPr>
          <w:rFonts w:ascii="Amiri" w:hAnsi="Amiri" w:eastAsia="Amiri" w:cs="Amiri"/>
          <w:color w:val="111111"/>
          <w:sz w:val="28"/>
          <w:sz w:val="28"/>
          <w:szCs w:val="28"/>
          <w:rtl w:val="true"/>
          <w:lang w:bidi="ar-SA"/>
        </w:rPr>
        <w:t>كما تقدّم، والعماني</w:t>
      </w:r>
      <w:r>
        <w:rPr>
          <w:rStyle w:val="FootnoteAnchor"/>
          <w:rtl w:val="true"/>
        </w:rPr>
        <w:footnoteReference w:id="1186"/>
      </w:r>
      <w:r>
        <w:rPr>
          <w:rFonts w:ascii="Amiri" w:hAnsi="Amiri" w:eastAsia="Amiri" w:cs="Amiri"/>
          <w:color w:val="111111"/>
          <w:sz w:val="28"/>
          <w:sz w:val="28"/>
          <w:szCs w:val="28"/>
          <w:rtl w:val="true"/>
          <w:lang w:bidi="ar-SA"/>
        </w:rPr>
        <w:t>وغيرهما، واختار جماعة آخرون القول بأنهم ملحقون بأهل الكتاب، منهم السيد في الوسيلة</w:t>
      </w:r>
      <w:r>
        <w:rPr>
          <w:rStyle w:val="FootnoteAnchor"/>
          <w:rtl w:val="true"/>
        </w:rPr>
        <w:footnoteReference w:id="1187"/>
      </w:r>
      <w:r>
        <w:rPr>
          <w:rFonts w:ascii="Amiri" w:hAnsi="Amiri" w:eastAsia="Amiri" w:cs="Amiri"/>
          <w:color w:val="111111"/>
          <w:sz w:val="28"/>
          <w:sz w:val="28"/>
          <w:szCs w:val="28"/>
          <w:rtl w:val="true"/>
          <w:lang w:bidi="ar-SA"/>
        </w:rPr>
        <w:t>، والسيد الأستاذ في المنهاج</w:t>
      </w:r>
      <w:r>
        <w:rPr>
          <w:rStyle w:val="FootnoteAnchor"/>
          <w:rtl w:val="true"/>
        </w:rPr>
        <w:footnoteReference w:id="1188"/>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القول الأول فلا تحل ذبائحهم، وأما بناء على القول الثاني فإن قلنا بحلية ذبائح أهل الكتاب مع التسمية حلت ذبائحهم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الاختلاف هو اختلاف الروايات وهي على طائفتين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تدلّ على عدم حلّية ذبيحتهم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الحسين بن علوان، عن جعفر، عن أبيه،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من طعام المجوس كلّه ما خلا ذبائحهم، فإنها لا تحلّ وإن ذكر اسم الله عليها</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محمد بن عذافر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يجلب الغنم من الجبل يكون فيها الأجير المجوسي والنصراني فتقع العارضةفيأتيه بها مملّحة،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تأكلها، الحديث</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عمر بن حنظلة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ذُكِرَ اسْمُ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المجوس فليسوا من أهل الكتاب، وأما اليهود والنصارى فلا بأس إذا سُمعوا</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تأكل من ذبيحة المجوسي </w:t>
      </w:r>
      <w:r>
        <w:rPr>
          <w:rFonts w:eastAsia="IRNazanin" w:cs="IRNazanin"/>
          <w:color w:val="111111"/>
          <w:sz w:val="28"/>
          <w:szCs w:val="28"/>
          <w:rtl w:val="true"/>
          <w:lang w:bidi="fa-IR"/>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الحسين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نتكارى هؤلاء الأكراد في قطاع الغنم، وإنما هم عبدة النيران وأشباه ذلك فتسقط العارضة فيذبحونها ويبيعونها،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 تجعله في مالك، إنما الذبيحة اسم، ولا يؤمن على الاسم إلاّ مسلم</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كلها ـ ما عدا الأولى ـ ضعيفة الأسناد وإن كانت من جهة الدلالة تامة، فتكون مؤيدة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تدلّ على حلّية ذبيحتهم مع التسمية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ذبيحة الناصب، واليهودي، والنصراني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ذبيحته حتى تسمعه يذكر اسم الله،فقلت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سمعته يذكر اسم الله، أما سمعت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مِمَّا لَمْ يُذْكَرْ اسْمُ اللَّهِ عَلَيْهِ</w:t>
      </w:r>
      <w:r>
        <w:rPr>
          <w:rFonts w:eastAsia="Amiri" w:cs="Amiri" w:ascii="Amiri" w:hAnsi="Amiri"/>
          <w:color w:val="111111"/>
          <w:sz w:val="28"/>
          <w:szCs w:val="28"/>
          <w:rtl w:val="true"/>
          <w:lang w:bidi="ar-SA"/>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جميل، ومحمد بن حمران، أنهما سألا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ذبائح اليهود، والنصارى، والمجوس،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لا يسمّون،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حضرتموهم فلم يسمّوا فلا تأكلوا </w:t>
      </w:r>
      <w:r>
        <w:rPr>
          <w:rFonts w:eastAsia="IRNazanin" w:cs="IRNazanin"/>
          <w:color w:val="111111"/>
          <w:sz w:val="28"/>
          <w:szCs w:val="28"/>
          <w:rtl w:val="true"/>
          <w:lang w:bidi="fa-IR"/>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حريز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ذبائح اليهود، والنصارى، والمجوس،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سمعتهم يسمّون وشهد لك من رآهم يسمّون فكل</w:t>
      </w:r>
      <w:r>
        <w:rPr>
          <w:rFonts w:eastAsia="IRNazanin" w:cs="IRNazanin"/>
          <w:color w:val="111111"/>
          <w:sz w:val="28"/>
          <w:szCs w:val="28"/>
          <w:rtl w:val="true"/>
          <w:lang w:bidi="fa-IR"/>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وطريق الرواية وإن كان فيه القاسم بن سليمان إلاّ أنه حيث وقع في أسناد تفسير القمي</w:t>
      </w:r>
      <w:r>
        <w:rPr>
          <w:rStyle w:val="FootnoteAnchor"/>
          <w:rtl w:val="true"/>
        </w:rPr>
        <w:footnoteReference w:id="1197"/>
      </w:r>
      <w:r>
        <w:rPr>
          <w:rFonts w:ascii="Amiri" w:hAnsi="Amiri" w:eastAsia="Amiri" w:cs="Amiri"/>
          <w:color w:val="111111"/>
          <w:sz w:val="28"/>
          <w:sz w:val="28"/>
          <w:szCs w:val="28"/>
          <w:rtl w:val="true"/>
          <w:lang w:bidi="ar-SA"/>
        </w:rPr>
        <w:t>فيحكم بوثاقته فلا إشكال في سندها وقد أشرنا إلى ذلك فيما تقدّم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 ذبيحة اليهودي، والنصراني، والمجوسي، وجميع من خالف الدين، إلاّ إذا سمعته يذكر اسم الله عليها</w:t>
      </w:r>
      <w:r>
        <w:rPr>
          <w:rStyle w:val="FootnoteAnchor"/>
          <w:rtl w:val="true"/>
        </w:rPr>
        <w:footnoteReference w:id="1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الورد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حديثاً وأمله عليّ حتى أكتبه،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حفظكم يا أهل 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لا يردّه عليّ أحد، ما تقول في مجوسيّ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ثم ذبح؟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w:t>
      </w:r>
      <w:r>
        <w:rPr>
          <w:rFonts w:eastAsia="IRNazanin" w:cs="IRNazanin"/>
          <w:color w:val="111111"/>
          <w:sz w:val="28"/>
          <w:szCs w:val="28"/>
          <w:rtl w:val="true"/>
          <w:lang w:bidi="fa-IR"/>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والظاهر وقوع التعارض بين الطائفتين، ولا يمكن الجمع بين دلالتيهما فإنّ الطائفة الأولى تدل على عدم الحلية وإن سمّوا، والطائفة الثانية تدلّ على الحلية مع التسمية، والجمع بينهما بحمل الأولى على الكراهة ليس جمعاً عرفياً فلابدّ من إجراء قواعد التعارض بينها، والترجيح بناء على الحكم بحلية ذبائح أهل الكتاب مع التسمية، للطائفة الثانية، فإنها موافقة لظاهر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ذُكِرَ اسْمُ اللَّهِ عَلَيْهِ</w:t>
      </w:r>
      <w:r>
        <w:rPr>
          <w:rFonts w:eastAsia="Amiri" w:cs="Amiri" w:ascii="Amiri" w:hAnsi="Amiri"/>
          <w:color w:val="111111"/>
          <w:sz w:val="28"/>
          <w:szCs w:val="28"/>
          <w:rtl w:val="true"/>
          <w:lang w:bidi="ar-SA"/>
        </w:rPr>
        <w:t>»</w:t>
      </w:r>
      <w:r>
        <w:rPr>
          <w:rStyle w:val="FootnoteAnchor"/>
          <w:rtl w:val="true"/>
        </w:rPr>
        <w:footnoteReference w:id="1200"/>
      </w:r>
      <w:r>
        <w:rPr>
          <w:rFonts w:ascii="Amiri" w:hAnsi="Amiri" w:eastAsia="Amiri" w:cs="Amiri"/>
          <w:color w:val="111111"/>
          <w:sz w:val="28"/>
          <w:sz w:val="28"/>
          <w:szCs w:val="28"/>
          <w:rtl w:val="true"/>
          <w:lang w:bidi="ar-SA"/>
        </w:rPr>
        <w:t>وللأخبار الكثيرة الواردة في حلّية ذبائح أهل الكتاب مع التسمية، وقد تقدّم أنّ المجوس في عداد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الحكم بعدم حلّية ذبائح أهل الكتاب، فلا ترجيح لإحدى الطائفتين على  الأخرى، وبعد التساقط يرجع إلى الأصل العملي، وهو أصالة عدم التذكية ويحكم بالاجتناب عن ذبائحهم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ذبيحة المرتد، والغلاة، والنواصب، ومن حكم بكفره كالمجسمة، والمجبرة ونحوهم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المرتدّ فحكمه حكم الكافر سواء كان ارتداده عن فطرة أو عن ملّة،وسواء كان عن الإسلام أو عن دينه الذي كان عليه إلى دين غير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حلّية ذبيحته وإن ذكر اسم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الغلاة وهم القائلون بألوهية غير الله تعالى فكذلك، لأنهم لا يعتقدون بالوحدانية الحقّة، فتسميتهم على الذبيحة كتسمية الكفار وهي بحكم العدم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النواصب وهم المعلنون ببغض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اختلفت الروايات فيهم، ففي جملة منها ورد النهي عن أكل ذبائحهم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كموثقة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ذبيحة الناصب لا تحلّ</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وصحيحته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ذبائح الحرورية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والحرورية قسم من النواصب، وهم الخوارج الذين خرجوا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وعسكروا بحرورى وهي قرية بقرب الكوفة فنسبوا إليها</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ومعتبرته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يشتري اللحم من السوق، وعنده من يذبح ويبيع من إخوانه فيتعمّد الشراء من النصّاب،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تسألني أن أقول؟ ما يأكل إلاّ مثل الميتة، والدم، ولحم الخنزير،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الدم والميتة ولحم الخنزير؟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وأعظمعند الله من ذلك،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في قلبه على المؤمنين مرض</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من جهة السند معتبرة، فإنّ محمد بن علي الواقع في طريقها هو محمد بن علي القرشي الذي يروي عنه أحمد بن حمزة</w:t>
      </w:r>
      <w:r>
        <w:rPr>
          <w:rStyle w:val="FootnoteAnchor"/>
          <w:rtl w:val="true"/>
        </w:rPr>
        <w:footnoteReference w:id="1204"/>
      </w:r>
      <w:r>
        <w:rPr>
          <w:rFonts w:ascii="Amiri" w:hAnsi="Amiri" w:eastAsia="Amiri" w:cs="Amiri"/>
          <w:color w:val="111111"/>
          <w:sz w:val="28"/>
          <w:sz w:val="28"/>
          <w:szCs w:val="28"/>
          <w:rtl w:val="true"/>
          <w:lang w:bidi="ar-SA"/>
        </w:rPr>
        <w:t>، وهو وإن لم يرد فيه توثيق إلاّ أنه واقع في أسناد كتاب نوادر الحكمة</w:t>
      </w:r>
      <w:r>
        <w:rPr>
          <w:rStyle w:val="FootnoteAnchor"/>
          <w:rtl w:val="true"/>
        </w:rPr>
        <w:footnoteReference w:id="1205"/>
      </w:r>
      <w:r>
        <w:rPr>
          <w:rFonts w:ascii="Amiri" w:hAnsi="Amiri" w:eastAsia="Amiri" w:cs="Amiri"/>
          <w:color w:val="111111"/>
          <w:sz w:val="28"/>
          <w:sz w:val="28"/>
          <w:szCs w:val="28"/>
          <w:rtl w:val="true"/>
          <w:lang w:bidi="ar-SA"/>
        </w:rPr>
        <w:t>، ولم يستثنه ابن الوليد فيحكم بوثاقته، وأما وقوعه في تفسير القمي</w:t>
      </w:r>
      <w:r>
        <w:rPr>
          <w:rStyle w:val="FootnoteAnchor"/>
          <w:rtl w:val="true"/>
        </w:rPr>
        <w:footnoteReference w:id="1206"/>
      </w:r>
      <w:r>
        <w:rPr>
          <w:rFonts w:ascii="Amiri" w:hAnsi="Amiri" w:eastAsia="Amiri" w:cs="Amiri"/>
          <w:color w:val="111111"/>
          <w:sz w:val="28"/>
          <w:sz w:val="28"/>
          <w:szCs w:val="28"/>
          <w:rtl w:val="true"/>
          <w:lang w:bidi="ar-SA"/>
        </w:rPr>
        <w:t>فلا دلالة فيه على الوثاقة لأنه وارد في القسم الثاني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من جهة الدلالة فالظاهر أنّ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الميتة والدم ولحم الخنزير هو مثلها في الحكم، ويؤيّده فهم أبي بصير ذلك، بل 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وأعظم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يؤكده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فضيل بن يسار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النصّاب،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تناكحهم، ولا تأكل ذبيحتهم، ولا تسكن معهم</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وفي عدة من الروايات الأخرى ما يدلّ على حلّية ذبائحهم مع التسمية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كصحيحة حمران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تأكلذبيحة الناصب إلاّ أن تسمعه يسمّي</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ذبيحة المرجىء والحروري،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وقر، واستقر، حتى يكون ما يكون</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أنّ الحروري من النواصب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ذبيحة الناصب، واليهودي،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ذبيحته حتى تسمعه يذكر الله، أما 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مِمَّا لَمْ يُذْكَرْ اسْمُ اللَّهِ عَلَيْهِ</w:t>
      </w:r>
      <w:r>
        <w:rPr>
          <w:rFonts w:eastAsia="Amiri" w:cs="Amiri" w:ascii="Amiri" w:hAnsi="Amiri"/>
          <w:color w:val="111111"/>
          <w:sz w:val="28"/>
          <w:szCs w:val="28"/>
          <w:rtl w:val="true"/>
          <w:lang w:bidi="ar-SA"/>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بشير بن أبي غيلان الشيباني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ذبائح اليهود، والنصارى، والنصاب،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فلوى شدقه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إلى يوم مّا</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أنّ غاية الحلية هو يوم ظهور الحق فتحرم للحكم بكفرهم، وأما إذا كان المراد هو التقية فلا شاهد فيها، ومثلها في الدلالة صحيحة الحلبي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وكلتا الروايتين الأخيرتين ضعيفتان سنداً فتكونان مؤيدتين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الجمع بين الروايات حمل المطلق منها على المقيد، فتكون النتيجة حلّية ذبائحهم مع التسمية، وحكمهم في ذلك حكم ذبائح أهل الكتاب</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ذكر صاحب الجواهر عدم الخلاف في الحرمة، بل عن </w:t>
      </w:r>
    </w:p>
    <w:p>
      <w:pPr>
        <w:pStyle w:val="BookText"/>
        <w:rPr/>
      </w:pPr>
      <w:r>
        <w:rPr>
          <w:rFonts w:ascii="Amiri" w:hAnsi="Amiri" w:eastAsia="Amiri" w:cs="Amiri"/>
          <w:color w:val="111111"/>
          <w:sz w:val="28"/>
          <w:sz w:val="28"/>
          <w:szCs w:val="28"/>
          <w:rtl w:val="true"/>
          <w:lang w:bidi="ar-SA"/>
        </w:rPr>
        <w:t>المهذّب وغيره الإجماع عليه</w:t>
      </w:r>
      <w:r>
        <w:rPr>
          <w:rStyle w:val="FootnoteAnchor"/>
          <w:rtl w:val="true"/>
        </w:rPr>
        <w:footnoteReference w:id="1212"/>
      </w:r>
      <w:r>
        <w:rPr>
          <w:rFonts w:ascii="Amiri" w:hAnsi="Amiri" w:eastAsia="Amiri" w:cs="Amiri"/>
          <w:color w:val="111111"/>
          <w:sz w:val="28"/>
          <w:sz w:val="28"/>
          <w:szCs w:val="28"/>
          <w:rtl w:val="true"/>
          <w:lang w:bidi="ar-SA"/>
        </w:rPr>
        <w:t>فيعلم أنهم أسوأ حالاً من أهل الكتاب، وبناء على ذلك فالظاهر هو الحكم بحرمة ذبائحهم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المجبرة والمجسمة فقد ورد النهي عن أكل ذبائحهم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في رواية إبراهيم بن أبي محمود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أبيه جعفر بن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الله يجبر العباد على المعاصي، أو يكلّفهم ما لا يطيقون فلا تأكلوا ذبيحته، ولا تقبلوا شهادته، ولا تصلوا وراءه ولا تعطوه من الزكاة شيئاً</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يونس بن ظبيان،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يونس من زعم أنّ لله وجهاً كالوجوه فقد أشرك، ومن زعم أن له جوارح كجوارح المخلوقين فهو كافر بالله، فلا تقبلوا شهادته، ولا تأكلوا ذبيحته</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وهاتان الروايتان وإن كانتا واضحتين من جهة الدلالة إلاّ أنهما ضعيفتان من جهة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ولكن عموم صحيحة زكريا بن آدم شامل لهاتين الفرقتين،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أنهاك عن ذبيحة كل من كان على خلاف الذي أنتعليه وأصحابك، إلاّ في وقت الضرورة إليه</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الرواية بحسب الظاهر شاملة لكل من خالف الحقّ من الفرق الضالّة فلا تحلّ ذبائحهم، سواء كانت مع التسمية أو بدونها إلاّ ما ورد فيه التخصيص، وهو ما كان الذبح مع التسمية، ولم يرد ذلك في المجبرة والمجسّمة، وعليه فهم </w:t>
      </w:r>
    </w:p>
    <w:p>
      <w:pPr>
        <w:pStyle w:val="BookText"/>
        <w:rPr/>
      </w:pPr>
      <w:r>
        <w:rPr>
          <w:rFonts w:ascii="Amiri" w:hAnsi="Amiri" w:eastAsia="Amiri" w:cs="Amiri"/>
          <w:color w:val="111111"/>
          <w:sz w:val="28"/>
          <w:sz w:val="28"/>
          <w:szCs w:val="28"/>
          <w:rtl w:val="true"/>
          <w:lang w:bidi="ar-SA"/>
        </w:rPr>
        <w:t xml:space="preserve">ملحقون بالكفّار في  الحكم بعدم حلّية شيء من ذبائحهم كما تقدّم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أنه قد ورد في مقابل هذه الرواية ما يدلّ على الحلية، وهي صحيحة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ذبيحة من دان بكلمة الإسلام وصام وصلّى لكم حلال، إذا ذكر اسم الله تعالى عليه</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من حيث الدلالة شاملة لكلّ من المجبرة والمجسّمة فإنّ ظاهرهم الإسلام، فإذا ذكروا اسم الله تعالى على الذبيحة حلّ أكلها،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ملحقون بالكفار وإن أظهروا الإسلام، وحينئذ فلا شاهد فيها، وتكون صحيحة زكريا بن آدم سليمة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السند فقد رواها الشيخ في التهذيب عن الحسين بن سعيد، عن الحسن بن يوسف بن عقيل، عن محمد بن قيس</w:t>
      </w:r>
      <w:r>
        <w:rPr>
          <w:rStyle w:val="FootnoteAnchor"/>
          <w:rtl w:val="true"/>
        </w:rPr>
        <w:footnoteReference w:id="1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النسخة القديمة منالتهذيب عن الحسين بن سعيد، عن الحسن بن يوسف، عن عقيل</w:t>
      </w:r>
      <w:r>
        <w:rPr>
          <w:rStyle w:val="FootnoteAnchor"/>
          <w:rtl w:val="true"/>
        </w:rPr>
        <w:footnoteReference w:id="1218"/>
      </w:r>
      <w:r>
        <w:rPr>
          <w:rFonts w:ascii="Amiri" w:hAnsi="Amiri" w:eastAsia="Amiri" w:cs="Amiri"/>
          <w:color w:val="111111"/>
          <w:sz w:val="28"/>
          <w:sz w:val="28"/>
          <w:szCs w:val="28"/>
          <w:rtl w:val="true"/>
          <w:lang w:bidi="ar-SA"/>
        </w:rPr>
        <w:t>، وعلى كلتا النسختين فالسند ضعيف لأنّ الحسن بن يوسف بن عقيل، أو الحسن بن يوسف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ورد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 عن الحسن، عن يوسف بن عقيل</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المذكور في الوسائل</w:t>
      </w:r>
      <w:r>
        <w:rPr>
          <w:rStyle w:val="FootnoteAnchor"/>
          <w:rtl w:val="true"/>
        </w:rPr>
        <w:footnoteReference w:id="1220"/>
      </w:r>
      <w:r>
        <w:rPr>
          <w:rFonts w:ascii="Amiri" w:hAnsi="Amiri" w:eastAsia="Amiri" w:cs="Amiri"/>
          <w:color w:val="111111"/>
          <w:sz w:val="28"/>
          <w:sz w:val="28"/>
          <w:szCs w:val="28"/>
          <w:rtl w:val="true"/>
          <w:lang w:bidi="ar-SA"/>
        </w:rPr>
        <w:t>، والظاهر أن هذا هو الصحيح، فإنّ المراد بالحسن هو الحسن بن سعيد الذي يروي عن يوسف بن عقيل</w:t>
      </w:r>
      <w:r>
        <w:rPr>
          <w:rStyle w:val="FootnoteAnchor"/>
          <w:rtl w:val="true"/>
        </w:rPr>
        <w:footnoteReference w:id="1221"/>
      </w:r>
      <w:r>
        <w:rPr>
          <w:rFonts w:ascii="Amiri" w:hAnsi="Amiri" w:eastAsia="Amiri" w:cs="Amiri"/>
          <w:color w:val="111111"/>
          <w:sz w:val="28"/>
          <w:sz w:val="28"/>
          <w:szCs w:val="28"/>
          <w:rtl w:val="true"/>
          <w:lang w:bidi="ar-SA"/>
        </w:rPr>
        <w:t>، وكلاهما ثقتان</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فالرواية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الجمع بين الروايتين ـ بناء على الحكم بإسلام المجبرة والمجسمة إذ لم يقم دليل معتبر على إلحاقهم بالكفار ـ هو الحمل على الكراهة، لأنّ هذه الرواية نصّ في الحلّية، وهي شاملة لهاتين الفرقتين، وصحيحة زكريا بن آدم تدل على النهي عن الأكل من ذبيحة المخالف، والجمع منها يقتضي الحمل على الكراهة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ذبائح المخالفين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والمشهور هو الكراهة</w:t>
      </w:r>
      <w:r>
        <w:rPr>
          <w:rStyle w:val="FootnoteAnchor"/>
          <w:rtl w:val="true"/>
        </w:rPr>
        <w:footnoteReference w:id="1223"/>
      </w:r>
      <w:r>
        <w:rPr>
          <w:rFonts w:ascii="Amiri" w:hAnsi="Amiri" w:eastAsia="Amiri" w:cs="Amiri"/>
          <w:color w:val="111111"/>
          <w:sz w:val="28"/>
          <w:sz w:val="28"/>
          <w:szCs w:val="28"/>
          <w:rtl w:val="true"/>
          <w:lang w:bidi="ar-SA"/>
        </w:rPr>
        <w:t>، وذهب جماعة إلى القول باشتراط الإيمان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ابن إدريس،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الذباحة لا يجوز أن يتولّاها غير معتقدي الحق، فمتى يتولّاها غير معتقدي الحق من أي أجناس الكفار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أكل ذبيحته</w:t>
      </w:r>
      <w:r>
        <w:rPr>
          <w:rStyle w:val="FootnoteAnchor"/>
          <w:rtl w:val="true"/>
        </w:rPr>
        <w:footnoteReference w:id="1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واستثنى من ذلك المستضعف فنفى البأس عن أكل ذبيحته وعنى به الذي لا منّا ولا من مخالفينا</w:t>
      </w:r>
      <w:r>
        <w:rPr>
          <w:rStyle w:val="FootnoteAnchor"/>
          <w:rtl w:val="true"/>
        </w:rPr>
        <w:footnoteReference w:id="1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أبو الصلاح الحلبي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ميتة ذوات الأنفس السائلة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بفعل كافر كاليهود والنصراني أو جاحد النصّ</w:t>
      </w:r>
      <w:r>
        <w:rPr>
          <w:rStyle w:val="FootnoteAnchor"/>
          <w:rtl w:val="true"/>
        </w:rPr>
        <w:footnoteReference w:id="1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ابن حمزة،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في الذابح أن يكون مؤمناً أو في حكمه</w:t>
      </w:r>
      <w:r>
        <w:rPr>
          <w:rStyle w:val="FootnoteAnchor"/>
          <w:rtl w:val="true"/>
        </w:rPr>
        <w:footnoteReference w:id="1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ابن البرّاج،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يتولّى الذبح إلاّ من كان مسلماً من أهل الحق، فإن يتولّاه غير من ذكرناه من الكفار المخالفين لدين الإسلام أو من كفّار أهل الملّة على اختلافهم في جهات كفرهم لم تصح ذكاته ولم يؤكل ذبيحته</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والعمدة في أدلة التحريم هي صحيحة زكريا بن آدم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تعارضها صحيحة محمد بن قيس المتقدمة أيضاً، وقد قلنا إن مقتضىالجمع هو الحمل على الكراهة كما هو مذهب المشهور، المؤيّد بالسيرة المتصلة بزمان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وبما ورد في مرسلة الصدوق المتقدمة،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 ذبيحة اليهودي، والنصراني، والمجوسي، وجميع من خالف الدين، إلاّ إذا سمعته يذكر اسم الله عليها</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أنّ من خالف الدين شامل لمن خالف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حول الركن الأول من أركان الذباحة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الركن الثاني وهو آلة الذبح فليس بيننا وبين العامة كثير خلاف فيه، ولا بأس بالإشارة إليه تتميماً للفائدة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المتسالم عليه بين الأصحاب اشتراط كون آلة الذبح من الحديد، إلاّ عند عدم الوجدان، وخيف موت الذبيحة، أو اضطرّ إلى ذبحها، فيكتفى بغير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عندنا أن يعدل عن الحديد إلى غيره مع القدرة عليه</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التذكية إلاّ بالحديد مع الاختيار، فلا يجزىء غيره ولا تقع به الذكاة، وإن كان من المعادن المنطبعة كالنحاس، والرصاص، والذهب، والفضّة، وغيرها، بلا خلاف بيننا ـ كما صرّح به جماعة ـ بل الإجماعالمحكي مستفيضاً، بل المحقق عند التحقيق</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الآلة فلا تصحّ التذكية ذبحاً ونحراً إلاّ بالحديد مع </w:t>
      </w:r>
    </w:p>
    <w:p>
      <w:pPr>
        <w:pStyle w:val="BookText"/>
        <w:rPr/>
      </w:pPr>
      <w:r>
        <w:rPr>
          <w:rFonts w:ascii="Amiri" w:hAnsi="Amiri" w:eastAsia="Amiri" w:cs="Amiri"/>
          <w:color w:val="111111"/>
          <w:sz w:val="28"/>
          <w:sz w:val="28"/>
          <w:szCs w:val="28"/>
          <w:rtl w:val="true"/>
          <w:lang w:bidi="ar-SA"/>
        </w:rPr>
        <w:t>القدرة عليه، وإن كان من المعادن المنطبعة، كالنحاس، والصفر، والرصاص، والذهب، وغيرها، بلا خلاف فيه بيننا، كما في الرياض</w:t>
      </w:r>
      <w:r>
        <w:rPr>
          <w:rStyle w:val="FootnoteAnchor"/>
          <w:rtl w:val="true"/>
        </w:rPr>
        <w:footnoteReference w:id="1232"/>
      </w:r>
      <w:r>
        <w:rPr>
          <w:rFonts w:ascii="Amiri" w:hAnsi="Amiri" w:eastAsia="Amiri" w:cs="Amiri"/>
          <w:color w:val="111111"/>
          <w:sz w:val="28"/>
          <w:sz w:val="28"/>
          <w:szCs w:val="28"/>
          <w:rtl w:val="true"/>
          <w:lang w:bidi="ar-SA"/>
        </w:rPr>
        <w:t>، بل في  المسالك</w:t>
      </w:r>
      <w:r>
        <w:rPr>
          <w:rStyle w:val="FootnoteAnchor"/>
          <w:rtl w:val="true"/>
        </w:rPr>
        <w:footnoteReference w:id="1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مشعراً بدعوى الإجماع عليه، كما عن غيره، بل في كشف اللثام</w:t>
      </w:r>
      <w:r>
        <w:rPr>
          <w:rStyle w:val="FootnoteAnchor"/>
          <w:rtl w:val="true"/>
        </w:rPr>
        <w:footnoteReference w:id="1234"/>
      </w:r>
      <w:r>
        <w:rPr>
          <w:rFonts w:ascii="Amiri" w:hAnsi="Amiri" w:eastAsia="Amiri" w:cs="Amiri"/>
          <w:color w:val="111111"/>
          <w:sz w:val="28"/>
          <w:sz w:val="28"/>
          <w:szCs w:val="28"/>
          <w:rtl w:val="true"/>
          <w:lang w:bidi="ar-SA"/>
        </w:rPr>
        <w:t>اتفاقاً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لو لم يوجد الحديد وخيف فوت الذبيحة جاز بما يفري أعضاء الذبيح، ولو كان ليطة، أو خشبة، أو مروة حادّة، أو زجاجة، أو غير ذلك، عدا السنّ والظفر بلا خلاف أجده فيه</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الأقوال الدالة على أنّ الحكم مورد اتفاق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عليه بالأصل والإجماع، والروايات وهي العمدة في المقام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الذبيحة بالليطة</w:t>
      </w:r>
      <w:r>
        <w:rPr>
          <w:rStyle w:val="FootnoteAnchor"/>
          <w:rtl w:val="true"/>
        </w:rPr>
        <w:footnoteReference w:id="1236"/>
      </w:r>
      <w:r>
        <w:rPr>
          <w:rFonts w:ascii="Amiri" w:hAnsi="Amiri" w:eastAsia="Amiri" w:cs="Amiri"/>
          <w:color w:val="111111"/>
          <w:sz w:val="28"/>
          <w:sz w:val="28"/>
          <w:szCs w:val="28"/>
          <w:rtl w:val="true"/>
          <w:lang w:bidi="ar-SA"/>
        </w:rPr>
        <w:t>وبالمروة</w:t>
      </w:r>
      <w:r>
        <w:rPr>
          <w:rStyle w:val="FootnoteAnchor"/>
          <w:rtl w:val="true"/>
        </w:rPr>
        <w:footnoteReference w:id="1237"/>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ذكاة إلاّ بحديدة</w:t>
      </w:r>
      <w:r>
        <w:rPr>
          <w:rStyle w:val="FootnoteAnchor"/>
          <w:rtl w:val="true"/>
        </w:rPr>
        <w:footnoteReference w:id="1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ذبيحة العود والحجر والقصبة،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إلاّ بالحديدة</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أبي بكر الحضرمي،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يؤكل ما لم يذبح بحديدة</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الذكاة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تذكّ إلاّ بحديدة، نهى عن ذلك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كلها معتبرة الأسناد حتى الرواية الأخيرة فإنّها وإن كانت مضمرة إلاّ أنه تقدّم أنّ مضمرات سماعة لا إشكال فيها، كما أنّ هذه الروايات واضحة الدلالة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يناقش في دلالتها على اعتبار كون الآلة حديداً، وذلك لأنّ المذكور في هذه الروايات هو الحديدة، ولم يرد في شيء منها لفظ الحديد، إلاّ في معتبرة الحضرمي بناء على رواية الشيخ في الاستبصار</w:t>
      </w:r>
      <w:r>
        <w:rPr>
          <w:rStyle w:val="FootnoteAnchor"/>
          <w:rtl w:val="true"/>
        </w:rPr>
        <w:footnoteReference w:id="1242"/>
      </w:r>
      <w:r>
        <w:rPr>
          <w:rFonts w:ascii="Amiri" w:hAnsi="Amiri" w:eastAsia="Amiri" w:cs="Amiri"/>
          <w:color w:val="111111"/>
          <w:sz w:val="28"/>
          <w:sz w:val="28"/>
          <w:szCs w:val="28"/>
          <w:rtl w:val="true"/>
          <w:lang w:bidi="ar-SA"/>
        </w:rPr>
        <w:t>، فإنه ورد فيها لفظ الحديد،وأما على رواية الكافي</w:t>
      </w:r>
      <w:r>
        <w:rPr>
          <w:rStyle w:val="FootnoteAnchor"/>
          <w:rtl w:val="true"/>
        </w:rPr>
        <w:footnoteReference w:id="1243"/>
      </w:r>
      <w:r>
        <w:rPr>
          <w:rFonts w:ascii="Amiri" w:hAnsi="Amiri" w:eastAsia="Amiri" w:cs="Amiri"/>
          <w:color w:val="111111"/>
          <w:sz w:val="28"/>
          <w:sz w:val="28"/>
          <w:szCs w:val="28"/>
          <w:rtl w:val="true"/>
          <w:lang w:bidi="ar-SA"/>
        </w:rPr>
        <w:t>والتهذيب</w:t>
      </w:r>
      <w:r>
        <w:rPr>
          <w:rStyle w:val="FootnoteAnchor"/>
          <w:rtl w:val="true"/>
        </w:rPr>
        <w:footnoteReference w:id="1244"/>
      </w:r>
      <w:r>
        <w:rPr>
          <w:rFonts w:ascii="Amiri" w:hAnsi="Amiri" w:eastAsia="Amiri" w:cs="Amiri"/>
          <w:color w:val="111111"/>
          <w:sz w:val="28"/>
          <w:sz w:val="28"/>
          <w:szCs w:val="28"/>
          <w:rtl w:val="true"/>
          <w:lang w:bidi="ar-SA"/>
        </w:rPr>
        <w:t>فقد ورد فيهما لفظ الحديدة، وفي صحيحة الشحام</w:t>
      </w:r>
      <w:r>
        <w:rPr>
          <w:rStyle w:val="FootnoteAnchor"/>
          <w:rtl w:val="true"/>
        </w:rPr>
        <w:footnoteReference w:id="1245"/>
      </w:r>
      <w:r>
        <w:rPr>
          <w:rFonts w:ascii="Amiri" w:hAnsi="Amiri" w:eastAsia="Amiri" w:cs="Amiri"/>
          <w:color w:val="111111"/>
          <w:sz w:val="28"/>
          <w:sz w:val="28"/>
          <w:szCs w:val="28"/>
          <w:rtl w:val="true"/>
          <w:lang w:bidi="ar-SA"/>
        </w:rPr>
        <w:t>ـ الآتية ـ على رواية الشيخ في التهذيب</w:t>
      </w:r>
      <w:r>
        <w:rPr>
          <w:rStyle w:val="FootnoteAnchor"/>
          <w:rtl w:val="true"/>
        </w:rPr>
        <w:footnoteReference w:id="1246"/>
      </w:r>
      <w:r>
        <w:rPr>
          <w:rFonts w:ascii="IRNazanin" w:hAnsi="IRNazanin" w:eastAsia="IRNazanin"/>
          <w:color w:val="111111"/>
          <w:sz w:val="28"/>
          <w:sz w:val="28"/>
          <w:szCs w:val="28"/>
          <w:rtl w:val="true"/>
          <w:lang w:bidi="fa-IR"/>
        </w:rPr>
        <w:t>والاستبصار</w:t>
      </w:r>
      <w:r>
        <w:rPr>
          <w:rStyle w:val="FootnoteAnchor"/>
          <w:rtl w:val="true"/>
        </w:rPr>
        <w:footnoteReference w:id="1247"/>
      </w:r>
      <w:r>
        <w:rPr>
          <w:rFonts w:ascii="Amiri" w:hAnsi="Amiri" w:eastAsia="Amiri" w:cs="Amiri"/>
          <w:color w:val="111111"/>
          <w:sz w:val="28"/>
          <w:sz w:val="28"/>
          <w:szCs w:val="28"/>
          <w:rtl w:val="true"/>
          <w:lang w:bidi="ar-SA"/>
        </w:rPr>
        <w:t>، فإنه ورد فيهما لفظ الحديد، وأما على رواية  الكليني في الكافي</w:t>
      </w:r>
      <w:r>
        <w:rPr>
          <w:rStyle w:val="FootnoteAnchor"/>
          <w:rtl w:val="true"/>
        </w:rPr>
        <w:footnoteReference w:id="1248"/>
      </w:r>
      <w:r>
        <w:rPr>
          <w:rFonts w:ascii="Amiri" w:hAnsi="Amiri" w:eastAsia="Amiri" w:cs="Amiri"/>
          <w:color w:val="111111"/>
          <w:sz w:val="28"/>
          <w:sz w:val="28"/>
          <w:szCs w:val="28"/>
          <w:rtl w:val="true"/>
          <w:lang w:bidi="ar-SA"/>
        </w:rPr>
        <w:t>فالوارد فيها لفظ الحديدة، وبناء على هذا فلم يثبت لفظ الحديد في الروايات، والثابت هو لفظ الحديدة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والحديدة ـ على ما يستفاد من كتب اللغة ـ مؤنث الحديد وهو فعيل بمعنى فاعل، أي الحادّ وقد سمّي المعدن المخصوص حديداً لصلابته ومنعته، والحدّ في الأصل له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وطرف الشيء، كما أنّ للحديد معنيين أيضاً أحدهما لغوي اشتقاقي وهو الحاد، ومؤنثه الحديدة أي </w:t>
      </w:r>
    </w:p>
    <w:p>
      <w:pPr>
        <w:pStyle w:val="BookText"/>
        <w:rPr/>
      </w:pPr>
      <w:r>
        <w:rPr>
          <w:rFonts w:ascii="Amiri" w:hAnsi="Amiri" w:eastAsia="Amiri" w:cs="Amiri"/>
          <w:color w:val="111111"/>
          <w:sz w:val="28"/>
          <w:sz w:val="28"/>
          <w:szCs w:val="28"/>
          <w:rtl w:val="true"/>
          <w:lang w:bidi="ar-SA"/>
        </w:rPr>
        <w:t>القطعة الحادّة القاطعة، وقد شاع استعمالها في الصناعات كالسلاح وآلة الذبح وهي ما يعدّ ويصنع من المعادن الصلبة على شكل سكين، أو سيف أو مدية، أو شفرة، والمعنى الآخر المعدن الخاص المعروف وهو معنى جامد ثانوي لا أصليّ، ومؤنثه حديدة أيضاً بمعنى قطعة من ذلك المعدن</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والمعنيان متباينان من حيث الاشتقاق والجمود، وإرادة كلا المعنيين من لفظ الحديدة الواردة في الروايات غير صحيح قطعاً، لأنه يستلزم استعمال اللفظ فيالمعنيين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المشتق والجامد، وهو إما غير صحيح وإما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فيدور الأمر بين أحدهما، والظاهر أنّ المراد بها في الروايات هو المعنى الأول أي المعنى الاشتقاقي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على ذلك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صراحة الروايات المتقدمة فإنها ناظرة إلى الحديدة من جهة حدّتها بقرينة المقابلة في الأسئلة والأجوبة بين الحديدة وبين العصا، والعود، والحجر، والليطة، والمروة، وغيرها مما ليس حادّاً بطبعه، ولا يتحقّق به القطع والفري، مضافاً إلى أنه هو المعنى الأصلي للفظة الحديدة، على أنه لو كان النظر إلى الجنس لكان اللازم أن تكون المقابلة بين الحديد وبين الصفر والنحاس والذهب والفضّة وغيرها من المعادن الأخرى</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ورد في بعض الروايات التعبير بالسكّين بدلاً عن الحديدة، كما في صحيحة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إبراهيم عن المروة، والقصبة، والعود، يذبح بهنّ الإنسان إذا لم يجد سكّيناً؟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فرى الأوداج فلا بأس بذلك</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وصحيحة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لم يكن بحضرته سكّين أيذبح بقصبة؟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إذبح بالحجر وبالعظم وبالقصبة والعود إذا لم تصب الحديدة، إذا قطع الحلقوم وخرج الدم فلا بأس</w:t>
      </w:r>
      <w:r>
        <w:rPr>
          <w:rStyle w:val="FootnoteAnchor"/>
          <w:rtl w:val="true"/>
        </w:rPr>
        <w:footnoteReference w:id="1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السؤال واحد في جميع هذه الروايات، وعليه فالمراد بالحديدة هو السكّين ونحوها مما يعدّ للقطع وفري الأوداج في قبال ما لم يعدّ لذلك، كالعصا والحجر والقصب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يظهر من مراجعة روايات العامة</w:t>
      </w:r>
      <w:r>
        <w:rPr>
          <w:rStyle w:val="FootnoteAnchor"/>
          <w:rtl w:val="true"/>
        </w:rPr>
        <w:footnoteReference w:id="1252"/>
      </w:r>
      <w:r>
        <w:rPr>
          <w:rFonts w:ascii="IRNazanin" w:hAnsi="IRNazanin" w:eastAsia="IRNazanin"/>
          <w:color w:val="111111"/>
          <w:sz w:val="28"/>
          <w:sz w:val="28"/>
          <w:szCs w:val="28"/>
          <w:rtl w:val="true"/>
          <w:lang w:bidi="fa-IR"/>
        </w:rPr>
        <w:t xml:space="preserve">المنقولة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وكلمات فقهائهم</w:t>
      </w:r>
      <w:r>
        <w:rPr>
          <w:rStyle w:val="FootnoteAnchor"/>
          <w:rtl w:val="true"/>
        </w:rPr>
        <w:footnoteReference w:id="1253"/>
      </w:r>
      <w:r>
        <w:rPr>
          <w:rFonts w:ascii="Amiri" w:hAnsi="Amiri" w:eastAsia="Amiri" w:cs="Amiri"/>
          <w:color w:val="111111"/>
          <w:sz w:val="28"/>
          <w:sz w:val="28"/>
          <w:szCs w:val="28"/>
          <w:rtl w:val="true"/>
          <w:lang w:bidi="ar-SA"/>
        </w:rPr>
        <w:t xml:space="preserve">في آلة الذبح هو التعبير بالسكّين والمدية في قبال الذبح بالعصا والقصب والليطة ولم يرد فيها التعبير بالحديد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يستفاد من الروايات اعتبار الحديد ـ بمعناه الخاصّ ـ في آلة الذبح</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ما في هذه المناقشة من الوهن، فإنّ المنصرف إليه، والمتبادر منه عند العرف، والظاهر من المعاجم اللغوية كاللسان</w:t>
      </w:r>
      <w:r>
        <w:rPr>
          <w:rStyle w:val="FootnoteAnchor"/>
          <w:rtl w:val="true"/>
        </w:rPr>
        <w:footnoteReference w:id="1254"/>
      </w:r>
      <w:r>
        <w:rPr>
          <w:rFonts w:ascii="IRNazanin" w:hAnsi="IRNazanin" w:eastAsia="IRNazanin"/>
          <w:color w:val="111111"/>
          <w:sz w:val="28"/>
          <w:sz w:val="28"/>
          <w:szCs w:val="28"/>
          <w:rtl w:val="true"/>
          <w:lang w:bidi="fa-IR"/>
        </w:rPr>
        <w:t>، والقاموس</w:t>
      </w:r>
      <w:r>
        <w:rPr>
          <w:rStyle w:val="FootnoteAnchor"/>
          <w:rtl w:val="true"/>
        </w:rPr>
        <w:footnoteReference w:id="1255"/>
      </w:r>
      <w:r>
        <w:rPr>
          <w:rFonts w:ascii="IRNazanin" w:hAnsi="IRNazanin" w:eastAsia="IRNazanin"/>
          <w:color w:val="111111"/>
          <w:sz w:val="28"/>
          <w:sz w:val="28"/>
          <w:szCs w:val="28"/>
          <w:rtl w:val="true"/>
          <w:lang w:bidi="fa-IR"/>
        </w:rPr>
        <w:t>، والأقرب</w:t>
      </w:r>
      <w:r>
        <w:rPr>
          <w:rStyle w:val="FootnoteAnchor"/>
          <w:rtl w:val="true"/>
        </w:rPr>
        <w:footnoteReference w:id="1256"/>
      </w:r>
      <w:r>
        <w:rPr>
          <w:rFonts w:ascii="Amiri" w:hAnsi="Amiri" w:eastAsia="Amiri" w:cs="Amiri"/>
          <w:color w:val="111111"/>
          <w:sz w:val="28"/>
          <w:sz w:val="28"/>
          <w:szCs w:val="28"/>
          <w:rtl w:val="true"/>
          <w:lang w:bidi="ar-SA"/>
        </w:rPr>
        <w:t>، وغيرها</w:t>
      </w:r>
      <w:r>
        <w:rPr>
          <w:rStyle w:val="FootnoteAnchor"/>
          <w:rtl w:val="true"/>
        </w:rPr>
        <w:footnoteReference w:id="1257"/>
      </w:r>
      <w:r>
        <w:rPr>
          <w:rFonts w:ascii="Amiri" w:hAnsi="Amiri" w:eastAsia="Amiri" w:cs="Amiri"/>
          <w:color w:val="111111"/>
          <w:sz w:val="28"/>
          <w:sz w:val="28"/>
          <w:szCs w:val="28"/>
          <w:rtl w:val="true"/>
          <w:lang w:bidi="ar-SA"/>
        </w:rPr>
        <w:t xml:space="preserve">، أنّ الحديدة هي الآلة المصنوعة من الحديد، وأنها القطعة منه، ولم يعهد استعمالها في المعنى الأصلي أي بمعنى مطلق الحادّ، وإن كان من غير جنس الحديد، بل إنّ الذي يستفاد من كلماتهم أنه إذا أريد المعنى </w:t>
      </w:r>
    </w:p>
    <w:p>
      <w:pPr>
        <w:pStyle w:val="BookText"/>
        <w:rPr/>
      </w:pPr>
      <w:r>
        <w:rPr>
          <w:rFonts w:ascii="Amiri" w:hAnsi="Amiri" w:eastAsia="Amiri" w:cs="Amiri"/>
          <w:color w:val="111111"/>
          <w:sz w:val="28"/>
          <w:sz w:val="28"/>
          <w:szCs w:val="28"/>
          <w:rtl w:val="true"/>
          <w:lang w:bidi="ar-SA"/>
        </w:rPr>
        <w:t>الوصفيّ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سكينحادّة، ومدية حادّة، أو أحدّ السكّين، وأحدّ الشفرة، وهكذا، ولا يستعمل لفظ الحديد بمعناه الاشتقاقي في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أنّه لا فرق من هذه الجهة بين أن يكون في الروايات لفظ الحديد أو الحديدة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فهم الفقهاء جميعاً، فإنّ اعتباره في حال الاختيار اتفاقي كما في كشف اللثام، بل إجماع محقق عند التحقيق كما في المستند على ما تقدم، ولم يرد عن أحد منهم الخلاف في ذلك، مضافاً إلى أنّ إرجاع اللفظ إلى المعنى الأصلي والحكم عليه بالمناسبة خلاف الذوق الفقهي، ولو فتح هذا الباب لأمكن تغيير كثير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من الشواهد فهي أضعف مما تقدم، فإنّ المقابلة ـ كما في الشاهد الأول ـ بين الحديدة وبين الحجر، أو العصا، أو العود، لا يدلّ على أنها من جهة الحدّة والكلالة، إذ الحدّة معتبرة في جميع ما يذبح به، مع أنها من أجناس أخرى كما هو واضح، وإن كانت من غير المعادن، وإنما المقابلة من حيث الجنس، ولعلّ استثناء هذه الأمور لكون الذبح قد يقع بها، ولو كان الاستثناء من جهة اعتبار الحدّة لكان اللازم تقييدها بذلك، لا النهي عنها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الشاهد الثاني 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ورد من لفظ السكّين في الصحيحتين لا شاهد فيه، لأنه ورد في كلام السائل لا في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أنّ المتعارف في ذلك الوقت أنّ السكّين من الحديد، ولا يدلّ ذلك على أنّ المراد بالحديدة في سائر الروايات هو السكّين وآلة القطع مطلقاً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وأوهن من الجميع ما ذكره في الشاهد الثالث من الاستشهاد بروايات العامّة،وكلمات فقهائهم، وذلك لأنّه لم يرد في رواياتهم لفظ الحديد اصلاً، </w:t>
      </w:r>
    </w:p>
    <w:p>
      <w:pPr>
        <w:pStyle w:val="BookText"/>
        <w:rPr/>
      </w:pPr>
      <w:r>
        <w:rPr>
          <w:rFonts w:ascii="Amiri" w:hAnsi="Amiri" w:eastAsia="Amiri" w:cs="Amiri"/>
          <w:color w:val="111111"/>
          <w:sz w:val="28"/>
          <w:sz w:val="28"/>
          <w:szCs w:val="28"/>
          <w:rtl w:val="true"/>
          <w:lang w:bidi="ar-SA"/>
        </w:rPr>
        <w:t>وإنما الوارد فيها لفظ المدية</w:t>
      </w:r>
      <w:r>
        <w:rPr>
          <w:rStyle w:val="FootnoteAnchor"/>
          <w:rtl w:val="true"/>
        </w:rPr>
        <w:footnoteReference w:id="1258"/>
      </w:r>
      <w:r>
        <w:rPr>
          <w:rFonts w:ascii="Amiri" w:hAnsi="Amiri" w:eastAsia="Amiri" w:cs="Amiri"/>
          <w:color w:val="111111"/>
          <w:sz w:val="28"/>
          <w:sz w:val="28"/>
          <w:szCs w:val="28"/>
          <w:rtl w:val="true"/>
          <w:lang w:bidi="ar-SA"/>
        </w:rPr>
        <w:t>والشفرة</w:t>
      </w:r>
      <w:r>
        <w:rPr>
          <w:rStyle w:val="FootnoteAnchor"/>
          <w:rtl w:val="true"/>
        </w:rPr>
        <w:footnoteReference w:id="1259"/>
      </w:r>
      <w:r>
        <w:rPr>
          <w:rFonts w:ascii="Amiri" w:hAnsi="Amiri" w:eastAsia="Amiri" w:cs="Amiri"/>
          <w:color w:val="111111"/>
          <w:sz w:val="28"/>
          <w:sz w:val="28"/>
          <w:szCs w:val="28"/>
          <w:rtl w:val="true"/>
          <w:lang w:bidi="ar-SA"/>
        </w:rPr>
        <w:t>وتحديدهما، وهما غير الحديد، مضافاً إلى أنّ العامة لا يعتبرون في الآلة أن تكون من الحديد، بل يذهبون إلى جواز الذبح بالعصا، والقصب، والليطة، والحجر، وكل شيء سوى السنّ، والظفر، والعظم، على خلاف بينهم فيها</w:t>
      </w:r>
      <w:r>
        <w:rPr>
          <w:rStyle w:val="FootnoteAnchor"/>
          <w:rtl w:val="true"/>
        </w:rPr>
        <w:footnoteReference w:id="1260"/>
      </w:r>
      <w:r>
        <w:rPr>
          <w:rFonts w:ascii="IRNazanin" w:hAnsi="IRNazanin" w:eastAsia="IRNazanin"/>
          <w:color w:val="111111"/>
          <w:sz w:val="28"/>
          <w:sz w:val="28"/>
          <w:szCs w:val="28"/>
          <w:rtl w:val="true"/>
          <w:lang w:bidi="fa-IR"/>
        </w:rPr>
        <w:t xml:space="preserve">، مع أنّ الحكم عندنا هو عدم الجواز في حال الاختيار بلا خلاف كما تقدّم، وقد صرّحت الروايات الواردة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ذكرنا بعضها آنفاً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الروايات هو أنّ المعتبر في آلة الذبح أن تكون من الحديد في حال الاختيار، وأما في حال الاضطرار فيجوز الذبح بغيره، ولا يبعد أن يكون المراد بالاضطرار المسوّغ للذبح بغير الحديد هو مطلق الحاجة إلى الذبح كما جعله في الجواهر</w:t>
      </w:r>
      <w:r>
        <w:rPr>
          <w:rStyle w:val="FootnoteAnchor"/>
          <w:rtl w:val="true"/>
        </w:rPr>
        <w:footnoteReference w:id="1261"/>
      </w:r>
      <w:r>
        <w:rPr>
          <w:rFonts w:ascii="Amiri" w:hAnsi="Amiri" w:eastAsia="Amiri" w:cs="Amiri"/>
          <w:color w:val="111111"/>
          <w:sz w:val="28"/>
          <w:sz w:val="28"/>
          <w:szCs w:val="28"/>
          <w:rtl w:val="true"/>
          <w:lang w:bidi="ar-SA"/>
        </w:rPr>
        <w:t>هو الأقوى، وذلك لما ورد في صحيحة زيد الشحّام</w:t>
      </w:r>
      <w:r>
        <w:rPr>
          <w:rStyle w:val="FootnoteAnchor"/>
          <w:rtl w:val="true"/>
        </w:rPr>
        <w:footnoteReference w:id="1262"/>
      </w:r>
      <w:r>
        <w:rPr>
          <w:rFonts w:ascii="IRNazanin" w:hAnsi="IRNazanin" w:eastAsia="IRNazanin"/>
          <w:color w:val="111111"/>
          <w:sz w:val="28"/>
          <w:sz w:val="28"/>
          <w:szCs w:val="28"/>
          <w:rtl w:val="true"/>
          <w:lang w:bidi="fa-IR"/>
        </w:rPr>
        <w:t xml:space="preserve">المتقدّمة، حيث سأل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لم يكن بحضرته سكّينوأجابه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الذبح بغيرها، ولا يفهم من ذلك عدم التمكّن واليأس من الظفر بالآلة مع الفحص، وعليه فالمراد من الاضطرار هو مطلق الحاجة وإن أمكن تحصيل الآلة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تمام الكلام حول آلة الذبح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الركن الثالث وهو كيفية الذبح فالكلام فيه في جهتين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التسمية على  الذبيحة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استقبال القبلة بالذبيحة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 فقد تقدم الكلام حولها في ضمن البحث حول الركن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الجهة الثانية فهذا موضع الكلام فيها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الخلاف في استقبال القبلة بالذبيحة، وأنه شرط في حلّيتها أو لا؟ فذهب الخاصة إلى القول بالاشتراط، فالإخلال به مع إمكانه موجب لحرمتها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العامة إلى القول بعدم الاشتراط، وقد نصّ على ما ذكرنا علماء كل من الطرفين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الخاصة فقد 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أكل ذبيحة تذبح لغير القبلة مع العمد والإمكان، وقال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مستحبّ، وروي عن ابن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ذبيحة تذبح لغير القبلة</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إدريس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أكل ذباحة المحقّ إلاّ بشروط،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استقبال القبلة بالذبيحة مع قدرته على ذلك </w:t>
      </w:r>
      <w:r>
        <w:rPr>
          <w:rFonts w:eastAsia="Amiri" w:cs="Amiri" w:ascii="Amiri" w:hAnsi="Amiri"/>
          <w:color w:val="111111"/>
          <w:sz w:val="28"/>
          <w:szCs w:val="28"/>
          <w:rtl w:val="true"/>
          <w:lang w:bidi="ar-SA"/>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التذكية استقبال القبلة بالذبيحة مع الإمكان، وكذا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أخلّ بهما أو بأحدهما عمداً لم تحلّ بالإجماع المستفيض النقل </w:t>
      </w:r>
      <w:r>
        <w:rPr>
          <w:rFonts w:eastAsia="Amiri" w:cs="Amiri" w:ascii="Amiri" w:hAnsi="Amiri"/>
          <w:color w:val="111111"/>
          <w:sz w:val="28"/>
          <w:szCs w:val="28"/>
          <w:rtl w:val="true"/>
          <w:lang w:bidi="ar-SA"/>
        </w:rPr>
        <w:t xml:space="preserve">...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العامة فقد قال ابن قدامة في الشرح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يستقبل بها القبلة، روي ذلك عن ابن عمر، وابن سيرين، وعطاء، والثوري والشافعي، وأصحاب الرأي، وكره ابن عمر، وابن سيرين أكل ما ذبح لغير القبلة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والأكثرون على أنه لا يكره لأنّ أهل الكتاب يذبحون لغير القبلة وقد أحلّ الله سبحانه ذبائحهم</w:t>
      </w:r>
      <w:r>
        <w:rPr>
          <w:rFonts w:eastAsia="Amiri" w:cs="Amiri" w:ascii="Amiri" w:hAnsi="Amiri"/>
          <w:color w:val="111111"/>
          <w:sz w:val="28"/>
          <w:szCs w:val="28"/>
          <w:rtl w:val="true"/>
          <w:lang w:bidi="ar-SA"/>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رشد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استقبال القبلة بالذبيحة، فإنّ قوماً استحبّوا ذلك، وقوماً أجازوا ذلك، وقوماً أوجبوه، وقوماً كرهوا أن لا يستقبل بها القبلة، والكراهية والمنع موجودان في المذهب، وهي مسألة مسكوت عنها، والأصل فيها الإباحة</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سيد سابق في فقه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استقبال القبلة عند الذبح فلم يرد فياستحبابه شيء</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ونكتفي بهذا القدر من نقل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مذهب الخاصة هو القول بوجوب الاستقبال، وأنّ مذهب العامة عدم الوجوب إلاّ ما ذكره صاحب البداية حيث نقل القول بالوجوب ولم يذكر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الخاصّة على اعتبار الاستقبال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السنة فبعدة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الذبيحة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 بذبيحتك القبلة، الحديث</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من حيث السند تامّة، ومن حيث الدلالة ظاهرة، للأمر بالاستقبال بالذبيحة وظاهر ذلك كون الاستقبال واجباً شرطياً للحلية بقرينة اقترانه بالشرائط الأخرى كما سيأتي في بقية الروايات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صحيحته الثانية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ذبح ذبيحة فجهل أن يوجّهها إلى القبلة،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يوجّهها،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تأكل منها، ولا تأكل من ذبيحة ما لم يذكر اسم الله عليها،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أردتأن تذبح فاستقبل بذبيحتك القبلة</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وذيل هذه الرواية كالرواية السابقة من حيث الدلالة، وأما صدرها فهو ظاهر أيضاً في الدلالة على ذلك، فإنّ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يوجّهها، أنّ عدم التوجيه إنما هو مع العلم لا مع الجهل، كما احتمله في الجواهر</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صحيحته الثالثة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ذبيحة ذبحت لغير القبلة،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ولا بأس بذلك ما لم يتعمده، الحديث</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مفهوم هذه الرواية أنه إذا كان عدم التوجيه للقبلة مع التعمد ففيه بأس</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الذبيحة تذبح لغير القبلة،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لم يتعمد، الحديث</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جعفر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يذبح على غير 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لم يتعمد</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وهاتان الروايتان كصحيحة محمد بن مسلم الثالثة من حيث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إذااشتريت هديك فاستقبل به القبلة وانحره أو اذبحه</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كالصحيحة الأولى من حيث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فقد ادّعاه في الانتصار</w:t>
      </w:r>
      <w:r>
        <w:rPr>
          <w:rStyle w:val="FootnoteAnchor"/>
          <w:rtl w:val="true"/>
        </w:rPr>
        <w:footnoteReference w:id="1276"/>
      </w:r>
      <w:r>
        <w:rPr>
          <w:rFonts w:ascii="Amiri" w:hAnsi="Amiri" w:eastAsia="Amiri" w:cs="Amiri"/>
          <w:color w:val="111111"/>
          <w:sz w:val="28"/>
          <w:sz w:val="28"/>
          <w:szCs w:val="28"/>
          <w:rtl w:val="true"/>
          <w:lang w:bidi="ar-SA"/>
        </w:rPr>
        <w:t>، والمسالك</w:t>
      </w:r>
      <w:r>
        <w:rPr>
          <w:rStyle w:val="FootnoteAnchor"/>
          <w:rtl w:val="true"/>
        </w:rPr>
        <w:footnoteReference w:id="1277"/>
      </w:r>
      <w:r>
        <w:rPr>
          <w:rFonts w:ascii="Amiri" w:hAnsi="Amiri" w:eastAsia="Amiri" w:cs="Amiri"/>
          <w:color w:val="111111"/>
          <w:sz w:val="28"/>
          <w:sz w:val="28"/>
          <w:szCs w:val="28"/>
          <w:rtl w:val="true"/>
          <w:lang w:bidi="ar-SA"/>
        </w:rPr>
        <w:t>، ونفى الخلاف فيه في الكفاية</w:t>
      </w:r>
      <w:r>
        <w:rPr>
          <w:rStyle w:val="FootnoteAnchor"/>
          <w:rtl w:val="true"/>
        </w:rPr>
        <w:footnoteReference w:id="1278"/>
      </w:r>
      <w:r>
        <w:rPr>
          <w:rFonts w:ascii="Amiri" w:hAnsi="Amiri" w:eastAsia="Amiri" w:cs="Amiri"/>
          <w:color w:val="111111"/>
          <w:sz w:val="28"/>
          <w:sz w:val="28"/>
          <w:szCs w:val="28"/>
          <w:rtl w:val="true"/>
          <w:lang w:bidi="ar-SA"/>
        </w:rPr>
        <w:t>، وجامع المدارك</w:t>
      </w:r>
      <w:r>
        <w:rPr>
          <w:rStyle w:val="FootnoteAnchor"/>
          <w:rtl w:val="true"/>
        </w:rPr>
        <w:footnoteReference w:id="1279"/>
      </w:r>
      <w:r>
        <w:rPr>
          <w:rFonts w:ascii="Amiri" w:hAnsi="Amiri" w:eastAsia="Amiri" w:cs="Amiri"/>
          <w:color w:val="111111"/>
          <w:sz w:val="28"/>
          <w:sz w:val="28"/>
          <w:szCs w:val="28"/>
          <w:rtl w:val="true"/>
          <w:lang w:bidi="ar-SA"/>
        </w:rPr>
        <w:t>، وادّعاه في الجواهر بكلا قسميه</w:t>
      </w:r>
      <w:r>
        <w:rPr>
          <w:rStyle w:val="FootnoteAnchor"/>
          <w:rtl w:val="true"/>
        </w:rPr>
        <w:footnoteReference w:id="1280"/>
      </w:r>
      <w:r>
        <w:rPr>
          <w:rFonts w:ascii="Amiri" w:hAnsi="Amiri" w:eastAsia="Amiri" w:cs="Amiri"/>
          <w:color w:val="111111"/>
          <w:sz w:val="28"/>
          <w:sz w:val="28"/>
          <w:szCs w:val="28"/>
          <w:rtl w:val="true"/>
          <w:lang w:bidi="ar-SA"/>
        </w:rPr>
        <w:t>، بل جعله في المستند هو الحجة والدليل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إثباته من الأخبار مشكل، لأنّ المتبادر من الأمر الوجوب الشرعي ـ دون الشرطي ـ وهو غير مستلزم للحرمة مع ترك المأمور به</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رفع اليد عن الظهور مع عدم المعارض مما لا وجه له، خصوصاً إذا اقترن الأمر به بالأمر بسائر الشرائط كالتسمية، على أنّ الخدشة في الروايات توجب الخدشة في الإجماع لاحتمال كون مستنده هو الروايات مضافاً إلى إمكان الخدشة في الإجماع صغروياً حيث نسب إلى السيد وابن زهرة القول بوجوباستقبال الذابح لا الذبيحة، ونقلا الإجماع عليه</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فالعمدة في المقام هي الروايات فإن تمّت دلالتها على الوجوب فهو، وإن شك في ذلك فمقتضى أصالة عدم التذكية هو اعتبار الاستقبال، ويحكم بوجوبه، وأنه شرط في حلية الذبيحة مع الإمكان، وذلك لما ورد في الروايات من أنّ الإخلال بالاستقبال ـ إذا كان عن عمد ـ موجب لحرمة الذبيحة، والتعمد هو القصد مع العلم بالحكم أو الموضوع، فلو نسي أو جهل الحكم أو الموضوع </w:t>
      </w:r>
    </w:p>
    <w:p>
      <w:pPr>
        <w:pStyle w:val="BookText"/>
        <w:rPr/>
      </w:pPr>
      <w:r>
        <w:rPr>
          <w:rFonts w:ascii="Amiri" w:hAnsi="Amiri" w:eastAsia="Amiri" w:cs="Amiri"/>
          <w:color w:val="111111"/>
          <w:sz w:val="28"/>
          <w:sz w:val="28"/>
          <w:szCs w:val="28"/>
          <w:rtl w:val="true"/>
          <w:lang w:bidi="ar-SA"/>
        </w:rPr>
        <w:t>كما إذا اشتبهت القبلة على الذابح فذبح لغيرها، أو اضطرّ للذبح إلى غير القبلة، أو لم يعتقد بالوجوب، فلا إشكال في حلّية ذبيحته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الاستقبال شرط في حلّية الذبيحة، ويستثنى منه أربعة 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الناسي، والجاهل، والمضطرّ، ومن لا يعتقد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فتحلّ ذبيحته بلا خلاف، بل حكي الإجماع عليه عن غير واحد كما في الجواهر</w:t>
      </w:r>
      <w:r>
        <w:rPr>
          <w:rStyle w:val="FootnoteAnchor"/>
          <w:rtl w:val="true"/>
        </w:rPr>
        <w:footnoteReference w:id="1283"/>
      </w:r>
      <w:r>
        <w:rPr>
          <w:rFonts w:ascii="IRNazanin" w:hAnsi="IRNazanin" w:eastAsia="IRNazanin"/>
          <w:color w:val="111111"/>
          <w:sz w:val="28"/>
          <w:sz w:val="28"/>
          <w:szCs w:val="28"/>
          <w:rtl w:val="true"/>
          <w:lang w:bidi="fa-IR"/>
        </w:rPr>
        <w:t xml:space="preserve">، وهو داخل في غير التعمد المذكور في الروايات، والمؤيد بما رواه صاحب الدعائم عن أبي جعفر محمد بن علي، 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أنهما قالا فيمن ذبح لغير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أخطأ أو نسي أو جهل فلا شيء عليه، وتؤكل ذبيحته، وإن كان تعمّد ذلك فقد أساء، ولا يجب أن تؤكل ذبيحته تلك، إذا تعمد خلاف السنّة</w:t>
      </w:r>
      <w:r>
        <w:rPr>
          <w:rStyle w:val="FootnoteAnchor"/>
          <w:rtl w:val="true"/>
        </w:rPr>
        <w:footnoteReference w:id="1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الجاهل بالحكم أو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كذلك، لصدق عدم التعمد عليه، لما ذكرنا من أنّ التعمّد مركب من القصد والعلم، فمع عدم العلم لا يكون متعمّداً، مضافاً إلى أنه قد ورد النصّ عليه بخصوصه في صحيحة محمد بن مسلم الثانية  المتقدمة، 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يوجّهها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تأكل منها، ظاهر في أنّ عدم التوجيه كان عن عمد، أي مع القصد والعلم، ويؤيد ذلك رواية الدعائم المتقدمة أيضاً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المضطرّ فإن قلنا بأنّ الاختيار داخل في مفهوم التعمّد فهو، وإلاّ فلابدّ من تقييد اشتراط الاستقبال به، كما ورد في كلمات الأعلام حيث قيّدوا اشتراطه بالإمكان، ولما ورد من الروايات في عدم اعتبار مراعاة الاستقبال في المتردّي والمستعصي ونحوهما لعدم الإمكان، فعند الاضطرار أو الضرورة </w:t>
      </w:r>
      <w:bookmarkStart w:id="169" w:name="pg16406_258749"/>
    </w:p>
    <w:p>
      <w:pPr>
        <w:pStyle w:val="BookText"/>
        <w:rPr/>
      </w:pPr>
      <w:bookmarkEnd w:id="169"/>
      <w:r>
        <w:rPr>
          <w:rFonts w:ascii="Amiri" w:hAnsi="Amiri" w:eastAsia="Amiri" w:cs="Amiri"/>
          <w:color w:val="111111"/>
          <w:sz w:val="28"/>
          <w:sz w:val="28"/>
          <w:szCs w:val="28"/>
          <w:rtl w:val="true"/>
          <w:lang w:bidi="ar-SA"/>
        </w:rPr>
        <w:t>يسقط الاشتراط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لا يعتقد بوجوب الاستقبال ـ كالعامة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يدخل في التعمد أو الجهل؟ والظاهر هو الثاني لأنه جاهل مركب، وقد جزم به في المسالك</w:t>
      </w:r>
      <w:r>
        <w:rPr>
          <w:rStyle w:val="FootnoteAnchor"/>
          <w:rtl w:val="true"/>
        </w:rPr>
        <w:footnoteReference w:id="1285"/>
      </w:r>
      <w:r>
        <w:rPr>
          <w:rFonts w:ascii="Amiri" w:hAnsi="Amiri" w:eastAsia="Amiri" w:cs="Amiri"/>
          <w:color w:val="111111"/>
          <w:sz w:val="28"/>
          <w:sz w:val="28"/>
          <w:szCs w:val="28"/>
          <w:rtl w:val="true"/>
          <w:lang w:bidi="ar-SA"/>
        </w:rPr>
        <w:t>، واحتمله في الجواهر</w:t>
      </w:r>
      <w:r>
        <w:rPr>
          <w:rStyle w:val="FootnoteAnchor"/>
          <w:rtl w:val="true"/>
        </w:rPr>
        <w:footnoteReference w:id="1286"/>
      </w:r>
      <w:r>
        <w:rPr>
          <w:rFonts w:ascii="Amiri" w:hAnsi="Amiri" w:eastAsia="Amiri" w:cs="Amiri"/>
          <w:color w:val="111111"/>
          <w:sz w:val="28"/>
          <w:sz w:val="28"/>
          <w:szCs w:val="28"/>
          <w:rtl w:val="true"/>
          <w:lang w:bidi="ar-SA"/>
        </w:rPr>
        <w:t>، وعلى تقدير الشك فيمكن إثبات حلية ذبائحهم بما ورد من النصوص الدالّة على حلّيتها كما تقدّم</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7246569_1280447820"/>
      <w:bookmarkStart w:id="171" w:name="_Toc55"/>
      <w:bookmarkEnd w:id="170"/>
      <w:r>
        <w:rPr>
          <w:rtl w:val="true"/>
        </w:rPr>
        <w:t>بقي أمران</w:t>
      </w:r>
      <w:r>
        <w:rPr>
          <w:rtl w:val="true"/>
        </w:rPr>
        <w:t>:</w:t>
      </w:r>
      <w:bookmarkEnd w:id="17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يظهر من بعض الأعلام اعتبار استقبال الذابح كما تقدم عن السيد، وابن زهرة وسلار، كما يظهر أيضاً من الصدوق في الهداية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اشتريت هديك فاستقبل القبلة وانحره، أو اذبحه</w:t>
      </w:r>
      <w:r>
        <w:rPr>
          <w:rStyle w:val="FootnoteAnchor"/>
          <w:rtl w:val="true"/>
        </w:rPr>
        <w:footnoteReference w:id="1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واحتاط السبزواري في الكفاية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استقبال الذابح أيضاً</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نقف على من استوفى البحث في هذه المسألة، نعم أشار إليها صاحب المسالك</w:t>
      </w:r>
      <w:r>
        <w:rPr>
          <w:rStyle w:val="FootnoteAnchor"/>
          <w:rtl w:val="true"/>
        </w:rPr>
        <w:footnoteReference w:id="1289"/>
      </w:r>
      <w:r>
        <w:rPr>
          <w:rFonts w:ascii="IRNazanin" w:hAnsi="IRNazanin" w:eastAsia="IRNazanin"/>
          <w:color w:val="111111"/>
          <w:sz w:val="28"/>
          <w:sz w:val="28"/>
          <w:szCs w:val="28"/>
          <w:rtl w:val="true"/>
          <w:lang w:bidi="fa-IR"/>
        </w:rPr>
        <w:t>والجواهر</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الاستدلال على ذلك بعدة روايات</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يذبح لك اليهودي ولا النصراني أضحيّتك، فإن كانت امرأة فلتذبح لنفسها ولتستقبل القبلة،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وجّهت وجهي للذي فطر السموات والأرض حنيفاً مسلماً، اللهم منك ولك</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وموضع الشاهد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ولتستقبل القبلة، وهو صريح الدلالة، كما أنّ الرواية صحيحة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علي بن جعفر عن أخيه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الأضحية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 بكبش أملح أقرن فحلاً سميناً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 بثنيّ فصاعداً، واشتره سليم الأذنين والعينين، واستقبل القبلة، وقل حين تريد أن تذبح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وجّهت وجهي للذي فطر السموات والأرض حنيفاً مسلماً وما أنا من المشركين </w:t>
      </w:r>
      <w:r>
        <w:rPr>
          <w:rFonts w:eastAsia="IRNazanin" w:cs="IRNazanin"/>
          <w:color w:val="111111"/>
          <w:sz w:val="28"/>
          <w:szCs w:val="28"/>
          <w:rtl w:val="true"/>
          <w:lang w:bidi="fa-IR"/>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الصدوق في الهداية، بناء على صحة النسخة حيث ورد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 القبلة، وانحره أو اذبحه</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فتاوى الصدوق في الهداية نصوص الروايات، فتصلح أن تكون دليلاً أو مؤيداً في المقام، وهي صريحة الدلالة في اعتبار استقبال الذابح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الدعائم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أن تذبح ذبيحة فلا تعذّب البهيمة، أحدّ الشفرة، واستقبل القبلة </w:t>
      </w:r>
      <w:r>
        <w:rPr>
          <w:rFonts w:eastAsia="IRNazanin" w:cs="IRNazanin"/>
          <w:color w:val="111111"/>
          <w:sz w:val="28"/>
          <w:szCs w:val="28"/>
          <w:rtl w:val="true"/>
          <w:lang w:bidi="fa-IR"/>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الالتزام بشرطية استقبال الذابح مشكل، لعدم القائل به غير من ذكرنا، والمعروف بين الأصحاب هو استقبال الذبيحة وقد ادعي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تصلح هذه الروايات أن تكون دليلاً على الاستحباب، مضافاً إلى اعتبار استقبال الذبيحة وإن كان لا ينفك أحدهما عن الآخر في الغالب</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يستظهر من بعض الروايات استحباب الاستقبال بالذبيحة لاالوجوب ومنها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ما رواه في الدعائم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شاة تذبح قائمة،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ذلك، السنّة أن تضجع، وتستقبل بها القبلة</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عن الدعائم أيضاً عن أبي جعفر محمد بن علي، 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أنهما قالا فيمن ذبح لغير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أخطأ أو نسي أو جهل فلا شيء عليه، وتؤكل ذبيحته وإن كان تعمّد ذلك فقد أساء، ولا يجب أن تؤكل ذبيحته تلك، إذا تعمّد خلاف السنّة</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وموضع الشاهد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أن تؤكل ذبيحته، والمستفاد من ذلك عدم حرمة الذبيحة وإن لم يستقبل بها القبلة، فليس الاستقبال بها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ورد من الروايات الكثيرة المتقدّمة الدالّة على وجوب التسمية على الذبيحة من دون أن يرد فيها ما يدلّ على اعتبار الاستقبال أصلاً،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الاستقبال بالذبيحة غير معتبر، ولو كان شرطاً لوجب ذكره في هذه الروايات، وغاية ما يستفاد من الروايات الأخرى هو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الإجابة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روايتا الدعائم فهما مرسلتان ولا يمكن الاعتماد عليهما بحيث نرفع اليد عن ظاهر الروايات الدالة على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ذكر الاستقبال في روايات التسمية فلا يدلّ على عدم الاشتراط فإنهكسائر الشرائط الأخرى التي لم تذكر كفري الأوداج مثلاً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باعتبار استقبال الذبيحة وأنه شرط في حلّيتها هو الموافق لمقتضى الاحتياط</w:t>
      </w:r>
      <w:r>
        <w:rPr>
          <w:rFonts w:eastAsia="Amiri" w:cs="Amiri" w:ascii="Amiri" w:hAnsi="Amiri"/>
          <w:color w:val="111111"/>
          <w:sz w:val="28"/>
          <w:szCs w:val="28"/>
          <w:rtl w:val="true"/>
          <w:lang w:bidi="ar-SA"/>
        </w:rPr>
        <w:t xml:space="preserve">. </w:t>
      </w:r>
      <w:bookmarkStart w:id="172" w:name="pg16406_258752"/>
    </w:p>
    <w:p>
      <w:pPr>
        <w:pStyle w:val="Heading4"/>
        <w:numPr>
          <w:ilvl w:val="3"/>
          <w:numId w:val="1"/>
        </w:numPr>
        <w:rPr/>
      </w:pPr>
      <w:bookmarkStart w:id="173" w:name="__RefHeading___Toc7246571_1280447820"/>
      <w:bookmarkStart w:id="174" w:name="_Toc56"/>
      <w:bookmarkEnd w:id="172"/>
      <w:bookmarkEnd w:id="173"/>
      <w:r>
        <w:rPr>
          <w:rtl w:val="true"/>
        </w:rPr>
        <w:t>ثم إن هاهنا مسائل</w:t>
      </w:r>
      <w:r>
        <w:rPr>
          <w:rtl w:val="true"/>
        </w:rPr>
        <w:t>:</w:t>
      </w:r>
      <w:bookmarkEnd w:id="174"/>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اقتضت التقية أكل ذبيحة الكفار من المشركين، أو من لا يعتقد بدين أو كتاب، أو من بحكمهم ـ بناء على شمول إطلاقات التقية لهم ـ فلابدّ مع عدم المندوحة من الاقتصار على مقدار ما ترتفع به التقية، وتطهير ما باشر ذلك من بدنه كاليد والفم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اقتضت التقية أكل ذبيحة أهل الكتاب، فبناء على  القول بالتحريم وحمل الروايات المجوّزة على التقية فمن جهة الأكل فلا إشكال في الجواز بمقتضى إطلاقها وشمولها للتقية، هذا إذا كان الملحوظ في حمل الأخبار على التقية مراعاة حال المكلّف، ويكون حاله حينئذ حال الاختيار، وأما من جهة التطهير لما باشر ذلك من البدن فحيث لا إطلاق من هذه الناحية فلابدّ من التطهير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إذا كان الملحوظ مراعاة حال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الإفتاء دون المكلّف، فحكمه حكم الأول من الاقتصار على ما ترتفع به التقية ولزوم التطهير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على القول بحلّية ذبائحهم فيجوز الأكل اختياراً ولا حاجة إلى التطهير إلاّ من باب الاحتياط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انتقل الكتابي عن دينه إلى دين سماويّ آخر ـ غير الإسلام ـ فهو بحكم المرتد، ولا يجوز التناول من ذبيحته، ومثله من دان ابتداءً بدين أهل الكتاب إذ بعد نبوة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يقبل منه غير الإسلام، وقد تقدم نظيره في مبحث  النكاح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ما تقدّم هو عدم الاكتفاء ـ بدلاً عن تسمية القاصد المعتقد ـ بالتسمية الصادرة عن آلة حفظ الصوت، أو بكتابة اسم الله تعالى على آلة الذبح، أو </w:t>
      </w:r>
    </w:p>
    <w:p>
      <w:pPr>
        <w:pStyle w:val="BookText"/>
        <w:rPr/>
      </w:pPr>
      <w:r>
        <w:rPr>
          <w:rFonts w:ascii="Amiri" w:hAnsi="Amiri" w:eastAsia="Amiri" w:cs="Amiri"/>
          <w:color w:val="111111"/>
          <w:sz w:val="28"/>
          <w:sz w:val="28"/>
          <w:szCs w:val="28"/>
          <w:rtl w:val="true"/>
          <w:lang w:bidi="ar-SA"/>
        </w:rPr>
        <w:t xml:space="preserve">بالإشارة من غير الأخرس، أو بتسمية غير القاصد للذبح، أو بتسمية شخص آخر غير الذابح، أو بمن كان قصده كلا قصد كالصبي غير المميز، والمجنون في حال جنونه، والسكران، والنائم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يكتفى بتسمية الصبي المميّز، والمجنون في حال إفاقته وإدراكه، كما يكتفى بتسمية المرأة إذا أجادت وتوفرت فيها سائر الشرائط وقد دلّت على ذلك عدّة من الروايات كما تقدم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الذبح على التناوب والتعاقب فلابدّ من التسمية على كل ذبيحة، وأما إذا كان على جملة من الذبائح في زمان واحد فالظاهر الاكتفاء بتسمية واحدة بقصد الجميع، لصدق ذكر اسم الله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الإسلام في متولّي ذبح الأضاحي، ومرسل كلب الصيد، كما تعتبر تسمية المرسل حين الإرسال، ولا يكتفى فيهما بذبح أو إرسال الكتابي، وقد تقدّم ما يدلّ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من سوق المسلمين من الذبائح فهو حلال طاهر، ويجوز تناوله، ولا يعتبر الفحص عن صحة التذكية، ولكن إذا غلب عليهم عدم المبالاةأو استحلالهم اللحوم كيفما كانت فهل يعتبر الفحص عن ذلك أو لا؟</w:t>
      </w:r>
    </w:p>
    <w:p>
      <w:pPr>
        <w:pStyle w:val="BookText"/>
        <w:rPr/>
      </w:pPr>
      <w:r>
        <w:rPr>
          <w:rFonts w:ascii="Amiri" w:hAnsi="Amiri" w:eastAsia="Amiri" w:cs="Amiri"/>
          <w:color w:val="111111"/>
          <w:sz w:val="28"/>
          <w:sz w:val="28"/>
          <w:szCs w:val="28"/>
          <w:rtl w:val="true"/>
          <w:lang w:bidi="ar-SA"/>
        </w:rPr>
        <w:t>فيه بحث وسيأتي، وهذه المسألة من أهمّ ما يبتلى به الناس في 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جواز ما يباع في أسواق المسلمين وحلية تناوله واستعماله في الأغراض المختلفة المشروطة بالطهارة عدة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 وزرارة ومحمد بن مسلم، أنهم سألوا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شراء اللحوم من الأسواق، ولا يدرى ما صنع القصّابون،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إذا كان ذلك في سوق المسلمين، ولا تسأل عنه</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البزنطي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أبي نصر،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175" w:name="pg16406_258754"/>
    </w:p>
    <w:p>
      <w:pPr>
        <w:pStyle w:val="BookText"/>
        <w:rPr/>
      </w:pPr>
      <w:bookmarkEnd w:id="17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الخفّاف يأتي السوق فيشتري الخفّ لا يدري أذكي هو أم لا، ما تقول في الصلاة فيه وهو لا يدري أيصلي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أشتري الخفّ من السوق ويصنع لي وأصلي فيه، وليس عليكم المسألة</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إسحاق بن عمار 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في الفراء اليمانيّ، وفيما صنع في أرض الإسلام،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فيها غير أهل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الغالب عليها المسلمين فلا بأس</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 الصريحة في دلالتها والمعتبرة في أسنادها وسيأتي البحثفيه مفصّلاً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7246573_1280447820"/>
      <w:bookmarkStart w:id="177" w:name="_Toc57"/>
      <w:bookmarkEnd w:id="176"/>
      <w:r>
        <w:rPr>
          <w:rtl w:val="true"/>
        </w:rPr>
        <w:t>الموضع الثاني</w:t>
      </w:r>
      <w:r>
        <w:rPr>
          <w:rtl w:val="true"/>
        </w:rPr>
        <w:t xml:space="preserve">: </w:t>
      </w:r>
      <w:r>
        <w:rPr>
          <w:rtl w:val="true"/>
        </w:rPr>
        <w:t>في تذكية حيوان البحر</w:t>
      </w:r>
      <w:r>
        <w:rPr>
          <w:rtl w:val="true"/>
        </w:rPr>
        <w:t>:</w:t>
      </w:r>
      <w:bookmarkEnd w:id="177"/>
    </w:p>
    <w:p>
      <w:pPr>
        <w:pStyle w:val="BookText"/>
        <w:rPr/>
      </w:pPr>
      <w:r>
        <w:rPr>
          <w:rFonts w:ascii="Amiri" w:hAnsi="Amiri" w:eastAsia="Amiri" w:cs="Amiri"/>
          <w:color w:val="111111"/>
          <w:sz w:val="28"/>
          <w:sz w:val="28"/>
          <w:szCs w:val="28"/>
          <w:rtl w:val="true"/>
          <w:lang w:bidi="ar-SA"/>
        </w:rPr>
        <w:t>والبحث فيه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يحلّ من حيوان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تذكيته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الجهة الأولى فقد اختلف الخاصة والعامة في ما يحلّ أكله من لحم البحر وما يحرم منه، فذهب الخاصة إلى حلّية ما كان له فلس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السمك، وما عداه فلا يجوز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الإربيان فهو ضرب من السمك كما سيأتي، ونسب إلى بعض المتأخرين منهم التأمل في حرمة ما عدا السمك بل الميل إلى الحلّية</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أكثر العامة إلى حلّية جميع حيوانات البحر سمكاً كان أو غيره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يؤكل من حيوان الماء إلاّ السمك، ولا يؤكل </w:t>
      </w:r>
    </w:p>
    <w:p>
      <w:pPr>
        <w:pStyle w:val="BookText"/>
        <w:rPr/>
      </w:pPr>
      <w:r>
        <w:rPr>
          <w:rFonts w:ascii="Amiri" w:hAnsi="Amiri" w:eastAsia="Amiri" w:cs="Amiri"/>
          <w:color w:val="111111"/>
          <w:sz w:val="28"/>
          <w:sz w:val="28"/>
          <w:szCs w:val="28"/>
          <w:rtl w:val="true"/>
          <w:lang w:bidi="ar-SA"/>
        </w:rPr>
        <w:t>أنواع السمك إلاّ ما كان له قشر، فأما غيره مثل المارماهي، والزمير، وغيره، وغير السمك من الحيوان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الخنزير، والكلب، والفأرة، والانسان، والسلحفاة، والضفادع، فإنه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في البر إلاّ ومثله في الماء، فإنّ جميع ذلك لا يحلّ أكله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يؤكل غير السمك، ولم يفصل، وبه قال بعض أصحابالشافعي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ذلك يؤكل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 وغيره،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الحوت كالحوت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الشافعي عن خنزير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يؤكل فأر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دخل العراق سئل عن اختلاف أبي حنيفة، وابن أبي ليلى في هذه المسألة، فإنّ أبا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يؤكل، وقال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يؤكل، فقال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قول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أبو بكر، وعمر، وعثمان، وابن عباس، وأبو أيوب الأنصاري، وأبو هريرة، ومالك، والأوزاعي، والليث بن سعد، وابن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أصحاب الشافعي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بدوابّ البرّ فما يؤكل لحمه من دوابّ البرّ فكذلك دواب البحر، وما لم يؤكل البرّي منه فكذلك البحري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دليلنا إجماع الفرقة وأخبارهم </w:t>
      </w:r>
      <w:r>
        <w:rPr>
          <w:rFonts w:eastAsia="Amiri" w:cs="Amiri" w:ascii="Amiri" w:hAnsi="Amiri"/>
          <w:color w:val="111111"/>
          <w:sz w:val="28"/>
          <w:szCs w:val="28"/>
          <w:rtl w:val="true"/>
          <w:lang w:bidi="ar-SA"/>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إدريس تعليقاً على قول الشيخ في النهاية</w:t>
      </w:r>
      <w:r>
        <w:rPr>
          <w:rStyle w:val="FootnoteAnchor"/>
          <w:rtl w:val="true"/>
        </w:rPr>
        <w:footnoteReference w:id="1302"/>
      </w:r>
      <w:r>
        <w:rPr>
          <w:rFonts w:ascii="Amiri" w:hAnsi="Amiri" w:eastAsia="Amiri" w:cs="Amiri"/>
          <w:color w:val="111111"/>
          <w:sz w:val="28"/>
          <w:sz w:val="28"/>
          <w:szCs w:val="28"/>
          <w:rtl w:val="true"/>
          <w:lang w:bidi="ar-SA"/>
        </w:rPr>
        <w:t>بكراهة المارماهي والزمار والزهو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غير مستقيم ولا صحيح لأنه مخالف لأصول مذهبنا، </w:t>
      </w:r>
    </w:p>
    <w:p>
      <w:pPr>
        <w:pStyle w:val="BookText"/>
        <w:rPr/>
      </w:pPr>
      <w:r>
        <w:rPr>
          <w:rFonts w:ascii="Amiri" w:hAnsi="Amiri" w:eastAsia="Amiri" w:cs="Amiri"/>
          <w:color w:val="111111"/>
          <w:sz w:val="28"/>
          <w:sz w:val="28"/>
          <w:szCs w:val="28"/>
          <w:rtl w:val="true"/>
          <w:lang w:bidi="ar-SA"/>
        </w:rPr>
        <w:t xml:space="preserve">ولأنّ إجماع أصحابنا بغير خلاف بينهم، أنه لا يؤكل من حيوان البحر إلاّالسمك، والسمك لا يؤكل منه إلاّ ما كان له فلس، </w:t>
      </w:r>
      <w:r>
        <w:rPr>
          <w:rFonts w:eastAsia="Amiri" w:cs="Amiri" w:ascii="Amiri" w:hAnsi="Amiri"/>
          <w:color w:val="111111"/>
          <w:sz w:val="28"/>
          <w:szCs w:val="28"/>
          <w:rtl w:val="true"/>
          <w:lang w:bidi="ar-SA"/>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حزم في 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يسكن جوف الماء ولا يعيش إلاّ فيه فهو حلال كله كيفما وجد، سواء أخذ حيّاً ثم مات، أو مات في الماء، طفا أو لم يطف، أو قتله حيوان بحري أو برّي هو كله حلال أكله، وسواء خنزير الماء، أو إنسان الماء، أو كلب الماء، وغير ذلك، كل ذلك حلال أكله قتل كلّ ذلك وثنيّ، أو مسلم، أو كتابي أو لم يقتله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 أصحاب أبي حنيفة هذا كله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أكل ما مات من السمك وما جزر عنه الماء ما لم يطف على الماء مما مات في الماء حتف أنفه خاصّة، ولا يحل أكل ما طفا منه على الماء، ولا يحلّ أكل شيء مما في الماء إلاّ السمك وحده، ولا يحلّ أكل خنزير الماء، ولا إنسان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سفيان الثوري فيما في البحر مما عدا السمك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يؤكل،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يؤكل حتى يذبح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أبو بكر، وعمر بإباحته ولا يعلم لهما في ذلك مخالف من الصحابة</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الجزيري في الفقه على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ويحلّ أكل حيوان البحر الذي يعيش فيه، ولو لم يكن على صورة السمك كأن كان على صورة خنزير، أو آدمي، كما يحلّ أكل الجرّيث وهو السمك الذي على صورة الثعبان، وسائر أنواع السمك ما عدا التمساح فإنه حرام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في ذيل كلامه أنّ الأحناف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أكل حيوان البحر الذي ليسعلى صورة السمك، فلا يحل أكل إنسان البحر، وخنزيره، وفرسه، ونحوها إلاّ الجرّيث، والمارماهي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سمك في صورة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p>
    <w:p>
      <w:pPr>
        <w:pStyle w:val="BookText"/>
        <w:rPr/>
      </w:pPr>
      <w:r>
        <w:rPr>
          <w:rFonts w:ascii="Amiri" w:hAnsi="Amiri" w:eastAsia="Amiri" w:cs="Amiri"/>
          <w:color w:val="111111"/>
          <w:sz w:val="28"/>
          <w:sz w:val="28"/>
          <w:szCs w:val="28"/>
          <w:rtl w:val="true"/>
          <w:lang w:bidi="ar-SA"/>
        </w:rPr>
        <w:t>جميع أنواع السمك إلاّ الطافي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أيضاً أن الحنابلة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أكل حيّة السمك لأنها من الخبائث عندهم</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يعلم أنّ الخاصة لا يقولون بالحلّية إلاّ في السمك ذي  الفلس، وأنّ مذهب العامة على الحلية إلاّ الأحناف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الخاصة على ما ذهبوا إليه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صَيْدُ الْبَحْرِ وَطَعَامُهُ مَتَاعاً لَكُمْ وَلِلسَّيَّارَةِ</w:t>
      </w:r>
      <w:r>
        <w:rPr>
          <w:rFonts w:eastAsia="Amiri" w:cs="Amiri" w:ascii="Amiri" w:hAnsi="Amiri"/>
          <w:color w:val="111111"/>
          <w:sz w:val="28"/>
          <w:szCs w:val="28"/>
          <w:rtl w:val="true"/>
          <w:lang w:bidi="ar-SA"/>
        </w:rPr>
        <w:t>»</w:t>
      </w:r>
      <w:r>
        <w:rPr>
          <w:rStyle w:val="FootnoteAnchor"/>
          <w:rtl w:val="true"/>
        </w:rPr>
        <w:footnoteReference w:id="1306"/>
      </w:r>
      <w:r>
        <w:rPr>
          <w:rFonts w:ascii="Amiri" w:hAnsi="Amiri" w:eastAsia="Amiri" w:cs="Amiri"/>
          <w:color w:val="111111"/>
          <w:sz w:val="28"/>
          <w:sz w:val="28"/>
          <w:szCs w:val="28"/>
          <w:rtl w:val="true"/>
          <w:lang w:bidi="ar-SA"/>
        </w:rPr>
        <w:t>والمستفاد منها الحكم بحلية صيد البحر وهو ينصرف إلى الأسماك، وما عداها من سائر الحيوانات البحرية غير مشمولة لهذا الحكم، ولو كان المراد بصيد البحر جميع الحيوانات البحرية للزم تخصيص الأكثر مما ثبت حرمته بالكتاب والسنة من جهة الخباثة، أو الضرر أو نحو ذلك</w:t>
      </w:r>
      <w:r>
        <w:rPr>
          <w:rStyle w:val="FootnoteAnchor"/>
          <w:rtl w:val="true"/>
        </w:rPr>
        <w:footnoteReference w:id="1307"/>
      </w:r>
      <w:r>
        <w:rPr>
          <w:rFonts w:ascii="Amiri" w:hAnsi="Amiri" w:eastAsia="Amiri" w:cs="Amiri"/>
          <w:color w:val="111111"/>
          <w:sz w:val="28"/>
          <w:sz w:val="28"/>
          <w:szCs w:val="28"/>
          <w:rtl w:val="true"/>
          <w:lang w:bidi="ar-SA"/>
        </w:rPr>
        <w:t>، كما أنّ المستفاد من لفظ الصيد أنّ ما مات من السمك في الماء، وما طفا عليه وما رماه الماء، غير داخل في الحكم لعدم صدق الصيد عليه، فإنّ الصيد هو ما يصطاد ويؤخذ أي يقصد اصطياده وأخذه، وهذا المعنى لا يشمل الميت أو الطافي أو مارماه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من الآية هو حلية خصوص السمك الذي وقع عليه الصيد</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سَخَّرَ الْبَحْرَ لِتَأْكُلُوا مِنْهُ لَحْماً طَرِيّاً</w:t>
      </w:r>
      <w:r>
        <w:rPr>
          <w:rFonts w:eastAsia="Amiri" w:cs="Amiri" w:ascii="Amiri" w:hAnsi="Amiri"/>
          <w:color w:val="111111"/>
          <w:sz w:val="28"/>
          <w:szCs w:val="28"/>
          <w:rtl w:val="true"/>
          <w:lang w:bidi="ar-SA"/>
        </w:rPr>
        <w:t>»</w:t>
      </w:r>
      <w:r>
        <w:rPr>
          <w:rStyle w:val="FootnoteAnchor"/>
          <w:rtl w:val="true"/>
        </w:rPr>
        <w:footnoteReference w:id="1308"/>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كُلٍّ تَأْكُلُونَ لَحْماً طَرِيّاً</w:t>
      </w:r>
      <w:r>
        <w:rPr>
          <w:rFonts w:eastAsia="Amiri" w:cs="Amiri" w:ascii="Amiri" w:hAnsi="Amiri"/>
          <w:color w:val="111111"/>
          <w:sz w:val="28"/>
          <w:szCs w:val="28"/>
          <w:rtl w:val="true"/>
          <w:lang w:bidi="ar-SA"/>
        </w:rPr>
        <w:t>»</w:t>
      </w:r>
      <w:r>
        <w:rPr>
          <w:rStyle w:val="FootnoteAnchor"/>
          <w:rtl w:val="true"/>
        </w:rPr>
        <w:footnoteReference w:id="1309"/>
      </w:r>
      <w:r>
        <w:rPr>
          <w:rFonts w:ascii="Amiri" w:hAnsi="Amiri" w:eastAsia="Amiri" w:cs="Amiri"/>
          <w:color w:val="111111"/>
          <w:sz w:val="28"/>
          <w:sz w:val="28"/>
          <w:szCs w:val="28"/>
          <w:rtl w:val="true"/>
          <w:lang w:bidi="ar-SA"/>
        </w:rPr>
        <w:t xml:space="preserve">فهما في مقام بيان أصل </w:t>
      </w:r>
    </w:p>
    <w:p>
      <w:pPr>
        <w:pStyle w:val="BookText"/>
        <w:rPr/>
      </w:pPr>
      <w:r>
        <w:rPr>
          <w:rFonts w:ascii="Amiri" w:hAnsi="Amiri" w:eastAsia="Amiri" w:cs="Amiri"/>
          <w:color w:val="111111"/>
          <w:sz w:val="28"/>
          <w:sz w:val="28"/>
          <w:szCs w:val="28"/>
          <w:rtl w:val="true"/>
          <w:lang w:bidi="ar-SA"/>
        </w:rPr>
        <w:t>المشروعية والجواز، وليستا في مقام بيان الكيفية والخصوصيات، ولذا فإنّ هاتين الآيتين مقيدتان بالآية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بالروايات وهي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حلّية خصوص السمك وحرمة ما عداه، وهي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عمار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الربيثا،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تأكلها فإنّا لا نعرفها في السمك يا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والرواية من جهة السند معتبرة، وأما من جهة الدلالة فهي وإن كانت واردة في خصوص الربيثا، وقد اختلفت الروايات في حكمه، فبعضها يدلّ على حلّية أكله كما سيأتي، وبعضها يدلّ على حرمته كهذه الرواية، ومقتضى الجمع هو الحمل على الكراهة إلاّ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لا نعرفها في السمك، بيان لعلّة الحكم فتشمل ما نحن فيه، ولا يضرّ بالاستدلال رفع اليد عن المورد إذا كانت علّة الحكم مذكورة، وعليه فالمستفاد من الرواية أنّ كلّ ما لا يكون منالسمك فلا يحلّ أكله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يونس بن عبد الرحمن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تقول في أكل الإربيان؟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والإربيان ضرب من السمك،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روى بعض مواليك في أكل الربيثا،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وإن كانت من حيث السند معتبرة إلاّ أنها من حيث الدلالة غير واضحة إذ لا يستفاد منها الحكم الكلي بأنّ كلّ ما لا يكون من السمك فهو </w:t>
      </w:r>
    </w:p>
    <w:p>
      <w:pPr>
        <w:pStyle w:val="BookText"/>
        <w:rPr/>
      </w:pPr>
      <w:r>
        <w:rPr>
          <w:rFonts w:ascii="Amiri" w:hAnsi="Amiri" w:eastAsia="Amiri" w:cs="Amiri"/>
          <w:color w:val="111111"/>
          <w:sz w:val="28"/>
          <w:sz w:val="28"/>
          <w:szCs w:val="28"/>
          <w:rtl w:val="true"/>
          <w:lang w:bidi="ar-SA"/>
        </w:rPr>
        <w:t>حرام، نعم يستفاد منها حلّية الإربيان لأنه ضرب من السمك، ولو لم يكن من السمك لحرم أكله، ومع ذلك فهي ليست واضحة في إفادة الحكم الكلي، فتكون مؤيدة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السياري عن محمد بن جمهور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عن الإربيان،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يتّخذ منه شيء يقال له الربيثا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فإنه جنس من السمك،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تراها تقلقل في قشرها</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وإن كانت من جهة الدلالة أوضح مما تقدم للتعليل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جنس من السمك، فما لا يكون منه فلا يحلّ أكله، إلاّ أنها من جهة السند ضعيفة، فتكون مؤيدة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حلّية خصوص ما له قشر من السمك لا مطلق أنواعالسمك وإن لم يكن ذا قشر، وهي عدّة روايات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إنّا نؤتى بسمك له قشر،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له قشر من السمك، وما ليس له قشر فلا تأكله</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هذه الرواية على ما نحن فيه إما من جهة التقييد بالسمك فيستفاد أن ما عدا السمك لا يحلّ أكله، وإما من جهة الأولوية لأنه إذا كان السمك الذي ليس له قشر لا يحلّ أكله فحرمة غيره من باب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الحيتان ما يؤكل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كان له قشر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حنان بن سدير،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w:t>
      </w:r>
    </w:p>
    <w:p>
      <w:pPr>
        <w:pStyle w:val="BookText"/>
        <w:rPr/>
      </w:pPr>
      <w:r>
        <w:rPr>
          <w:rFonts w:ascii="Amiri" w:hAnsi="Amiri" w:eastAsia="Amiri" w:cs="Amiri"/>
          <w:color w:val="111111"/>
          <w:sz w:val="28"/>
          <w:sz w:val="28"/>
          <w:szCs w:val="28"/>
          <w:rtl w:val="true"/>
          <w:lang w:bidi="ar-SA"/>
        </w:rPr>
        <w:t>ما لم يكن له قشر من السمك فلا تقربه</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مسعدة بن صدقة،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يركب بغلة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يمرّ بسوق  الحيتان،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تأكلوا ولا تبيعوا ما لم يكن له قشر</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موثقته الأخرى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ضرب صاحب الشبكة بالشبكة فما أصاب فيها من حي أو ميّت فهو حلال، ما خلا ما ليس له قشر، ولا يؤكل الطافي من السمك</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ومورد الرواية وإن كان موضع خلاف إلاّ أنه يمكن استفادة العموم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أصاب فيها من حيّ أو ميّت ما خلا ما ليس له قشر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فالمستفاد من جميع هذه الروايات اختصاص الحلّية بالأسماك ذات القشر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الجرّيث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الجرّيث؟ فنعته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 مُحَرَّماً عَلَى طَاعِمٍ يَطْعَمُهُ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يحرّم الله شيئاً من الحيوان في القرآن إلاّ الخنزير بعينه، ويكره كلّ شيء من البحر ليس له قشر مثل الورق، وليس حرام، وإنما هو مكروه</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من حيث الدلالة واضحة، ومن حيث السند صحيحة، وهي مخالفة للروايات المتقدمة لشمولها لما ليس له قشر، وقد حملها صاحب الوسائل على أحد وجهين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تفاوت مراتب التحريم في التغليظ، فمعنى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أي حرام إلاّ أن حرمته ليست مشدّدة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على التقية</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يخفى ما في الحمل الأول، فإنه خلاف صريح الرواية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بحرام إنما هو مكروه، ولا مجال بعد ذلك للحمل على تفاوت مراتب التحريم لنفيه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 من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أكل لحم الخزّ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  الماء إن كان له ناب فلا تقربه وإلاّ فاقربه</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يستفاد من الرواية أنّ حيوان البحر كحيوان البر فإن كان حيوان البحر ذا ناب حرم أكله وإلاّ فيجوز فيشمل بعض ما ليس له قشر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من حيث السند وإن كان في طريقها محمد بن خلف، ومحمد بن سنان، وإن لم يرد توثيق في الأول، وفي وثاقة الثاني اختلاف، إلاّ أنه بناء على ما حقّقناه في محلّه يمكن الحكم بوثاقتهما، فإنّ محمد بن خلف واقع في أسناد نوادر الحكمة</w:t>
      </w:r>
      <w:r>
        <w:rPr>
          <w:rStyle w:val="FootnoteAnchor"/>
          <w:rtl w:val="true"/>
        </w:rPr>
        <w:footnoteReference w:id="1321"/>
      </w:r>
      <w:r>
        <w:rPr>
          <w:rFonts w:ascii="Amiri" w:hAnsi="Amiri" w:eastAsia="Amiri" w:cs="Amiri"/>
          <w:color w:val="111111"/>
          <w:sz w:val="28"/>
          <w:sz w:val="28"/>
          <w:szCs w:val="28"/>
          <w:rtl w:val="true"/>
          <w:lang w:bidi="ar-SA"/>
        </w:rPr>
        <w:t>، وهو أمارة على التوثيق، وأما محمد بن سنان فقد عقدنا له بحثاً قوّينا فيه وثاقته، وأجبنا عن كل ما يرد عليها</w:t>
      </w:r>
      <w:r>
        <w:rPr>
          <w:rStyle w:val="FootnoteAnchor"/>
          <w:rtl w:val="true"/>
        </w:rPr>
        <w:footnoteReference w:id="1322"/>
      </w:r>
      <w:r>
        <w:rPr>
          <w:rFonts w:ascii="Amiri" w:hAnsi="Amiri" w:eastAsia="Amiri" w:cs="Amiri"/>
          <w:color w:val="111111"/>
          <w:sz w:val="28"/>
          <w:sz w:val="28"/>
          <w:szCs w:val="28"/>
          <w:rtl w:val="true"/>
          <w:lang w:bidi="ar-SA"/>
        </w:rPr>
        <w:t>، فلا إشكال في سند الرواية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الإشكال في الدلالة فإنّ الروايات الواردة في الخزّ مختلفة ففي بعضهاورد المنع عن أكله</w:t>
      </w:r>
      <w:r>
        <w:rPr>
          <w:rStyle w:val="FootnoteAnchor"/>
          <w:rtl w:val="true"/>
        </w:rPr>
        <w:footnoteReference w:id="1323"/>
      </w:r>
      <w:r>
        <w:rPr>
          <w:rFonts w:ascii="Amiri" w:hAnsi="Amiri" w:eastAsia="Amiri" w:cs="Amiri"/>
          <w:color w:val="111111"/>
          <w:sz w:val="28"/>
          <w:sz w:val="28"/>
          <w:szCs w:val="28"/>
          <w:rtl w:val="true"/>
          <w:lang w:bidi="ar-SA"/>
        </w:rPr>
        <w:t xml:space="preserve">، وفي بعضها أنّ حكمه حكم الحيتان من جهة </w:t>
      </w:r>
    </w:p>
    <w:p>
      <w:pPr>
        <w:pStyle w:val="BookText"/>
        <w:rPr/>
      </w:pPr>
      <w:r>
        <w:rPr>
          <w:rFonts w:ascii="IRNazanin" w:hAnsi="IRNazanin" w:eastAsia="IRNazanin"/>
          <w:color w:val="111111"/>
          <w:sz w:val="28"/>
          <w:sz w:val="28"/>
          <w:szCs w:val="28"/>
          <w:rtl w:val="true"/>
          <w:lang w:bidi="fa-IR"/>
        </w:rPr>
        <w:t>التذكية، كما في صحيحة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وأنا عنده عن جلود الخزّ،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بها بأس،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إنّها علاجي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بلادي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هي كلاب تخرج من الماء،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من الماء تعيش خارجة من الماء؟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به بأس</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وأصرح منها رواية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عليه رجل من الخزّازين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تقول في الصلاة في الخزّ؟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فيه،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إنه ميت وهو علاجي وأنا أعرفه، 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أعرف به منك،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علاجي، وليس أحد أعرف به منّي، فتبسم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 إنه دابّة تخرج من الماء، أو تصاد من الماء فتخرج فإذا فقد الماء مات؟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جعلت فداك هكذا هو، 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تقول إنه دابّة تمشي على أربع وليس هو في حدّ الحيتان فتكون ذكاته خروجه من الماء؟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هكذا أقول، 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تعالى أحلّه وجعل ذكاته موته كما أحلّ الحيتانوجعل ذكاتها موتها</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فهاتان الروايتان تدلاّن على أنّ حكم الخزّ حكم الحيتان، وأنّ ذكاته موته، وذلك مخالف لما تقدّم،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 في كلتا  الروايتين إلى استعمال جلده ولبسه في الصلاة كما ذهب إليه جماعة من العلماء</w:t>
      </w:r>
      <w:r>
        <w:rPr>
          <w:rStyle w:val="FootnoteAnchor"/>
          <w:rtl w:val="true"/>
        </w:rPr>
        <w:footnoteReference w:id="1326"/>
      </w:r>
      <w:r>
        <w:rPr>
          <w:rFonts w:ascii="Amiri" w:hAnsi="Amiri" w:eastAsia="Amiri" w:cs="Amiri"/>
          <w:color w:val="111111"/>
          <w:sz w:val="28"/>
          <w:sz w:val="28"/>
          <w:szCs w:val="28"/>
          <w:rtl w:val="true"/>
          <w:lang w:bidi="ar-SA"/>
        </w:rPr>
        <w:t>وليس المراد حلّية لحمه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كان في البحر ممّا </w:t>
      </w:r>
    </w:p>
    <w:p>
      <w:pPr>
        <w:pStyle w:val="BookText"/>
        <w:rPr/>
      </w:pPr>
      <w:r>
        <w:rPr>
          <w:rFonts w:ascii="Amiri" w:hAnsi="Amiri" w:eastAsia="Amiri" w:cs="Amiri"/>
          <w:color w:val="111111"/>
          <w:sz w:val="28"/>
          <w:sz w:val="28"/>
          <w:szCs w:val="28"/>
          <w:rtl w:val="true"/>
          <w:lang w:bidi="ar-SA"/>
        </w:rPr>
        <w:t>يؤكل في البر مثله فجائز أكله، وكل ما كان في البحر مما لا يجوز أكله في البرّ لم يجز أكله</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من حيث الدلالة واضحة بل أوضح من جميع ما تقدم، فإنّها صريحة الدلالة على حلّية ما ليس له قشر من السمك وغيره، وأما سندها ففيه خلاف وإن كان الاعتبار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أخرى تدلّ على حلّية كل حيوان بحريّ إذا كان له فلس وإن لم يكن من جنس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الكشّي بسنده 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حنيفة وعنده كتب كادت تحول فيما بيننا وبينه،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الكتب كلها في الطلاق وأنتم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يقلب بيده،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نجمع هذا كلّه في حرف،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 فَطَلِّقُوهُنَّ لِعِدَّتِهِنَّوَأَحْصُوا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لا تعلم شيئاً إلاّ برواية؟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أسألك عن مسألة لا يكون فيها شيء، ما تقول في جمل أخرج من البحر؟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فليكن جملاً وإن شاء فليكن بقرة، إن كانت عليه فلوس أكلناه، وإلاّ فلا</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الرواية أنّ الاعتبار في  الحلّية والحرمة هو وجود الفلس سمكاً كان أو غيره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الطبرسي في مكارم الأخلاق، عن أحمد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الإسقنقور يدخل في دواء الباءة، له مخاليب وذنب، أيجوز أن يشرب؟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له قشور فلا بأس</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والرواية صريحة الدلالة بناء على أنّ الإسقنقور حيوان مائي ليس من جنس السمك كما هو الظاهر من قوله له مخاليب وذنب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الدعائم،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يؤكل من دوابّ البحر إلاّ ما كان له قشر، وكره السلحفاة والسرطان، والجرّي، وما كان في الأصداف، وما جانس ذلك</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فيه أيضاً،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ذكر ما يحلّ أكله وما يحرم بقول مجمل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صيد البحر كلّ ما كان له قشر، وماعدا من هذه الأصناف فحرام أكله</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ودلالتها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الروايات كلها قابلة للمناقشة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الرواية الأولى ففيها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ضعيفة السند، فإنّ في طريقها أحمد بن بشير، كما في نسخة جامع الأحاديث</w:t>
      </w:r>
      <w:r>
        <w:rPr>
          <w:rStyle w:val="FootnoteAnchor"/>
          <w:rtl w:val="true"/>
        </w:rPr>
        <w:footnoteReference w:id="1332"/>
      </w:r>
      <w:r>
        <w:rPr>
          <w:rFonts w:ascii="Amiri" w:hAnsi="Amiri" w:eastAsia="Amiri" w:cs="Amiri"/>
          <w:color w:val="111111"/>
          <w:sz w:val="28"/>
          <w:sz w:val="28"/>
          <w:szCs w:val="28"/>
          <w:rtl w:val="true"/>
          <w:lang w:bidi="ar-SA"/>
        </w:rPr>
        <w:t>، وهو ممّن استثني من كتاب نوادر الحكمة</w:t>
      </w:r>
      <w:r>
        <w:rPr>
          <w:rStyle w:val="FootnoteAnchor"/>
          <w:rtl w:val="true"/>
        </w:rPr>
        <w:footnoteReference w:id="1333"/>
      </w:r>
      <w:r>
        <w:rPr>
          <w:rFonts w:ascii="Amiri" w:hAnsi="Amiri" w:eastAsia="Amiri" w:cs="Amiri"/>
          <w:color w:val="111111"/>
          <w:sz w:val="28"/>
          <w:sz w:val="28"/>
          <w:szCs w:val="28"/>
          <w:rtl w:val="true"/>
          <w:lang w:bidi="ar-SA"/>
        </w:rPr>
        <w:t>، وذلك أمارة على الضعف كما حقّقناه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أحمد بن شيبة كما في رجال الكشي</w:t>
      </w:r>
      <w:r>
        <w:rPr>
          <w:rStyle w:val="FootnoteAnchor"/>
          <w:rtl w:val="true"/>
        </w:rPr>
        <w:footnoteReference w:id="1334"/>
      </w:r>
      <w:r>
        <w:rPr>
          <w:rFonts w:ascii="Amiri" w:hAnsi="Amiri" w:eastAsia="Amiri" w:cs="Amiri"/>
          <w:color w:val="111111"/>
          <w:sz w:val="28"/>
          <w:sz w:val="28"/>
          <w:szCs w:val="28"/>
          <w:rtl w:val="true"/>
          <w:lang w:bidi="ar-SA"/>
        </w:rPr>
        <w:t>، وهو مجهول، كما أنّ يحيى بن المثنى الواقع في الطريق مجهول أيضاً، إذ لم يرد فيهما توثيق، فالرواية غير معتبرة السند</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يعلم أن ما ذكره حريز كان رواية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كان هو أجلّ من أن يفتي بدون مأخذ أو سماع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ولكنه لم يصرّح بمستنده في ذلك حتى يعلم اعتباره أو عدمه، ومن المحتمل أنه استفاد </w:t>
      </w:r>
    </w:p>
    <w:p>
      <w:pPr>
        <w:pStyle w:val="BookText"/>
        <w:rPr/>
      </w:pPr>
      <w:r>
        <w:rPr>
          <w:rFonts w:ascii="Amiri" w:hAnsi="Amiri" w:eastAsia="Amiri" w:cs="Amiri"/>
          <w:color w:val="111111"/>
          <w:sz w:val="28"/>
          <w:sz w:val="28"/>
          <w:szCs w:val="28"/>
          <w:rtl w:val="true"/>
          <w:lang w:bidi="ar-SA"/>
        </w:rPr>
        <w:t>الحكم من الروايات الواردة في السمك إذا كان له 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الأخرى فهي وإن كانت واضحة الدلالة إلاّ أنها ضعيفة الأسناد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كما في الخلاف</w:t>
      </w:r>
      <w:r>
        <w:rPr>
          <w:rStyle w:val="FootnoteAnchor"/>
          <w:rtl w:val="true"/>
        </w:rPr>
        <w:footnoteReference w:id="1335"/>
      </w:r>
      <w:r>
        <w:rPr>
          <w:rFonts w:ascii="Amiri" w:hAnsi="Amiri" w:eastAsia="Amiri" w:cs="Amiri"/>
          <w:color w:val="111111"/>
          <w:sz w:val="28"/>
          <w:sz w:val="28"/>
          <w:szCs w:val="28"/>
          <w:rtl w:val="true"/>
          <w:lang w:bidi="ar-SA"/>
        </w:rPr>
        <w:t>، والغنية</w:t>
      </w:r>
      <w:r>
        <w:rPr>
          <w:rStyle w:val="FootnoteAnchor"/>
          <w:rtl w:val="true"/>
        </w:rPr>
        <w:footnoteReference w:id="1336"/>
      </w:r>
      <w:r>
        <w:rPr>
          <w:rFonts w:ascii="IRNazanin" w:hAnsi="IRNazanin" w:eastAsia="IRNazanin"/>
          <w:color w:val="111111"/>
          <w:sz w:val="28"/>
          <w:sz w:val="28"/>
          <w:szCs w:val="28"/>
          <w:rtl w:val="true"/>
          <w:lang w:bidi="fa-IR"/>
        </w:rPr>
        <w:t>، والمعتبر</w:t>
      </w:r>
      <w:r>
        <w:rPr>
          <w:rStyle w:val="FootnoteAnchor"/>
          <w:rtl w:val="true"/>
        </w:rPr>
        <w:footnoteReference w:id="1337"/>
      </w:r>
      <w:r>
        <w:rPr>
          <w:rFonts w:ascii="IRNazanin" w:hAnsi="IRNazanin" w:eastAsia="IRNazanin"/>
          <w:color w:val="111111"/>
          <w:sz w:val="28"/>
          <w:sz w:val="28"/>
          <w:szCs w:val="28"/>
          <w:rtl w:val="true"/>
          <w:lang w:bidi="fa-IR"/>
        </w:rPr>
        <w:t>، والسرائر</w:t>
      </w:r>
      <w:r>
        <w:rPr>
          <w:rStyle w:val="FootnoteAnchor"/>
          <w:rtl w:val="true"/>
        </w:rPr>
        <w:footnoteReference w:id="1338"/>
      </w:r>
      <w:r>
        <w:rPr>
          <w:rFonts w:ascii="Amiri" w:hAnsi="Amiri" w:eastAsia="Amiri" w:cs="Amiri"/>
          <w:color w:val="111111"/>
          <w:sz w:val="28"/>
          <w:sz w:val="28"/>
          <w:szCs w:val="28"/>
          <w:rtl w:val="true"/>
          <w:lang w:bidi="ar-SA"/>
        </w:rPr>
        <w:t>، والذكرى</w:t>
      </w:r>
      <w:r>
        <w:rPr>
          <w:rStyle w:val="FootnoteAnchor"/>
          <w:rtl w:val="true"/>
        </w:rPr>
        <w:footnoteReference w:id="1339"/>
      </w:r>
      <w:r>
        <w:rPr>
          <w:rFonts w:ascii="Amiri" w:hAnsi="Amiri" w:eastAsia="Amiri" w:cs="Amiri"/>
          <w:color w:val="111111"/>
          <w:sz w:val="28"/>
          <w:sz w:val="28"/>
          <w:szCs w:val="28"/>
          <w:rtl w:val="true"/>
          <w:lang w:bidi="ar-SA"/>
        </w:rPr>
        <w:t>، بل دعوى تحصيله كما في الجواهر</w:t>
      </w:r>
      <w:r>
        <w:rPr>
          <w:rStyle w:val="FootnoteAnchor"/>
          <w:rtl w:val="true"/>
        </w:rPr>
        <w:footnoteReference w:id="1340"/>
      </w:r>
      <w:r>
        <w:rPr>
          <w:rFonts w:ascii="Amiri" w:hAnsi="Amiri" w:eastAsia="Amiri" w:cs="Amiri"/>
          <w:color w:val="111111"/>
          <w:sz w:val="28"/>
          <w:sz w:val="28"/>
          <w:szCs w:val="28"/>
          <w:rtl w:val="true"/>
          <w:lang w:bidi="ar-SA"/>
        </w:rPr>
        <w:t>، وفي الرياض أنه الحجة بل هو ملحق بالضرورة من مذهب الإمامية</w:t>
      </w:r>
      <w:r>
        <w:rPr>
          <w:rStyle w:val="FootnoteAnchor"/>
          <w:rtl w:val="true"/>
        </w:rPr>
        <w:footnoteReference w:id="1341"/>
      </w:r>
      <w:r>
        <w:rPr>
          <w:rFonts w:ascii="Amiri" w:hAnsi="Amiri" w:eastAsia="Amiri" w:cs="Amiri"/>
          <w:color w:val="111111"/>
          <w:sz w:val="28"/>
          <w:sz w:val="28"/>
          <w:szCs w:val="28"/>
          <w:rtl w:val="true"/>
          <w:lang w:bidi="ar-SA"/>
        </w:rPr>
        <w:t>، وإن كان يظهر من بعض التأمّل في الحكم كالأردبيلي</w:t>
      </w:r>
      <w:r>
        <w:rPr>
          <w:rStyle w:val="FootnoteAnchor"/>
          <w:rtl w:val="true"/>
        </w:rPr>
        <w:footnoteReference w:id="1342"/>
      </w:r>
      <w:r>
        <w:rPr>
          <w:rFonts w:ascii="Amiri" w:hAnsi="Amiri" w:eastAsia="Amiri" w:cs="Amiri"/>
          <w:color w:val="111111"/>
          <w:sz w:val="28"/>
          <w:sz w:val="28"/>
          <w:szCs w:val="28"/>
          <w:rtl w:val="true"/>
          <w:lang w:bidi="ar-SA"/>
        </w:rPr>
        <w:t>، والسبزواري</w:t>
      </w:r>
      <w:r>
        <w:rPr>
          <w:rStyle w:val="FootnoteAnchor"/>
          <w:rtl w:val="true"/>
        </w:rPr>
        <w:footnoteReference w:id="1343"/>
      </w:r>
      <w:r>
        <w:rPr>
          <w:rFonts w:ascii="Amiri" w:hAnsi="Amiri" w:eastAsia="Amiri" w:cs="Amiri"/>
          <w:color w:val="111111"/>
          <w:sz w:val="28"/>
          <w:sz w:val="28"/>
          <w:szCs w:val="28"/>
          <w:rtl w:val="true"/>
          <w:lang w:bidi="ar-SA"/>
        </w:rPr>
        <w:t>، والسيد المجاهد</w:t>
      </w:r>
      <w:r>
        <w:rPr>
          <w:rStyle w:val="FootnoteAnchor"/>
          <w:rtl w:val="true"/>
        </w:rPr>
        <w:footnoteReference w:id="1344"/>
      </w:r>
      <w:r>
        <w:rPr>
          <w:rFonts w:ascii="Amiri" w:hAnsi="Amiri" w:eastAsia="Amiri" w:cs="Amiri"/>
          <w:color w:val="111111"/>
          <w:sz w:val="28"/>
          <w:sz w:val="28"/>
          <w:szCs w:val="28"/>
          <w:rtl w:val="true"/>
          <w:lang w:bidi="ar-SA"/>
        </w:rPr>
        <w:t>، والنراقي</w:t>
      </w:r>
      <w:r>
        <w:rPr>
          <w:rStyle w:val="FootnoteAnchor"/>
          <w:rtl w:val="true"/>
        </w:rPr>
        <w:footnoteReference w:id="1345"/>
      </w:r>
      <w:r>
        <w:rPr>
          <w:rFonts w:ascii="Amiri" w:hAnsi="Amiri" w:eastAsia="Amiri" w:cs="Amiri"/>
          <w:color w:val="111111"/>
          <w:sz w:val="28"/>
          <w:sz w:val="28"/>
          <w:szCs w:val="28"/>
          <w:rtl w:val="true"/>
          <w:lang w:bidi="ar-SA"/>
        </w:rPr>
        <w:t>، بل عن بعضهم الميل إلى نفي الحرمة، والظاهر أنه مذهب الصدوق</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هذه الأدلة قابلة للمناقشة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الاستدلال بالآية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منع الانصراف المدّعى، وذلك لأنّ الصيد كما يتناول الأسماك كذلك يتناول غيرها من الحيوانات إذا قصد أخذها من البحر</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لزوم تخصيص الأكثر إذا بقي صيد البحر على عمومه؛ وذلك </w:t>
      </w:r>
    </w:p>
    <w:p>
      <w:pPr>
        <w:pStyle w:val="BookText"/>
        <w:rPr/>
      </w:pPr>
      <w:r>
        <w:rPr>
          <w:rFonts w:ascii="Amiri" w:hAnsi="Amiri" w:eastAsia="Amiri" w:cs="Amiri"/>
          <w:color w:val="111111"/>
          <w:sz w:val="28"/>
          <w:sz w:val="28"/>
          <w:szCs w:val="28"/>
          <w:rtl w:val="true"/>
          <w:lang w:bidi="ar-SA"/>
        </w:rPr>
        <w:t>لعدم ثبوت حرمة أكثر ما في البحر بالكتاب والسنة من جهة الخباثة والضرر، وإنما هي مجرد دعوى لم ينهض عليها دليل، فمن هو الذي أحاط بحيوانات البحر كلّها خبراً، وعرف  الخبائث منها والمضرّ، حتى يركن إلى صحة هذه الدعوى؟</w:t>
      </w:r>
    </w:p>
    <w:p>
      <w:pPr>
        <w:pStyle w:val="BookText"/>
        <w:rPr/>
      </w:pPr>
      <w:r>
        <w:rPr>
          <w:rFonts w:ascii="Amiri" w:hAnsi="Amiri" w:eastAsia="Amiri" w:cs="Amiri"/>
          <w:color w:val="111111"/>
          <w:sz w:val="28"/>
          <w:sz w:val="28"/>
          <w:szCs w:val="28"/>
          <w:rtl w:val="true"/>
          <w:lang w:bidi="ar-SA"/>
        </w:rPr>
        <w:t>وأما الروايات فقد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الأولى فقد تقدّم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وتبقى الطائفة الثانية ودعوى الإجماع، فإن تمّتا ولم يناقش فيهما فهما الحجّة في الحكم، ومقتضى ذلك الاقتصار في الحلّية على السمك الذي له فلس، وما عداه فهو حرام سمكاً كان أو غيره، وإلاّ فالأقوى دلالة هو ما ورد في رواية الفقيه المشتملة على أنّ المناط في حلّية حيوان البحر هو ما يحلّ من حيوان البرّ، وما يحرم من هذا يحرم من 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سند الرواية فقد قلنا إنّ اعتبارها غير بعيد، ولنا في مرسلات الصدوق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الفقيه تحقيق ذكرناه في محلّه، والله هو العالم بالصواب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تذكية حيوان البحر فقد اختلف الخاصّة والعامة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نصّاً وفتوى ولا إشكال في احتياج السمك إلىتذكية، بل الإجماع بقسميه عليه، والنصوص مستفيضة بل متواترة فيه</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وذكاته إخراجه أو أخذه من الماء حيّاً، فلا يحلّ الطافي، ولا ما يلقيه الماء ميتاً، أو يموت لنضب الماء عنه، ولا خلاف بين الخاصة في ذلك</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أكثر العامة إلى القول بالحلّية مطلقاً كما تقدم، وعن بعضهم التفريق </w:t>
      </w:r>
    </w:p>
    <w:p>
      <w:pPr>
        <w:pStyle w:val="BookText"/>
        <w:rPr/>
      </w:pPr>
      <w:r>
        <w:rPr>
          <w:rFonts w:ascii="Amiri" w:hAnsi="Amiri" w:eastAsia="Amiri" w:cs="Amiri"/>
          <w:color w:val="111111"/>
          <w:sz w:val="28"/>
          <w:sz w:val="28"/>
          <w:szCs w:val="28"/>
          <w:rtl w:val="true"/>
          <w:lang w:bidi="ar-SA"/>
        </w:rPr>
        <w:t>بين ما مات بسبب خارج فيحرم، وما مات حتف أنفه فيحلّ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وضعفهما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يدلّ على ما ذكرنا من مذهب الخاصة 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 لَكُمْ صَيْدُ الْبَحْرِ </w:t>
      </w:r>
      <w:r>
        <w:rPr>
          <w:rFonts w:eastAsia="Amiri" w:cs="Amiri" w:ascii="Amiri" w:hAnsi="Amiri"/>
          <w:color w:val="111111"/>
          <w:sz w:val="28"/>
          <w:szCs w:val="28"/>
          <w:rtl w:val="true"/>
          <w:lang w:bidi="ar-SA"/>
        </w:rPr>
        <w:t>...»</w:t>
      </w:r>
      <w:r>
        <w:rPr>
          <w:rStyle w:val="FootnoteAnchor"/>
          <w:rtl w:val="true"/>
        </w:rPr>
        <w:footnoteReference w:id="1348"/>
      </w:r>
      <w:r>
        <w:rPr>
          <w:rFonts w:ascii="Amiri" w:hAnsi="Amiri" w:eastAsia="Amiri" w:cs="Amiri"/>
          <w:color w:val="111111"/>
          <w:sz w:val="28"/>
          <w:sz w:val="28"/>
          <w:szCs w:val="28"/>
          <w:rtl w:val="true"/>
          <w:lang w:bidi="ar-SA"/>
        </w:rPr>
        <w:t>، وقد تقدم أنّ ذلك هو المستفاد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صَيْدُ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يصدق الصيد على ما مات في الماء أو طفا عليه أو رماه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أيضاً من السنة نصوص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صيد المجوس للحيتان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بصيدهم، إنما صيد الحيتان أخذه</w:t>
      </w:r>
      <w:r>
        <w:rPr>
          <w:rStyle w:val="FootnoteAnchor"/>
          <w:rtl w:val="true"/>
        </w:rPr>
        <w:footnoteReference w:id="134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صيد المجوس للسمك حين يضربون للشبك ولا يسمّون، أو يهودي،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إنماصيد الحيتان أخذها</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عمّا يؤخذ من السمك طافياً على الماء، أو يلقيه البحر ميّتاً،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تأكله</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علي بن جعفر، عن أخيه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عما حسر الماء عنه من صيد البحر وهو ميّت هل يحلّ أكله؟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وسند الرواية وإن كان فيه عبد الله بن الحسن، ولم يرد فيه توثيق إلاّ أنّنا قد ذكرنا ـ في الجزء الأول ـ أنّ روايات علي بن جعفر الواردة في قرب الإسناد لا ينحصر طريقها في عبد الله بن الحسن ، بل لها طرق أخرى معتبرة</w:t>
      </w:r>
      <w:r>
        <w:rPr>
          <w:rStyle w:val="FootnoteAnchor"/>
          <w:rtl w:val="true"/>
        </w:rPr>
        <w:footnoteReference w:id="1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p>
    <w:p>
      <w:pPr>
        <w:pStyle w:val="BookText"/>
        <w:rPr/>
      </w:pPr>
      <w:r>
        <w:rPr>
          <w:rFonts w:ascii="Amiri" w:hAnsi="Amiri" w:eastAsia="Amiri" w:cs="Amiri"/>
          <w:color w:val="111111"/>
          <w:sz w:val="28"/>
          <w:sz w:val="28"/>
          <w:szCs w:val="28"/>
          <w:rtl w:val="true"/>
          <w:lang w:bidi="ar-SA"/>
        </w:rPr>
        <w:t>شاملة لهذه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يوجد من الحيتان طافياً على الماء أو يلقيه البحر ميّتاً آكله؟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 الكثيرة الدالة على ما ذكرناه فلا إشكال في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ها هنا مسائل وقع الخلاف فيها بين الأعلام،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وثبت السمكة على الشاطىء أو السفينة، فإن أخذت قبل أن تموت فلا إشكال في حلّيتها، وإن لم تؤخذ فماتت فهل يحكم بحلّيتها إذا أدركها وهي تضطرب؟ كما هو ظاهر الشيخ في النهاية</w:t>
      </w:r>
      <w:r>
        <w:rPr>
          <w:rStyle w:val="FootnoteAnchor"/>
          <w:rtl w:val="true"/>
        </w:rPr>
        <w:footnoteReference w:id="1355"/>
      </w:r>
      <w:r>
        <w:rPr>
          <w:rFonts w:ascii="Amiri" w:hAnsi="Amiri" w:eastAsia="Amiri" w:cs="Amiri"/>
          <w:color w:val="111111"/>
          <w:sz w:val="28"/>
          <w:sz w:val="28"/>
          <w:szCs w:val="28"/>
          <w:rtl w:val="true"/>
          <w:lang w:bidi="ar-SA"/>
        </w:rPr>
        <w:t>، أو يكفي في الحكم بالحلّية خروجها حيّة من الماء كما هو ظاهر المحقّق في نكته</w:t>
      </w:r>
      <w:r>
        <w:rPr>
          <w:rStyle w:val="FootnoteAnchor"/>
          <w:rtl w:val="true"/>
        </w:rPr>
        <w:footnoteReference w:id="1356"/>
      </w:r>
      <w:r>
        <w:rPr>
          <w:rFonts w:ascii="Amiri" w:hAnsi="Amiri" w:eastAsia="Amiri" w:cs="Amiri"/>
          <w:color w:val="111111"/>
          <w:sz w:val="28"/>
          <w:sz w:val="28"/>
          <w:szCs w:val="28"/>
          <w:rtl w:val="true"/>
          <w:lang w:bidi="ar-SA"/>
        </w:rPr>
        <w:t>، أو أنّ حكمها الحرمة كما هو المشهور</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استدل للقول المشهور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 الآية الشريفة، فإنّ ما وثب من الماء ومات لا يصدق عليه أنّه صيد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من الروايات المستفيضة الدالّة على أنّ صيد الحيتان أخذها، بل ورد التعبير في بعضها بإنّما الدالة على الحصر كما تقدّم وسيأتي</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ورد في خصوص المقام، كصحيحة علي بن جعفر، عن أخيه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من</w:t>
      </w:r>
      <w:r>
        <w:rPr>
          <w:rStyle w:val="FootnoteAnchor"/>
          <w:rtl w:val="true"/>
        </w:rPr>
        <w:footnoteReference w:id="1358"/>
      </w:r>
      <w:r>
        <w:rPr>
          <w:rFonts w:ascii="Amiri" w:hAnsi="Amiri" w:eastAsia="Amiri" w:cs="Amiri"/>
          <w:color w:val="111111"/>
          <w:sz w:val="28"/>
          <w:sz w:val="28"/>
          <w:szCs w:val="28"/>
          <w:rtl w:val="true"/>
          <w:lang w:bidi="ar-SA"/>
        </w:rPr>
        <w:t xml:space="preserve">سمكة وثبت من نهر فوقعت على الجدّ </w:t>
      </w:r>
    </w:p>
    <w:p>
      <w:pPr>
        <w:pStyle w:val="BookText"/>
        <w:rPr/>
      </w:pPr>
      <w:r>
        <w:rPr>
          <w:rFonts w:ascii="Amiri" w:hAnsi="Amiri" w:eastAsia="Amiri" w:cs="Amiri"/>
          <w:color w:val="111111"/>
          <w:sz w:val="28"/>
          <w:sz w:val="28"/>
          <w:szCs w:val="28"/>
          <w:rtl w:val="true"/>
          <w:lang w:bidi="ar-SA"/>
        </w:rPr>
        <w:t>من النهر فماتت، هل يصلح أكلها؟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أخذتها قبل أنتموت ثم ماتت فكلها، وإن ماتت قبل أن تأخذها فلا تأكلها</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 ما نبذه الماء من الحيتان وما نضب الماء عنه</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يؤكل ما نبذه الماء من الحيتان من الماء وما نضب الماء عنه، فذلك المتروك</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أنّهما رواية واحدة اشتملت الثانية على زيادة، وهي بإطلاقها تدلّ على الحرمة بدون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القولان الآخران فيمكن الاستدلال لهما بثلاثة أقسام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ورد من أنّ ذكاة السمك خروجه من الماء، كما في موثقة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أكل الجراد،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الجراد والسمك إذا خرج حيّاً من الماء فهو ذكي </w:t>
      </w:r>
      <w:r>
        <w:rPr>
          <w:rFonts w:eastAsia="IRNazanin" w:cs="IRNazanin"/>
          <w:color w:val="111111"/>
          <w:sz w:val="28"/>
          <w:szCs w:val="28"/>
          <w:rtl w:val="true"/>
          <w:lang w:bidi="fa-IR"/>
        </w:rPr>
        <w:t>...</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من جواز أكل السمك إذا نبذه الماء، كما في مضمرة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سمكة ارتفعت فوقعت على الجدد فاضطربت حتى ماتت آكلها؟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والرواية من حيث السند معتبرة، وقد رواها الصدوق في الفقيه</w:t>
      </w:r>
      <w:r>
        <w:rPr>
          <w:rStyle w:val="FootnoteAnchor"/>
          <w:rtl w:val="true"/>
        </w:rPr>
        <w:footnoteReference w:id="136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وطريقه إليها وإن كان فيه أبان وقد يتوهّم أنّه أبان بن تغلب، ولم تثبت روايته عن زرارة، إلاّ أن المراد به هو أبان بن عثمان، وهو يروي عن زرارة كثيراً وطريق الصدوق إلى أبان معتبر</w:t>
      </w:r>
      <w:r>
        <w:rPr>
          <w:rStyle w:val="FootnoteAnchor"/>
          <w:rtl w:val="true"/>
        </w:rPr>
        <w:footnoteReference w:id="1365"/>
      </w:r>
      <w:r>
        <w:rPr>
          <w:rFonts w:ascii="IRNazanin" w:hAnsi="IRNazanin" w:eastAsia="IRNazanin"/>
          <w:color w:val="111111"/>
          <w:sz w:val="28"/>
          <w:sz w:val="28"/>
          <w:szCs w:val="28"/>
          <w:rtl w:val="true"/>
          <w:lang w:bidi="fa-IR"/>
        </w:rPr>
        <w:t xml:space="preserve">فلا إشكال من هذه الناحية، وأما الإضمار في الرواية فليس بمضرّ، لأنّ زرارة أجلّ شأناً من أن يروي عن غير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فالسند معتبر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من حيث الدلالة مطلقة فتشمل بإطلاقها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رواية زرارة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 يثب من الماء فيقع على الشطّ فيضطرب حتى يموت،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كالرواية السابقة من حيث المضمون ولكنها من حيث السند مرسلة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ورد من أنّ المجوسي إذا أخذ السمك وكان المسلم ينظر إليه فهو حلال، بناء على أنّ أخذ المجوسي لا عبرة به، وإنما العبرة بنظر المسلم كما في صحيحة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صيد الحيتان وإن لم يسمّ،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وعن صيد المجوسي للسمك،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لآكله حتى أنظر إليه</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وصحيحة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مجوسييصيد السمك أيؤكل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لآكله حتى أنظر إليه</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وغيرهما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جميع هذه الروايات محلّ نظر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روايات القسمين الأول والثاني فهي مطلقة، ومقتضى الجمع العرفي </w:t>
      </w:r>
    </w:p>
    <w:p>
      <w:pPr>
        <w:pStyle w:val="BookText"/>
        <w:rPr/>
      </w:pPr>
      <w:r>
        <w:rPr>
          <w:rFonts w:ascii="Amiri" w:hAnsi="Amiri" w:eastAsia="Amiri" w:cs="Amiri"/>
          <w:color w:val="111111"/>
          <w:sz w:val="28"/>
          <w:sz w:val="28"/>
          <w:szCs w:val="28"/>
          <w:rtl w:val="true"/>
          <w:lang w:bidi="ar-SA"/>
        </w:rPr>
        <w:t>تقييدها بالروايات الدالة على الأخذ وأنه شرط في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روايات القسم الثالث فلما يأتي من أنّ النظر طريق إلى إثبات إخراج السمك حيّاً، ولا خصوصية للنظر في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هنا رواية واحدة قد يدّعى أن المناط في الحلّية هو الإدراك دون الأخذ، وهي رواية سلمة أبي حفص،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صيد السمكة إذا أدركتها وهي تضطرب، وتضرب بيدها، وتتحرك ذنبها، وتطرف بعينها، فهي ذكاتها</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الجمود عليها هو كفاية الإدراك من دون حاجة إلى الأخذ، كما أنّ مقتضى القاعدة حينئذ هو اعتبار أحدهما في حلّية السمك، إما الأخذ، وإما الإدراك،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اشتراط الأخذ لغو، لأنه أخص من الإدراك ولا يتحقق الأخذ إلاّ بعد 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الرواية ضعيفة سنداً ودلالة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ضعف السند فلعدم ما يدل على وثاقة سلمة أبي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عبد الله بن محمد الواقع في الطريق فالظاهر أنه هو بنان بن محمد بن عيسى</w:t>
      </w:r>
      <w:r>
        <w:rPr>
          <w:rStyle w:val="FootnoteAnchor"/>
          <w:rtl w:val="true"/>
        </w:rPr>
        <w:footnoteReference w:id="1370"/>
      </w:r>
      <w:r>
        <w:rPr>
          <w:rFonts w:ascii="Amiri" w:hAnsi="Amiri" w:eastAsia="Amiri" w:cs="Amiri"/>
          <w:color w:val="111111"/>
          <w:sz w:val="28"/>
          <w:sz w:val="28"/>
          <w:szCs w:val="28"/>
          <w:rtl w:val="true"/>
          <w:lang w:bidi="ar-SA"/>
        </w:rPr>
        <w:t>، أخو أحمد بن محمد بن عيسى، وهو واقع في أسناد نوادر الحكمة</w:t>
      </w:r>
      <w:r>
        <w:rPr>
          <w:rStyle w:val="FootnoteAnchor"/>
          <w:rtl w:val="true"/>
        </w:rPr>
        <w:footnoteReference w:id="1371"/>
      </w:r>
      <w:r>
        <w:rPr>
          <w:rFonts w:ascii="Amiri" w:hAnsi="Amiri" w:eastAsia="Amiri" w:cs="Amiri"/>
          <w:color w:val="111111"/>
          <w:sz w:val="28"/>
          <w:sz w:val="28"/>
          <w:szCs w:val="28"/>
          <w:rtl w:val="true"/>
          <w:lang w:bidi="ar-SA"/>
        </w:rPr>
        <w:t>، وعليه فيحكم بوثاقته وضعف الرواية إنما هو من جهة سلمة فقط</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ضعف الدلالة فلأنّ مورد الرواية خارج عن محلّ الكلام فإنّ الوارد فيها هو صيد السمكة، ومحلّ كلامنا هو وثوب السمكة، أو نضب الماء عنها، أو إلقائه إياها، ولا يبعد أن يكون المراد بالإدراك في الرواية هو الأخذ بقرينة ذكر الصيد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فالظاهر أنّ ما عليه المشهور هو الموافق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تعتبر التسمية في صيد السمك، ولا خلاف في ذلك بين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الخلاف في اعتبار الإسلام وعدمه، فذهب  المشهور إلى عدم الاعتبار</w:t>
      </w:r>
      <w:r>
        <w:rPr>
          <w:rStyle w:val="FootnoteAnchor"/>
          <w:rtl w:val="true"/>
        </w:rPr>
        <w:footnoteReference w:id="1372"/>
      </w:r>
      <w:r>
        <w:rPr>
          <w:rFonts w:ascii="Amiri" w:hAnsi="Amiri" w:eastAsia="Amiri" w:cs="Amiri"/>
          <w:color w:val="111111"/>
          <w:sz w:val="28"/>
          <w:sz w:val="28"/>
          <w:szCs w:val="28"/>
          <w:rtl w:val="true"/>
          <w:lang w:bidi="ar-SA"/>
        </w:rPr>
        <w:t>، بل ادّعى ابن إدريس الإجماع عليه</w:t>
      </w:r>
      <w:r>
        <w:rPr>
          <w:rStyle w:val="FootnoteAnchor"/>
          <w:rtl w:val="true"/>
        </w:rPr>
        <w:footnoteReference w:id="1373"/>
      </w:r>
      <w:r>
        <w:rPr>
          <w:rFonts w:ascii="Amiri" w:hAnsi="Amiri" w:eastAsia="Amiri" w:cs="Amiri"/>
          <w:color w:val="111111"/>
          <w:sz w:val="28"/>
          <w:sz w:val="28"/>
          <w:szCs w:val="28"/>
          <w:rtl w:val="true"/>
          <w:lang w:bidi="ar-SA"/>
        </w:rPr>
        <w:t>، فيحلّ صيد الكافر وإن كان غير 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الشيخ المفيد إلى الاعتبار</w:t>
      </w:r>
      <w:r>
        <w:rPr>
          <w:rStyle w:val="FootnoteAnchor"/>
          <w:rtl w:val="true"/>
        </w:rPr>
        <w:footnoteReference w:id="1374"/>
      </w:r>
      <w:r>
        <w:rPr>
          <w:rFonts w:ascii="Amiri" w:hAnsi="Amiri" w:eastAsia="Amiri" w:cs="Amiri"/>
          <w:color w:val="111111"/>
          <w:sz w:val="28"/>
          <w:sz w:val="28"/>
          <w:szCs w:val="28"/>
          <w:rtl w:val="true"/>
          <w:lang w:bidi="ar-SA"/>
        </w:rPr>
        <w:t>كما في الذبح، وذهب ابن زهرة إلى أنّ اعتباره أحوط</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للقول المشهور مضافاً إلى إطلاق الكتاب، وإطلاق ما ورد من أنّذكاة السمك إخراجه حيّاً، عدة روايات في خصوص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الحيتان التي تصيدها المجوس،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الحيتان والجراد ذكيّ</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أبي بصير ـ المتقدمة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صيد المجوس للسمك حين يضربون للشبك ولا يسمّون، أو يهودي،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إنما صيد الحيتان أخذها</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أبي مريم،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فيما صادت المجوس من الحيتان؟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الحيتان والجراد ذكيّ</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علي بن جعفر، عن أخيه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p>
    <w:p>
      <w:pPr>
        <w:pStyle w:val="BookText"/>
        <w:rPr/>
      </w:pPr>
      <w:r>
        <w:rPr>
          <w:rFonts w:ascii="Amiri" w:hAnsi="Amiri" w:eastAsia="Amiri" w:cs="Amiri"/>
          <w:color w:val="111111"/>
          <w:sz w:val="28"/>
          <w:sz w:val="28"/>
          <w:szCs w:val="28"/>
          <w:rtl w:val="true"/>
          <w:lang w:bidi="ar-SA"/>
        </w:rPr>
        <w:t xml:space="preserve">عما أصاب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المجوس من الجراد والسمك أيحل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صيده ذكاته، لا بأس</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سئل عن صيد المجوس للحيتان حين يضربون عليها بالشباك ويسمّون بالشرك،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بأسبصيدهم، إنما صيد الحيتان 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بالسمك الذي يصيده المجوس</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أبي الصباح الكناني، أنه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الحيتان يصيدها المجوسي،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إنما صيد الحيتان أخذها</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كلها صريحة في عدم اشتراط الإسلام في حلّية السمك، ومورد الروايات وإن كان هو السؤال عن صيد المجوسي إلاّ أن مقتضى الإطلاق وعموم التعليل شمولها لغير المجوسي من سائر الكفار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وقد استدلّ للقول الآخر ـ وهو اعتبار الإسلام ـ بصحيحة الحلبي ـ المتقدمة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صيد الحيتان وإن لم يسمّ،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وعن صيد المجوسي للسمك،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لآكله حتى أنظر إليه</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وصحيحة محمد بن مسلم ـ المتقدمة أيضاً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مجوسي يصيد السمك أيؤكل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لآكله حتى أنظرإليه</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هاتين الروايتين اعتبر المناط في الحلية نظر المسلم، ولولاه لما </w:t>
      </w:r>
    </w:p>
    <w:p>
      <w:pPr>
        <w:pStyle w:val="BookText"/>
        <w:rPr/>
      </w:pPr>
      <w:r>
        <w:rPr>
          <w:rFonts w:ascii="Amiri" w:hAnsi="Amiri" w:eastAsia="Amiri" w:cs="Amiri"/>
          <w:color w:val="111111"/>
          <w:sz w:val="28"/>
          <w:sz w:val="28"/>
          <w:szCs w:val="28"/>
          <w:rtl w:val="true"/>
          <w:lang w:bidi="ar-SA"/>
        </w:rPr>
        <w:t>حلّ صيد المجوسي، وحيث إنّ الروايات المتقدمة مطلقة فمقتضى الجمع تقييدها بهاتين الروايتين، فلا يحلّ صيد المجوسي، أو من عداه من سائر الكفار، إلاّ أن ينظر إليه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قد ذكرنا فيما تقدم أنه لا خصوصية للنظر في نفسه، وإنما هو طريق لإحراز إخراج السمك حيّاً، إذ لا اعتبار بقول المجوسي وإخباره، ويدلّ على ذلك ما ورد في معتبرة عيسى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صيد المجوسي،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أعطوكه أحياء، والسمك أيضاً، وإلاّ فلا تجوز شهادتهم إلاّ أن تشهده</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من جهة السند معتبرة فإنّ عيسى بن عبد الله وإن كان مشتركاً في هذه الطبقة بين ثلاثة،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عبد الله الأشعري القمي، وعيسى بن عبد الله العمري، وعيسى بن عبد الله الهاشمي، إلاّ أنّ الظاهر أنه الأول بقرينة الراوي عنه وهو أبان بن عثمان، فإنه يروي عن الأشعري كثيراً</w:t>
      </w:r>
      <w:r>
        <w:rPr>
          <w:rStyle w:val="FootnoteAnchor"/>
          <w:rtl w:val="true"/>
        </w:rPr>
        <w:footnoteReference w:id="1386"/>
      </w:r>
      <w:r>
        <w:rPr>
          <w:rFonts w:ascii="Amiri" w:hAnsi="Amiri" w:eastAsia="Amiri" w:cs="Amiri"/>
          <w:color w:val="111111"/>
          <w:sz w:val="28"/>
          <w:sz w:val="28"/>
          <w:szCs w:val="28"/>
          <w:rtl w:val="true"/>
          <w:lang w:bidi="ar-SA"/>
        </w:rPr>
        <w:t>ولا إشكال في جلالته ورفعة مقامه</w:t>
      </w:r>
      <w:r>
        <w:rPr>
          <w:rStyle w:val="FootnoteAnchor"/>
          <w:rtl w:val="true"/>
        </w:rPr>
        <w:footnoteReference w:id="1387"/>
      </w:r>
      <w:r>
        <w:rPr>
          <w:rFonts w:ascii="Amiri" w:hAnsi="Amiri" w:eastAsia="Amiri" w:cs="Amiri"/>
          <w:color w:val="111111"/>
          <w:sz w:val="28"/>
          <w:sz w:val="28"/>
          <w:szCs w:val="28"/>
          <w:rtl w:val="true"/>
          <w:lang w:bidi="ar-SA"/>
        </w:rPr>
        <w:t>، وأما ما ورد في طبقات المعجم</w:t>
      </w:r>
      <w:r>
        <w:rPr>
          <w:rStyle w:val="FootnoteAnchor"/>
          <w:rtl w:val="true"/>
        </w:rPr>
        <w:footnoteReference w:id="1388"/>
      </w:r>
      <w:r>
        <w:rPr>
          <w:rFonts w:ascii="Amiri" w:hAnsi="Amiri" w:eastAsia="Amiri" w:cs="Amiri"/>
          <w:color w:val="111111"/>
          <w:sz w:val="28"/>
          <w:sz w:val="28"/>
          <w:szCs w:val="28"/>
          <w:rtl w:val="true"/>
          <w:lang w:bidi="ar-SA"/>
        </w:rPr>
        <w:t>من رواية عيسى بن عبد الله عن أبان بن عثمان فهو خطأ في الطبع، والصحيح هو العكس أي رواية أبان بن عثمانعنه كما في طبعة الكافي</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من جهة الدلالة فهي تامّة لأنّ إعطاء المجوسي للسمك حيّاً غير معتبر قطعاً، والذي يظهر من ذيل الرواية أنه من باب إحراز أخذه من الماء حيّاً، وذلك بمقتضى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تجوز شهادتهم إلاّ أن تشهده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عدم جريان </w:t>
      </w:r>
    </w:p>
    <w:p>
      <w:pPr>
        <w:pStyle w:val="BookText"/>
        <w:rPr/>
      </w:pPr>
      <w:r>
        <w:rPr>
          <w:rFonts w:ascii="Amiri" w:hAnsi="Amiri" w:eastAsia="Amiri" w:cs="Amiri"/>
          <w:color w:val="111111"/>
          <w:sz w:val="28"/>
          <w:sz w:val="28"/>
          <w:szCs w:val="28"/>
          <w:rtl w:val="true"/>
          <w:lang w:bidi="ar-SA"/>
        </w:rPr>
        <w:t>أصالة الصحة في فعل المجوس كما تجري في فعل المسلمين، فالإعطاء أو الشهود كما في هذه الرواية، أو النظر كما في الصحيحتين المتقدمتين لما ذكرناه، وهي طرق إلى إحراز التذكية، ولا خصوصية للنظر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الصحيح هو القول المشهور، والاحتياط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السمك في الشبكة، فهل يحكم بحلّيته أو لا؟</w:t>
      </w:r>
    </w:p>
    <w:p>
      <w:pPr>
        <w:pStyle w:val="BookText"/>
        <w:rPr/>
      </w:pPr>
      <w:r>
        <w:rPr>
          <w:rFonts w:ascii="Amiri" w:hAnsi="Amiri" w:eastAsia="Amiri" w:cs="Amiri"/>
          <w:color w:val="111111"/>
          <w:sz w:val="28"/>
          <w:sz w:val="28"/>
          <w:szCs w:val="28"/>
          <w:rtl w:val="true"/>
          <w:lang w:bidi="ar-SA"/>
        </w:rPr>
        <w:t>وفي</w:t>
      </w:r>
    </w:p>
    <w:p>
      <w:pPr>
        <w:pStyle w:val="BookText"/>
        <w:rPr/>
      </w:pPr>
      <w:r>
        <w:rPr>
          <w:rFonts w:ascii="Amiri" w:hAnsi="Amiri" w:eastAsia="Amiri" w:cs="Amiri"/>
          <w:color w:val="111111"/>
          <w:sz w:val="28"/>
          <w:sz w:val="28"/>
          <w:szCs w:val="28"/>
          <w:rtl w:val="true"/>
          <w:lang w:bidi="ar-SA"/>
        </w:rPr>
        <w:t>المسألة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الحلّية، واختاره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ونسبه إلى المشهور شهرة عظيمة</w:t>
      </w:r>
      <w:r>
        <w:rPr>
          <w:rStyle w:val="FootnoteAnchor"/>
          <w:rtl w:val="true"/>
        </w:rPr>
        <w:footnoteReference w:id="1390"/>
      </w:r>
      <w:r>
        <w:rPr>
          <w:rFonts w:ascii="Amiri" w:hAnsi="Amiri" w:eastAsia="Amiri" w:cs="Amiri"/>
          <w:color w:val="111111"/>
          <w:sz w:val="28"/>
          <w:sz w:val="28"/>
          <w:szCs w:val="28"/>
          <w:rtl w:val="true"/>
          <w:lang w:bidi="ar-SA"/>
        </w:rPr>
        <w:t>، ونسبه صاحب الرياض إلى أكثر المتأخرين من أصحابنا، وفاقاً للشيخ، وابن حمزة، والحلّي من القدماء</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الحلية وهو المنسوب إلى العماني</w:t>
      </w:r>
      <w:r>
        <w:rPr>
          <w:rStyle w:val="FootnoteAnchor"/>
          <w:rtl w:val="true"/>
        </w:rPr>
        <w:footnoteReference w:id="1392"/>
      </w:r>
      <w:r>
        <w:rPr>
          <w:rFonts w:ascii="Amiri" w:hAnsi="Amiri" w:eastAsia="Amiri" w:cs="Amiri"/>
          <w:color w:val="111111"/>
          <w:sz w:val="28"/>
          <w:sz w:val="28"/>
          <w:szCs w:val="28"/>
          <w:rtl w:val="true"/>
          <w:lang w:bidi="ar-SA"/>
        </w:rPr>
        <w:t>، ونفى عنه البعد في الكفاية</w:t>
      </w:r>
      <w:r>
        <w:rPr>
          <w:rStyle w:val="FootnoteAnchor"/>
          <w:rtl w:val="true"/>
        </w:rPr>
        <w:footnoteReference w:id="1393"/>
      </w:r>
      <w:r>
        <w:rPr>
          <w:rFonts w:ascii="Amiri" w:hAnsi="Amiri" w:eastAsia="Amiri" w:cs="Amiri"/>
          <w:color w:val="111111"/>
          <w:sz w:val="28"/>
          <w:sz w:val="28"/>
          <w:szCs w:val="28"/>
          <w:rtl w:val="true"/>
          <w:lang w:bidi="ar-SA"/>
        </w:rPr>
        <w:t>، ومالإليه المحقق الأردبيلي</w:t>
      </w:r>
      <w:r>
        <w:rPr>
          <w:rStyle w:val="FootnoteAnchor"/>
          <w:rtl w:val="true"/>
        </w:rPr>
        <w:footnoteReference w:id="1394"/>
      </w:r>
      <w:r>
        <w:rPr>
          <w:rFonts w:ascii="Amiri" w:hAnsi="Amiri" w:eastAsia="Amiri" w:cs="Amiri"/>
          <w:color w:val="111111"/>
          <w:sz w:val="28"/>
          <w:sz w:val="28"/>
          <w:szCs w:val="28"/>
          <w:rtl w:val="true"/>
          <w:lang w:bidi="ar-SA"/>
        </w:rPr>
        <w:t>، ورجحه النراقي</w:t>
      </w:r>
      <w:r>
        <w:rPr>
          <w:rStyle w:val="FootnoteAnchor"/>
          <w:rtl w:val="true"/>
        </w:rPr>
        <w:footnoteReference w:id="1395"/>
      </w:r>
      <w:r>
        <w:rPr>
          <w:rFonts w:ascii="Amiri" w:hAnsi="Amiri" w:eastAsia="Amiri" w:cs="Amiri"/>
          <w:color w:val="111111"/>
          <w:sz w:val="28"/>
          <w:sz w:val="28"/>
          <w:szCs w:val="28"/>
          <w:rtl w:val="true"/>
          <w:lang w:bidi="ar-SA"/>
        </w:rPr>
        <w:t xml:space="preserve">، واختاره السيد الأستاذ </w:t>
      </w:r>
      <w:r>
        <w:rPr>
          <w:rFonts w:eastAsia="Amiri" w:cs="Amiri" w:ascii="Amiri" w:hAnsi="Amiri"/>
          <w:color w:val="111111"/>
          <w:sz w:val="28"/>
          <w:szCs w:val="28"/>
          <w:rtl w:val="true"/>
          <w:lang w:bidi="ar-SA"/>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ومنشأ القولين اختلاف الروايات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مستند القول بعدم الحلّية فعدة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أبي أيّوب الخزاز، أنه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اصطاد سمكة فربطها بخيط وأرسلها في الماء فماتت أتؤكل؟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من حيث السند معتبرة، وأما من حيث الدلالة فهي تامة، إما </w:t>
      </w:r>
    </w:p>
    <w:p>
      <w:pPr>
        <w:pStyle w:val="BookText"/>
        <w:rPr/>
      </w:pPr>
      <w:r>
        <w:rPr>
          <w:rFonts w:ascii="Amiri" w:hAnsi="Amiri" w:eastAsia="Amiri" w:cs="Amiri"/>
          <w:color w:val="111111"/>
          <w:sz w:val="28"/>
          <w:sz w:val="28"/>
          <w:szCs w:val="28"/>
          <w:rtl w:val="true"/>
          <w:lang w:bidi="ar-SA"/>
        </w:rPr>
        <w:t>بناء على عدم الخصوصية للخيط، وإما بدلالة الفحوى لأنها إذا كانت مربوطة بالخيط لا تحلّ فعدم حلّيتها بالشبكة من باب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عبد الرحمن بن سيّابة،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السمك يصاد ثم يجعل في شيء، ثم يعاد في الماء فيموت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 لأنّه مات في الذي فيه حياته</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ـ من حيث السند ـ قد عبّر عنها صاحب الجواهر بصحيح عبد الرحمن</w:t>
      </w:r>
      <w:r>
        <w:rPr>
          <w:rStyle w:val="FootnoteAnchor"/>
          <w:rtl w:val="true"/>
        </w:rPr>
        <w:footnoteReference w:id="1399"/>
      </w:r>
      <w:r>
        <w:rPr>
          <w:rFonts w:ascii="Amiri" w:hAnsi="Amiri" w:eastAsia="Amiri" w:cs="Amiri"/>
          <w:color w:val="111111"/>
          <w:sz w:val="28"/>
          <w:sz w:val="28"/>
          <w:szCs w:val="28"/>
          <w:rtl w:val="true"/>
          <w:lang w:bidi="ar-SA"/>
        </w:rPr>
        <w:t>، وهو لم يرد فيه توثيق إلاّ من جهة رواية ابن أبي عمير عنه</w:t>
      </w:r>
      <w:r>
        <w:rPr>
          <w:rStyle w:val="FootnoteAnchor"/>
          <w:rtl w:val="true"/>
        </w:rPr>
        <w:footnoteReference w:id="1400"/>
      </w:r>
      <w:r>
        <w:rPr>
          <w:rFonts w:ascii="Amiri" w:hAnsi="Amiri" w:eastAsia="Amiri" w:cs="Amiri"/>
          <w:color w:val="111111"/>
          <w:sz w:val="28"/>
          <w:sz w:val="28"/>
          <w:szCs w:val="28"/>
          <w:rtl w:val="true"/>
          <w:lang w:bidi="ar-SA"/>
        </w:rPr>
        <w:t>، وبناء علىما حققناه في محله</w:t>
      </w:r>
      <w:r>
        <w:rPr>
          <w:rStyle w:val="FootnoteAnchor"/>
          <w:rtl w:val="true"/>
        </w:rPr>
        <w:footnoteReference w:id="1401"/>
      </w:r>
      <w:r>
        <w:rPr>
          <w:rFonts w:ascii="Amiri" w:hAnsi="Amiri" w:eastAsia="Amiri" w:cs="Amiri"/>
          <w:color w:val="111111"/>
          <w:sz w:val="28"/>
          <w:sz w:val="28"/>
          <w:szCs w:val="28"/>
          <w:rtl w:val="true"/>
          <w:lang w:bidi="ar-SA"/>
        </w:rPr>
        <w:t>من أنّ رواية أحد المشايخ الثقات عن شخص أمارة على وثاقته فتكون الرواية معتبرة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الدلالة فهي تامة بناء على دخول الشبكة في مفهوم الشيء الوارد في الرواية، نعم لو قلنا بأنّ الشيء غير الشبكة فلا دلالة للرواية على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يمكن استفادة الحكم بالتحريم من جهة التعليل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مات في الذي فيه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للحرمة وهي بعمومها شاملة لما نحن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عبد المؤمن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رجلاً أن يسأل لي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صاد سمكاً وهنّ أحياء، ثم أخرجهنّ بعد ما مات بعضهنّ،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مات فلا تأكله، فإنّه مات فيما كان فيه حياته</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من حيث الدلالة تامة، إما للجواب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تأكله، وإما لعموم </w:t>
      </w:r>
    </w:p>
    <w:p>
      <w:pPr>
        <w:pStyle w:val="BookText"/>
        <w:rPr/>
      </w:pPr>
      <w:r>
        <w:rPr>
          <w:rFonts w:ascii="Amiri" w:hAnsi="Amiri" w:eastAsia="Amiri" w:cs="Amiri"/>
          <w:color w:val="111111"/>
          <w:sz w:val="28"/>
          <w:sz w:val="28"/>
          <w:szCs w:val="28"/>
          <w:rtl w:val="true"/>
          <w:lang w:bidi="ar-SA"/>
        </w:rPr>
        <w:t>التعليل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مات فيما كان فيه حياته، كما تقدم في 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السند فالظاهر أنّ المراد من عبد المؤمن هو الأنصاري وهو ثقة</w:t>
      </w:r>
      <w:r>
        <w:rPr>
          <w:rStyle w:val="FootnoteAnchor"/>
          <w:rtl w:val="true"/>
        </w:rPr>
        <w:footnoteReference w:id="1403"/>
      </w:r>
      <w:r>
        <w:rPr>
          <w:rFonts w:ascii="Amiri" w:hAnsi="Amiri" w:eastAsia="Amiri" w:cs="Amiri"/>
          <w:color w:val="111111"/>
          <w:sz w:val="28"/>
          <w:sz w:val="28"/>
          <w:szCs w:val="28"/>
          <w:rtl w:val="true"/>
          <w:lang w:bidi="ar-SA"/>
        </w:rPr>
        <w:t>، فإنه هو المشهور والمعروف كما أنّ له كتاباً، فإذا أطلق مجرّداً انصرف إليه،ولكن الرواية من جهة أخرى في حكم المرسلة،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رجلاً أن يسأل لي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ذلك أنه لم يكن حاضراً في مجلس السؤال، ولم يعلم من هو السائل، وعليه فالرواية من هذه الجهة غير تامة السند فتكون مؤيدة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مستند القول بالحلية فعدة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نصب شبكة في الماء، ثم رجع إلى بيته وتركها منصوبة، فأتاها بعد ذلك وقد وقع فيها سمك فيموتن،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عملت يده فلا بأس بأكل ما وقع فيها</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من حيث السند معتبرة، ومن جهة الدلالة ظاهرة، وأما حمل صاحب الوسائل الرواية على ما لو مات بعض السمك ولم يتميّز، أو مات بعد ما أخرجت الشبكة من الماء وإن بقيت منصوبة</w:t>
      </w:r>
      <w:r>
        <w:rPr>
          <w:rStyle w:val="FootnoteAnchor"/>
          <w:rtl w:val="true"/>
        </w:rPr>
        <w:footnoteReference w:id="1405"/>
      </w:r>
      <w:r>
        <w:rPr>
          <w:rFonts w:ascii="Amiri" w:hAnsi="Amiri" w:eastAsia="Amiri" w:cs="Amiri"/>
          <w:color w:val="111111"/>
          <w:sz w:val="28"/>
          <w:sz w:val="28"/>
          <w:szCs w:val="28"/>
          <w:rtl w:val="true"/>
          <w:lang w:bidi="ar-SA"/>
        </w:rPr>
        <w:t>، فهو خلاف الظاهر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الحظيرة من القصب تجعل في الماء للحيتان، فيدخل فيها الحيتان فيموت بعضها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إنّ تلك الحظيرة إنما جعلت ليصاد بها</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من حيث السند معتبرة والإضمار فيها غير مضرّ، على أنه قد </w:t>
      </w:r>
    </w:p>
    <w:p>
      <w:pPr>
        <w:pStyle w:val="BookText"/>
        <w:rPr/>
      </w:pPr>
      <w:r>
        <w:rPr>
          <w:rFonts w:ascii="IRNazanin" w:hAnsi="IRNazanin" w:eastAsia="IRNazanin"/>
          <w:color w:val="111111"/>
          <w:sz w:val="28"/>
          <w:sz w:val="28"/>
          <w:szCs w:val="28"/>
          <w:rtl w:val="true"/>
          <w:lang w:bidi="fa-IR"/>
        </w:rPr>
        <w:t xml:space="preserve">رواها الكليني بسنده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407"/>
      </w:r>
      <w:r>
        <w:rPr>
          <w:rFonts w:ascii="Amiri" w:hAnsi="Amiri" w:eastAsia="Amiri" w:cs="Amiri"/>
          <w:color w:val="111111"/>
          <w:sz w:val="28"/>
          <w:sz w:val="28"/>
          <w:szCs w:val="28"/>
          <w:rtl w:val="true"/>
          <w:lang w:bidi="ar-SA"/>
        </w:rPr>
        <w:t>فلا إشكال فيالسند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من حيث الدلالة تامة، بل هي أوضح دلالة من الرواية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مسعدة بن صدقة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ضرب صاحب الشبكة بالشبكة فما أصاب فيها من حيّ أو ميّت فهو حلال</w:t>
      </w:r>
      <w:r>
        <w:rPr>
          <w:rFonts w:eastAsia="IRNazanin" w:cs="IRNazanin"/>
          <w:color w:val="111111"/>
          <w:sz w:val="28"/>
          <w:szCs w:val="28"/>
          <w:rtl w:val="true"/>
          <w:lang w:bidi="fa-IR"/>
        </w:rPr>
        <w:t>...</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من حيث الدلالة تامة، فإنّ الظاهر أنّ الضرب بالشبكة إنما هو في الماء، كما أنّها من حيث السند كذلك، لما تقدم من أنّ المراد من مسعدة هو مسعدة بن زياد بن صدقة، وهو موثق، فلا إشكال في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علي بن جعفر عن أخيه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الصيد تحبسه فيموت في مصيدته، أيحلّ أكله؟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محبوساً فكله فلا بأس</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من حيث الدلالة تامة، 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محبوساً، قرينة على أنه في الماء، إذ لا إشكال في عدم اعتبار هذا الشرط خارج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السند فهي وإن كان فيها عبد الله بن الحسن، ولم يرد فيه توثيق، إلاّ أننا ذكرنا في أكثر من موضع أنّ بالإمكان تصحيح روايات هذا الطريق بعدّة وجوه، وعليه فالرواية معتبرة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الروايات التي استند إليها كلّ من القائلين بالحرمة والحلية، والظاهر وقوع التنافي فيما بينها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يرفع التنافي بينها تارة بترجيح روايات الحلّية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الدالة على الحرمة إما ضعيفة السند، وإما غير تامّة الدلالة، فإنّ رواية </w:t>
      </w:r>
    </w:p>
    <w:p>
      <w:pPr>
        <w:pStyle w:val="BookText"/>
        <w:rPr/>
      </w:pPr>
      <w:r>
        <w:rPr>
          <w:rFonts w:ascii="Amiri" w:hAnsi="Amiri" w:eastAsia="Amiri" w:cs="Amiri"/>
          <w:color w:val="111111"/>
          <w:sz w:val="28"/>
          <w:sz w:val="28"/>
          <w:szCs w:val="28"/>
          <w:rtl w:val="true"/>
          <w:lang w:bidi="ar-SA"/>
        </w:rPr>
        <w:t>عبد المؤمن في حكم المرسلة كما تقدم، وأما صحيحة الخزاز، ومعتبرة عبد الرحمن فتختصّان بموردهما وهو ربط السمك بالخيط كما في الصحيحة، ووضعه في شيء غير الشبكة كما في المعتبرة، والأولوية في الأولى وعمومية التعليل في الثانية ممنوعتان فتبقى روايات الحلّية سليمة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الحرمة محمولة على الكراهة، لأنّها ظاهرة في الحرمة، بخلاف روايات الحلّية فإنّها صريحة في  الجواز، ومقتضى الجمع هو الحل على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بترجيح روايات الحرمة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الجواز محمولة على التقية، لذهاب جمهور العامة إلى القول بالحلّية، بل ادّعوا عدم الخلاف في ذلك</w:t>
      </w:r>
      <w:r>
        <w:rPr>
          <w:rStyle w:val="FootnoteAnchor"/>
          <w:rtl w:val="true"/>
        </w:rPr>
        <w:footnoteReference w:id="1410"/>
      </w:r>
      <w:r>
        <w:rPr>
          <w:rFonts w:ascii="Amiri" w:hAnsi="Amiri" w:eastAsia="Amiri" w:cs="Amiri"/>
          <w:color w:val="111111"/>
          <w:sz w:val="28"/>
          <w:sz w:val="28"/>
          <w:szCs w:val="28"/>
          <w:rtl w:val="true"/>
          <w:lang w:bidi="ar-SA"/>
        </w:rPr>
        <w:t>أو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الدالة على الحرمة معضدة بعمل المشهور، لتحقق الشهرة العظيمة بين الأصحاب على الحرمة، دون الروايات الدالة على الحلية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للمناقشة في جميع ذلك مجال، أما الأول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وإن سلّم ضعف سند رواية عبد المؤمن الأنصاري إلاّ أنّ منع الأولوية وعموم التعليل مما لا وجه له،مضافاً إلى أنّ لفظ شيء الوارد في معتبرة ابن سيّابة شامل للشبكة بلا إشكال، فإنّ مفهومه أعم المفاهيم والشبكة أحد مصاديقه كما هو واضح، فالدعوى بأنّ  الشيء أمر آخر غير الشبكة غير مسموعة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وإن ورد في بعض الروايات بلفظ النهي، وهو ظاهر في التحريم وليس نصّاً فيه، إلاّ أنه قد ورد في بعضها الآخر بلفظ النفي كما سيأتي ودلالته على الحرمة أقوى، بل لا ينسجم مع القول بالكراهة، مضافاً إلى اشتمالها على التعليل بأنه مات في ما كان فيه حياته، وهو بنفسه مؤكد للحكم </w:t>
      </w:r>
    </w:p>
    <w:p>
      <w:pPr>
        <w:pStyle w:val="BookText"/>
        <w:rPr/>
      </w:pPr>
      <w:r>
        <w:rPr>
          <w:rFonts w:ascii="Amiri" w:hAnsi="Amiri" w:eastAsia="Amiri" w:cs="Amiri"/>
          <w:color w:val="111111"/>
          <w:sz w:val="28"/>
          <w:sz w:val="28"/>
          <w:szCs w:val="28"/>
          <w:rtl w:val="true"/>
          <w:lang w:bidi="ar-SA"/>
        </w:rPr>
        <w:t xml:space="preserve">وشاهد على أنّ النهي تحريمي، وأنّ حكم السمك الذي مات في الشبكة حكم الطافي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يؤكّد ما ذكرنا أنّ هذا التعليل بعينه قد ورد تعليلاً للحرمة، كما في معتبرة علي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السمك يصاد ولم يوثق، فيردّ إلى الماء حتى يجيء من يشتريه فيموت بعضه، أيحلّ أكله؟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 مات في الذي فيه حياته</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وهي صريحة في دلالتها على الحرمة، حيث 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بنفي الحلية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بناء على أن يكون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فيردّ إلى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الماء الأول، وحينئذ فالرواية وإن كانت خارجة عن محلّ الكلام إلاّ أن المستفاد منها أنّ التعليل هو تعليل للحرمة، وأما إذا كان المراد بالماء غير الماء الأول، بل ماء آخر كمياه الأحواض المخصّصة لتربية الأسماك فالرواية حينئذ من أدلة الحرمة ولا تصلح لأن تكون مناطاًللجمع، وعلى كلا التقديرين فالتعليل في الرواية إنما هو للتحريم لا للكراهة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الثالث 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الحمل على التقية وإن كان له وجه إلاّ أنه قد ورد في بعض هذه الروايات ما هو على خلاف العامة، كما في موثقة مسعدة بن صدقة المتقدمة،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أصاب فيها من حيّ أو ميّت فهو حلال، ما خلا ما ليس له قشر، ولا يؤكل الطافي من السمك</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ذلك مخالف لما ذهب إليه العامة من حلّية ما ليس له قشر والطافي</w:t>
      </w:r>
      <w:r>
        <w:rPr>
          <w:rStyle w:val="FootnoteAnchor"/>
          <w:rtl w:val="true"/>
        </w:rPr>
        <w:footnoteReference w:id="1413"/>
      </w:r>
      <w:r>
        <w:rPr>
          <w:rFonts w:ascii="Amiri" w:hAnsi="Amiri" w:eastAsia="Amiri" w:cs="Amiri"/>
          <w:color w:val="111111"/>
          <w:sz w:val="28"/>
          <w:sz w:val="28"/>
          <w:szCs w:val="28"/>
          <w:rtl w:val="true"/>
          <w:lang w:bidi="ar-SA"/>
        </w:rPr>
        <w:t>، فحمل روايات الحلية على التقية بعيد</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الرابع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الشهرة المذكورة في كلمات الأعلام إنما هي شهرة </w:t>
      </w:r>
    </w:p>
    <w:p>
      <w:pPr>
        <w:pStyle w:val="BookText"/>
        <w:rPr/>
      </w:pPr>
      <w:r>
        <w:rPr>
          <w:rFonts w:ascii="Amiri" w:hAnsi="Amiri" w:eastAsia="Amiri" w:cs="Amiri"/>
          <w:color w:val="111111"/>
          <w:sz w:val="28"/>
          <w:sz w:val="28"/>
          <w:szCs w:val="28"/>
          <w:rtl w:val="true"/>
          <w:lang w:bidi="ar-SA"/>
        </w:rPr>
        <w:t>فتوائية، والترجيح إنما يكون بالشهرة الروائية، ولعل الروايات الدالّة على الحلية هي المشهورة دون روايات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الطائفتين هو التعارض، وبعد تساقطهما لابدّ من الرجوع إلى الأصل، ومقتضى العمومات والإطلاقات الكثيرة في ذكاة السمك وإن كان هو صيده أو أخذه إلاّ أنها مقيّدة بعدم موته في الماء وإخراجه منه حيّاً، كما يدلّ على ذلك معتبرة علي بن جعفر المتقدمة، فإنّها صريحة في عدم الحلّية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ويؤيدها رواية الاحتجاج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أنّ زنديقاً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السمك ميتة،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السمك ذكاته إخراجه حياً من الماء ثميترك حتى يموت من ذات نفسه، وذلك أنه ليس له دم، وكذلك الجراد</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فالحكم بالحرمة في المقام هو الموافق للأصل اللفظي، كما أنه موافق للأصل العملي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نقل بالتعارض بين الطائفتين لكان مقتضى الجمع هو الحكم بالحلية، لكثرة الروايات الدالة عليها، ووضوح دلالتها بخلاف روايات المنع، ولعل ذهاب المشهور إلى  القول بالحرمة بل إجماعهم عليه</w:t>
      </w:r>
      <w:r>
        <w:rPr>
          <w:rStyle w:val="FootnoteAnchor"/>
          <w:rtl w:val="true"/>
        </w:rPr>
        <w:footnoteReference w:id="1415"/>
      </w:r>
      <w:r>
        <w:rPr>
          <w:rFonts w:ascii="Amiri" w:hAnsi="Amiri" w:eastAsia="Amiri" w:cs="Amiri"/>
          <w:color w:val="111111"/>
          <w:sz w:val="28"/>
          <w:sz w:val="28"/>
          <w:szCs w:val="28"/>
          <w:rtl w:val="true"/>
          <w:lang w:bidi="ar-SA"/>
        </w:rPr>
        <w:t>وإعراضهم عن روايات الحلية مع كثرتها ووضوح دلالتها، أنّهم فهموا من روايات الحلّية ما يشعر بالتقية، وعلى كل حال فالاحتياط في محلّه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أنه إذا لم يكن السمك في  المصيدة بل كان مربوطاً بخيط أو في شيء آخر غير  الشبكة أو أخذ ثم أعيد في الماء فمات فليس بحلال بلا إشكال، كما عليه دعوى الإجماع وعدم الخلاف</w:t>
      </w:r>
      <w:r>
        <w:rPr>
          <w:rStyle w:val="FootnoteAnchor"/>
          <w:rtl w:val="true"/>
        </w:rPr>
        <w:footnoteReference w:id="1416"/>
      </w:r>
      <w:r>
        <w:rPr>
          <w:rFonts w:ascii="Amiri" w:hAnsi="Amiri" w:eastAsia="Amiri" w:cs="Amiri"/>
          <w:color w:val="111111"/>
          <w:sz w:val="28"/>
          <w:sz w:val="28"/>
          <w:szCs w:val="28"/>
          <w:rtl w:val="true"/>
          <w:lang w:bidi="ar-SA"/>
        </w:rPr>
        <w:t>، وأما إذا كان في الشبكة ونضب عنه الماء ثم مات فيها فالحكم بالحلية قويّ، والله العالم</w:t>
      </w:r>
      <w:r>
        <w:rPr>
          <w:rFonts w:eastAsia="Amiri" w:cs="Amiri" w:ascii="Amiri" w:hAnsi="Amiri"/>
          <w:color w:val="111111"/>
          <w:sz w:val="28"/>
          <w:szCs w:val="28"/>
          <w:rtl w:val="true"/>
          <w:lang w:bidi="ar-SA"/>
        </w:rPr>
        <w:t xml:space="preserve">. </w:t>
      </w:r>
      <w:bookmarkStart w:id="178" w:name="pg16406_258782"/>
    </w:p>
    <w:p>
      <w:pPr>
        <w:pStyle w:val="Heading4"/>
        <w:numPr>
          <w:ilvl w:val="3"/>
          <w:numId w:val="1"/>
        </w:numPr>
        <w:rPr/>
      </w:pPr>
      <w:bookmarkStart w:id="179" w:name="__RefHeading___Toc7246575_1280447820"/>
      <w:bookmarkStart w:id="180" w:name="_Toc58"/>
      <w:bookmarkEnd w:id="178"/>
      <w:bookmarkEnd w:id="179"/>
      <w:r>
        <w:rPr>
          <w:rtl w:val="true"/>
        </w:rPr>
        <w:t>خاتمة</w:t>
      </w:r>
      <w:r>
        <w:rPr>
          <w:rtl w:val="true"/>
        </w:rPr>
        <w:t xml:space="preserve">: </w:t>
      </w:r>
      <w:r>
        <w:rPr>
          <w:rtl w:val="true"/>
        </w:rPr>
        <w:t>في حكم سوق المسلمين ومقدار أماريته</w:t>
      </w:r>
      <w:r>
        <w:rPr>
          <w:rtl w:val="true"/>
        </w:rPr>
        <w:t>:</w:t>
      </w:r>
      <w:bookmarkEnd w:id="180"/>
    </w:p>
    <w:p>
      <w:pPr>
        <w:pStyle w:val="BookText"/>
        <w:rPr/>
      </w:pPr>
      <w:r>
        <w:rPr>
          <w:rFonts w:ascii="Amiri" w:hAnsi="Amiri" w:eastAsia="Amiri" w:cs="Amiri"/>
          <w:color w:val="111111"/>
          <w:sz w:val="28"/>
          <w:sz w:val="28"/>
          <w:szCs w:val="28"/>
          <w:rtl w:val="true"/>
          <w:lang w:bidi="ar-SA"/>
        </w:rPr>
        <w:t>وهو من الأمور ذات الابتلاء، ولا سيّما في زماننا، حيث أصبح من العسير تمييز ما هو من المسلمين من غيرهم، وقد وعدنا بالبحث حول المسألة بما يناسب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ما يباع في أسواق المسلمين ـ مما يعتبر في جواز استعماله الطهارة والحلّية ـ محكوم بالطهارة والحلية مطلقاً أو لا؟</w:t>
      </w:r>
    </w:p>
    <w:p>
      <w:pPr>
        <w:pStyle w:val="BookText"/>
        <w:rPr/>
      </w:pPr>
      <w:r>
        <w:rPr>
          <w:rFonts w:ascii="Amiri" w:hAnsi="Amiri" w:eastAsia="Amiri" w:cs="Amiri"/>
          <w:color w:val="111111"/>
          <w:sz w:val="28"/>
          <w:sz w:val="28"/>
          <w:szCs w:val="28"/>
          <w:rtl w:val="true"/>
          <w:lang w:bidi="ar-SA"/>
        </w:rPr>
        <w:t>وتحقيق هذه المسألة يتوقّف على البحث في مقامات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وخصوصيّات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مقتضى الأصل هو ثبوت الحرمة والنجاسة تكليفاً ووضعاً، أو أن مقتضاه التفصيل بين الحرمة والنجاسة، أو أنّ مقتضاه ثبوت الحلية والطهارة معاً، فيه أقوال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المشهور إلى الأول</w:t>
      </w:r>
      <w:r>
        <w:rPr>
          <w:rStyle w:val="FootnoteAnchor"/>
          <w:rtl w:val="true"/>
        </w:rPr>
        <w:footnoteReference w:id="1417"/>
      </w:r>
      <w:r>
        <w:rPr>
          <w:rFonts w:ascii="Amiri" w:hAnsi="Amiri" w:eastAsia="Amiri" w:cs="Amiri"/>
          <w:color w:val="111111"/>
          <w:sz w:val="28"/>
          <w:sz w:val="28"/>
          <w:szCs w:val="28"/>
          <w:rtl w:val="true"/>
          <w:lang w:bidi="ar-SA"/>
        </w:rPr>
        <w:t>، ونسب الثاني إلى الفاضل التوني</w:t>
      </w:r>
      <w:r>
        <w:rPr>
          <w:rStyle w:val="FootnoteAnchor"/>
          <w:rtl w:val="true"/>
        </w:rPr>
        <w:footnoteReference w:id="1418"/>
      </w:r>
      <w:r>
        <w:rPr>
          <w:rFonts w:ascii="Amiri" w:hAnsi="Amiri" w:eastAsia="Amiri" w:cs="Amiri"/>
          <w:color w:val="111111"/>
          <w:sz w:val="28"/>
          <w:sz w:val="28"/>
          <w:szCs w:val="28"/>
          <w:rtl w:val="true"/>
          <w:lang w:bidi="ar-SA"/>
        </w:rPr>
        <w:t xml:space="preserve">، واختاره السيد الأستاذ </w:t>
      </w:r>
      <w:r>
        <w:rPr>
          <w:rStyle w:val="FootnoteAnchor"/>
          <w:rtl w:val="true"/>
        </w:rPr>
        <w:footnoteReference w:id="1419"/>
      </w:r>
      <w:r>
        <w:rPr>
          <w:rFonts w:ascii="Amiri" w:hAnsi="Amiri" w:eastAsia="Amiri" w:cs="Amiri"/>
          <w:color w:val="111111"/>
          <w:sz w:val="28"/>
          <w:sz w:val="28"/>
          <w:szCs w:val="28"/>
          <w:rtl w:val="true"/>
          <w:lang w:bidi="ar-SA"/>
        </w:rPr>
        <w:t>، وذهب جماعة</w:t>
      </w:r>
      <w:r>
        <w:rPr>
          <w:rStyle w:val="FootnoteAnchor"/>
          <w:rtl w:val="true"/>
        </w:rPr>
        <w:footnoteReference w:id="1420"/>
      </w:r>
      <w:r>
        <w:rPr>
          <w:rFonts w:ascii="Amiri" w:hAnsi="Amiri" w:eastAsia="Amiri" w:cs="Amiri"/>
          <w:color w:val="111111"/>
          <w:sz w:val="28"/>
          <w:sz w:val="28"/>
          <w:szCs w:val="28"/>
          <w:rtl w:val="true"/>
          <w:lang w:bidi="ar-SA"/>
        </w:rPr>
        <w:t>إلى الثالث ومنهم المحقق البحراني</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وهو القول المشهور فمحلّ الكلام منه هو ما إذا كان الحيوان قابلاً للتذكية وشكّ في تذكيته وعدمها، فيقال بأنّ مقتضى الأصل هو عدم التذكية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تقريب الأصل فيه بوجهين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الأدلة الواردة من الآيات والروايات هو أنّ الحلية والطهارة مترتبتان على الحيوان المذكّى، فكلّ ما لم تحرز تذكيته فهو داخل في عموم الحكم بالحرمة،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 وَالدَّمُ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ذَكَّيْتُمْ</w:t>
      </w:r>
      <w:r>
        <w:rPr>
          <w:rFonts w:eastAsia="Amiri" w:cs="Amiri" w:ascii="Amiri" w:hAnsi="Amiri"/>
          <w:color w:val="111111"/>
          <w:sz w:val="28"/>
          <w:szCs w:val="28"/>
          <w:rtl w:val="true"/>
          <w:lang w:bidi="ar-SA"/>
        </w:rPr>
        <w:t>»</w:t>
      </w:r>
      <w:r>
        <w:rPr>
          <w:rStyle w:val="FootnoteAnchor"/>
          <w:rtl w:val="true"/>
        </w:rPr>
        <w:footnoteReference w:id="1422"/>
      </w:r>
      <w:r>
        <w:rPr>
          <w:rFonts w:ascii="Amiri" w:hAnsi="Amiri" w:eastAsia="Amiri" w:cs="Amiri"/>
          <w:color w:val="111111"/>
          <w:sz w:val="28"/>
          <w:sz w:val="28"/>
          <w:szCs w:val="28"/>
          <w:rtl w:val="true"/>
          <w:lang w:bidi="ar-SA"/>
        </w:rPr>
        <w:t>، يعني أنّ كل حيوان حكمه الحرمة إلاّ إذا ذكّي،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ذُكِرَ اسْمُ اللَّهِ عَلَيْهِ</w:t>
      </w:r>
      <w:r>
        <w:rPr>
          <w:rFonts w:eastAsia="Amiri" w:cs="Amiri" w:ascii="Amiri" w:hAnsi="Amiri"/>
          <w:color w:val="111111"/>
          <w:sz w:val="28"/>
          <w:szCs w:val="28"/>
          <w:rtl w:val="true"/>
          <w:lang w:bidi="ar-SA"/>
        </w:rPr>
        <w:t>»</w:t>
      </w:r>
      <w:r>
        <w:rPr>
          <w:rStyle w:val="FootnoteAnchor"/>
          <w:rtl w:val="true"/>
        </w:rPr>
        <w:footnoteReference w:id="1423"/>
      </w:r>
      <w:r>
        <w:rPr>
          <w:rFonts w:ascii="IRNazanin" w:hAnsi="IRNazanin" w:eastAsia="IRNazanin"/>
          <w:color w:val="111111"/>
          <w:sz w:val="28"/>
          <w:sz w:val="28"/>
          <w:szCs w:val="28"/>
          <w:rtl w:val="true"/>
          <w:lang w:bidi="fa-IR"/>
        </w:rPr>
        <w:t xml:space="preserve">فإذا لم تحرز التسمية عليه فهو حرام،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موثقة ابن بكير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كان مما يؤكل لحمه فالصلاة في وبره وبوله وشعره وروثه وكل شيء جائز منه، إذا علمت أنه ذكيّ، وقد ذكّاه الذابح</w:t>
      </w:r>
      <w:r>
        <w:rPr>
          <w:rStyle w:val="FootnoteAnchor"/>
          <w:rtl w:val="true"/>
        </w:rPr>
        <w:footnoteReference w:id="1424"/>
      </w:r>
      <w:r>
        <w:rPr>
          <w:rFonts w:ascii="Amiri" w:hAnsi="Amiri" w:eastAsia="Amiri" w:cs="Amiri"/>
          <w:color w:val="111111"/>
          <w:sz w:val="28"/>
          <w:sz w:val="28"/>
          <w:szCs w:val="28"/>
          <w:rtl w:val="true"/>
          <w:lang w:bidi="ar-SA"/>
        </w:rPr>
        <w:t xml:space="preserve">، وقوله في رواية علي بن أبي حمزة بعد السؤال عن جلود الكيمخت، وأن منه ما يكون ذكياً ومنه ما يكون ميتة،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علمت أنه ميتة فلا تصلّ فيه</w:t>
      </w:r>
      <w:r>
        <w:rPr>
          <w:rStyle w:val="FootnoteAnchor"/>
          <w:rtl w:val="true"/>
        </w:rPr>
        <w:footnoteReference w:id="1425"/>
      </w:r>
      <w:r>
        <w:rPr>
          <w:rFonts w:ascii="Amiri" w:hAnsi="Amiri" w:eastAsia="Amiri" w:cs="Amiri"/>
          <w:color w:val="111111"/>
          <w:sz w:val="28"/>
          <w:sz w:val="28"/>
          <w:szCs w:val="28"/>
          <w:rtl w:val="true"/>
          <w:lang w:bidi="ar-SA"/>
        </w:rPr>
        <w:t>، وقوله في معتبرة علي بن 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يلبس ولا يصلّي فيه إلاّ أن يكون ذكياً</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ومثلها ما ورد من الروايات الدالة على توقّف حلية الصيد</w:t>
      </w:r>
      <w:r>
        <w:rPr>
          <w:rStyle w:val="FootnoteAnchor"/>
          <w:rtl w:val="true"/>
        </w:rPr>
        <w:footnoteReference w:id="1427"/>
      </w:r>
      <w:r>
        <w:rPr>
          <w:rFonts w:ascii="Amiri" w:hAnsi="Amiri" w:eastAsia="Amiri" w:cs="Amiri"/>
          <w:color w:val="111111"/>
          <w:sz w:val="28"/>
          <w:sz w:val="28"/>
          <w:szCs w:val="28"/>
          <w:rtl w:val="true"/>
          <w:lang w:bidi="ar-SA"/>
        </w:rPr>
        <w:t>على الشرائط المقررة في الشرع، فإذا شك في تحققها فلا يحلّ 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ويستنتج من ذلك قاعدة كلية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لم يحرز أنه مذكّى فهو حرام، وتعتبرأصلاً ثانوياً في اللحوم والجلود حاكماً على أصالة الحلية والطهارة في الأشياء</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ذلك فلا يحتاج في الحكم بالحرمة إلى الاستصحاب، فإنّ </w:t>
      </w:r>
    </w:p>
    <w:p>
      <w:pPr>
        <w:pStyle w:val="BookText"/>
        <w:rPr/>
      </w:pPr>
      <w:r>
        <w:rPr>
          <w:rFonts w:ascii="Amiri" w:hAnsi="Amiri" w:eastAsia="Amiri" w:cs="Amiri"/>
          <w:color w:val="111111"/>
          <w:sz w:val="28"/>
          <w:sz w:val="28"/>
          <w:szCs w:val="28"/>
          <w:rtl w:val="true"/>
          <w:lang w:bidi="ar-SA"/>
        </w:rPr>
        <w:t>مجرّد الشكّ في التذكية كافٍ في الحكم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التنزّل فيمكن استصحاب عدم التذكية وإثبات الحرمة، بناء على أنّ المستفاد من الأدلة أنّ موضوع الحلية هو الحيوان الذي وقعت عليه التذكية، وفي مقابلها أنّ موضوع الحرمة هو الحيوان الذي لم تقع عليه التذكية، وعلى هذا فموضوع الحرمة مركّب من جزئين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وعدم وقوع التذكية عليه، والجزء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وقوع التذكية يمكن أن يكون على نحو العدم المحمولي، أو على نحو العدم النعتي، وعلى كلا التقديرين يتحقق موضوع الاستصحاب، أما الجزء الأول فهو محرز بالوجدان، وأما الجزء الثاني فبناء على العدم المحمولي فله حالة سابقة، وهي أنّه حيوان لم تقع عليه التذكية فتستصحب، ويترتب عليها الحكم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العدم النعتي فهو وإن لم يكن له حالة سابقة في حال الحياة، لكن الحيوان قبل وجوده لم يكن الوصف موجوداً له لعدم وجود الموضوع فالموصوف لا وجود له، وبعد وجوده يشكّ في الاتصاف وعدمه، فيستصحب العدم، وبذلك يثبت جزءا الموضوع أحدهما بالوجدان والآخر بالعدم الأزلي، نظير  استصحاب عدم قرشيّة  المرأة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نوقش في كلا الوجهين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الوجه الأول فقد نوقش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صاحب المدارك</w:t>
      </w:r>
      <w:r>
        <w:rPr>
          <w:rStyle w:val="FootnoteAnchor"/>
          <w:rtl w:val="true"/>
        </w:rPr>
        <w:footnoteReference w:id="1428"/>
      </w:r>
      <w:r>
        <w:rPr>
          <w:rFonts w:ascii="IRNazanin" w:hAnsi="IRNazanin" w:eastAsia="IRNazanin"/>
          <w:color w:val="111111"/>
          <w:sz w:val="28"/>
          <w:sz w:val="28"/>
          <w:szCs w:val="28"/>
          <w:rtl w:val="true"/>
          <w:lang w:bidi="fa-IR"/>
        </w:rPr>
        <w:t>بأنّ هناك روايات تدل على أنّ الحرمة مترتبة على الميتة، فما لم يحرز كون الحيوان نفسه ميتة فهو حلال،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علي بن أبي حمزة، أنّ رجلاً 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عنده عن الرجل يتقلّد السيف ويصلّي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فيه الكيمخت،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الكيمخت؟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جلود دوابّ منه ما يكون </w:t>
      </w:r>
    </w:p>
    <w:p>
      <w:pPr>
        <w:pStyle w:val="BookText"/>
        <w:rPr/>
      </w:pPr>
      <w:r>
        <w:rPr>
          <w:rFonts w:ascii="Amiri" w:hAnsi="Amiri" w:eastAsia="Amiri" w:cs="Amiri"/>
          <w:color w:val="111111"/>
          <w:sz w:val="28"/>
          <w:sz w:val="28"/>
          <w:szCs w:val="28"/>
          <w:rtl w:val="true"/>
          <w:lang w:bidi="ar-SA"/>
        </w:rPr>
        <w:t>ذكياً، ومنه ما يكون 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أنه ميتة فلا تصلّ فيه</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صريحة الدلالة على أنّ الأصل هو الجواز والحلية، وأنّ الحرمة مترتبة على العلم بأنه ميتة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سماعة بن مهران، أنه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تقليد السيف في</w:t>
      </w:r>
    </w:p>
    <w:p>
      <w:pPr>
        <w:pStyle w:val="BookText"/>
        <w:rPr/>
      </w:pPr>
      <w:r>
        <w:rPr>
          <w:rFonts w:ascii="Amiri" w:hAnsi="Amiri" w:eastAsia="Amiri" w:cs="Amiri"/>
          <w:color w:val="111111"/>
          <w:sz w:val="28"/>
          <w:sz w:val="28"/>
          <w:szCs w:val="28"/>
          <w:rtl w:val="true"/>
          <w:lang w:bidi="ar-SA"/>
        </w:rPr>
        <w:t>الصلاة وفيه الفراء والكيمخت،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تعلم أنه ميتة</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في دلالتها كالرواية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فالأصل هو الحلية ما لم يعلم أنه ميتة، وهو حاكم على الأصل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الجلد المطروح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في كلام متأخري أصحابنا نجاسة الجلد لو وجد مطروحاً، وإن كان في بلاد المسلمين، جديداً أو عتيقاً، مستعملاً أو غير مستعمل، لأصالة عدم التذكيةونحو ذلك اللحم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بما فيه،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فللقاعدة الكلية المتفق عليها نصّاً وفتوى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فيه حلال وحرام فهو لك حلال حتى تعرف الحرام بعينه</w:t>
      </w:r>
      <w:r>
        <w:rPr>
          <w:rFonts w:eastAsia="Amiri" w:cs="Amiri" w:ascii="Amiri" w:hAnsi="Amiri"/>
          <w:color w:val="111111"/>
          <w:sz w:val="28"/>
          <w:szCs w:val="28"/>
          <w:rtl w:val="true"/>
          <w:lang w:bidi="ar-SA"/>
        </w:rPr>
        <w:t>)</w:t>
      </w:r>
      <w:r>
        <w:rPr>
          <w:rStyle w:val="FootnoteAnchor"/>
          <w:rtl w:val="true"/>
        </w:rPr>
        <w:footnoteReference w:id="14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 حتى تعلم أنه قذر</w:t>
      </w:r>
      <w:r>
        <w:rPr>
          <w:rFonts w:eastAsia="Amiri" w:cs="Amiri" w:ascii="Amiri" w:hAnsi="Amiri"/>
          <w:color w:val="111111"/>
          <w:sz w:val="28"/>
          <w:szCs w:val="28"/>
          <w:rtl w:val="true"/>
          <w:lang w:bidi="ar-SA"/>
        </w:rPr>
        <w:t>)</w:t>
      </w:r>
      <w:r>
        <w:rPr>
          <w:rStyle w:val="FootnoteAnchor"/>
          <w:rtl w:val="true"/>
        </w:rPr>
        <w:footnoteReference w:id="1432"/>
      </w:r>
      <w:r>
        <w:rPr>
          <w:rFonts w:ascii="Amiri" w:hAnsi="Amiri" w:eastAsia="Amiri" w:cs="Amiri"/>
          <w:color w:val="111111"/>
          <w:sz w:val="28"/>
          <w:sz w:val="28"/>
          <w:szCs w:val="28"/>
          <w:rtl w:val="true"/>
          <w:lang w:bidi="ar-SA"/>
        </w:rPr>
        <w:t>ومن قواعدهم المقررة أن الأصل يخرج عنه بالدليل، والدليل موجود كما ترى، فترجيحهم العمل بالأصل المذكور على هذه القاعدة المنصوصة خروج عن القواعد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ويعضد هذه القاعدة المذكورة جملة من الأخبار كصحيحة سليمان بن جعفر الجعفري عن العبد الصالح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سأله عن الرجل يأتي السوق فيشتري جبّة فراء لا يدري أذكية هي أم غير ذكية، أيصلّي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ليس عليكم المسألة، إنّ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الخوارج ضيّقوا على أنفسهم بجهالتهم، إنّ الدين أوسع من ذلك</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وبمضمونها روايات عديدة وقد تقدمت، والتقريب فيها، دلالتها على الحلّ في موضع الاشتباه حتى في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رواه الشيخ عن السكوني،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سفرة وجدت في الطريق مطروحة، كثير لحمها وخبزها وجبنها وبيضها وفيها سكين،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ما فيها ثم يؤكل، لأنه يفسد وليس له بقاء، فإن جاء طالبها غرموا له الثمن،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لا يدرى سفرة مسلم أو سفرة مجوسي؟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في سعة حتى يعلموا</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صريح في المطلوب</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الوجه الثاني فقد نوقش فيه بوجوه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للفاضل التوني </w:t>
      </w:r>
      <w:r>
        <w:rPr>
          <w:rFonts w:eastAsia="Amiri" w:cs="Amiri" w:ascii="Amiri" w:hAnsi="Amiri"/>
          <w:color w:val="111111"/>
          <w:sz w:val="28"/>
          <w:szCs w:val="28"/>
          <w:rtl w:val="true"/>
          <w:lang w:bidi="ar-SA"/>
        </w:rPr>
        <w:t>!</w:t>
      </w:r>
      <w:r>
        <w:rPr>
          <w:rStyle w:val="FootnoteAnchor"/>
          <w:rtl w:val="true"/>
        </w:rPr>
        <w:footnoteReference w:id="1436"/>
      </w:r>
      <w:r>
        <w:rPr>
          <w:rFonts w:ascii="Amiri" w:hAnsi="Amiri" w:eastAsia="Amiri" w:cs="Amiri"/>
          <w:color w:val="111111"/>
          <w:sz w:val="28"/>
          <w:sz w:val="28"/>
          <w:szCs w:val="28"/>
          <w:rtl w:val="true"/>
          <w:lang w:bidi="ar-SA"/>
        </w:rPr>
        <w:t>من أنّ استصحاب عدم التذكية معارض باستصحاب طهارة الجلد حال الحياة، 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تمسّكهم بالأصل المذكور من حيث استصحاب عدم الذبح نظراً إلى حال الحياة، ولم يعلم زوال عدم المذبوحيّة لاحتمال الموت حتف أنفه فيكون نجساً، إذ الطهارة لا تكون إلاّ مع الذبح، هكذا 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طهارة الجلد في حال الحياة ثابتة، ولم يعلم زوالها لتعارض احتمال الذبح وعدمه فيتساقطان، ويبقى الأصل ثابتاً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أصالتا الطهارة والحلية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رافع له</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أنّ استصحاب عدم المذبوحية في المسألة لا يوجب الحكم بالنجاسة كما توهموه، لأنّ النجاسة لم تكن ثابتة في الوقت الأول وهو وقت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المذبوحية لازم لأمرين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حتف الأنف، والموجب للنجاسة ليس هو هذا اللازم من حيث هو، بل ملزومه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حتف الأنف، فعدم المذبوحية اللازم للحياة مغاير لعدم المذبوحية اللازم للموت حتف الأنف، والمعلوم ثبوته في الزمن الأول هو الأول لا الثاني، وظاهر أنه غير باق في الوقت الثاني</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مثل هذه الصورة من الاستصحاب، إذ شرطه بقاء الموضوع وعدمه هنا معلوم، وليس مثل المتمسك بهذا الاستصحاب إلاّ مثل من تمسّك على وجود عمرو في الدار في الوقت الثاني باستصحاب بقاء الضاحك المتحقق بوجود زيد في الدار في الوقت الأول وفساده غنيّ عن البيان</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صحة جريان أصالة عدم التذكية ـ على نحو العدم الأزلي كما تقدم ـ فلا أثر يترتّب عليه، وإنما يترتّب الأثر على الميتة، إذ أنّ موضوع الحرمة والنجاسة هو الميتة، وهي عبارة عن الحيوان الذي مات حتف أنفه، في مقابل المذكّى وهو عبارة عن الحيوان الذي مات على الوجه الشرعي، وهما ضدان، واللازم من استصحاب عدم التذكية وهو عدم الضدّ، إثبات لوازم </w:t>
      </w:r>
    </w:p>
    <w:p>
      <w:pPr>
        <w:pStyle w:val="BookText"/>
        <w:rPr/>
      </w:pPr>
      <w:r>
        <w:rPr>
          <w:rFonts w:ascii="Amiri" w:hAnsi="Amiri" w:eastAsia="Amiri" w:cs="Amiri"/>
          <w:color w:val="111111"/>
          <w:sz w:val="28"/>
          <w:sz w:val="28"/>
          <w:szCs w:val="28"/>
          <w:rtl w:val="true"/>
          <w:lang w:bidi="ar-SA"/>
        </w:rPr>
        <w:t>وآثار الضدالآخر وهو الميتة، ولا شكّ أنّ هذا من الأصل المثبت سواء قلنا بأنّهما ضدّان لا ثالث لهما، أو قلنا بأنّ لهما ضداً ثالثاً، إذ يمكن فرض موت الحيوان بالقتل أي بدون حتف أنفه على وجه غير شرعي، فهو ليس من الموت حتف الأنف كما أنه ليس بتذكية فيكون ضدّاً ثالثاً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حرمة الأكل وعدم جواز الصلاة حكمان مترتّبان على عنوان غير المذكّى، وذلك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عَلَيْكُمْ الْمَيْتَةُ وَالدَّمُ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أَكَلَ السَّبُعُ إِلاَّ مَا ذَكَّيْتُمْ</w:t>
      </w:r>
      <w:r>
        <w:rPr>
          <w:rFonts w:eastAsia="Amiri" w:cs="Amiri" w:ascii="Amiri" w:hAnsi="Amiri"/>
          <w:color w:val="111111"/>
          <w:sz w:val="28"/>
          <w:szCs w:val="28"/>
          <w:rtl w:val="true"/>
          <w:lang w:bidi="ar-SA"/>
        </w:rPr>
        <w:t>»</w:t>
      </w:r>
      <w:r>
        <w:rPr>
          <w:rStyle w:val="FootnoteAnchor"/>
          <w:rtl w:val="true"/>
        </w:rPr>
        <w:footnoteReference w:id="1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النجاسة وحرمة الانتفاع على تقدير القول بها فهما من الآثار المترتبة على عنوان الميتة، والموت في عرف المتشرّعة على ما صرّح به في مجمع البحرين</w:t>
      </w:r>
      <w:r>
        <w:rPr>
          <w:rStyle w:val="FootnoteAnchor"/>
          <w:rtl w:val="true"/>
        </w:rPr>
        <w:footnoteReference w:id="1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زهاق النفس المستند إلى سبب غير شرعي، وكذلك الفيومي في مصباحه</w:t>
      </w:r>
      <w:r>
        <w:rPr>
          <w:rStyle w:val="FootnoteAnchor"/>
          <w:rtl w:val="true"/>
        </w:rPr>
        <w:footnoteReference w:id="1442"/>
      </w:r>
      <w:r>
        <w:rPr>
          <w:rFonts w:ascii="Amiri" w:hAnsi="Amiri" w:eastAsia="Amiri" w:cs="Amiri"/>
          <w:color w:val="111111"/>
          <w:sz w:val="28"/>
          <w:sz w:val="28"/>
          <w:szCs w:val="28"/>
          <w:rtl w:val="true"/>
          <w:lang w:bidi="ar-SA"/>
        </w:rPr>
        <w:t>أنّ الميتة ما مات بسبب غير شرعي كخروج الروح حتف  الأنف، أو بالضرب، أو الشقّ، ونحوها، فيكون أمراً وجودياً لايمكن إثباته بأصالة عدم التذكية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فرض الشك في أنّ موضوعهما هل هي الميتة أو ما لم يذكّ فأيضاً لا يمكن التمسّك باستصحاب عدم التذكية، لعدم إحراز الموضوع، وعليه فيتمّ ماذكره الفاضل النراقي</w:t>
      </w:r>
      <w:r>
        <w:rPr>
          <w:rStyle w:val="FootnoteAnchor"/>
          <w:rtl w:val="true"/>
        </w:rPr>
        <w:footnoteReference w:id="1443"/>
      </w:r>
      <w:r>
        <w:rPr>
          <w:rFonts w:ascii="Amiri" w:hAnsi="Amiri" w:eastAsia="Amiri" w:cs="Amiri"/>
          <w:color w:val="111111"/>
          <w:sz w:val="28"/>
          <w:sz w:val="28"/>
          <w:szCs w:val="28"/>
          <w:rtl w:val="true"/>
          <w:lang w:bidi="ar-SA"/>
        </w:rPr>
        <w:t xml:space="preserve">من معارضة أصالة عدم التذكية بأصالة عدم الموت فيتساقطان، ويرجع إلى قاعدة الطهارة، وإن كان التحقيق جريانهما معاً إذ لا </w:t>
      </w:r>
    </w:p>
    <w:p>
      <w:pPr>
        <w:pStyle w:val="BookText"/>
        <w:rPr/>
      </w:pPr>
      <w:r>
        <w:rPr>
          <w:rFonts w:ascii="Amiri" w:hAnsi="Amiri" w:eastAsia="Amiri" w:cs="Amiri"/>
          <w:color w:val="111111"/>
          <w:sz w:val="28"/>
          <w:sz w:val="28"/>
          <w:szCs w:val="28"/>
          <w:rtl w:val="true"/>
          <w:lang w:bidi="ar-SA"/>
        </w:rPr>
        <w:t xml:space="preserve">يلزم منهما مخالفة عملية، ومجرّد كون عدم التذكية ملازماً للموت ـ لأنّ التذكية والموت ضدّان لا ثالث لهما ـ غير مانع عن جريانهما، فإنّ التفكيك بين اللوازم في الأصول العملية غير عزيز، كما في المتوضّي بمايع مردّد بين الماء والبول مثلاً، فإنه محكوم بالطهارة الخبثية دون الحدثية للاستصحاب، مع وضوح الملازمة بينهما بحسب الواقع، ففي المقام يحكم بعدم جواز الأكل بمقتضى أصالة عدم التذكية، وبالطهارة لأصالة عدم الموت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يحمل ما ذكره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الأصل في اللحوم هو  الحرمة والطهارة</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الظاهر صحة قول المشهور وعدم تمامية ما عداه، لا لما ذكر في التقريب الأول وهو التمسك بأصالة العموم باعتبار أنّ الحرمة وعدم الجواز مترتبان على كل حيوان لم يذكّ، لأنه وإن كان حقاً إلاّ أنه بذلك يدخل في مسألة جواز التمسك بالعام في الشبهة المصداقية وعدمه، وهي محلّ خلاف بين الأعلام، فمن قال بالجواز ذهب إلى جواز التمسك بالعموم من دون حاجة إلى استصحاب عدم التذكية، ومن قال بعدم الجواز كما لعله المشهور فلابدّ من وجود أصل فيالمقام مثل الاستصحاب حتى يحرز به أنه من أفراد العام، وقد فصّلنا ذلك في مباحثنا الأصولية، واخترنا قول المشهور وهو عدم جواز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الصحيح في المقام هو ما ذكرناه من التقريب الثاني، وهو الاستصحاب، وجميع ما أورد عليه غير تام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ذكره صاحب المدارك من أنّ في المقام روايات تدلّ على حليّة ما لا يعلم بتذكيته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ذكر روايتين الأولى منهما رواية ابن أبي حمزة المروية في موضع من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المغيرة عن علي بن أبي حمزة</w:t>
      </w:r>
      <w:r>
        <w:rPr>
          <w:rStyle w:val="FootnoteAnchor"/>
          <w:rtl w:val="true"/>
        </w:rPr>
        <w:footnoteReference w:id="1445"/>
      </w:r>
      <w:r>
        <w:rPr>
          <w:rFonts w:ascii="Amiri" w:hAnsi="Amiri" w:eastAsia="Amiri" w:cs="Amiri"/>
          <w:color w:val="111111"/>
          <w:sz w:val="28"/>
          <w:sz w:val="28"/>
          <w:szCs w:val="28"/>
          <w:rtl w:val="true"/>
          <w:lang w:bidi="ar-SA"/>
        </w:rPr>
        <w:t>، وفي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مسكان عن علي بن أبي حمزة</w:t>
      </w:r>
      <w:r>
        <w:rPr>
          <w:rStyle w:val="FootnoteAnchor"/>
          <w:rtl w:val="true"/>
        </w:rPr>
        <w:footnoteReference w:id="1446"/>
      </w:r>
      <w:r>
        <w:rPr>
          <w:rFonts w:ascii="Amiri" w:hAnsi="Amiri" w:eastAsia="Amiri" w:cs="Amiri"/>
          <w:color w:val="111111"/>
          <w:sz w:val="28"/>
          <w:sz w:val="28"/>
          <w:szCs w:val="28"/>
          <w:rtl w:val="true"/>
          <w:lang w:bidi="ar-SA"/>
        </w:rPr>
        <w:t>، ورواها الشيخ في التهذيب</w:t>
      </w:r>
      <w:r>
        <w:rPr>
          <w:rStyle w:val="FootnoteAnchor"/>
          <w:rtl w:val="true"/>
        </w:rPr>
        <w:footnoteReference w:id="1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وحدثني علي بن أبي حمزة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بعبد الله في رواية الشيخ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مسكان، لأنه ذكره في رواية سابقة على هذه الرواية، فما في تعليقة الجواهر</w:t>
      </w:r>
      <w:r>
        <w:rPr>
          <w:rStyle w:val="FootnoteAnchor"/>
          <w:rtl w:val="true"/>
        </w:rPr>
        <w:footnoteReference w:id="1448"/>
      </w:r>
      <w:r>
        <w:rPr>
          <w:rFonts w:ascii="Amiri" w:hAnsi="Amiri" w:eastAsia="Amiri" w:cs="Amiri"/>
          <w:color w:val="111111"/>
          <w:sz w:val="28"/>
          <w:sz w:val="28"/>
          <w:szCs w:val="28"/>
          <w:rtl w:val="true"/>
          <w:lang w:bidi="ar-SA"/>
        </w:rPr>
        <w:t>من أنه عبد الله الحلبي في غير محلّه، كما أنّ الظاهر سقوط عبد الله بن مسكان من رواية الوسائل في الموضع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حال فالرواية ضعيفة السند بعلي بن أبي حمزة، فلا تنهض في مقابل الروايات الكثيرة الصحيحة السند والواضحة الدلالة على اعتبار العلم بالتذكية في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سماعة بن مهران، ورواية أخرى لم يذكرها صاحب المدارك وإنما نقلها صاحب الجواهر</w:t>
      </w:r>
      <w:r>
        <w:rPr>
          <w:rStyle w:val="FootnoteAnchor"/>
          <w:rtl w:val="true"/>
        </w:rPr>
        <w:footnoteReference w:id="1449"/>
      </w:r>
      <w:r>
        <w:rPr>
          <w:rFonts w:ascii="IRNazanin" w:hAnsi="IRNazanin" w:eastAsia="IRNazanin"/>
          <w:color w:val="111111"/>
          <w:sz w:val="28"/>
          <w:sz w:val="28"/>
          <w:szCs w:val="28"/>
          <w:rtl w:val="true"/>
          <w:lang w:bidi="fa-IR"/>
        </w:rPr>
        <w:t xml:space="preserve">عن الفقيه، وهي عن جعفر بن محمد بن يونس، أنّ أباه كتب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يسأله عن الفرو، والخفّ، ألبسه وأصلي فيه ولا أعلم أنه ذكي، 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وكلتا الروايتين معتبرتان من حيث  السند، وهما تدلان بإطلاقهما على عدم اشتراط العلم بالتذكية بل يكفي عدم العلم في الحلية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معارضتان بالروايات الكثيرة الدالة على اعتبار العلم، فلابدّ حينئذ من حملهما على ما إذا أخذ الفرو، أو الخفّ أو الكيمخت من يد المسلمين أو سوقهم، كما لا يبعد انصرافهما إلى ذلك، فإنّ الفرو والخفّ اللذين يلبسهما المصلي أو الكيمخت يكون في السيف ويتقلده المصلي ظاهر في أنه من يد المسلمين أو من سوقهم، وعليه فتكون الروايات الدالة على اعتبار العلم سليمة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عدم صحة الحمل المذكور فإن قلنا بأنّ مقتضى التعارض هو التساقط فالمرجع هو أصالة عدم التذكية، وإن قلنا بالترجيح فهو في جانبروايات اعتبار العلم بالتذكية، لكثرتها ولأنها أبعد عن فتاوى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فالتمسّك بهاتين الروايتين في مقابل تلك الروايات ورفع اليد عنها مع وضوح دلالتها مما لا تخفى مرجوحيّته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أجاب عنه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فساد ما ذكره واضح، لأنّ الدليل الذي لا يجري الأصل مع وجوده هو الدليل على الحكم الواقعي، والدليل المذكور في كلامه هو الدليل على البراءة التي هي من الأصول العملية لا الدليل على الحكم الواقعي ليتقدم على الاستصحاب، بل دليل الاستصحاب يخرج مورد جريانه عما لا يعلم حرمته ويدرجه في معلوم الحرمة، ومعه كيف يمكن التمسك بدليل البراءة</w:t>
      </w:r>
      <w:r>
        <w:rPr>
          <w:rStyle w:val="FootnoteAnchor"/>
          <w:rtl w:val="true"/>
        </w:rPr>
        <w:footnoteReference w:id="145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من التأييد برواية سليمان الجعفري فلا تأييد فيه أصلاً لأنّ مورد الرواية هو سوق المسلمين، وهو أمارة على التذكية وخارج عن محلّ الكلام بالإجماع، ومثله استدلاله بمعتبرة السكوني، فإنّ الظاهر منها أنّ السفرة مطروحة في أرض الإسلام بقرينة احتمال السائل أن يكون صاحبها ذمّياً، </w:t>
      </w:r>
    </w:p>
    <w:p>
      <w:pPr>
        <w:pStyle w:val="BookText"/>
        <w:rPr/>
      </w:pPr>
      <w:r>
        <w:rPr>
          <w:rFonts w:ascii="Amiri" w:hAnsi="Amiri" w:eastAsia="Amiri" w:cs="Amiri"/>
          <w:color w:val="111111"/>
          <w:sz w:val="28"/>
          <w:sz w:val="28"/>
          <w:szCs w:val="28"/>
          <w:rtl w:val="true"/>
          <w:lang w:bidi="ar-SA"/>
        </w:rPr>
        <w:t xml:space="preserve">والذمي إنما يقال له ذمّي إذا كان في بلاد المسلمين، وعليه فذلك أمارة على التذكية فالرواية أجنبية عن محلّ الكلام، فما ذكره 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إلى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أورد به على  الوجه الثاني فالجواب عن الأول يظهر من كلام الشيخ</w:t>
      </w:r>
      <w:r>
        <w:rPr>
          <w:rStyle w:val="FootnoteAnchor"/>
          <w:rtl w:val="true"/>
        </w:rPr>
        <w:footnoteReference w:id="1452"/>
      </w:r>
      <w:r>
        <w:rPr>
          <w:rFonts w:ascii="Amiri" w:hAnsi="Amiri" w:eastAsia="Amiri" w:cs="Amiri"/>
          <w:color w:val="111111"/>
          <w:sz w:val="28"/>
          <w:sz w:val="28"/>
          <w:szCs w:val="28"/>
          <w:rtl w:val="true"/>
          <w:lang w:bidi="ar-SA"/>
        </w:rPr>
        <w:t>حيث أفاد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 الاستصحاب هو استصحاب طهارة الجلد حال الحياة فهو استصحاب حكمي ـ كما هو ظاهر الحدائق ـ فإشكاله واضح، لأن استصحاب عدم التذكية أصل موضوعي حاكم على الأصل الحكمي، وإن كان المراد به هو استصحاب عدم حدوث سبب النجاسة وهو الموت حتف الأنف ـ كما هو ظاهر الوافية ـ فحينئذ يتعارض الاستصحابان ويتساقطان، والمرجع هو أصالة الحل والطهارة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نفس الإيراد الآتي عن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للفاضل التوني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وجهاً آخر، وسيأتي الجواب عنه مفصّلاً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الثاني وهو ما ذكره صاحب الحدائق تبعاً للفاضل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ما ذكره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أنّ  العدم الأزلي مستمرّ مع حياة الحيوان وموته حتف الأنف، فلا مانع من استصحابه وترتيب أحكامه عليه عند الشك، وإن قطع بتبادل الوجودات المقارنة له، بل لو قلنا بعدم جريان الاستصحاب في القسمين الأولين من الكلي، كان الاستصحاب في الأمر العدمي ـ عدم المذبوحية ـ المقارن للوجودات خالياً عن الإشكال إذا لم يرد به إثبات الموجود المتأخر المقارن له، نظير إثبات الموت حتف الأنف بعدم التذكية ـ وكذلك إذا لم يرد به ـ ارتباط الموجود المقارن له به ـ بالاستصحاب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ويتبيّن ذلك من الفرق بين الماء المقارن لوجود الكرّ وبين الماء المتّصف بالكرّية ـ </w:t>
      </w:r>
    </w:p>
    <w:p>
      <w:pPr>
        <w:pStyle w:val="BookText"/>
        <w:rPr/>
      </w:pPr>
      <w:r>
        <w:rPr>
          <w:rFonts w:ascii="Amiri" w:hAnsi="Amiri" w:eastAsia="Amiri" w:cs="Amiri"/>
          <w:color w:val="111111"/>
          <w:sz w:val="28"/>
          <w:sz w:val="28"/>
          <w:szCs w:val="28"/>
          <w:rtl w:val="true"/>
          <w:lang w:bidi="ar-SA"/>
        </w:rPr>
        <w:t>فيجري استصحاب الماء المقارن للكرية دون المتصف بها ـ والمعيار عدم الخلط بين المتّصف بوصفعنواني وبين قيام ذلك الوصف بمحلّ</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ذلك حيث إنّ المقام من قبيل الثاني ـ أي من قيام الوصف بمحلّ ـ ولم يرد بإجراء الأصل إثبات الوجود المقارن فلا إشكال في جريانه، ومع انضمام هذا الجزء إلى الجزء المقارن يتحقّق الموضوع، وهو الحيوان الذي لم تقع عليه التذكية ـ أي على نحو المقارنة ـ ولولا ذلك للزم بطلان استصحاب الأعدام الأزلية المتيقنة في حال الحياة، فإنّ عدم المذبوحية كان متيقناً حال حياة الحيوان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الجواب عن</w:t>
      </w:r>
    </w:p>
    <w:p>
      <w:pPr>
        <w:pStyle w:val="BookText"/>
        <w:rPr/>
      </w:pPr>
      <w:r>
        <w:rPr>
          <w:rFonts w:ascii="Amiri" w:hAnsi="Amiri" w:eastAsia="Amiri" w:cs="Amiri"/>
          <w:color w:val="111111"/>
          <w:sz w:val="28"/>
          <w:sz w:val="28"/>
          <w:szCs w:val="28"/>
          <w:rtl w:val="true"/>
          <w:lang w:bidi="ar-SA"/>
        </w:rPr>
        <w:t>الوجهين الأخيرين الراجعين إلى الإشكال في مقام الإثبات من جهة أنّ الحرمة والنجاسة كلتيهما مترتّبتان على الميتة، ومن جهة التفصيل بين الحلية المترتّبة على  الحيوان المذكّى، وبين النجاسة فقط المترتبة على الميتة، وعلى كل تقدير، فلا تجري أصالة عدم التذكية لكونها أصلاً مثبتاً، وهذا الإشكال هو المهم في المقام فلابدّ من التفصيل في الجواب عنه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يقع الكلام فيه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الإثبات</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الجهة الأولى فالأقسام المتصورة لموضوع الحكم بالحرمة والنجاسة وإن كانت كثيرة على ما ذكرها بعض المحققين</w:t>
      </w:r>
      <w:r>
        <w:rPr>
          <w:rStyle w:val="FootnoteAnchor"/>
          <w:rtl w:val="true"/>
        </w:rPr>
        <w:footnoteReference w:id="1454"/>
      </w:r>
      <w:r>
        <w:rPr>
          <w:rFonts w:ascii="Amiri" w:hAnsi="Amiri" w:eastAsia="Amiri" w:cs="Amiri"/>
          <w:color w:val="111111"/>
          <w:sz w:val="28"/>
          <w:sz w:val="28"/>
          <w:szCs w:val="28"/>
          <w:rtl w:val="true"/>
          <w:lang w:bidi="ar-SA"/>
        </w:rPr>
        <w:t>إلاّ أنّ أهمها أربعة،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أنّالموضوع إن كان هو الميتة فإما أن يكون قيداً وجودياً محضاً، وهو عبارة عن الحيوان الذي خرجت روحه بحتف أنفه، ففي هذه الصورة لا مجال لجريان استصحاب عدم التذكية لإثبات الموضوع وهو الميتة، فإنّه أصل مثبت بلا </w:t>
      </w:r>
    </w:p>
    <w:p>
      <w:pPr>
        <w:pStyle w:val="BookText"/>
        <w:rPr/>
      </w:pP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قيداً عدمياً محضاً، وهو عبارة عن الحيوان غير المذكّى أو اللحم الذي لم تقع عليه التذكية، ففي هذه الصورة لا إشكال في جريان استصحاب الحال وترتّب آثار الميتة عليه من الحرمة والنجاسة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مركّباً من قيد وجودي وعدمي على نحو التوأمية والمقارنة، وهو عبارة عن الحيوان الذي خرجت روحه مع عدم كونه بسبب شرعي، ففي هذه الصورة يصحّ جريان استصحاب العدم المحمولي، وبه يثبت الموضوع المركّب بضمّ الوجدان وهو الحيوان الذي خرجت روحه مع ما ثبت بالتعبّد، وهو عدم وقوع التذكية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مركّباً من قيد وجودي وعدمي على نحو الربط والتوصيف، وهو عبارة عن الحيوان الذي خرجت روحه بغير سبب شرعي، ففي هذه الصورة لا يجري فيه استصحاب عدم التذكية، لعدم الحالة السابقة، حتى على نحو العدم الأزلي فإنه أصل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 وهي مقام الإثبات وما يستظهر من الأدلة فالذي يتراءى في أول وهلة من الأدلة الواردة في المقام أنّ الموضوع مختلف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 الحكم بالحلية والطهارة على الحيوان المذكّى، أو العلم بالتذكية، كما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علمت أنه ذكيّ وقد ذكّاه الذابح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علىما جاء في موثقة ابن بكير  المتقدمة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رتّب الحكم بالحلية على الذكاة كما في السمك، وأنّ ذكاته إخراجه من الماء فإنّ ميتته ليست بنجسة، بل حلّيته متوقفة على التذكية، كما في الروايات المتقدمة أيضاً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 الحكم بالحرمة على الميتة، كما في الآية الشريفة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 الحكم بالحرمة على العلم بأنه ميتة، كما في موثقة سماعة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 الحكم بالنجاسة على الميتة، كما في الروايات الكثيرة الواردة في الأمر بالاجتناب عن الميتة وجلودها، ومنها رواية قاسم الصيقل</w:t>
      </w:r>
      <w:r>
        <w:rPr>
          <w:rStyle w:val="FootnoteAnchor"/>
          <w:rtl w:val="true"/>
        </w:rPr>
        <w:footnoteReference w:id="1455"/>
      </w:r>
      <w:r>
        <w:rPr>
          <w:rFonts w:ascii="Amiri" w:hAnsi="Amiri" w:eastAsia="Amiri" w:cs="Amiri"/>
          <w:color w:val="111111"/>
          <w:sz w:val="28"/>
          <w:sz w:val="28"/>
          <w:szCs w:val="28"/>
          <w:rtl w:val="true"/>
          <w:lang w:bidi="ar-SA"/>
        </w:rPr>
        <w:t>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فلابد من ملاحظة أنّ الميتة في اصطلاح الشارع هل هي الحيوان غير المذكّى حتى يتحد الموضوع في هذه الموارد، ويكون الحكم هو الحرمة والنجاسة؟ أو أنّ الميتة هي الحيوان الذي خرجت روحه مطلقاً أي سواء كان بحتف الأنف أو بالقتل أو بالسبب الشرعي كما يظهر من الجواهر</w:t>
      </w:r>
      <w:r>
        <w:rPr>
          <w:rStyle w:val="FootnoteAnchor"/>
          <w:rtl w:val="true"/>
        </w:rPr>
        <w:footnoteReference w:id="1456"/>
      </w:r>
      <w:r>
        <w:rPr>
          <w:rFonts w:ascii="Amiri" w:hAnsi="Amiri" w:eastAsia="Amiri" w:cs="Amiri"/>
          <w:color w:val="111111"/>
          <w:sz w:val="28"/>
          <w:sz w:val="28"/>
          <w:szCs w:val="28"/>
          <w:rtl w:val="true"/>
          <w:lang w:bidi="ar-SA"/>
        </w:rPr>
        <w:t>؟ وبناء على هذا فالحيوان المذكى ميتة واقعاً إلاّ أنه خارج عنها حكماً، أو أنّ الميتة هي الحيوان الميت حتف أنفه لا غير المذكى، حتى يختصّ كلّ أثر بموضوعه من حصول الحرمة أوخصوص النجاسة؟</w:t>
      </w:r>
    </w:p>
    <w:p>
      <w:pPr>
        <w:pStyle w:val="BookText"/>
        <w:rPr/>
      </w:pPr>
      <w:r>
        <w:rPr>
          <w:rFonts w:ascii="Amiri" w:hAnsi="Amiri" w:eastAsia="Amiri" w:cs="Amiri"/>
          <w:color w:val="111111"/>
          <w:sz w:val="28"/>
          <w:sz w:val="28"/>
          <w:szCs w:val="28"/>
          <w:rtl w:val="true"/>
          <w:lang w:bidi="ar-SA"/>
        </w:rPr>
        <w:t>وفي المقام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من جماعة ـ ولعله المشهور ـ منهم صاحب الجواهر</w:t>
      </w:r>
      <w:r>
        <w:rPr>
          <w:rStyle w:val="FootnoteAnchor"/>
          <w:rtl w:val="true"/>
        </w:rPr>
        <w:footnoteReference w:id="1457"/>
      </w:r>
      <w:r>
        <w:rPr>
          <w:rFonts w:ascii="Amiri" w:hAnsi="Amiri" w:eastAsia="Amiri" w:cs="Amiri"/>
          <w:color w:val="111111"/>
          <w:sz w:val="28"/>
          <w:sz w:val="28"/>
          <w:szCs w:val="28"/>
          <w:rtl w:val="true"/>
          <w:lang w:bidi="ar-SA"/>
        </w:rPr>
        <w:t>، والشيخ</w:t>
      </w:r>
      <w:r>
        <w:rPr>
          <w:rStyle w:val="FootnoteAnchor"/>
          <w:rtl w:val="true"/>
        </w:rPr>
        <w:footnoteReference w:id="1458"/>
      </w:r>
      <w:r>
        <w:rPr>
          <w:rFonts w:ascii="Amiri" w:hAnsi="Amiri" w:eastAsia="Amiri" w:cs="Amiri"/>
          <w:color w:val="111111"/>
          <w:sz w:val="28"/>
          <w:sz w:val="28"/>
          <w:szCs w:val="28"/>
          <w:rtl w:val="true"/>
          <w:lang w:bidi="ar-SA"/>
        </w:rPr>
        <w:t>، والمحقق الهمداني</w:t>
      </w:r>
      <w:r>
        <w:rPr>
          <w:rStyle w:val="FootnoteAnchor"/>
          <w:rtl w:val="true"/>
        </w:rPr>
        <w:footnoteReference w:id="1459"/>
      </w:r>
      <w:r>
        <w:rPr>
          <w:rFonts w:ascii="Amiri" w:hAnsi="Amiri" w:eastAsia="Amiri" w:cs="Amiri"/>
          <w:color w:val="111111"/>
          <w:sz w:val="28"/>
          <w:sz w:val="28"/>
          <w:szCs w:val="28"/>
          <w:rtl w:val="true"/>
          <w:lang w:bidi="ar-SA"/>
        </w:rPr>
        <w:t>، أنّ الميتة في لسان الشرع هي عبارة عن الحيوان غير المذكّى</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من الفاضل التوني</w:t>
      </w:r>
      <w:r>
        <w:rPr>
          <w:rStyle w:val="FootnoteAnchor"/>
          <w:rtl w:val="true"/>
        </w:rPr>
        <w:footnoteReference w:id="1460"/>
      </w:r>
      <w:r>
        <w:rPr>
          <w:rFonts w:ascii="Amiri" w:hAnsi="Amiri" w:eastAsia="Amiri" w:cs="Amiri"/>
          <w:color w:val="111111"/>
          <w:sz w:val="28"/>
          <w:sz w:val="28"/>
          <w:szCs w:val="28"/>
          <w:rtl w:val="true"/>
          <w:lang w:bidi="ar-SA"/>
        </w:rPr>
        <w:t>، والسيد الأستاذ</w:t>
      </w:r>
      <w:r>
        <w:rPr>
          <w:rStyle w:val="FootnoteAnchor"/>
          <w:rtl w:val="true"/>
        </w:rPr>
        <w:footnoteReference w:id="1461"/>
      </w:r>
      <w:r>
        <w:rPr>
          <w:rFonts w:ascii="Amiri" w:hAnsi="Amiri" w:eastAsia="Amiri" w:cs="Amiri"/>
          <w:color w:val="111111"/>
          <w:sz w:val="28"/>
          <w:sz w:val="28"/>
          <w:szCs w:val="28"/>
          <w:rtl w:val="true"/>
          <w:lang w:bidi="ar-SA"/>
        </w:rPr>
        <w:t xml:space="preserve">أنّ الميتة </w:t>
      </w:r>
    </w:p>
    <w:p>
      <w:pPr>
        <w:pStyle w:val="BookText"/>
        <w:rPr/>
      </w:pPr>
      <w:r>
        <w:rPr>
          <w:rFonts w:ascii="Amiri" w:hAnsi="Amiri" w:eastAsia="Amiri" w:cs="Amiri"/>
          <w:color w:val="111111"/>
          <w:sz w:val="28"/>
          <w:sz w:val="28"/>
          <w:szCs w:val="28"/>
          <w:rtl w:val="true"/>
          <w:lang w:bidi="ar-SA"/>
        </w:rPr>
        <w:t>هي الحيوان الذي زهقت روحه بحتف الأنف، والمذكى بخلافه، أي هو الحيوان الذي زهقت روحه بسبب شرعي، فهما ضدان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القولين أنّ الأول أمر عدمي، والثاني أمر 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على القول الأول ـ وهو المشهور ـ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اللغويين، فإنّ أرباب المعاجم فسّروا الميتة بأنها الحيوان الذي لم تقع عليه التذكية، ففي لسان العرب،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تدرك ذكاته</w:t>
      </w:r>
      <w:r>
        <w:rPr>
          <w:rStyle w:val="FootnoteAnchor"/>
          <w:rtl w:val="true"/>
        </w:rPr>
        <w:footnoteReference w:id="1462"/>
      </w:r>
      <w:r>
        <w:rPr>
          <w:rFonts w:ascii="Amiri" w:hAnsi="Amiri" w:eastAsia="Amiri" w:cs="Amiri"/>
          <w:color w:val="111111"/>
          <w:sz w:val="28"/>
          <w:sz w:val="28"/>
          <w:szCs w:val="28"/>
          <w:rtl w:val="true"/>
          <w:lang w:bidi="ar-SA"/>
        </w:rPr>
        <w:t>، ومثله في المحيط</w:t>
      </w:r>
      <w:r>
        <w:rPr>
          <w:rStyle w:val="FootnoteAnchor"/>
          <w:rtl w:val="true"/>
        </w:rPr>
        <w:footnoteReference w:id="1463"/>
      </w:r>
      <w:r>
        <w:rPr>
          <w:rFonts w:ascii="IRNazanin" w:hAnsi="IRNazanin" w:eastAsia="IRNazanin"/>
          <w:color w:val="111111"/>
          <w:sz w:val="28"/>
          <w:sz w:val="28"/>
          <w:szCs w:val="28"/>
          <w:rtl w:val="true"/>
          <w:lang w:bidi="fa-IR"/>
        </w:rPr>
        <w:t>، والقاموس</w:t>
      </w:r>
      <w:r>
        <w:rPr>
          <w:rStyle w:val="FootnoteAnchor"/>
          <w:rtl w:val="true"/>
        </w:rPr>
        <w:footnoteReference w:id="1464"/>
      </w:r>
      <w:r>
        <w:rPr>
          <w:rFonts w:ascii="Amiri" w:hAnsi="Amiri" w:eastAsia="Amiri" w:cs="Amiri"/>
          <w:color w:val="111111"/>
          <w:sz w:val="28"/>
          <w:sz w:val="28"/>
          <w:szCs w:val="28"/>
          <w:rtl w:val="true"/>
          <w:lang w:bidi="ar-SA"/>
        </w:rPr>
        <w:t>وفي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تلحقه الذكاة</w:t>
      </w:r>
      <w:r>
        <w:rPr>
          <w:rStyle w:val="FootnoteAnchor"/>
          <w:rtl w:val="true"/>
        </w:rPr>
        <w:footnoteReference w:id="1465"/>
      </w:r>
      <w:r>
        <w:rPr>
          <w:rFonts w:ascii="Amiri" w:hAnsi="Amiri" w:eastAsia="Amiri" w:cs="Amiri"/>
          <w:color w:val="111111"/>
          <w:sz w:val="28"/>
          <w:sz w:val="28"/>
          <w:szCs w:val="28"/>
          <w:rtl w:val="true"/>
          <w:lang w:bidi="ar-SA"/>
        </w:rPr>
        <w:t>، ومثله في تاجالعروس</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ترتيب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والميتة في البر والبحر ما لا تدرك ذكاته</w:t>
      </w:r>
      <w:r>
        <w:rPr>
          <w:rStyle w:val="FootnoteAnchor"/>
          <w:rtl w:val="true"/>
        </w:rPr>
        <w:footnoteReference w:id="1467"/>
      </w:r>
      <w:r>
        <w:rPr>
          <w:rFonts w:ascii="Amiri" w:hAnsi="Amiri" w:eastAsia="Amiri" w:cs="Amiri"/>
          <w:color w:val="111111"/>
          <w:sz w:val="28"/>
          <w:sz w:val="28"/>
          <w:szCs w:val="28"/>
          <w:rtl w:val="true"/>
          <w:lang w:bidi="ar-SA"/>
        </w:rPr>
        <w:t>، وفي المعجم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الذي مات حتف أنفه أو على هيئة غير مشروعة</w:t>
      </w:r>
      <w:r>
        <w:rPr>
          <w:rStyle w:val="FootnoteAnchor"/>
          <w:rtl w:val="true"/>
        </w:rPr>
        <w:footnoteReference w:id="1468"/>
      </w:r>
      <w:r>
        <w:rPr>
          <w:rFonts w:ascii="Amiri" w:hAnsi="Amiri" w:eastAsia="Amiri" w:cs="Amiri"/>
          <w:color w:val="111111"/>
          <w:sz w:val="28"/>
          <w:sz w:val="28"/>
          <w:szCs w:val="28"/>
          <w:rtl w:val="true"/>
          <w:lang w:bidi="ar-SA"/>
        </w:rPr>
        <w:t>، ومثله في محيط المحيط</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يظهر منها أنّ الميتة تطلق على غير المذكى، وذلك كافٍ في الحكم بالاتحاد</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نقل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المصباح المنير أنّ الميتة من الحيوان ما مات بسبب غير شرعي، وبناء عليه فاستصحاب عدم التذكية لا يثبت الميتة بهذا المعنى وهو الأمر الوجودي، وأما ما ذكره عن مجمع البحرين في تفسير الميتة </w:t>
      </w:r>
    </w:p>
    <w:p>
      <w:pPr>
        <w:pStyle w:val="BookText"/>
        <w:rPr/>
      </w:pPr>
      <w:r>
        <w:rPr>
          <w:rFonts w:ascii="Amiri" w:hAnsi="Amiri" w:eastAsia="Amiri" w:cs="Amiri"/>
          <w:color w:val="111111"/>
          <w:sz w:val="28"/>
          <w:sz w:val="28"/>
          <w:szCs w:val="28"/>
          <w:rtl w:val="true"/>
          <w:lang w:bidi="ar-SA"/>
        </w:rPr>
        <w:t>فلم نعثر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الميتة هي خصوص الموت حتف الأنف للزم أن يكون عدد النجاسات أكثر مما هو المذكور في كلمات الفقهاء، وأن يعدّ منها الميّت من الحيوان بغير حتف الأنف، أو بذبح غير شرعي، كما إذا مات بقتل، أو شقّ، أو ضرب، ونحو ذلك، والحال أنهم قد اكتفوا بذكر الميتة فقط عند تعدادالنجاسات، ويستكشف من هذا أنه لا واسطة بين الميتة وبين المذكّى في عرف الشرع، فإنّ كلّ ما لا يكون مذكّى فهو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وهو المهم ـ أنه يظهر من كثير من الروايات إطلاق الميتة على غير المذكّى، ولا تختصّ بالموت حتف الأنف أو بسبب غير شرعي، وهي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إليات الغنم المقطوعة حال حياتها، كما في رواية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إليات الضأن تقطع وهي أحياء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ميتة</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ما قطع من الصيد بالحبالة، كما في صحيحة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أخذت الحبالة من صيد فقطعت منه يداً أو رجلاً فذروه، فإنه ميّت، وكلوا مما أدركتم حيّاً وذكرتم اسم الله عليه</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الميتة هي الحيوان غير المذكى، ولا يعتبر فيها خروج الروح، فالموضوع فيها هو اللحم أو الحيوان غير المذكى</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التفصيل بين الميتة والمذكّى من دون ذكر واسطة بينهما، كما في رواية علي بن أبي حمزة</w:t>
      </w:r>
      <w:r>
        <w:rPr>
          <w:rStyle w:val="FootnoteAnchor"/>
          <w:rtl w:val="true"/>
        </w:rPr>
        <w:footnoteReference w:id="1472"/>
      </w:r>
      <w:r>
        <w:rPr>
          <w:rFonts w:ascii="Amiri" w:hAnsi="Amiri" w:eastAsia="Amiri" w:cs="Amiri"/>
          <w:color w:val="111111"/>
          <w:sz w:val="28"/>
          <w:sz w:val="28"/>
          <w:szCs w:val="28"/>
          <w:rtl w:val="true"/>
          <w:lang w:bidi="ar-SA"/>
        </w:rPr>
        <w:t>المتقدمة، ورواية قاسم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w:t>
      </w:r>
    </w:p>
    <w:p>
      <w:pPr>
        <w:pStyle w:val="BookText"/>
        <w:rPr/>
      </w:pPr>
      <w:r>
        <w:rPr>
          <w:rFonts w:ascii="IRNazanin" w:hAnsi="IRNazanin" w:eastAsia="IRNazanin"/>
          <w:color w:val="111111"/>
          <w:sz w:val="28"/>
          <w:sz w:val="28"/>
          <w:szCs w:val="28"/>
          <w:rtl w:val="true"/>
          <w:lang w:bidi="fa-IR"/>
        </w:rPr>
        <w:t>إلى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أعمل أغماد السيوف من جلود الحمر الميتة فتصيب ثيابيفأصلي فيها، فكتب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 ثوباً لصلاتك، وكتبت إلى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كتبت إلى أبيك بكذا وكذا فصعب عليّ ذلك، فصرت أعملها من جلود الحمر الوحشيّة الذكية،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أعمال البرّ بالصبر يرحمك الله، فإن كان ما تعمل وحشياً ذكياً فلا بأس</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الراوي قد فصّل بين الميتة والمذكّى من دون ذكر واسطة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وهاتان الروايتان وإن كانتا ضعيفتي السند إلاّ أنهما مؤيّدتان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في مضمرة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جلود السباع ينتفع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رميت وسمّيت فانتفع بجلده، وأما الميتة فلا</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فصّل بين المذكّى وبين الميتة ولم يذكر واسطة بينهما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والرواية من حيث السند معتبرة، وإن كانت مضمرة، فإنّ الإضمار في روايات سماعة لا يضرّ باعتبارها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الروايات الكثيرة على أنّ بعض أجزاء الحيوان ذكي وإن كان ميتة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كموثقة الحسين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 يسأله عن السن من الميتة، والبيضة من الميتة، وأنفحة الميتة،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هذا ذكي، </w:t>
      </w:r>
      <w:r>
        <w:rPr>
          <w:rFonts w:eastAsia="IRNazanin" w:cs="IRNazanin"/>
          <w:color w:val="111111"/>
          <w:sz w:val="28"/>
          <w:szCs w:val="28"/>
          <w:rtl w:val="true"/>
          <w:lang w:bidi="fa-IR"/>
        </w:rPr>
        <w:t>...</w:t>
      </w:r>
      <w:r>
        <w:rPr>
          <w:rStyle w:val="FootnoteAnchor"/>
          <w:rtl w:val="true"/>
        </w:rPr>
        <w:footnoteReference w:id="1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فيه علي بن عقبة، وعلي بن الحسن بن رباط،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 والصوف كلّه ذكيّ</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روى صاحب الوسائل نفس الرواية في موضع آخر</w:t>
      </w:r>
      <w:r>
        <w:rPr>
          <w:rStyle w:val="FootnoteAnchor"/>
          <w:rtl w:val="true"/>
        </w:rPr>
        <w:footnoteReference w:id="1477"/>
      </w:r>
      <w:r>
        <w:rPr>
          <w:rFonts w:ascii="Amiri" w:hAnsi="Amiri" w:eastAsia="Amiri" w:cs="Amiri"/>
          <w:color w:val="111111"/>
          <w:sz w:val="28"/>
          <w:sz w:val="28"/>
          <w:szCs w:val="28"/>
          <w:rtl w:val="true"/>
          <w:lang w:bidi="ar-SA"/>
        </w:rPr>
        <w:t>وفيها أن السؤال عن اللبن من الميتة لا عن السنّ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وكرواية الكليني بسنده عن صفوان عن الحسين بن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والصوف، والريش، وكل نابت لا يكون ميتاً </w:t>
      </w:r>
      <w:r>
        <w:rPr>
          <w:rFonts w:eastAsia="IRNazanin" w:cs="IRNazanin"/>
          <w:color w:val="111111"/>
          <w:sz w:val="28"/>
          <w:szCs w:val="28"/>
          <w:rtl w:val="true"/>
          <w:lang w:bidi="fa-IR"/>
        </w:rPr>
        <w:t>...</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الذكي بمعنى الطاهر في مقابل الميتة، فإنها غير طاهرة، كما أنّ المستفاد من رواية الكليني أنّ المذكّى أو النابت ليس بميتة، فهما متقابلان فغير المذكى هو الميتة، ولا يعتبر فيها قيد آخر وجودي فقط، أو مركّب من وجوديّ وعدمي حتى لا تكون له حالة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الأصل في ما إذا شكّ من جهة الموضوع بأنّ الحيوان أو اللحم مذكّى أو لم تقع عليه التذكية هو أصالة عدم التذكية، وبه يثبت كونه ميتة وتترتب عليه آثارها من الحرمة والنجاسة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فهم المتشرعة ـ من أنّ الميتة هي الحيوان غير المذكّى وليسابمتغايرين ـ مؤيد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يستدل به على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القائل بالتفصيل ـ وهو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فقد استدلّ على دعواه بأنّ النجاسة وحرمة الانتفاع ـ على تقدير القول بها ـ هما من الآثار المترتبة على عنوان الميتة، حيث لم يقم دليل على ترتّبهما على عنوان غير  المذكى، ومعه لا يمكن إثباتها عند الشكّ في التذكية، ويكفينا في ذلك</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أنّ موضوعهما هل هو الميتة أو ما لم يذك، فلا يمكن </w:t>
      </w:r>
    </w:p>
    <w:p>
      <w:pPr>
        <w:pStyle w:val="BookText"/>
        <w:rPr/>
      </w:pPr>
      <w:r>
        <w:rPr>
          <w:rFonts w:ascii="Amiri" w:hAnsi="Amiri" w:eastAsia="Amiri" w:cs="Amiri"/>
          <w:color w:val="111111"/>
          <w:sz w:val="28"/>
          <w:sz w:val="28"/>
          <w:szCs w:val="28"/>
          <w:rtl w:val="true"/>
          <w:lang w:bidi="ar-SA"/>
        </w:rPr>
        <w:t>إثباتهما باستصحاب عدم التذكية، فيرجع حينئذ إلى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بعض أهل اللغة كالفيومي في مصباحه على أنّ الميتة ما مات بسبب غير شرعي، ومعه إذا شككنا في تذكية لحم ـ مثلاً ـ فلا يمكن إثبات نجاسته وحرمة الانتفاع به بأصالة عدم التذكية لعدم كونهما من آثار ما لم يذك، فلا أثر لها في نفسها وإجرائها لإثبات عنوان الميتة، أعني ما مات بسبب غير شرعي من أوضح أنحاء الأصول المثبتة لأنه من إثبات أحد الضدّين بنفي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فرضنا جريان أصالة عدم التذكية لإثبات الميتة، عارضها استصحاب عدم موته بسبب غير شرعي لإثبات تذكيته</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أمور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النجاسة مترتبة على عنوان الميتة، فإذا شك في أنها غير المذكّى أو أنها أمر آخر وجودي فلا يجري استصحاب عدم التذكية، لعدم إحراز اتحاد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يستظهر عدم اتحاد الميتة مع غير المذكّى، وأنّ الميتة عنوان وجودي يباين عنوان غير المذكّى فإنه عنوان عدمي، كما صرح به بعض أرباب المعاجم اللغوية، وحينئذ فعدم جريان استصحاب عدم التذكية واضح لأنه من أوضح أنحاء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التسليم والقول بجريان أصالة عدم التذكية لإثبات الميتة إلاّ أنه معارض باستصحاب عدم موته بسبب غير شرعي الذي يثبت به التذكية ومع تعارض الأصلين وتساقطهما فالمرجع هو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جميع ما ذكره قابل للمناقشة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المناقشة في الأولين فقد ظهرت مما تقدم عند الكلام حول دليل </w:t>
      </w:r>
    </w:p>
    <w:p>
      <w:pPr>
        <w:pStyle w:val="BookText"/>
        <w:rPr/>
      </w:pPr>
      <w:r>
        <w:rPr>
          <w:rFonts w:ascii="Amiri" w:hAnsi="Amiri" w:eastAsia="Amiri" w:cs="Amiri"/>
          <w:color w:val="111111"/>
          <w:sz w:val="28"/>
          <w:sz w:val="28"/>
          <w:szCs w:val="28"/>
          <w:rtl w:val="true"/>
          <w:lang w:bidi="ar-SA"/>
        </w:rPr>
        <w:t>المشهور، إذ مع تمامية استظهار الاتحاد بين مفهومي الميتة وغير المذكى كما تشهد به أكثر معاجم اللغة على ما ذكرنا وبضميمة ما يستفاد من الروايات المتقدمة، لا يبقى مجال للقول بتعدّد المفهوم أو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المناقشة في الثالث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اتحاد مفهومي الميتة وغير المذكى فلا تجري أصالة عدم الميتة لإثبات كون الحيوان مذكّى، وذلك لأنه مع اتحاد المفهومين تكون الميتة هي عبارة عن عدم كون موت الحيوان بسبب شرعي وهو أمر عدمي، أو هي عبارة عن اللحم أو الحيوان إذا كان من غير سبب شرعي، وهو أمر عدمي كذلك، وعلى كلا التقديرين فليس هو أمراً حادثاً مسبوقاً بالعدم ليستصحب عدمه، ويلزم من انتفاء عدم كونه ميتة أنه بسبب شرعي وهوالتذكية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وقع الخلط في كلام المفصّل بين الأمرين حيث جعل الميتة أمراً وجودياً مع أنها أمر عدمي كما بيّناه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والمتحصّل إلى هنا أن التفصيل غير تام، ولا يبعد الالتزام بما ذهب إليه المشهور، وأنّ عنواني الميتة وغير المذكى متحدان، وأنّ آثار كلّ منهما تترتب على الآخر، ويؤيد ذلك مذاق المتشرعة</w:t>
      </w:r>
      <w:r>
        <w:rPr>
          <w:rFonts w:eastAsia="Amiri" w:cs="Amiri" w:ascii="Amiri" w:hAnsi="Amiri"/>
          <w:color w:val="111111"/>
          <w:sz w:val="28"/>
          <w:szCs w:val="28"/>
          <w:rtl w:val="true"/>
          <w:lang w:bidi="ar-SA"/>
        </w:rPr>
        <w:t xml:space="preserve">. </w:t>
      </w:r>
      <w:bookmarkStart w:id="181" w:name="pg16406_258802"/>
    </w:p>
    <w:p>
      <w:pPr>
        <w:pStyle w:val="Heading4"/>
        <w:numPr>
          <w:ilvl w:val="3"/>
          <w:numId w:val="1"/>
        </w:numPr>
        <w:rPr/>
      </w:pPr>
      <w:bookmarkStart w:id="182" w:name="__RefHeading___Toc7246577_1280447820"/>
      <w:bookmarkStart w:id="183" w:name="_Toc59"/>
      <w:bookmarkEnd w:id="181"/>
      <w:bookmarkEnd w:id="182"/>
      <w:r>
        <w:rPr>
          <w:rtl w:val="true"/>
        </w:rPr>
        <w:t>المقام الثاني</w:t>
      </w:r>
      <w:r>
        <w:rPr>
          <w:rtl w:val="true"/>
        </w:rPr>
        <w:t xml:space="preserve">: </w:t>
      </w:r>
      <w:r>
        <w:rPr>
          <w:rtl w:val="true"/>
        </w:rPr>
        <w:t>في ما تقتضيه الأدلة الخاصة</w:t>
      </w:r>
      <w:r>
        <w:rPr>
          <w:rtl w:val="true"/>
        </w:rPr>
        <w:t>:</w:t>
      </w:r>
      <w:bookmarkEnd w:id="183"/>
    </w:p>
    <w:p>
      <w:pPr>
        <w:pStyle w:val="BookText"/>
        <w:rPr/>
      </w:pPr>
      <w:r>
        <w:rPr>
          <w:rFonts w:ascii="Amiri" w:hAnsi="Amiri" w:eastAsia="Amiri" w:cs="Amiri"/>
          <w:color w:val="111111"/>
          <w:sz w:val="28"/>
          <w:sz w:val="28"/>
          <w:szCs w:val="28"/>
          <w:rtl w:val="true"/>
          <w:lang w:bidi="ar-SA"/>
        </w:rPr>
        <w:t>وقد وردت عدة روايات تدل على أنّ سوق المسلمين أمارة على الحلية والطهارة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الفضلاء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 وزرارة ومحمد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سألوا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شراء اللحوم من الأسواق، ولا يدرى ما صنع القصابون،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إذا كان ذلك في سوق المسلمين ولا تسأل عنه</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أحمد بن محمد بن أبي نصر،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الخفّاف يأتي السوق فيشتري الخفّ، لا يدري أذكيّ هو أم لا، ما تقول في الصلاة فيه وهو لا يدري أيصلي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أشتري الخفّ من السوقويصنع لي وأصلي فيه، وليس عليكم المسألة</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صحيحته الأخرى،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يأتي السوق فيشتري جبّة فراء لا يدري أذكيّة هي أم غير ذكية أيصلّي فيها؟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ليس عليكم المسألة، إنّ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الخوارج ضيّقوا على أنفسهم بجهالتهم، إنّ الدين أوسع من ذلك</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الخفاف التي تباع في السوق،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 وصلّ فيها حتى تعلم أنه ميتة بعينه</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حماد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يبعث بالدراهم إلى السوق فيشتري بها جبناً فيسمّي ويأكل ولا يسأل عنه</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إسحاق بن عمار 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في الفراء اليماني، وفيما صنع في أرض الإسلام،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فيها غير أهل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الغالب عليها المسلمين فلا بأس</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الرواية وإن لم يرد فيها لفظ السوق إلاّ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وفيماصنع في أرض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للسوق بلا إشكال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أبي</w:t>
      </w:r>
    </w:p>
    <w:p>
      <w:pPr>
        <w:pStyle w:val="BookText"/>
        <w:rPr/>
      </w:pPr>
      <w:r>
        <w:rPr>
          <w:rFonts w:ascii="Amiri" w:hAnsi="Amiri" w:eastAsia="Amiri" w:cs="Amiri"/>
          <w:color w:val="111111"/>
          <w:sz w:val="28"/>
          <w:sz w:val="28"/>
          <w:szCs w:val="28"/>
          <w:rtl w:val="true"/>
          <w:lang w:bidi="ar-SA"/>
        </w:rPr>
        <w:t>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الجبن،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رأى أنه يجعل فيه الميتة،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أجل مكان واحد يجعل فيه الميتة حرّم في جميع الأرضين؟ إذا علمت أنه ميتة فلا تأكل، وإن لم تعلم فاشتر، وبع، وكل، والله إني لأعترض السوق فأشتري بها اللحم والسمن والجبن، والله ما أظنّ كلهم يسمّون، هذه البربر وهذه السودان</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عبد الله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الجبن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سألتني عن طعام يعجبني، ثم أعطى الغلام درهماً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ابتع لنا جبناً، ثم دعا بالغداء فتغدينا معه، فأتى بالجبن فأكل وأكلنا، فلما فرغنا من الغداء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الجبن؟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ترني آكله؟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ولكني أحبّ أن أسمعه منك،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سأخبرك عن الجبن وغيره، كل ما كان فيه حلال وحرام فهو لك حلال حتى تعرف الحرام بعينه فتدعه</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الرواية وإن لم يرد فيها لفظ السوق إلاّ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ابتع لنا جبناً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أنّ المراد هو الشراء من المسلم أو من سوق المسلمين، وهي شاهدة على ما نحن فيه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علي بن جعفر، عن أخيه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الرجل اشترى ثوباً من السوق للبس لا يدري لمن كان هل تصلح الصلاة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اشتراه من مسلم فليصلّ فيه، وإن اشتراه من نصراني فلا يصلّي فيه حتى يغسله</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من جهة دلالتها على اعتبار السوق واضحة، نعم ذيلها حيث اشترط فيه الغسل إن كان الشراء من نصراني معارض ببعض الروايات الدالة على عدم لزوم الغسل حتى وإن كان الشراء من غير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أعترض السوق فأشتري خفّاً لا أدري أذكيّ هو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أضيق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أترغب عما كان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يفعله</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من حيث الدلالة وإن كانت واضحة إلاّ أنها من حيث السند مرسلة، فتكون مؤيدة للروايات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ورواية إسماعيل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جلود الفراء يشتريها الرجل في سوق من أسواق الجبل، أيسأل عن ذكاته إذا كان البائع مسلماً غير عارف؟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أنتم أن تسألوا عنه إذا رأيتم المشركين يبيعونذلك، وإذا رأيتم يصلّون فيه فلا تسألوا عنه</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واضحة الدلالة إلاّ أنها من حيث  السند غير تامة، فإنّ إسماعيل بن عيسى لم يرد فيه توثيق، فتكون مؤيّدة كالرواية المتقدمة</w:t>
      </w:r>
      <w:r>
        <w:rPr>
          <w:rFonts w:eastAsia="Amiri" w:cs="Amiri" w:ascii="Amiri" w:hAnsi="Amiri"/>
          <w:color w:val="111111"/>
          <w:sz w:val="28"/>
          <w:szCs w:val="28"/>
          <w:rtl w:val="true"/>
          <w:lang w:bidi="ar-SA"/>
        </w:rPr>
        <w:t xml:space="preserve">. </w:t>
      </w:r>
      <w:bookmarkStart w:id="184" w:name="pg16406_258805"/>
    </w:p>
    <w:p>
      <w:pPr>
        <w:pStyle w:val="BookText"/>
        <w:rPr/>
      </w:pPr>
      <w:bookmarkEnd w:id="184"/>
      <w:r>
        <w:rPr>
          <w:rFonts w:ascii="Amiri" w:hAnsi="Amiri" w:eastAsia="Amiri" w:cs="Amiri"/>
          <w:color w:val="111111"/>
          <w:sz w:val="28"/>
          <w:sz w:val="28"/>
          <w:szCs w:val="28"/>
          <w:rtl w:val="true"/>
          <w:lang w:bidi="ar-SA"/>
        </w:rPr>
        <w:t xml:space="preserve">ورواية ابن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وهي طويلة ـ وقد جاء في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 الجبن من أسواق المسلمين من أيدي المصلّين، ولا تسأل عنه، إلاّ أن يأتيك من يخبرك عنه</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واضحة الدلالة إلاّ أنها من جهة السند غير تامة، فإنّ الظاهر من محمد بن علي الواقع في سندها هو ابن سمينة وهو ضعيف، فتكون مؤيدة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ورواية بكر بن حبيب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الجبن وأنه توضع فيه الأنفحة من الميتة،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 ثم أرسل بدرهم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من رجل مسلم ولا تسأله عن شيء</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تدل على اعتبار السوق وإن لم يصرّح فيها بلفظه، ولكنها لما كانت ضعيفة السند فهي مؤيدة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الروايات الكثيرة المشتملة على لفظ السوق أو الأسواق ونحوها، وأما الروايات التي لم تشتمل على هذه الألفاظ فهي كثيرة جداً، وفي ما ذكرناهكفاية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هذه الروايات أنه لا إشكال في أصل الحكم بالجواز، وأنّ ما يباع في أسواق المسلمين حلال طاهر</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7246579_1280447820"/>
      <w:bookmarkStart w:id="186" w:name="_Toc60"/>
      <w:bookmarkEnd w:id="185"/>
      <w:r>
        <w:rPr>
          <w:rtl w:val="true"/>
        </w:rPr>
        <w:t>المقام الثالث</w:t>
      </w:r>
      <w:r>
        <w:rPr>
          <w:rtl w:val="true"/>
        </w:rPr>
        <w:t xml:space="preserve">: </w:t>
      </w:r>
      <w:r>
        <w:rPr>
          <w:rtl w:val="true"/>
        </w:rPr>
        <w:t>في أحكام وخصوصيات المسألة</w:t>
      </w:r>
      <w:r>
        <w:rPr>
          <w:rtl w:val="true"/>
        </w:rPr>
        <w:t>:</w:t>
      </w:r>
      <w:bookmarkEnd w:id="186"/>
    </w:p>
    <w:p>
      <w:pPr>
        <w:pStyle w:val="BookText"/>
        <w:rPr/>
      </w:pPr>
      <w:r>
        <w:rPr>
          <w:rFonts w:ascii="Amiri" w:hAnsi="Amiri" w:eastAsia="Amiri" w:cs="Amiri"/>
          <w:color w:val="111111"/>
          <w:sz w:val="28"/>
          <w:sz w:val="28"/>
          <w:szCs w:val="28"/>
          <w:rtl w:val="true"/>
          <w:lang w:bidi="ar-SA"/>
        </w:rPr>
        <w:t>ويقع البحث فيه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السوق</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إشكال في اعتبار سوق المسلمين، وإنما الكلام في أنّ السوق هل هو أمارة مستقلّة على حلّية وطهارة ما يباع فيه، أو أنه أمارة على الأمارة، بمعنى </w:t>
      </w:r>
    </w:p>
    <w:p>
      <w:pPr>
        <w:pStyle w:val="BookText"/>
        <w:rPr/>
      </w:pPr>
      <w:r>
        <w:rPr>
          <w:rFonts w:ascii="Amiri" w:hAnsi="Amiri" w:eastAsia="Amiri" w:cs="Amiri"/>
          <w:color w:val="111111"/>
          <w:sz w:val="28"/>
          <w:sz w:val="28"/>
          <w:szCs w:val="28"/>
          <w:rtl w:val="true"/>
          <w:lang w:bidi="ar-SA"/>
        </w:rPr>
        <w:t>أنه كاشف عن الأمارة، وهي اليد لا أنه بنفسه أمارة؟</w:t>
      </w:r>
    </w:p>
    <w:p>
      <w:pPr>
        <w:pStyle w:val="BookText"/>
        <w:rPr/>
      </w:pPr>
      <w:r>
        <w:rPr>
          <w:rFonts w:ascii="Amiri" w:hAnsi="Amiri" w:eastAsia="Amiri" w:cs="Amiri"/>
          <w:color w:val="111111"/>
          <w:sz w:val="28"/>
          <w:sz w:val="28"/>
          <w:szCs w:val="28"/>
          <w:rtl w:val="true"/>
          <w:lang w:bidi="ar-SA"/>
        </w:rPr>
        <w:t>والظاهر هو الثاني وذلك لأنّ الغالب في أسواق المسلمين هم المسلمون، وأما غيرهم ممن يشكّ في إسلامه فهو ملحق بهم للغلبة، وليست للسوق موضوعية في الحكم بالحلية والطهارة، وإنما هو كاشف عن يد المسلم وصحّة تصرّفاته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بعض الروايات المتقدمة من أنّه لا خصوصية للسوق بما هو، وإنما الحكم لأرض المسلمين أو بلاد الإسلام أو ما كان الغالب على أهله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بالسوق ليس هو مطلق السوق على نحو القضيّة الحقيقية، بل على نحو القضية الخارجية، أي أنّ المراد هو السوق الذي كان في زمان صدور الروايات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الغالب عليه ـ آنذاك ـ هم المسلمين، وقد ورد التقييد في بعض الروايات بخصوص المسلمين فلا يشملالأعم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وبناء على هذا فلا يلزم الفحص عن حال البائعين فيه من جهة الإسلام وعدمه، أو من جهة المعرفة وعدمها، وإلاّ لكان في ذلك إلغاء لعنوان السوق، ويكون الاعتبار ـ حينئذ ـ باليد، إذ بالفحص تظهر حقيقة الحال وتترتب آثاره، فمقتضى إبقاء السوق على عنوانه واعتباره عدم لزوم الفحص كما تقدّم في المقام الثاني، حيث اشتملت بعض الروايات على الترغيب بل النهي عن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وقع فيه الخلاف بين الأعلام من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الخلاف بين الأعلام في عدّة فروع، وأنّ أدلّة اعتبار السوق شاملة لها أو لا؟ ولابدّ من البحث فيها بما يناسب المقام وهي</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في ما يؤخذ من يد المسلم أن يرى منه التصرّف فيه على </w:t>
      </w:r>
    </w:p>
    <w:p>
      <w:pPr>
        <w:pStyle w:val="BookText"/>
        <w:rPr/>
      </w:pPr>
      <w:r>
        <w:rPr>
          <w:rFonts w:ascii="Amiri" w:hAnsi="Amiri" w:eastAsia="Amiri" w:cs="Amiri"/>
          <w:color w:val="111111"/>
          <w:sz w:val="28"/>
          <w:sz w:val="28"/>
          <w:szCs w:val="28"/>
          <w:rtl w:val="true"/>
          <w:lang w:bidi="ar-SA"/>
        </w:rPr>
        <w:t>وجه ممنوع في الميتة كأن يصلّي فيه أو يمسّه بالرطوبة ونحو ذلك، أو لا يعتبر، بل يكفي فيه مجرّد كونه تحت يده وإن احتمل أنّه يريد إلقاءه؟</w:t>
      </w:r>
    </w:p>
    <w:p>
      <w:pPr>
        <w:pStyle w:val="BookText"/>
        <w:rPr/>
      </w:pPr>
      <w:r>
        <w:rPr>
          <w:rFonts w:ascii="IRNazanin" w:hAnsi="IRNazanin" w:eastAsia="IRNazanin"/>
          <w:color w:val="111111"/>
          <w:sz w:val="28"/>
          <w:sz w:val="28"/>
          <w:szCs w:val="28"/>
          <w:rtl w:val="true"/>
          <w:lang w:bidi="fa-IR"/>
        </w:rPr>
        <w:t xml:space="preserve">ذهب صاحب الجواهر </w:t>
      </w:r>
      <w:r>
        <w:rPr>
          <w:rFonts w:eastAsia="IRNazanin" w:cs="IRNazanin"/>
          <w:color w:val="111111"/>
          <w:sz w:val="28"/>
          <w:szCs w:val="28"/>
          <w:rtl w:val="true"/>
          <w:lang w:bidi="fa-IR"/>
        </w:rPr>
        <w:t xml:space="preserve">! </w:t>
      </w:r>
      <w:r>
        <w:rPr>
          <w:rStyle w:val="FootnoteAnchor"/>
          <w:rtl w:val="true"/>
        </w:rPr>
        <w:footnoteReference w:id="1493"/>
      </w:r>
      <w:r>
        <w:rPr>
          <w:rFonts w:ascii="Amiri" w:hAnsi="Amiri" w:eastAsia="Amiri" w:cs="Amiri"/>
          <w:color w:val="111111"/>
          <w:sz w:val="28"/>
          <w:sz w:val="28"/>
          <w:szCs w:val="28"/>
          <w:rtl w:val="true"/>
          <w:lang w:bidi="ar-SA"/>
        </w:rPr>
        <w:t>إلى أقوائية اعتبار ذلك، ونسب إلى أستاذه في كشفه الجزم بذلك</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ظهور أدلّة السوق في شمولها لمثل هذه الموارد، إذ ليس ما نحن فيه بعد التأمل في النصوص والفتاوى إلاّ من جزئيات أصالة صحّة فعل المسلم، وأنها أمارة على الأمارة فلابدّ من تحقّق الفعل معه، وأما مععدمه فلا يحكم بعدم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الشك في ذلك فأصالة عدم التذكية جارية، وعليه فالحكم بالتذكية بمجرّد كونه في يد المسلم وإن ظن أو احتمل إرادة الإلقاء محلّ إشكال أو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في مقام البيع ونحوه فلا إشكال في عدم الحاجة إلى الفحص</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ما ذكره تام لما تقدّم من أنّ السوق أمارة على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المسلم أن يكون معلوم الحال من أنه عارف يتجنّب الميتة، أو يكفي كونه في سوق المسلمين وإن جهل حاله؟</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المشهور إلى القول بعدم الاعتبار، بل عليه عمل الأصحاب وفتاواهم كما في المدارك</w:t>
      </w:r>
      <w:r>
        <w:rPr>
          <w:rStyle w:val="FootnoteAnchor"/>
          <w:rtl w:val="true"/>
        </w:rPr>
        <w:footnoteReference w:id="1496"/>
      </w:r>
      <w:r>
        <w:rPr>
          <w:rFonts w:ascii="Amiri" w:hAnsi="Amiri" w:eastAsia="Amiri" w:cs="Amiri"/>
          <w:color w:val="111111"/>
          <w:sz w:val="28"/>
          <w:sz w:val="28"/>
          <w:szCs w:val="28"/>
          <w:rtl w:val="true"/>
          <w:lang w:bidi="ar-SA"/>
        </w:rPr>
        <w:t xml:space="preserve">، بل عليه السيرة المعلومة التي هي فوق الإجماع </w:t>
      </w:r>
    </w:p>
    <w:p>
      <w:pPr>
        <w:pStyle w:val="BookText"/>
        <w:rPr/>
      </w:pPr>
      <w:r>
        <w:rPr>
          <w:rFonts w:ascii="Amiri" w:hAnsi="Amiri" w:eastAsia="Amiri" w:cs="Amiri"/>
          <w:color w:val="111111"/>
          <w:sz w:val="28"/>
          <w:sz w:val="28"/>
          <w:szCs w:val="28"/>
          <w:rtl w:val="true"/>
          <w:lang w:bidi="ar-SA"/>
        </w:rPr>
        <w:t>كما في الجواهر</w:t>
      </w:r>
      <w:r>
        <w:rPr>
          <w:rStyle w:val="FootnoteAnchor"/>
          <w:rtl w:val="true"/>
        </w:rPr>
        <w:footnoteReference w:id="1497"/>
      </w:r>
      <w:r>
        <w:rPr>
          <w:rFonts w:ascii="Amiri" w:hAnsi="Amiri" w:eastAsia="Amiri" w:cs="Amiri"/>
          <w:color w:val="111111"/>
          <w:sz w:val="28"/>
          <w:sz w:val="28"/>
          <w:szCs w:val="28"/>
          <w:rtl w:val="true"/>
          <w:lang w:bidi="ar-SA"/>
        </w:rPr>
        <w:t>والتنقيح</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ونسب إلى نهاية الأحكام</w:t>
      </w:r>
      <w:r>
        <w:rPr>
          <w:rStyle w:val="FootnoteAnchor"/>
          <w:rtl w:val="true"/>
        </w:rPr>
        <w:footnoteReference w:id="1499"/>
      </w:r>
      <w:r>
        <w:rPr>
          <w:rFonts w:ascii="Amiri" w:hAnsi="Amiri" w:eastAsia="Amiri" w:cs="Amiri"/>
          <w:color w:val="111111"/>
          <w:sz w:val="28"/>
          <w:sz w:val="28"/>
          <w:szCs w:val="28"/>
          <w:rtl w:val="true"/>
          <w:lang w:bidi="ar-SA"/>
        </w:rPr>
        <w:t>وكشف اللثام</w:t>
      </w:r>
      <w:r>
        <w:rPr>
          <w:rStyle w:val="FootnoteAnchor"/>
          <w:rtl w:val="true"/>
        </w:rPr>
        <w:footnoteReference w:id="1500"/>
      </w:r>
      <w:r>
        <w:rPr>
          <w:rFonts w:ascii="Amiri" w:hAnsi="Amiri" w:eastAsia="Amiri" w:cs="Amiri"/>
          <w:color w:val="111111"/>
          <w:sz w:val="28"/>
          <w:sz w:val="28"/>
          <w:szCs w:val="28"/>
          <w:rtl w:val="true"/>
          <w:lang w:bidi="ar-SA"/>
        </w:rPr>
        <w:t>أنّ الأقرب عدم إباحة ما في يد المسلم المجهول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من الروايات</w:t>
      </w:r>
    </w:p>
    <w:p>
      <w:pPr>
        <w:pStyle w:val="BookText"/>
        <w:rPr/>
      </w:pPr>
      <w:r>
        <w:rPr>
          <w:rFonts w:ascii="Amiri" w:hAnsi="Amiri" w:eastAsia="Amiri" w:cs="Amiri"/>
          <w:color w:val="111111"/>
          <w:sz w:val="28"/>
          <w:sz w:val="28"/>
          <w:szCs w:val="28"/>
          <w:rtl w:val="true"/>
          <w:lang w:bidi="ar-SA"/>
        </w:rPr>
        <w:t>المتقدّمة وضوح دلالتها على عدم الاعتبار، ويكفي في الحكم بالإباحة والحلّية كونه في سوق المسلمين وأراضيهم مع غلبة المسلمين من دون حاجة إلى الفحص أو السؤال فلا وجه للقول بتقييده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الأخذ من يد المسلم أن لا يكون مستحلاًّ للميتة بالدبغ أو لذبائح أهل الكتاب أو لا؟</w:t>
      </w:r>
    </w:p>
    <w:p>
      <w:pPr>
        <w:pStyle w:val="BookText"/>
        <w:rPr/>
      </w:pPr>
      <w:r>
        <w:rPr>
          <w:rFonts w:ascii="IRNazanin" w:hAnsi="IRNazanin" w:eastAsia="IRNazanin"/>
          <w:color w:val="111111"/>
          <w:sz w:val="28"/>
          <w:sz w:val="28"/>
          <w:szCs w:val="28"/>
          <w:rtl w:val="true"/>
          <w:lang w:bidi="fa-IR"/>
        </w:rPr>
        <w:t>ذهب صاحب الجواهر</w:t>
      </w:r>
      <w:r>
        <w:rPr>
          <w:rStyle w:val="FootnoteAnchor"/>
          <w:rtl w:val="true"/>
        </w:rPr>
        <w:footnoteReference w:id="1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وهو الظاهر من السيد الأستاذ </w:t>
      </w:r>
      <w:r>
        <w:rPr>
          <w:rFonts w:eastAsia="Amiri" w:cs="Amiri" w:ascii="Amiri" w:hAnsi="Amiri"/>
          <w:color w:val="111111"/>
          <w:sz w:val="28"/>
          <w:szCs w:val="28"/>
          <w:rtl w:val="true"/>
          <w:lang w:bidi="ar-SA"/>
        </w:rPr>
        <w:t xml:space="preserve">! </w:t>
      </w:r>
      <w:r>
        <w:rPr>
          <w:rStyle w:val="FootnoteAnchor"/>
          <w:rtl w:val="true"/>
        </w:rPr>
        <w:footnoteReference w:id="1502"/>
      </w:r>
      <w:r>
        <w:rPr>
          <w:rFonts w:ascii="Amiri" w:hAnsi="Amiri" w:eastAsia="Amiri" w:cs="Amiri"/>
          <w:color w:val="111111"/>
          <w:sz w:val="28"/>
          <w:sz w:val="28"/>
          <w:szCs w:val="28"/>
          <w:rtl w:val="true"/>
          <w:lang w:bidi="ar-SA"/>
        </w:rPr>
        <w:t>ـ إلى أن ظاهر إطلاق الروايات المتقدمة عدم اعتبار ذلك، وأنّ الشراء من سوق المسلمين كافٍ في الإباحة من دون حاجة إلى السؤال، سواء أخبر بالتذكية أو لا، وسواء علم بإسلام البائع أو لا، فضلاً عمّن علم بإسلامه وجهل استحلاله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ونسب إلى جماعة منهم الشيخ علي</w:t>
      </w:r>
      <w:r>
        <w:rPr>
          <w:rStyle w:val="FootnoteAnchor"/>
          <w:rtl w:val="true"/>
        </w:rPr>
        <w:footnoteReference w:id="1503"/>
      </w:r>
      <w:r>
        <w:rPr>
          <w:rFonts w:ascii="IRNazanin" w:hAnsi="IRNazanin" w:eastAsia="IRNazanin"/>
          <w:color w:val="111111"/>
          <w:sz w:val="28"/>
          <w:sz w:val="28"/>
          <w:szCs w:val="28"/>
          <w:rtl w:val="true"/>
          <w:lang w:bidi="fa-IR"/>
        </w:rPr>
        <w:t>، والفاضل</w:t>
      </w:r>
      <w:r>
        <w:rPr>
          <w:rStyle w:val="FootnoteAnchor"/>
          <w:rtl w:val="true"/>
        </w:rPr>
        <w:footnoteReference w:id="1504"/>
      </w:r>
      <w:r>
        <w:rPr>
          <w:rFonts w:ascii="Amiri" w:hAnsi="Amiri" w:eastAsia="Amiri" w:cs="Amiri"/>
          <w:color w:val="111111"/>
          <w:sz w:val="28"/>
          <w:sz w:val="28"/>
          <w:szCs w:val="28"/>
          <w:rtl w:val="true"/>
          <w:lang w:bidi="ar-SA"/>
        </w:rPr>
        <w:t>، والمحقق الثاني</w:t>
      </w:r>
      <w:r>
        <w:rPr>
          <w:rStyle w:val="FootnoteAnchor"/>
          <w:rtl w:val="true"/>
        </w:rPr>
        <w:footnoteReference w:id="1505"/>
      </w:r>
      <w:r>
        <w:rPr>
          <w:rFonts w:ascii="Amiri" w:hAnsi="Amiri" w:eastAsia="Amiri" w:cs="Amiri"/>
          <w:color w:val="111111"/>
          <w:sz w:val="28"/>
          <w:sz w:val="28"/>
          <w:szCs w:val="28"/>
          <w:rtl w:val="true"/>
          <w:lang w:bidi="ar-SA"/>
        </w:rPr>
        <w:t>، اعتبار ذلك، فمنعوا إباحة ما في يد مستحلّ الميتة بالدبغ وإن أخبر بالتذكية، بل ذهب الأولان إلى منع إباحة ما في يد المتهم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وذهب الشهيد</w:t>
      </w:r>
      <w:r>
        <w:rPr>
          <w:rStyle w:val="FootnoteAnchor"/>
          <w:rtl w:val="true"/>
        </w:rPr>
        <w:footnoteReference w:id="1506"/>
      </w:r>
      <w:r>
        <w:rPr>
          <w:rFonts w:ascii="Amiri" w:hAnsi="Amiri" w:eastAsia="Amiri" w:cs="Amiri"/>
          <w:color w:val="111111"/>
          <w:sz w:val="28"/>
          <w:sz w:val="28"/>
          <w:szCs w:val="28"/>
          <w:rtl w:val="true"/>
          <w:lang w:bidi="ar-SA"/>
        </w:rPr>
        <w:t>ومن تأخر عنه إلى القول بالتفصيل في ما في يد المستحلّ بينالإخبار بالتذكية وعدمه، فيقبل في الأول لأنّه ذو يد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في جلد الميتة ولو دبغ سبعين مرة، أو كان مما لا تتمّ الصلاة فيه منفرداً ولو شسعاً، وفي حكمه ما يوجد مطروحاً أو يؤخذ من كافر، أو من سوق الكفار، أو مستحل الميتة بالدباغ على قول، إلاّ أن يخبر بالتذكية فيقبل</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وجد في يد مستحلّ بالدبغ ففيه صور ثلاث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يخبر بأنه ميتة فليجتنب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يخبر بأنه مذكّى، والأقرب القبول لأنه الأغلب، ولكونه ذا يد عليه فيقبل قوله فيه، كما يقبل في تطهير الثوب النجس، ويمكن المنع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ولأن الصلاة في الذمة بيقين فلا تزول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يسكت، ففي الحمل على الأغلب من التذكية أو على الأصل من عدمها وجهان</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في الجواهر على عدم الاعتبار، بإطلاق النصوص الواضحة الدلالة، وباعتضادها بفتوى الأكثر كما عن كشف الالتباس، وبالشهرة فتوى ورواية كما عن روض الجنان، وبعمل الأصحاب وفتواهم كما في المدارك، بل وبالسيرة المعلومة التي هي فوق الإجماع خصوصاً في مجهول الحال</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الأقوى لما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مورد الروايات هو الأسواق الموجودة فيزمان صدور الروايات، والغالب عليها العامة الذين يرون حلّية جلود الميتة بالدباغة، ويستحلون ذبائح أهل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هناك روايات ثلاث قد يستدل بها على الاعتبار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في الفراء،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صرداً لا يدفئه فراء الحجاز لأن دباغها بالقرظ، فكان يبعث إلى  العراق فيؤتى مما قبلكم بالفرو فيلبسه، فإذا حضرت الصلاة ألقاه وألقى القميص الذي يليه، فكان يسأل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العراق يستحلّون لباس جلود الميتة ويزعمون أن دباغه ذكاته</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تدلّ على أنه يعتبر عدم استحلال البائع جلد الميتة بالدبغ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أدخل سوق المسلمين أعني هذا الخلق الذين يدّعون الإسلام فأشتري منهم الفراء للتجارة، فأقول لصاحبها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هي ذكية؟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فهل يصلح لي أن أبيعها على أنها ذكية؟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لا بأس أن تبيعها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شرط لي الذي اشتريتها منه أنها ذكية،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أفسد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استحلال أهل العراق للميتة، وزعموا أنّ دباغ جلد الميتة ذكاته، ثم لم يرضوا أن يكذبوا في ذلك إلاّ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Style w:val="FootnoteAnchor"/>
          <w:rtl w:val="true"/>
        </w:rPr>
        <w:footnoteReference w:id="1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وموضع الشاهد من هذه الرواية ذيلها، فإنه قد يستدل به على المدّعى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يعتبر  الفحص في غير المستحلّين، وأما المستحلون كأهل العراق فلا عبرة بسوقهم وإن كانوا مسلمين</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بعض أصحابنا إلى أبي جعفر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الفرو يشترى من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مضموناً فلا بأس</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الرواية تدلّ بمفهومها على اعتبار الفحص، أيّ إذا كان الفرو المشترى من السوق مضموناً فلا حاجة إلى الفحص، والضمان كما يشمل السلامة من العطب، كذلك يشمل الطهارة والحلّية إذا أخبر بتذكيته، فالرواية تتناسب مع القول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هذه الروايات كلّها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فهي ضعيفة السند والدلالة، فإنّ في طريقها عبد الله بن إسحاق العلوي، وعيسى بن أسلم النجاشي ـ والصحيح هيثم كما في الكافي</w:t>
      </w:r>
      <w:r>
        <w:rPr>
          <w:rStyle w:val="FootnoteAnchor"/>
          <w:rtl w:val="true"/>
        </w:rPr>
        <w:footnoteReference w:id="1513"/>
      </w:r>
      <w:r>
        <w:rPr>
          <w:rFonts w:ascii="Amiri" w:hAnsi="Amiri" w:eastAsia="Amiri" w:cs="Amiri"/>
          <w:color w:val="111111"/>
          <w:sz w:val="28"/>
          <w:sz w:val="28"/>
          <w:szCs w:val="28"/>
          <w:rtl w:val="true"/>
          <w:lang w:bidi="ar-SA"/>
        </w:rPr>
        <w:t>، وفي موضع آخر من الوسائل</w:t>
      </w:r>
      <w:r>
        <w:rPr>
          <w:rStyle w:val="FootnoteAnchor"/>
          <w:rtl w:val="true"/>
        </w:rPr>
        <w:footnoteReference w:id="1514"/>
      </w:r>
      <w:r>
        <w:rPr>
          <w:rFonts w:ascii="Amiri" w:hAnsi="Amiri" w:eastAsia="Amiri" w:cs="Amiri"/>
          <w:color w:val="111111"/>
          <w:sz w:val="28"/>
          <w:sz w:val="28"/>
          <w:szCs w:val="28"/>
          <w:rtl w:val="true"/>
          <w:lang w:bidi="ar-SA"/>
        </w:rPr>
        <w:t>ـ وكلاهما لم يرد فيهما توثيق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من جهة الدلالة فلأنّه يحتمل أنّ إلقاء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للفرو عندالصلاة إنما هو لجهة الأفضلية، وكراهية الصلاة فيه، لا من جهة كونه محكوماً بالنجاسة، إذ لو كان نجساً لما اشتراه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ويشهد على ذلك ما ورد في 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تكره الصلاة في الفراء إلاّ ما صنع في أرض الحجاز، أو علمت ذكاته</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احتمال الفرق بين الصلاة وغيرها بكفاية عدم العلم بالميتة في غير الصلاة دون اللبس في الصلاة ـ كما أومأ إليه في الذكرى</w:t>
      </w:r>
      <w:r>
        <w:rPr>
          <w:rStyle w:val="FootnoteAnchor"/>
          <w:rtl w:val="true"/>
        </w:rPr>
        <w:footnoteReference w:id="1516"/>
      </w:r>
      <w:r>
        <w:rPr>
          <w:rFonts w:ascii="Amiri" w:hAnsi="Amiri" w:eastAsia="Amiri" w:cs="Amiri"/>
          <w:color w:val="111111"/>
          <w:sz w:val="28"/>
          <w:sz w:val="28"/>
          <w:szCs w:val="28"/>
          <w:rtl w:val="true"/>
          <w:lang w:bidi="ar-SA"/>
        </w:rPr>
        <w:t>ـ فيردّه الإجماع على عدم الفرق، وأنه لا واسطة بين المحكوم بالتذكية وبين الميتة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الرواية الثانية فهي وإن كانت من جهة السند معتبرة إلاّ أنها من جهة الدلالة غير تامة، فإنه مضافاً إلى احتمال اختصاص هذا الحكم بالبيع والشراء، أنّ الرواية تدلّ على قبول خبره فيما لو أخبر، ولا دلالة فيها على أنه لا يجوز </w:t>
      </w:r>
    </w:p>
    <w:p>
      <w:pPr>
        <w:pStyle w:val="BookText"/>
        <w:rPr/>
      </w:pPr>
      <w:r>
        <w:rPr>
          <w:rFonts w:ascii="Amiri" w:hAnsi="Amiri" w:eastAsia="Amiri" w:cs="Amiri"/>
          <w:color w:val="111111"/>
          <w:sz w:val="28"/>
          <w:sz w:val="28"/>
          <w:szCs w:val="28"/>
          <w:rtl w:val="true"/>
          <w:lang w:bidi="ar-SA"/>
        </w:rPr>
        <w:t>البيع في صورة عدم الإخبار، فلا منافاة بينها وبين أدلّة اعتبار السوق من أنه يجوز البيع والشراء وإن لم يعلم حال البائع، بل ولا يعتبر الفحص عن استحلاله لجلد الميتة بالدبغ أو لا،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الثالثة فهي ضعيفة السند والدلالة، أما ضعف السند فلأنّ فيه سهل بن زياد ولم تثبت وثاقته، وأما ضعف الدلالة فلاحتمال أن يكون المراد بالبأس هو الكراهة كما في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في هذه الروايات على اعتبار أن لا يكون البائعمستحلاًّ لجلود الميتة بالدباغة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العلم بإسلام البائع أو لا؟</w:t>
      </w:r>
    </w:p>
    <w:p>
      <w:pPr>
        <w:pStyle w:val="BookText"/>
        <w:rPr/>
      </w:pPr>
      <w:r>
        <w:rPr>
          <w:rFonts w:ascii="Amiri" w:hAnsi="Amiri" w:eastAsia="Amiri" w:cs="Amiri"/>
          <w:color w:val="111111"/>
          <w:sz w:val="28"/>
          <w:sz w:val="28"/>
          <w:szCs w:val="28"/>
          <w:rtl w:val="true"/>
          <w:lang w:bidi="ar-SA"/>
        </w:rPr>
        <w:t>والظاهر عدم الاعتبار، للحكم بحلّية ذبيحة مجهول الحال إذا كان في بلاد المسلمين، لأنه محكوم شرعاً بالإسلام، ولذا تجري عليه جميع أحكام المسلمين من الغسل والدفن والصلاة عليه وغيرها، مضافاً إلى أنّ إطلاق الروايات الواردة في سوق المسلمين وأراضيهم مع غلبتهم عليها شاملة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على ذلك صراحة خبر السفرة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عدم اعتبار العلم بإسلام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بكفر البائع في سوق المسلمين فهل يحكم بطهارة وحلية ما في يده أو لا؟</w:t>
      </w:r>
    </w:p>
    <w:p>
      <w:pPr>
        <w:pStyle w:val="BookText"/>
        <w:rPr/>
      </w:pPr>
      <w:r>
        <w:rPr>
          <w:rFonts w:ascii="IRNazanin" w:hAnsi="IRNazanin" w:eastAsia="IRNazanin"/>
          <w:color w:val="111111"/>
          <w:sz w:val="28"/>
          <w:sz w:val="28"/>
          <w:szCs w:val="28"/>
          <w:rtl w:val="true"/>
          <w:lang w:bidi="fa-IR"/>
        </w:rPr>
        <w:t>ولهذا الفرع صورتان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أنّ المبيع كان في يد المسلم ثم انتقل إلى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 فسيأتي البحث حولها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الصورة الثانية فقد اختار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الفحص، ولا </w:t>
      </w:r>
    </w:p>
    <w:p>
      <w:pPr>
        <w:pStyle w:val="BookText"/>
        <w:rPr/>
      </w:pPr>
      <w:r>
        <w:rPr>
          <w:rFonts w:ascii="Amiri" w:hAnsi="Amiri" w:eastAsia="Amiri" w:cs="Amiri"/>
          <w:color w:val="111111"/>
          <w:sz w:val="28"/>
          <w:sz w:val="28"/>
          <w:szCs w:val="28"/>
          <w:rtl w:val="true"/>
          <w:lang w:bidi="ar-SA"/>
        </w:rPr>
        <w:t>عبرة بالسوق بالنسبة إليه، ونسب الحكم بذلك إلى الشهرة بين الأصحاب أو الإجماع إلاّ ممّن لا يعتد بخلافه</w:t>
      </w:r>
      <w:r>
        <w:rPr>
          <w:rStyle w:val="FootnoteAnchor"/>
          <w:rtl w:val="true"/>
        </w:rPr>
        <w:footnoteReference w:id="1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واستدل على ذلك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عساه يتوهّم من حلّية ما في سوق المسلمين وإن كان في يد كافر لإطلاق بعض النصوص، مدفوع بما ورد في بعض النصوص، كما في رواية إسماعيل بن عيسى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عليكم أنتم أن تسألوا </w:t>
      </w:r>
      <w:r>
        <w:rPr>
          <w:rFonts w:eastAsia="IRNazanin" w:cs="IRNazanin"/>
          <w:color w:val="111111"/>
          <w:sz w:val="28"/>
          <w:szCs w:val="28"/>
          <w:rtl w:val="true"/>
          <w:lang w:bidi="fa-IR"/>
        </w:rPr>
        <w:t>...)</w:t>
      </w:r>
      <w:r>
        <w:rPr>
          <w:rStyle w:val="FootnoteAnchor"/>
          <w:rtl w:val="true"/>
        </w:rPr>
        <w:footnoteReference w:id="1518"/>
      </w:r>
      <w:r>
        <w:rPr>
          <w:rFonts w:ascii="Amiri" w:hAnsi="Amiri" w:eastAsia="Amiri" w:cs="Amiri"/>
          <w:color w:val="111111"/>
          <w:sz w:val="28"/>
          <w:sz w:val="28"/>
          <w:szCs w:val="28"/>
          <w:rtl w:val="true"/>
          <w:lang w:bidi="ar-SA"/>
        </w:rPr>
        <w:t>فلابدّ من تقييد تلك الإطلاقات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التعارض بينهما من وجه فيتساقطان ويرجع إلى أصالة الحلية والطهارة، مدفوعة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الإطلاق، بل ظهور سوق المسلمين في غير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التسليم فالترجيح لروايات المنع بالشهرة بين الأصحاب أو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موثّقة إسحاق بن عمار</w:t>
      </w:r>
      <w:r>
        <w:rPr>
          <w:rStyle w:val="FootnoteAnchor"/>
          <w:rtl w:val="true"/>
        </w:rPr>
        <w:footnoteReference w:id="1519"/>
      </w:r>
      <w:r>
        <w:rPr>
          <w:rFonts w:ascii="Amiri" w:hAnsi="Amiri" w:eastAsia="Amiri" w:cs="Amiri"/>
          <w:color w:val="111111"/>
          <w:sz w:val="28"/>
          <w:sz w:val="28"/>
          <w:szCs w:val="28"/>
          <w:rtl w:val="true"/>
          <w:lang w:bidi="ar-SA"/>
        </w:rPr>
        <w:t>، ورواية إسماعيل بن عيسى</w:t>
      </w:r>
      <w:r>
        <w:rPr>
          <w:rStyle w:val="FootnoteAnchor"/>
          <w:rtl w:val="true"/>
        </w:rPr>
        <w:footnoteReference w:id="1520"/>
      </w:r>
      <w:r>
        <w:rPr>
          <w:rFonts w:ascii="Amiri" w:hAnsi="Amiri" w:eastAsia="Amiri" w:cs="Amiri"/>
          <w:color w:val="111111"/>
          <w:sz w:val="28"/>
          <w:sz w:val="28"/>
          <w:szCs w:val="28"/>
          <w:rtl w:val="true"/>
          <w:lang w:bidi="ar-SA"/>
        </w:rPr>
        <w:t>أنّ يد الكافر وأرضه أمارتان على عدم التذكية، وذلك موافق لمقتضى الأصل، فلابد من تقديم هذا على تلك الإطلاقات</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الظاهر عدم تمامية الوجهين الأخيرين، فإنّ الشهرة المرجحة هي الشهرة الروائية لا الفتوائية كما في المقام، ورواية إسماعيل ضعيفة السند، وأما رواية إسحاق بن عمار وإن كانت معتبرة السند إلاّ أنها قاصرة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والمهم هو الوجه الأول، وهو منع الإطلاق وانصراف سوق المسلمين إلى </w:t>
      </w:r>
    </w:p>
    <w:p>
      <w:pPr>
        <w:pStyle w:val="BookText"/>
        <w:rPr/>
      </w:pPr>
      <w:r>
        <w:rPr>
          <w:rFonts w:ascii="Amiri" w:hAnsi="Amiri" w:eastAsia="Amiri" w:cs="Amiri"/>
          <w:color w:val="111111"/>
          <w:sz w:val="28"/>
          <w:sz w:val="28"/>
          <w:szCs w:val="28"/>
          <w:rtl w:val="true"/>
          <w:lang w:bidi="ar-SA"/>
        </w:rPr>
        <w:t xml:space="preserve">غير الكفّار، وهو في محلّه، بنا على ما تقدّم من أنّ أمارية السوق ليست مستقلّة، بل هي أمارة على الأمارة، فإذا علم أنّ البائع غير مسلم فلا تتحقّق الأمارية بالنسبة إليه، فالظاهر أنّ الحكم هو كما ذكره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 في يد المسلم مسبوقاً بيد الكافر فهل يشمله اعتبار السوق؟</w:t>
      </w:r>
    </w:p>
    <w:p>
      <w:pPr>
        <w:pStyle w:val="BookText"/>
        <w:rPr/>
      </w:pPr>
      <w:r>
        <w:rPr>
          <w:rFonts w:ascii="Amiri" w:hAnsi="Amiri" w:eastAsia="Amiri" w:cs="Amiri"/>
          <w:color w:val="111111"/>
          <w:sz w:val="28"/>
          <w:sz w:val="28"/>
          <w:szCs w:val="28"/>
          <w:rtl w:val="true"/>
          <w:lang w:bidi="ar-SA"/>
        </w:rPr>
        <w:t>استظهر في المستند</w:t>
      </w:r>
      <w:r>
        <w:rPr>
          <w:rStyle w:val="FootnoteAnchor"/>
          <w:rtl w:val="true"/>
        </w:rPr>
        <w:footnoteReference w:id="1522"/>
      </w:r>
      <w:r>
        <w:rPr>
          <w:rFonts w:ascii="Amiri" w:hAnsi="Amiri" w:eastAsia="Amiri" w:cs="Amiri"/>
          <w:color w:val="111111"/>
          <w:sz w:val="28"/>
          <w:sz w:val="28"/>
          <w:szCs w:val="28"/>
          <w:rtl w:val="true"/>
          <w:lang w:bidi="ar-SA"/>
        </w:rPr>
        <w:t>والجواهر القول بالاعتبار، 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يمكن القول برجحانها عليها ـ أي رجحان يد المسلم على يد الكافر ـ وإن قلنا بأنها أمارة، استظهاراً من النصوص المزبورة قوة يد المسلم، وأنها مع وجودها لا يلتفت إلى غيرها</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كغيره من الأخبار الكثيرة جداً بل كادت تكون متواترة، يستفاد طهارة ما يؤخذ من يد المسلم وإن علم سبقها بيد كافر من غير فرق بين المسلم المخالف وغيره، مستحلّ ذبائح أهل الكتاب أو لا، مستطهر الجلد بالدبغ أو لا، للسيرة المستقيمة، ومحكي الإجماع، وإطلاق الأخبار، إن لم يكن ظاهرها، وسهولة الملّة وسماحتها، وعدم العسر والحرج فيها</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تعارض العموم من وجه بين دليلي كل من اليدين يدفعها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المعلوم من مراعاة الترجيح بين المتعارضين ما كان بين نفسيهما لادليليهما، اللهمّ إلاّ أن يفرّق بانحصار طريق الترجيح في المقام بين الأدلة فتأمل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رجحان دليل يد المسلم بالتعدد، ووضوح الدلالة، ومعلومية أصالة الصحة في نقل المسلم، بخلاف أصالة الفساد في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التعارض بين استصحاب حكم يد الكافر ونفس يد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والترجيح ليد المسلم</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وفي بعض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يخلو من مناقشة إلاّ أنّ الظاهر من الروايات شمولها لمثل هذا المورد، فإنه قد ورد فيها الحكم بحلّية ما وجد في سوق المسلمين أو أيديهم سواء كان مسبوقاً بيد الكافر أو لا، وليس في المقام ما يوجب تقييدها فهي محكّمة ولا إشكال فيها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 في يد الكافر مسبوقاً بيد المسلم، فهل يحكم بحليته وطهارته، لرجحان يد المسلم أو أنّ الحكم تابع للحالة الفعلية، وهو الحكم بعدم التذكية؟</w:t>
      </w:r>
    </w:p>
    <w:p>
      <w:pPr>
        <w:pStyle w:val="BookText"/>
        <w:rPr/>
      </w:pPr>
      <w:r>
        <w:rPr>
          <w:rFonts w:ascii="Amiri" w:hAnsi="Amiri" w:eastAsia="Amiri" w:cs="Amiri"/>
          <w:color w:val="111111"/>
          <w:sz w:val="28"/>
          <w:sz w:val="28"/>
          <w:szCs w:val="28"/>
          <w:rtl w:val="true"/>
          <w:lang w:bidi="ar-SA"/>
        </w:rPr>
        <w:t>استظهر الأول في الجواهر، واستدلّ عليه باستصحاب الحلية والطهارة السابقتين، وترجيحه على خصوص</w:t>
      </w:r>
    </w:p>
    <w:p>
      <w:pPr>
        <w:pStyle w:val="BookText"/>
        <w:rPr/>
      </w:pPr>
      <w:r>
        <w:rPr>
          <w:rFonts w:ascii="Amiri" w:hAnsi="Amiri" w:eastAsia="Amiri" w:cs="Amiri"/>
          <w:color w:val="111111"/>
          <w:sz w:val="28"/>
          <w:sz w:val="28"/>
          <w:szCs w:val="28"/>
          <w:rtl w:val="true"/>
          <w:lang w:bidi="ar-SA"/>
        </w:rPr>
        <w:t>الكافر</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فرض الشك يكون استصحاب عدم التذكية حاكماً على استصحاب الطهارة والحلية، لأنه أصل موضوعي، ومعه لا تصل النوبة إلى الأصلالحكمي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يقال في وجه الحكم بالطهارة والحلية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اعتبار السوق غير قاصرة عن الشمول لمثل هذا المورد، بناء على أنه أمارة على الأمارة، وهي أصالة صحة فعل المسلم، وطهارة وحلّية ما في يده، لأنّ المفروض أنّ المبيع كان في يده وحكمه الحلّية والطهارة آنذاك، فلا أثر ليد الكافر بعد انتقاله إليها، ولا يبقى مجال للشك لتجري أصالة عدم التذكية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لم يعلم بأنه كان مسبوقاً بيد المسلم أو شك في ذلك فلا يجري هذا </w:t>
      </w:r>
    </w:p>
    <w:p>
      <w:pPr>
        <w:pStyle w:val="BookText"/>
        <w:rPr/>
      </w:pPr>
      <w:r>
        <w:rPr>
          <w:rFonts w:ascii="Amiri" w:hAnsi="Amiri" w:eastAsia="Amiri" w:cs="Amiri"/>
          <w:color w:val="111111"/>
          <w:sz w:val="28"/>
          <w:sz w:val="28"/>
          <w:szCs w:val="28"/>
          <w:rtl w:val="true"/>
          <w:lang w:bidi="ar-SA"/>
        </w:rPr>
        <w:t>الحكم للأصل المؤيّد ببعض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المبيع تحت يد كل من المسلم والكافر معاً على نحو الشركة أو غيرها فهل ترجّح يد</w:t>
      </w:r>
    </w:p>
    <w:p>
      <w:pPr>
        <w:pStyle w:val="BookText"/>
        <w:rPr/>
      </w:pPr>
      <w:r>
        <w:rPr>
          <w:rFonts w:ascii="Amiri" w:hAnsi="Amiri" w:eastAsia="Amiri" w:cs="Amiri"/>
          <w:color w:val="111111"/>
          <w:sz w:val="28"/>
          <w:sz w:val="28"/>
          <w:szCs w:val="28"/>
          <w:rtl w:val="true"/>
          <w:lang w:bidi="ar-SA"/>
        </w:rPr>
        <w:t>المسلم في الحكم بالحلية والطهارة أو يرجّح العكس؟</w:t>
      </w:r>
    </w:p>
    <w:p>
      <w:pPr>
        <w:pStyle w:val="BookText"/>
        <w:rPr/>
      </w:pPr>
      <w:r>
        <w:rPr>
          <w:rFonts w:ascii="Amiri" w:hAnsi="Amiri" w:eastAsia="Amiri" w:cs="Amiri"/>
          <w:color w:val="111111"/>
          <w:sz w:val="28"/>
          <w:sz w:val="28"/>
          <w:szCs w:val="28"/>
          <w:rtl w:val="true"/>
          <w:lang w:bidi="ar-SA"/>
        </w:rPr>
        <w:t>وحكم هذا الفرع يتبيّن من الفرع السابق، فإنّ مجرّد تحقّق يد المسلم على شيء وتصرّفه فيه أمارة على التذكية، سواء كان معها يد آخر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القول بأنّ بين دليليهما تعارضاً من وجه ويحكم بالتساقط بينهما في مورد الاجتماع، فالمرجع هو أصالة الطهارة والحلية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ذكر في الجواهر</w:t>
      </w:r>
      <w:r>
        <w:rPr>
          <w:rStyle w:val="FootnoteAnchor"/>
          <w:rtl w:val="true"/>
        </w:rPr>
        <w:footnoteReference w:id="1527"/>
      </w:r>
      <w:r>
        <w:rPr>
          <w:rFonts w:ascii="Amiri" w:hAnsi="Amiri" w:eastAsia="Amiri" w:cs="Amiri"/>
          <w:color w:val="111111"/>
          <w:sz w:val="28"/>
          <w:sz w:val="28"/>
          <w:szCs w:val="28"/>
          <w:rtl w:val="true"/>
          <w:lang w:bidi="ar-SA"/>
        </w:rPr>
        <w:t>عن الكشف أنه لو علم وجوده في السوقين أو اليدين، علم التاريخ أو جهل، بني على التذكية، وفي الأرضين مع سبق الإسلام يقوى ذلك، وفي خلافه يقوى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عنه أيضاً أنه لو ترافع الكافر والمسلم فيه، وكلٌّ يدعيه، بقي على الحكم بعدم التذكية، ولا يبنى هنا على ترجيح الأرض والسوق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عنه أولاً في تفريقه بين السوق والأرض، وفيما ذكره عنه ثانياً في عدم ترجيح الأرض والسوق معاً</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وإشكاله في الأول واضح بخلافه في الثاني، لاحتمال أن يكون مراده من الترافع فيما إذا لم يكن تحت يد أحد منهما ليكون موجباً للترجيح، فكلامه الثاني قابل للتوجيه، وإن كان الأولى تقييده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مما تقدم أن حكم أرض المسلمين كسوقهم، فإذا وجد فيها شيء وعليه آثار الاستعمال بأي نحو كان مما لا يغتفر في جلد الميتة </w:t>
      </w:r>
    </w:p>
    <w:p>
      <w:pPr>
        <w:pStyle w:val="BookText"/>
        <w:rPr/>
      </w:pPr>
      <w:r>
        <w:rPr>
          <w:rFonts w:ascii="Amiri" w:hAnsi="Amiri" w:eastAsia="Amiri" w:cs="Amiri"/>
          <w:color w:val="111111"/>
          <w:sz w:val="28"/>
          <w:sz w:val="28"/>
          <w:szCs w:val="28"/>
          <w:rtl w:val="true"/>
          <w:lang w:bidi="ar-SA"/>
        </w:rPr>
        <w:t>فحكمه الحلّية والطهارة كما اختاره في الجواهر وفاقاً للمدارك، والكشف، واللوامع، ونقل عن الأخير نسبته إلى ظاهر المعتبر، ومعظم الطبقة الثالثة، تحكيماً للظاهر على الأصل كما يومىء إليه الخبر السابق</w:t>
      </w:r>
      <w:r>
        <w:rPr>
          <w:rStyle w:val="FootnoteAnchor"/>
          <w:rtl w:val="true"/>
        </w:rPr>
        <w:footnoteReference w:id="1529"/>
      </w:r>
      <w:r>
        <w:rPr>
          <w:rFonts w:ascii="IRNazanin" w:hAnsi="IRNazanin" w:eastAsia="IRNazanin"/>
          <w:color w:val="111111"/>
          <w:sz w:val="28"/>
          <w:sz w:val="28"/>
          <w:szCs w:val="28"/>
          <w:rtl w:val="true"/>
          <w:lang w:bidi="fa-IR"/>
        </w:rPr>
        <w:t xml:space="preserve">والمراد من الخبر السابق هو موثق إسحاق بن عمار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في الفراء اليمانيّ، وفيما صنع في أرض الإسلام،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فيها غير أهل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الغالب عليها المسلمين فلا باس</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يومىء إليه أيضاً موثّقة السكوني المتقدمة في السفرة المطروحة حيثقال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ما فيها ثم يؤكل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لا يدرى سفرة مسلم أو سفرة مجوسيّ،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في سعة حتى يعلموا</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أشرنا إلى ذلك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 يكن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المطروح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الاستعمال بأي نحو من الأنحاء، أو كان في أرض الكفار، أو كان في يد الكافر ـ وإن كان في أرض الإسلام ـ ولم يعلم بسبق يد المسلم عليه، فالحكم في جميع هذه الموارد هو النجاسة والحرمة، ولا يجوز استعماله فيما هو مشروط بالطهارة للأصل، ولظاهر بعض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المبيع في أرض الكفار أو سوقهم، وكان مسبوقاً بأرض المسلمين أو سوقهم، فهل يحكم عليه بالحلية والطهارة لرجحان جانب المسلمين، أو أنّ الحكم تابع للحالة الفعلية، وهو الحكم بالحرمة والنجاسة؟</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وحكم هذا الفرع هو ما مرّ في الفرع السابع، وهو ما إذا كان في يد الكافر وكان مسبوقاً بيد المسلم، وبناء عليه فحكمه الحلّية والطهارة من دون حاجة </w:t>
      </w:r>
    </w:p>
    <w:p>
      <w:pPr>
        <w:pStyle w:val="BookText"/>
        <w:rPr/>
      </w:pPr>
      <w:r>
        <w:rPr>
          <w:rFonts w:ascii="IRNazanin" w:hAnsi="IRNazanin" w:eastAsia="IRNazanin"/>
          <w:color w:val="111111"/>
          <w:sz w:val="28"/>
          <w:sz w:val="28"/>
          <w:szCs w:val="28"/>
          <w:rtl w:val="true"/>
          <w:lang w:bidi="fa-IR"/>
        </w:rPr>
        <w:t>إلى الفحص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المبيع في أرض المسلمين أو سوقهم وكان مسبوقاً بأرض الكفّار أو سوقهم كما هو الحال فعلاً في أسواق المسلمين وأراضيهم، فإنّ مصدر كثير من الصنائع والبضائع المتداولة في بلاد المسلمين وأسواقهم، هو بلاد الكفار وأسواقهم، فهل يحكم عليه بالحلّية والطهارة أو لا؟وفي هذا الفرع صورتان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بعدم وقوع التذكية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أنه وإن كان ظاهر أدلّة السوق هو الحكم بحلّية وطهارة ما يوجد في أيدي المسلمين وأسواقهم إلاّ أنه مع العلم بالخلاف لا تشملها هذه الأدلة كما تقدم، إذ لا موضوع لأمارية السوق أو الأرض لتشملها أدلتها، فهي خارجة موضوعاً عن هذه الأدلة، والحكم حينئذ هو النجاسة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صورة الشك فالظاهر أنها مشمولة لهذه الأدلة والحكم حينئذ هو الطهارة والحلية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شيء في أرضي الإسلام والكفر معاً على نحو الشركة فهل يرجّح جانب الإسلام ويحكم بالحلية والطهارة، أو جانب الكفر ويحكم بالحرمة والنجاسة؟</w:t>
      </w:r>
    </w:p>
    <w:p>
      <w:pPr>
        <w:pStyle w:val="BookText"/>
        <w:rPr/>
      </w:pPr>
      <w:r>
        <w:rPr>
          <w:rFonts w:ascii="Amiri" w:hAnsi="Amiri" w:eastAsia="Amiri" w:cs="Amiri"/>
          <w:color w:val="111111"/>
          <w:sz w:val="28"/>
          <w:sz w:val="28"/>
          <w:szCs w:val="28"/>
          <w:rtl w:val="true"/>
          <w:lang w:bidi="ar-SA"/>
        </w:rPr>
        <w:t>الظاهر هو الثاني بخلاف الاشتراك في اليد كما تقدم، وذلك لأنّ المستفاد من الروايات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أرض المسلمين وأسواقهم إنما تكون أمارة على الحلية والطهارة إذا كان الغالب عليها المسلمين، وأما إذاكان العكس أو على نحو التساوي فلا أمارية لها، والمرجع عند الشك إلى أصالة عدم التذكية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سوق المسلمين في أرض الكفّار فهل الاعتبار في الحكم بالسوق أو الأرض ؟ وجهان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الاعتبار بالسوق فيحكم بالحلية والطهارة، بناء على أنّ المناط في الأمارة هو الغالب على أهل السوق، وقد تقدم أنّ المعنون في الروايات هو السوق، وفي بعضها وإن لم ترد بعنوان السوق إلاّ أنّ موردها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فالمعتبر في هذه الروايات هو نفس السوق فلابدّ من ملاحظة الغالب على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الاعتبار بالأرض فيحكم بالحرمة والنجاسة، لأنّ المناط ملاحظة ما هو الغالب على أهل الأرض ولا خصوصية للسوق في نفسه، كما يظهر من بعض الروايات كموثقة إسحاق بن عمار</w:t>
      </w:r>
      <w:r>
        <w:rPr>
          <w:rStyle w:val="FootnoteAnchor"/>
          <w:rtl w:val="true"/>
        </w:rPr>
        <w:footnoteReference w:id="1532"/>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تمّت أرجحيّة أحدهما على الآخر فهو وإلاّ فالمرجع إلى أصالة عدم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سوق الكفّار في أرض المسلمين فهل يحكم بطهارة ما يباع فيه وحليته أو لا؟</w:t>
      </w:r>
    </w:p>
    <w:p>
      <w:pPr>
        <w:pStyle w:val="BookText"/>
        <w:rPr/>
      </w:pPr>
      <w:r>
        <w:rPr>
          <w:rFonts w:ascii="Amiri" w:hAnsi="Amiri" w:eastAsia="Amiri" w:cs="Amiri"/>
          <w:color w:val="111111"/>
          <w:sz w:val="28"/>
          <w:sz w:val="28"/>
          <w:szCs w:val="28"/>
          <w:rtl w:val="true"/>
          <w:lang w:bidi="ar-SA"/>
        </w:rPr>
        <w:t>وحاصل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أنّ البائع كافر فقد تقدّم الكلام فيه، وعليه فلابدّ من الفحص وإن كان في سوق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شك في ذلك فلا يبعد القول بمراعاة الغالب على أهل الأرض والحكم حينئذ هو الحليّة والطهارة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بمراعاة الغالب على أهل السوق والحكم حينئذ هو الحرمة والنجاسة ولابدّ من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سوق المسلمين، وبه يتمّ البحث حول التقية في أحكام الذباحة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187" w:name="pg16406_258820"/>
    </w:p>
    <w:p>
      <w:pPr>
        <w:pStyle w:val="Heading2"/>
        <w:numPr>
          <w:ilvl w:val="1"/>
          <w:numId w:val="1"/>
        </w:numPr>
        <w:rPr/>
      </w:pPr>
      <w:bookmarkStart w:id="188" w:name="__RefHeading___Toc7246581_1280447820"/>
      <w:bookmarkStart w:id="189" w:name="_Toc61"/>
      <w:bookmarkEnd w:id="187"/>
      <w:bookmarkEnd w:id="188"/>
      <w:r>
        <w:rPr>
          <w:rtl w:val="true"/>
        </w:rPr>
        <w:t>الفصل الرابع عشر</w:t>
      </w:r>
      <w:r>
        <w:rPr>
          <w:rtl w:val="true"/>
        </w:rPr>
        <w:t xml:space="preserve">: </w:t>
      </w:r>
      <w:r>
        <w:rPr/>
        <w:t>12</w:t>
      </w:r>
      <w:r>
        <w:rPr>
          <w:rtl w:val="true"/>
        </w:rPr>
        <w:t xml:space="preserve"> </w:t>
      </w:r>
      <w:r>
        <w:rPr>
          <w:rtl w:val="true"/>
        </w:rPr>
        <w:t>ـ التقية في الفرائض</w:t>
      </w:r>
      <w:bookmarkEnd w:id="189"/>
    </w:p>
    <w:p>
      <w:pPr>
        <w:pStyle w:val="Heading3"/>
        <w:numPr>
          <w:ilvl w:val="2"/>
          <w:numId w:val="1"/>
        </w:numPr>
        <w:rPr/>
      </w:pPr>
      <w:bookmarkStart w:id="190" w:name="__RefHeading___Toc7246583_1280447820"/>
      <w:bookmarkStart w:id="191" w:name="_Toc62"/>
      <w:bookmarkEnd w:id="190"/>
      <w:r>
        <w:rPr>
          <w:rtl w:val="true"/>
        </w:rPr>
        <w:t>اشارة</w:t>
      </w:r>
      <w:bookmarkEnd w:id="1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معنى التعصيب وأقسامه واستعراض الأدلّة على إثباته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تفنيد أدلة القائلين بالتعصيب وإثبات بطلانه بالكتاب والسنة والعقل وأنه من أحكام الجاهلية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بالتعصيب إجحاف بالمستحقين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العامة يروون في كتبهم ما يدلّ على بطلان التعصيب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الأحكام الفقهية لمذهب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لمقتضى الفطرة الإنسانية ولجوء بعض السنّة إلى الأخذ بمذهب أهل البيت في قضايا الميراث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العول والتعصيب يغترفان من منبع واحد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أنّ عمر بن الخطاب هو أول من أعال الفرائض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الموقف الحقّ والشجاع لابن عباس في إبطال العول واستعداده للمباهلة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 ابن حزم ببطلان العول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استعراض أدلة القول بالعول وتزييفها وإثبات بطلانه بالعقل والنقل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تساؤلات لابدّ منها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 العامة في ميراث الجدّ وتناقض الخليفة في قضائه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قيام الأدلة على أنّ الزوجة لا ترث من بعض ما يتركها زوجها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دخول الحبوة في الميراث وأنها من مختصات الولد الذكر الأكبر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التقية في جميع ذلك</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خاتمة الكتاب في ذكر بقية الموارد الخارجة عن أحكام التقية</w:t>
      </w:r>
      <w:r>
        <w:rPr>
          <w:rFonts w:eastAsia="Amiri" w:cs="Amiri" w:ascii="Amiri" w:hAnsi="Amiri"/>
          <w:color w:val="111111"/>
          <w:sz w:val="28"/>
          <w:szCs w:val="28"/>
          <w:rtl w:val="true"/>
          <w:lang w:bidi="ar-SA"/>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16406_258822"/>
      <w:bookmarkStart w:id="193" w:name="pg16406_258822"/>
      <w:bookmarkEnd w:id="193"/>
    </w:p>
    <w:p>
      <w:pPr>
        <w:pStyle w:val="Heading3"/>
        <w:numPr>
          <w:ilvl w:val="2"/>
          <w:numId w:val="1"/>
        </w:numPr>
        <w:rPr/>
      </w:pPr>
      <w:bookmarkStart w:id="194" w:name="pg16406_258822"/>
      <w:bookmarkStart w:id="195" w:name="__RefHeading___Toc7246585_1280447820"/>
      <w:bookmarkStart w:id="196" w:name="_Toc63"/>
      <w:bookmarkEnd w:id="194"/>
      <w:bookmarkEnd w:id="195"/>
      <w:r>
        <w:rPr>
          <w:rtl w:val="true"/>
        </w:rPr>
        <w:t>التقية في الفرائض</w:t>
      </w:r>
      <w:bookmarkEnd w:id="196"/>
    </w:p>
    <w:p>
      <w:pPr>
        <w:pStyle w:val="Heading4"/>
        <w:numPr>
          <w:ilvl w:val="3"/>
          <w:numId w:val="1"/>
        </w:numPr>
        <w:rPr/>
      </w:pPr>
      <w:bookmarkStart w:id="197" w:name="__RefHeading___Toc7246587_1280447820"/>
      <w:bookmarkStart w:id="198" w:name="_Toc64"/>
      <w:bookmarkEnd w:id="197"/>
      <w:r>
        <w:rPr>
          <w:rtl w:val="true"/>
        </w:rPr>
        <w:t>اشارة</w:t>
      </w:r>
      <w:bookmarkEnd w:id="198"/>
    </w:p>
    <w:p>
      <w:pPr>
        <w:pStyle w:val="BookText"/>
        <w:rPr/>
      </w:pPr>
      <w:r>
        <w:rPr>
          <w:rFonts w:ascii="Amiri" w:hAnsi="Amiri" w:eastAsia="Amiri" w:cs="Amiri"/>
          <w:color w:val="111111"/>
          <w:sz w:val="28"/>
          <w:sz w:val="28"/>
          <w:szCs w:val="28"/>
          <w:rtl w:val="true"/>
          <w:lang w:bidi="ar-SA"/>
        </w:rPr>
        <w:t>إنّ من أمهات المسائل الخلافية في الميراث بين الخاصة والعامة مسألتي التعصيب والعول، وقد شغلتا مساحة كبيرة من البحث العلمي بين الطرفين، ولابد من البحث عن هاتين المسألتين بما يناسب المقام على ضوء معطيات الأدلة التي استند إليها كل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الخلاف بين الخاصة والعامة في أحكام الميراث منحصراً في هاتين المسألتين، بل هناك مسائل أخرى قد اختلفوا فيها أيضاً كميراث الجد وميراث الزوجة ومسألة الحبوة، ولبيان الحقّ في هذه المسائل يقع البحث في مقامات أربعة</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7246589_1280447820"/>
      <w:bookmarkStart w:id="200" w:name="_Toc65"/>
      <w:bookmarkEnd w:id="199"/>
      <w:r>
        <w:rPr>
          <w:rtl w:val="true"/>
        </w:rPr>
        <w:t>المقام الأول</w:t>
      </w:r>
      <w:r>
        <w:rPr>
          <w:rtl w:val="true"/>
        </w:rPr>
        <w:t xml:space="preserve">: </w:t>
      </w:r>
      <w:r>
        <w:rPr>
          <w:rtl w:val="true"/>
        </w:rPr>
        <w:t>في التعصيب</w:t>
      </w:r>
      <w:r>
        <w:rPr>
          <w:rtl w:val="true"/>
        </w:rPr>
        <w:t>:</w:t>
      </w:r>
      <w:bookmarkEnd w:id="200"/>
    </w:p>
    <w:p>
      <w:pPr>
        <w:pStyle w:val="BookText"/>
        <w:rPr/>
      </w:pPr>
      <w:r>
        <w:rPr>
          <w:rFonts w:ascii="Amiri" w:hAnsi="Amiri" w:eastAsia="Amiri" w:cs="Amiri"/>
          <w:color w:val="111111"/>
          <w:sz w:val="28"/>
          <w:sz w:val="28"/>
          <w:szCs w:val="28"/>
          <w:rtl w:val="true"/>
          <w:lang w:bidi="ar-SA"/>
        </w:rPr>
        <w:t>وهو من مختصّات العامّة، وتنكره الخاصّة أشدّ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والعَصَبة بالتحريك جمع عاصب ككفرة جمع كافر، وهم بنو الرجل وقرابته لأبيه والجمع العِصاب</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سمّوا عصَبَة لأنهم عصبوا به أي أحاطوا به، فالأبّطرف والإبن طرف، والعم جانب والأخ جانب، والجمع العَصَبات</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والمراد بهم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يُعطون باقي الميراث بعد أن يأخذ ذوو السهام أنصبتهم المقدّرة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وتنقسم العصبة عندهم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عصبة بالنسب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عصبة بالسبب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 فهو على ثلاثة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عصبة بنفسه، وهي كلّ ذكر لا يدخل في نسبته إلى الميّت أنثى، وتنحصر في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اـ البنوّة وتسمّى جزء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ـ الأبوّة وتسمّى أصل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ـ الأخوّة وتسمّى جزء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ـ العمومة وتسمّى جزء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عصبة بغيره، وهي الأنثى التي يكون فرضها النصف حال الانفراد، والثلثان إذا كان معها أخت أو أكثر، فإذا كان معها أو معهنّ أخ صار الجميع عصبة به، وتنحصر في أربعة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اـ البنت والبنات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ـ بنت أو بنات الإبن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ـ الأخت أو الأخوات الشقيقات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ـ الأخت أو الأخوات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الأربعة عصبة بالغير وهو الأخ، ويكون الميراث بينهم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عصبة مع الغير، وهي كل أنثى تحتاج في كونها عصبة إلى أنثىأخرى، وتنحصر في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ـ الأخت الشقيقة أو الأخوات كذلك، مع البنت أو بنت الإبن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ـ الأخت للأب أو الأخوات كذلك، مع البنت أو بنت الإبن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ولهؤلاء باقي الميراث بعد أن يأخذ كلّ ذي فرض فرضه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القسم الثاني ـ وهو العصبة بالسبب ـ فهو المولى المعتق ذكراً كان أو أنثى، فإن فقد المعتق فالميراث لعصبته الذكور</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 xml:space="preserve">. </w:t>
      </w:r>
      <w:bookmarkStart w:id="201" w:name="pg16406_258824"/>
    </w:p>
    <w:p>
      <w:pPr>
        <w:pStyle w:val="Heading4"/>
        <w:numPr>
          <w:ilvl w:val="3"/>
          <w:numId w:val="1"/>
        </w:numPr>
        <w:rPr/>
      </w:pPr>
      <w:bookmarkStart w:id="202" w:name="__RefHeading___Toc7246591_1280447820"/>
      <w:bookmarkStart w:id="203" w:name="_Toc66"/>
      <w:bookmarkEnd w:id="201"/>
      <w:bookmarkEnd w:id="202"/>
      <w:r>
        <w:rPr>
          <w:rtl w:val="true"/>
        </w:rPr>
        <w:t>الأقوال في المسألة</w:t>
      </w:r>
      <w:r>
        <w:rPr>
          <w:rtl w:val="true"/>
        </w:rPr>
        <w:t>:</w:t>
      </w:r>
      <w:bookmarkEnd w:id="203"/>
    </w:p>
    <w:p>
      <w:pPr>
        <w:pStyle w:val="BookText"/>
        <w:rPr/>
      </w:pPr>
      <w:r>
        <w:rPr>
          <w:rFonts w:ascii="IRNazanin" w:hAnsi="IRNazanin" w:eastAsia="IRNazanin"/>
          <w:color w:val="111111"/>
          <w:sz w:val="28"/>
          <w:sz w:val="28"/>
          <w:szCs w:val="28"/>
          <w:rtl w:val="true"/>
          <w:lang w:bidi="fa-IR"/>
        </w:rPr>
        <w:t xml:space="preserve">إنّ مما أجمع عليه الإمامية وتواترت به أخبارهم عن أئمتهم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القول بالتعصيب، بل هو من ضروريات مذهبهم، والمعلوم من دين آل محمد صلوات الله عليهم</w:t>
      </w:r>
      <w:r>
        <w:rPr>
          <w:rStyle w:val="FootnoteAnchor"/>
          <w:rtl w:val="true"/>
        </w:rPr>
        <w:footnoteReference w:id="1536"/>
      </w:r>
      <w:r>
        <w:rPr>
          <w:rFonts w:ascii="Amiri" w:hAnsi="Amiri" w:eastAsia="Amiri" w:cs="Amiri"/>
          <w:color w:val="111111"/>
          <w:sz w:val="28"/>
          <w:sz w:val="28"/>
          <w:szCs w:val="28"/>
          <w:rtl w:val="true"/>
          <w:lang w:bidi="ar-SA"/>
        </w:rPr>
        <w:t>، بخلاف العامة حيث ذهبوا إلى القول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بالعصبة باطل عندنا، ولا يورّث بها في موضع من المواضع، وإنما يورّث بالفرض المسمى، أو القربى، أو الأسباب التي يورّث بها من الزوجية والولاء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ذلك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جابر بن عبد الله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الزبير قضى بذلك، وحكى الطبري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موافقة ابن عباس عن إبراهيم النخعي، روى عنه الأعمش ولم يجعل داود الأخوات مع البنات 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جميع الفقهاء في ذلك فأثبتوا العصبات من جهة الأب والإبن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وأخبارهم، وقد ذكرناها في الكتاب الكبير</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المرتضى علم الهدى في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مخالفينا في هذا  الباب يذهبون في ذلك إلى ما لم يقم به حجة من كتاب ولا سنة مقطوع بها ولا 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ثم ذكر ما نقلناه عن الشيخ في الخلاف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وذهب داود بن علي الأصفهاني إلى مثل ما حكيناه، ولم يجعل الأخوات عصبة مع البنات، فبطل ادّعاء الإجماع مع ثبوت الخلاف متقدّماً ومتأخّراً </w:t>
      </w:r>
      <w:r>
        <w:rPr>
          <w:rFonts w:eastAsia="Amiri" w:cs="Amiri" w:ascii="Amiri" w:hAnsi="Amiri"/>
          <w:color w:val="111111"/>
          <w:sz w:val="28"/>
          <w:szCs w:val="28"/>
          <w:rtl w:val="true"/>
          <w:lang w:bidi="ar-SA"/>
        </w:rPr>
        <w:t>...</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ونكتفي بهذين القولين في بيان مذهب الخاصة</w:t>
      </w:r>
      <w:r>
        <w:rPr>
          <w:rFonts w:eastAsia="Amiri" w:cs="Amiri" w:ascii="Amiri" w:hAnsi="Amiri"/>
          <w:color w:val="111111"/>
          <w:sz w:val="28"/>
          <w:szCs w:val="28"/>
          <w:rtl w:val="true"/>
          <w:lang w:bidi="ar-SA"/>
        </w:rPr>
        <w:t xml:space="preserve">. </w:t>
      </w:r>
      <w:bookmarkStart w:id="204" w:name="pg16406_258825"/>
    </w:p>
    <w:p>
      <w:pPr>
        <w:pStyle w:val="BookText"/>
        <w:rPr/>
      </w:pPr>
      <w:bookmarkEnd w:id="204"/>
      <w:r>
        <w:rPr>
          <w:rFonts w:ascii="Amiri" w:hAnsi="Amiri" w:eastAsia="Amiri" w:cs="Amiri"/>
          <w:color w:val="111111"/>
          <w:sz w:val="28"/>
          <w:sz w:val="28"/>
          <w:szCs w:val="28"/>
          <w:rtl w:val="true"/>
          <w:lang w:bidi="ar-SA"/>
        </w:rPr>
        <w:t>وأما العامة فلما كانت المسألة من المسلّمات عندهم أدرجوها في كتبهم الفقهية كسائر المسائل الأخرى ومع ذلك نذكر قولين لبعض 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والأخوات مع البنات عصبة، لهن ما فضل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عامة أهل العلم، يروى ذلك عن عمر، وعلي، وزيد، وابن مسعود، ومعاذ وعائشة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ذهب عامة الفقهاء، إلاّ ابن عباس ومن تابعه، فإنه يروى عنه أنه كان لا يجعل الأخوات مع البنات عصبة، فقال في بنت وأخت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للبنتالنصف ولا شيء للأخت،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قضى بخلاف ذلك، جعل للأخت النصف،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أم الله؟ يريد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امْرُؤٌ هَلَكَ لَيْسَ لَهُ وَلَدٌ وَلَهُ أُخْتٌ فَلَهَا نِصْفُ مَا تَرَكَ</w:t>
      </w:r>
      <w:r>
        <w:rPr>
          <w:rFonts w:eastAsia="Amiri" w:cs="Amiri" w:ascii="Amiri" w:hAnsi="Amiri"/>
          <w:color w:val="111111"/>
          <w:sz w:val="28"/>
          <w:szCs w:val="28"/>
          <w:rtl w:val="true"/>
          <w:lang w:bidi="ar-SA"/>
        </w:rPr>
        <w:t>»</w:t>
      </w:r>
      <w:r>
        <w:rPr>
          <w:rStyle w:val="FootnoteAnchor"/>
          <w:rtl w:val="true"/>
        </w:rPr>
        <w:footnoteReference w:id="1539"/>
      </w:r>
      <w:r>
        <w:rPr>
          <w:rFonts w:ascii="Amiri" w:hAnsi="Amiri" w:eastAsia="Amiri" w:cs="Amiri"/>
          <w:color w:val="111111"/>
          <w:sz w:val="28"/>
          <w:sz w:val="28"/>
          <w:szCs w:val="28"/>
          <w:rtl w:val="true"/>
          <w:lang w:bidi="ar-SA"/>
        </w:rPr>
        <w:t>فإنما جعل لها الميراث بشرط عدم الولد، والحقّ فيما ذهب إليه الجمهور</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في نيل الأوطار بعد أن ذكر حديث ابن عباس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ألحقوا الفرائض بأهلها فما بقي فهو لأولى رجل ذكر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والحديث يدلّ على أنّ الباقي بعد استيفاء أهل الفروض المقدرة لفروضهم يكون لأقرب العصبات من الرجال ولا يشاركه من هو أبعد منه، وقد حكى النووي الإجماع على ذلك، وقد استدل ابن عباس ومن وافقه على أنّ الميت إذا ترك بنتاً وأختاً وأخاً يكون للبنت النصف، والباقي للأخ ولا شيء للأخت</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 w:name="__RefHeading___Toc7246593_1280447820"/>
      <w:bookmarkStart w:id="206" w:name="_Toc67"/>
      <w:bookmarkEnd w:id="205"/>
      <w:r>
        <w:rPr>
          <w:rtl w:val="true"/>
        </w:rPr>
        <w:t>أدلة القائلين بالتعصيب</w:t>
      </w:r>
      <w:r>
        <w:rPr>
          <w:rtl w:val="true"/>
        </w:rPr>
        <w:t>:</w:t>
      </w:r>
      <w:bookmarkEnd w:id="206"/>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ونبدأ أولاً بذكر أدلة القائلين بالتعصيب وهم العامة لنرى مدى صلاحيتها سنداً ودلالة لإثبات دعواهم، مع قطع النظر عن أدلة النافين، ثم نعقّب ثانياً </w:t>
      </w:r>
    </w:p>
    <w:p>
      <w:pPr>
        <w:pStyle w:val="BookText"/>
        <w:rPr/>
      </w:pPr>
      <w:r>
        <w:rPr>
          <w:rFonts w:ascii="Amiri" w:hAnsi="Amiri" w:eastAsia="Amiri" w:cs="Amiri"/>
          <w:color w:val="111111"/>
          <w:sz w:val="28"/>
          <w:sz w:val="28"/>
          <w:szCs w:val="28"/>
          <w:rtl w:val="true"/>
          <w:lang w:bidi="ar-SA"/>
        </w:rPr>
        <w:t>بأدلة المنكرين وهم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العامة على إثبات الحكم بالتعصيب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السنة فقد استدلوا بعدة 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ميراث العصبة، وهو ما رواه البخاري ومسلم في صحيحهما،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الأعلى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النرسي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وهيب، حدثنا ابن طاووس، عن أبيه، عن ابن عباس،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ألحقوا الفرائض بأهلها فما بقي فهو لأوْلى رجل ذكر</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أيضاً عن أمية بن بسطام العيشي، عن يزيد بن زريع، عن روح بن القاسم، عن عبد الله بن طاووس، عن أبيه، عن ابن عباس</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ورواه الترمذي في سننه عن عبد الله بن عبد الرحمن، عن مسلم بن إبراهيم، عن وهيب، عن ابن طاووس</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ورواه أبو داود في سننه،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صالح ومخلد بن خالد، وهذا حديث مخلد، وهو الأشبع،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الرزاق، ثنا معمر، عن ابن طاووس، عن أبيه،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 المال بين أهل الفرائض على كتاب الله، فما تركت الفرائض فلأوْلَى ذكر</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مسلم في صحيحه عن إسحاق بن إبراهيم، ومحمد بن رافع، وعبد بن حميد، عن عبد الرزاق، عن معمر، عن ابن طاووس، عن أبيه، عن ابن عباسقال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اقسموا المال بين أهل الفرائض</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ميراث البنات وهو ما رواه الترمذي في سننه،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بن حميد، حدثني زكريا بن عدي، أخبرنا عبد الله بن عمرو، عن عبد الله بن محمد بن عقيل،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امرأة سعد بن الربيع بابنتيها من سعد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هاتان ابنتا سعد بن الربيع، قتل أبوهما معك يوم أحد شهيداً، وإنّ عمّهما أخذ مالهما فلم يدع لهما مالاً، ولا تنكحان إلاّ ولهما 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يقضي الله في ذلك، فنزلت آية الميراث، فبعث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عمّهما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ابنتي سعد الثلثين، وأعط أمهما الثمن، وما بقي فهو لك</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أحمد في مسنده عن عبد الله، عن أبيه، عن زكريا بن عدي، عن عبيد الله، عن عبد الله بن محمد بن عقيل عن جابر</w:t>
      </w:r>
      <w:r>
        <w:rPr>
          <w:rFonts w:eastAsia="Amiri" w:cs="Amiri" w:ascii="Amiri" w:hAnsi="Amiri"/>
          <w:color w:val="111111"/>
          <w:sz w:val="28"/>
          <w:szCs w:val="28"/>
          <w:rtl w:val="true"/>
          <w:lang w:bidi="ar-SA"/>
        </w:rPr>
        <w:t>...</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رواه ابن ماجة في سننه، عن محمد بن أبي عمر العدني، عن سفيان بنعيينة، عن عبد الله بن محمد بن عقيل، عن جابر بن عبد الله</w:t>
      </w:r>
      <w:r>
        <w:rPr>
          <w:rStyle w:val="FootnoteAnchor"/>
          <w:rtl w:val="true"/>
        </w:rPr>
        <w:footnoteReference w:id="1549"/>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ميراث الأخوات مع البنات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البخاري في صحيحه،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عمرو بن عبّاس، حدّثنا عبد الرحمن، حدثنا سفيان، عن أبي قيس عن هزيل،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لأقضينّ فيها بقضاء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للإبنة النصف، ولابنة الإبن السدس، وما بقي فللأخت</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الترمذي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عرفة، حدثنا يزيد بن هارون، عن سفيان الثوري، عن أبي قيس الأودي عن هزيل بن شرحبيل،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أبي موسى، وسلمان بن ربيعة، فسألهما عن الإبنة، وابنة الإبن وأخت لأب وأم،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للإبنة النصف وللأخت من الأب والأم ما بقي، وقالا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إلى عبد الله فاسأله فإنه سيتابعنا، فأتى عبد الله فذكر ذلك له وأخبره بما قالا، 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ضللت إذاً وما أنا من المهتدين، ولكن أقضي فيهما كما قضى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للإبنة النصف ولابنة الإبن السدس تكملة الثلثين، وللأخت ما بقي</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ابن ماجة في سننه، عن علي بن محمد، عن وكيع، عن سفيان، عن أبيقيس الأودي، عن الهزيل بن شرحبيل</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ميراث الأخوات والبنات أيضاً وهو ما رواه البخاري في صحيحه،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خالد، حدثنا محمد بن جعفر، عن شعبة، عن سليمان، عن إبراهيم، عن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فينا معاذ بن جبل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النصف للإبنة، والنصف للأخت، ثم 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فينا ولم يذكر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من ترك مالاً، وهو ما رواه البخاري في صحيحه،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عبدان، أخبرنا يونس، عن ابن شهاب، حدّثني أبو سلمة، عن أبي هريرة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أولى بالمؤمنين من أنفسهم، فمن مات </w:t>
      </w:r>
    </w:p>
    <w:p>
      <w:pPr>
        <w:pStyle w:val="BookText"/>
        <w:rPr/>
      </w:pPr>
      <w:r>
        <w:rPr>
          <w:rFonts w:ascii="Amiri" w:hAnsi="Amiri" w:eastAsia="Amiri" w:cs="Amiri"/>
          <w:color w:val="111111"/>
          <w:sz w:val="28"/>
          <w:sz w:val="28"/>
          <w:szCs w:val="28"/>
          <w:rtl w:val="true"/>
          <w:lang w:bidi="ar-SA"/>
        </w:rPr>
        <w:t>وعليه دين ولم يترك وفاء فعلينا قضاؤه، ومن ترك مالاً فلورثته</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أخرى عن محمود، عن عبيد الله، عن إسرائيل، عن أبي حصين، عن أبي صالح، عن أبي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أولى بالمؤمنين من أنفسهم، فمن مات وترك مالاً فماله لموالي العصبة، ومن ترك كلاًّ أو ضياعاً فأنا وليّه فلأدعى له</w:t>
      </w:r>
      <w:r>
        <w:rPr>
          <w:rStyle w:val="FootnoteAnchor"/>
          <w:rtl w:val="true"/>
        </w:rPr>
        <w:footnoteReference w:id="1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مسلم في صحيحه، عن زهير بن حرب، عن أبي صفوان الأموي، عن يونس الأيلي، وحرملة بن يحيى، عن عبد الله بن وهب، عن يونس بن شهاب، عن أبي سلمة بن عبد الرحمن، عن أبي هريرة،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يؤتى بالرجل الميّت عليه الدين فيسأل هل ترك لدينه قضاء؟ فإن حدّث أنه ترك وفاء صلّى عليه، وإلاّ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على صاحبكم، فلما فتح الله عليه الفتوح،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أولى بالمؤمنين من أنفسهم، فمن توفي وعليه دين فعلي قضاؤه، ومن ترك مالاً فهو لورثته</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أيضاً عن محمد بن رافع، عن شبابة، عن ورقاء، عن أبي الزناد، عن الأعرج، عن أبي هريرة،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محمّد بيده إن على الأرض من مؤمن إلاّ أنا أولى الناس به، فأيكم ما ترك ديناً أو ضياعاً فأنا مولاه، وأيّكم ترك مالاً فإلى العصبة من كان</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وأيّكم ما ترك مالاً فليؤثر بماله عصبته من كان</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الروايات التي استدل بها العامة على القول بالتعصيب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جميع هذه الروايات مخدوشة إما من جهة السند وإما من جهة الدلالة وإما من كلتا الجهتين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الحديث الأول فهو ضعيف السند والدلالة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ضعف السند ففيه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الحديث مضطرب من حيث الإسناد والإرسال، فإنه ورد تارة مسنداً وأخرى مرسلاً، كما نصّ عليه الترمذي في سننه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بعضهم عن ابن طاووس عن أبيه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ألفاظ الحديث اختلفت زيادة ونقيصة، ففي بعضها ورد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بقي فهو لأوْلَى رجل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مسلم</w:t>
      </w:r>
      <w:r>
        <w:rPr>
          <w:rStyle w:val="FootnoteAnchor"/>
          <w:rtl w:val="true"/>
        </w:rPr>
        <w:footnoteReference w:id="1560"/>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تركت الفرائض فلأوْلَى رجل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سنن أبي داود</w:t>
      </w:r>
      <w:r>
        <w:rPr>
          <w:rStyle w:val="FootnoteAnchor"/>
          <w:rtl w:val="true"/>
        </w:rPr>
        <w:footnoteReference w:id="1561"/>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فلأوْلَى عصبة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نيل الأوطار</w:t>
      </w:r>
      <w:r>
        <w:rPr>
          <w:rStyle w:val="FootnoteAnchor"/>
          <w:rtl w:val="true"/>
        </w:rPr>
        <w:footnoteReference w:id="1562"/>
      </w:r>
      <w:r>
        <w:rPr>
          <w:rFonts w:ascii="Amiri" w:hAnsi="Amiri" w:eastAsia="Amiri" w:cs="Amiri"/>
          <w:color w:val="111111"/>
          <w:sz w:val="28"/>
          <w:sz w:val="28"/>
          <w:szCs w:val="28"/>
          <w:rtl w:val="true"/>
          <w:lang w:bidi="ar-SA"/>
        </w:rPr>
        <w:t xml:space="preserve">عن صاحب النهاية والغزالي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لأدنى رجل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عمدة القاري عن عياض أنه في رواية ابن الحذاء، عن ابن ماهان</w:t>
      </w:r>
      <w:r>
        <w:rPr>
          <w:rStyle w:val="FootnoteAnchor"/>
          <w:rtl w:val="true"/>
        </w:rPr>
        <w:footnoteReference w:id="1563"/>
      </w:r>
      <w:r>
        <w:rPr>
          <w:rFonts w:ascii="Amiri" w:hAnsi="Amiri" w:eastAsia="Amiri" w:cs="Amiri"/>
          <w:color w:val="111111"/>
          <w:sz w:val="28"/>
          <w:sz w:val="28"/>
          <w:szCs w:val="28"/>
          <w:rtl w:val="true"/>
          <w:lang w:bidi="ar-SA"/>
        </w:rPr>
        <w:t>، فالحديث معلول غير مضبوط المتن، وما كان كذلك فلا يمكن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سند الحديث عبد الله بن طاووس، وإليه تنتهي كل الطرق، وقد ختلفت الأقوال فيه، وضعّفه بعضهم كصاحب العتب الجميل</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روي عن ابن عباس وطاووس أنهما كذّبا هذا الحديث </w:t>
      </w:r>
    </w:p>
    <w:p>
      <w:pPr>
        <w:pStyle w:val="BookText"/>
        <w:rPr/>
      </w:pPr>
      <w:r>
        <w:rPr>
          <w:rFonts w:ascii="Amiri" w:hAnsi="Amiri" w:eastAsia="Amiri" w:cs="Amiri"/>
          <w:color w:val="111111"/>
          <w:sz w:val="28"/>
          <w:sz w:val="28"/>
          <w:szCs w:val="28"/>
          <w:rtl w:val="true"/>
          <w:lang w:bidi="ar-SA"/>
        </w:rPr>
        <w:t>وتبرءا منه، فقد روى أبو طالب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البربري، حدثنا بشر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سفيان، عن أبي إسحاق، عن قارية بن مضرب،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عند ابن عباس وهو بمكة،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عباس حديث يرويه أهل العراق عنك وطاووس مولاك 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أبقت الفرائض فلأولى عصبة 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أهل العراق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من وراءك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آبَاؤُكُمْ وَأَبْنَاؤُكُمْ لا تَدْرُونَ أَيُّهُمْ أَقْرَبُ لَكُمْ نَفْعاً فَرِيضَةً مِنْ اللَّهِ</w:t>
      </w:r>
      <w:r>
        <w:rPr>
          <w:rFonts w:eastAsia="Amiri" w:cs="Amiri" w:ascii="Amiri" w:hAnsi="Amiri"/>
          <w:color w:val="111111"/>
          <w:sz w:val="28"/>
          <w:szCs w:val="28"/>
          <w:rtl w:val="true"/>
          <w:lang w:bidi="ar-SA"/>
        </w:rPr>
        <w:t>»</w:t>
      </w:r>
      <w:r>
        <w:rPr>
          <w:rStyle w:val="FootnoteAnchor"/>
          <w:rtl w:val="true"/>
        </w:rPr>
        <w:footnoteReference w:id="1565"/>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1566"/>
      </w:r>
      <w:r>
        <w:rPr>
          <w:rFonts w:ascii="Amiri" w:hAnsi="Amiri" w:eastAsia="Amiri" w:cs="Amiri"/>
          <w:color w:val="111111"/>
          <w:sz w:val="28"/>
          <w:sz w:val="28"/>
          <w:szCs w:val="28"/>
          <w:rtl w:val="true"/>
          <w:lang w:bidi="ar-SA"/>
        </w:rPr>
        <w:t>وهل هذه إلاّ فريضتان؟ وهل أبقتا شيئاً؟ ما قلت هذا، ولا طاووس يرويه عليّ، قال قارية بن مضرب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طاووساً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رويت هذا على ابن عباس قط، وإنما الشيطان ألقاه على ألسنتهم،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من قبل ابنه عبد الله بن طاووس، فإنه كان على خاتم سليمان بن عبد الملك، وكان يحمل على هؤلاء القوم حملاً شديداً ـ يعني بني هاشم ـ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ونقله ابن حجر في تهذيب التهذيب</w:t>
      </w:r>
      <w:r>
        <w:rPr>
          <w:rStyle w:val="FootnoteAnchor"/>
          <w:rtl w:val="true"/>
        </w:rPr>
        <w:footnoteReference w:id="1568"/>
      </w:r>
      <w:r>
        <w:rPr>
          <w:rFonts w:ascii="Amiri" w:hAnsi="Amiri" w:eastAsia="Amiri" w:cs="Amiri"/>
          <w:color w:val="111111"/>
          <w:sz w:val="28"/>
          <w:sz w:val="28"/>
          <w:szCs w:val="28"/>
          <w:rtl w:val="true"/>
          <w:lang w:bidi="ar-SA"/>
        </w:rPr>
        <w:t>، وابن عقيل في العتب الجميل</w:t>
      </w:r>
      <w:r>
        <w:rPr>
          <w:rStyle w:val="FootnoteAnchor"/>
          <w:rtl w:val="true"/>
        </w:rPr>
        <w:footnoteReference w:id="1569"/>
      </w:r>
      <w:r>
        <w:rPr>
          <w:rFonts w:ascii="Amiri" w:hAnsi="Amiri" w:eastAsia="Amiri" w:cs="Amiri"/>
          <w:color w:val="111111"/>
          <w:sz w:val="28"/>
          <w:sz w:val="28"/>
          <w:szCs w:val="28"/>
          <w:rtl w:val="true"/>
          <w:lang w:bidi="ar-SA"/>
        </w:rPr>
        <w:t>، كماذكره الشيخ في الخلاف</w:t>
      </w:r>
      <w:r>
        <w:rPr>
          <w:rStyle w:val="FootnoteAnchor"/>
          <w:rtl w:val="true"/>
        </w:rPr>
        <w:footnoteReference w:id="1570"/>
      </w:r>
      <w:r>
        <w:rPr>
          <w:rFonts w:ascii="Amiri" w:hAnsi="Amiri" w:eastAsia="Amiri" w:cs="Amiri"/>
          <w:color w:val="111111"/>
          <w:sz w:val="28"/>
          <w:sz w:val="28"/>
          <w:szCs w:val="28"/>
          <w:rtl w:val="true"/>
          <w:lang w:bidi="ar-SA"/>
        </w:rPr>
        <w:t xml:space="preserve">إلاّ أنّ فيه أنّ الراوي هو حارثة بن مضرب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قارية بن مضرب</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سند الرواية مخدوش، ولا يمكن الاعتماد عليها من هذه الجهة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ضعف الدلالة فمع الغضّ عن اختلال لفظ الحديث وعدم صحته إعراباً حيث إنه ـ بناء على اللفظ الأول ـ جعل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صفةً لرجل، ولا فائدة فيه، بل هو لغو حتى على فرض  التوكيد، وبناء على اللفظ الثاني جعل لفظ ذكر صفة لعصبة وهو غير وجيه، فإنّ عصبة جمع لعاصب فلا يوصف بالمفرد في هذا المورد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غير تامة، وذلك لأنّ المذكور في أصل الحديث هو اللفظ الأول، وليس فيه ذكر للعصبة، فإنّ معنى أولى رجل ذكر هو الأقرب للميّت من الذكور، فلعلّ المراد هو الإبن أو من هو في طبقته، وهذا ينطبق على قاعدة التوريث، فإنّ الزيادة تردّ للولد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أنّ اللفظ هو عصبة، فقد ذكر الشوكاني أنّ هذه اللفظة ليست محفوظة، وإنما وقعت عند صاحب النهاية والغزالي وغيرهما من أهل الفقه</w:t>
      </w:r>
      <w:r>
        <w:rPr>
          <w:rStyle w:val="FootnoteAnchor"/>
          <w:rtl w:val="true"/>
        </w:rPr>
        <w:footnoteReference w:id="1571"/>
      </w:r>
      <w:r>
        <w:rPr>
          <w:rFonts w:ascii="Amiri" w:hAnsi="Amiri" w:eastAsia="Amiri" w:cs="Amiri"/>
          <w:color w:val="111111"/>
          <w:sz w:val="28"/>
          <w:sz w:val="28"/>
          <w:szCs w:val="28"/>
          <w:rtl w:val="true"/>
          <w:lang w:bidi="ar-SA"/>
        </w:rPr>
        <w:t>، ثم إنّ الحديث وإن ذكر في توجيهه أكثر من عشرة وجوه ـ كما في عمدة القارىء</w:t>
      </w:r>
      <w:r>
        <w:rPr>
          <w:rStyle w:val="FootnoteAnchor"/>
          <w:rtl w:val="true"/>
        </w:rPr>
        <w:footnoteReference w:id="1572"/>
      </w:r>
      <w:r>
        <w:rPr>
          <w:rFonts w:ascii="Amiri" w:hAnsi="Amiri" w:eastAsia="Amiri" w:cs="Amiri"/>
          <w:color w:val="111111"/>
          <w:sz w:val="28"/>
          <w:sz w:val="28"/>
          <w:szCs w:val="28"/>
          <w:rtl w:val="true"/>
          <w:lang w:bidi="ar-SA"/>
        </w:rPr>
        <w:t xml:space="preserve"> ـ إلاّ أنها من جهة المعنى ترجع إلى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الرواية هو أنّ الباقي من التركة لمن لم يكن له فريضة وهو الولد، إذ بعد استيفاء الفرائض وأخذ كلّ ذي فرض فرضه يعطى  الباقي لمن ليس له فريضة إذا كان في طبقة أهل الفريضة وهو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هو أنّ الباقي يعطى للعصبة إذا كان ذكراً سواء كان هو الولد أو غيره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الرواية هو أنّ الميّت إذا كان رجلاً فالباقي من المال يُعطى لقريبه الذكر، بناء على أنّ لفظ ذكر صفة لأولى لا لرجل، على ما </w:t>
      </w:r>
    </w:p>
    <w:p>
      <w:pPr>
        <w:pStyle w:val="BookText"/>
        <w:rPr/>
      </w:pPr>
      <w:r>
        <w:rPr>
          <w:rFonts w:ascii="Amiri" w:hAnsi="Amiri" w:eastAsia="Amiri" w:cs="Amiri"/>
          <w:color w:val="111111"/>
          <w:sz w:val="28"/>
          <w:sz w:val="28"/>
          <w:szCs w:val="28"/>
          <w:rtl w:val="true"/>
          <w:lang w:bidi="ar-SA"/>
        </w:rPr>
        <w:t>ذكره في عمدة القارىء ونسبه إلى  السهيلي</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والأقرب من هذه الوجوه هو الأول، لأنّ الأخيرين على خلاف إجماعهم، ولم يذهب أحد من فقهائهم إلى القول بوجوب إعطاء باقي المال للعصبة فقط، أو إلى الباقي من الذكور فقط دون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التسليم فالرواية مجملة ولا يمكن التمسك بها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معارضة بعدة روايات من طرق العامّة وبروايات متواترة من طرق الخاصّة وسيأتي 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في نفسه غير صالح للاستدلال به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الحديث الثاني فإنه ضعيف السند والدلالة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ضعف السند فإنّ فيه عبد الله بن محمد بن عقيل، وإليه تنتهي كلّ الطرق،وهو ممّن ضعّف، كما في الجرح والتعديل</w:t>
      </w:r>
      <w:r>
        <w:rPr>
          <w:rStyle w:val="FootnoteAnchor"/>
          <w:rtl w:val="true"/>
        </w:rPr>
        <w:footnoteReference w:id="1574"/>
      </w:r>
      <w:r>
        <w:rPr>
          <w:rFonts w:ascii="Amiri" w:hAnsi="Amiri" w:eastAsia="Amiri" w:cs="Amiri"/>
          <w:color w:val="111111"/>
          <w:sz w:val="28"/>
          <w:sz w:val="28"/>
          <w:szCs w:val="28"/>
          <w:rtl w:val="true"/>
          <w:lang w:bidi="ar-SA"/>
        </w:rPr>
        <w:t>، والكامل</w:t>
      </w:r>
      <w:r>
        <w:rPr>
          <w:rStyle w:val="FootnoteAnchor"/>
          <w:rtl w:val="true"/>
        </w:rPr>
        <w:footnoteReference w:id="1575"/>
      </w:r>
      <w:r>
        <w:rPr>
          <w:rFonts w:ascii="Amiri" w:hAnsi="Amiri" w:eastAsia="Amiri" w:cs="Amiri"/>
          <w:color w:val="111111"/>
          <w:sz w:val="28"/>
          <w:sz w:val="28"/>
          <w:szCs w:val="28"/>
          <w:rtl w:val="true"/>
          <w:lang w:bidi="ar-SA"/>
        </w:rPr>
        <w:t>، ونقل العسقلاني في التهذيب عن ابن سعد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منكر الحديث لا يحتجّون بحديثه، وعن ابن خزيمة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أحتجّ به لسوء حفظه، وعن ابن حبان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رديء الحفظ، يحدث على التوهم فيجيء بالخبر على غير سننه، فوجب مجانبة أخباره</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يشهد على ذلك</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داود أخرج الحديث في سننه بلفظ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مسدد، ثنا بشر بن المفضل، ثنا عبد الله بن عقيل،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جئنا امرأة من الأنصار في الأسواق، فجاءت المرأة </w:t>
      </w:r>
    </w:p>
    <w:p>
      <w:pPr>
        <w:pStyle w:val="BookText"/>
        <w:rPr/>
      </w:pPr>
      <w:r>
        <w:rPr>
          <w:rFonts w:ascii="IRNazanin" w:hAnsi="IRNazanin" w:eastAsia="IRNazanin"/>
          <w:color w:val="111111"/>
          <w:sz w:val="28"/>
          <w:sz w:val="28"/>
          <w:szCs w:val="28"/>
          <w:rtl w:val="true"/>
          <w:lang w:bidi="fa-IR"/>
        </w:rPr>
        <w:t xml:space="preserve">بابنتين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هاتان بنتا ثابت بن قيس قتل معك يوم أحد، وقد استفاء عمّهما مالهما وميراثهما كلّه فلم يدع لهما مالاً إلاّ أخذه، فما ترى يا رسول الله؟ فوالله لا تنكحان أبداً إلاّ ولهما مال،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يقضي الله في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ونزلت سورة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يُوصِيكُمْ اللَّهُ فِي أَوْلادِكُمْ</w:t>
      </w:r>
      <w:r>
        <w:rPr>
          <w:rFonts w:eastAsia="IRNazanin" w:cs="IRNazanin"/>
          <w:color w:val="111111"/>
          <w:sz w:val="28"/>
          <w:szCs w:val="28"/>
          <w:rtl w:val="true"/>
          <w:lang w:bidi="fa-IR"/>
        </w:rPr>
        <w:t>»</w:t>
      </w:r>
      <w:r>
        <w:rPr>
          <w:rStyle w:val="FootnoteAnchor"/>
          <w:rtl w:val="true"/>
        </w:rPr>
        <w:footnoteReference w:id="1577"/>
      </w:r>
      <w:r>
        <w:rPr>
          <w:rFonts w:ascii="IRNazanin" w:hAnsi="IRNazanin" w:eastAsia="IRNazanin"/>
          <w:color w:val="111111"/>
          <w:sz w:val="28"/>
          <w:sz w:val="28"/>
          <w:szCs w:val="28"/>
          <w:rtl w:val="true"/>
          <w:lang w:bidi="fa-IR"/>
        </w:rPr>
        <w:t>الآية،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المرأة وصاحبها فقال لعمّهما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أعطهما الثلثين، وأعط أمّهما الثمن، وما بقي فلك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بنتا سعد بن الربيع، وثابت بن قيس قتل يوم اليمامة</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ذلك أنّ عبد الله بن محمد بن عقيل قد نقل القضية تارة في بنتي سعد بن الربيع، وأخرى في بنتي ثابت بن قيس، وهو شاهد على سوء الحفظ وعدم التثبّت</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كثير قد روى في جامعه عن عبد الله بن محمد ما يخالف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يعقوب، حدثنا أبي عن ابن إسحاق، حدثني عبد الله بن محمد بن عقيل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جابر بن عبد الله الأنصاري أخي بني سلمة، ومعي محمد بن عمرو بن حسن بن علي، وأبو  الأسباط مولى لعبد الله بن جعفر، كان يتبع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فسألناه عن الوضوء مما مسّت النار من الطعام،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أريد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مسجده فلم أجده، فسألت عنه،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بالأسواق عند بنات سعد بن الربيع أخي بلحرث بن الحرث من الخزرج، يقسم بينهنّ ميراثهنّ من أبيهنّ،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 أول نسوة ورثن من أبيهنّ في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حتى جئت الأسواق، وهو مال سعد بن الربيع، </w:t>
      </w:r>
    </w:p>
    <w:p>
      <w:pPr>
        <w:pStyle w:val="BookText"/>
        <w:rPr/>
      </w:pPr>
      <w:r>
        <w:rPr>
          <w:rFonts w:ascii="IRNazanin" w:hAnsi="IRNazanin" w:eastAsia="IRNazanin"/>
          <w:color w:val="111111"/>
          <w:sz w:val="28"/>
          <w:sz w:val="28"/>
          <w:szCs w:val="28"/>
          <w:rtl w:val="true"/>
          <w:lang w:bidi="fa-IR"/>
        </w:rPr>
        <w:t xml:space="preserve">فوجدت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صور من نخل قد رش له فهو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 بغداء من خبز ولحم قد صنع له، فأكل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وأكل القوم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بال، ثم توضّأ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للظهر، وتوضّأ القوم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صلّى بهم الظهر،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قعد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ما بقي من قسمته لهنّ حتى حضرت الصلاة وفرغ أمره منهنّ،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غذائه من الخبز واللحم، فأكل، وأكل القوم معه، ثم نهض فصلّى بنا العصر، وما مسّ ماءً ولا أحد من القوم</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هذه الرواية ذكر أنّ لسعد بنات لا بنتين، ولم يذكر فيهما الأمّ ولا العمّ، وذلك مما يؤكّد على أنّ عبد الله بن محمد بن عقيل رديء الحفظ ولا يعتمد على شيء من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ورد في الصحيحين عن جابر بن عبد الله نفسه ما هو على خلاف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قتيبة بن سعيد، حدثنا سفيان، عن محمد بن المنكدر، سمع جابر بن عبد الله رضي  الله عنهما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مرضت فعادني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بكر، وهما ماشيان، فأتاني وقد أغمي علي فتوضّأ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 عليّ وضوءه فأفقت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كيف أصنع في مالي؟ كيف أقضي في مالي؟ فلم يجبني بشيء حتى نزلت آية المواريث</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مسلم في صحيحه</w:t>
      </w:r>
      <w:r>
        <w:rPr>
          <w:rStyle w:val="FootnoteAnchor"/>
          <w:rtl w:val="true"/>
        </w:rPr>
        <w:footnoteReference w:id="1581"/>
      </w:r>
      <w:r>
        <w:rPr>
          <w:rFonts w:ascii="Amiri" w:hAnsi="Amiri" w:eastAsia="Amiri" w:cs="Amiri"/>
          <w:color w:val="111111"/>
          <w:sz w:val="28"/>
          <w:sz w:val="28"/>
          <w:szCs w:val="28"/>
          <w:rtl w:val="true"/>
          <w:lang w:bidi="ar-SA"/>
        </w:rPr>
        <w:t>مع اختلاف يسير</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لفظ آخر لمسلم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بكر في بنيسلمة يمشيان، فوجدني لا أعقل، فدعا بماء فتوضّأ ثم رشّ عليّ منه فأفقت فقلت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كيف أصنع في مالي يا رسول الله؟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يعودني وأنا مريض في بني سلمة،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كيف أقسم مالي بين ولدي؟ فلم يردّ عليّ شيئاً،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يظهر أن الرواية المذكورة ـ مع هذا الاختلاف والاشتباه ـ لا تصلح أن تكون دليلاً على المدّعى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ضعف الدلالة فمضافاً إلى أنّ 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المورد لم يعلم وجهه إذ لم ينص على أنه توريث للعصبة، ولعله كان لوجه آخر كأن يكون المال تعويضاً للعمّ على قيامه بشأن البنتين، أو لحفظه مالهما، وقد احتمل صاحب الوسائل أنّ الحكم هنا على وجه الصلح مع رضا الوارث بذلك وإرادة تأليف قلب العمّ</w:t>
      </w:r>
      <w:r>
        <w:rPr>
          <w:rStyle w:val="FootnoteAnchor"/>
          <w:rtl w:val="true"/>
        </w:rPr>
        <w:footnoteReference w:id="1584"/>
      </w:r>
      <w:r>
        <w:rPr>
          <w:rFonts w:ascii="Amiri" w:hAnsi="Amiri" w:eastAsia="Amiri" w:cs="Amiri"/>
          <w:color w:val="111111"/>
          <w:sz w:val="28"/>
          <w:sz w:val="28"/>
          <w:szCs w:val="28"/>
          <w:rtl w:val="true"/>
          <w:lang w:bidi="ar-SA"/>
        </w:rPr>
        <w:t>، أو لغير ذلك، أنّ الرواية معارضة بغيرها من روايات العامة والخاصّة كما سيأتي</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الحديث الثالث فهو ضعيف السند والدلالة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ضعف السند ففيه أبو قيس الأودي، وهو عبد الرحمن بن ثروان، وقد اختلفوا فيه، ونقل ابن حجر في التهذيب عن أبي حاتم أنه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بقوي هو قليل الحديث وليس بحافظ، وعن عبد الله بن أحمد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في أحاديثه</w:t>
      </w:r>
      <w:r>
        <w:rPr>
          <w:rStyle w:val="FootnoteAnchor"/>
          <w:rtl w:val="true"/>
        </w:rPr>
        <w:footnoteReference w:id="1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العقيلي في الضعفاء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أبي قيس عبد الرحمن بن ثروان،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كذا وكذا أو حرّك </w:t>
      </w:r>
    </w:p>
    <w:p>
      <w:pPr>
        <w:pStyle w:val="BookText"/>
        <w:rPr/>
      </w:pPr>
      <w:r>
        <w:rPr>
          <w:rFonts w:ascii="Amiri" w:hAnsi="Amiri" w:eastAsia="Amiri" w:cs="Amiri"/>
          <w:color w:val="111111"/>
          <w:sz w:val="28"/>
          <w:sz w:val="28"/>
          <w:szCs w:val="28"/>
          <w:rtl w:val="true"/>
          <w:lang w:bidi="ar-SA"/>
        </w:rPr>
        <w:t>يده، وهو يخالف في أحاديث</w:t>
      </w:r>
      <w:r>
        <w:rPr>
          <w:rStyle w:val="FootnoteAnchor"/>
          <w:rtl w:val="true"/>
        </w:rPr>
        <w:footnoteReference w:id="1586"/>
      </w:r>
      <w:r>
        <w:rPr>
          <w:rFonts w:ascii="Amiri" w:hAnsi="Amiri" w:eastAsia="Amiri" w:cs="Amiri"/>
          <w:color w:val="111111"/>
          <w:sz w:val="28"/>
          <w:sz w:val="28"/>
          <w:szCs w:val="28"/>
          <w:rtl w:val="true"/>
          <w:lang w:bidi="ar-SA"/>
        </w:rPr>
        <w:t>، فما في المحلّى عن أبي علي من أنّ أبا قيس ثقة ما نعلم أحداً جرحه بجرحة يجب بها إسقاط روايته فالواجب الأخذ بما روى</w:t>
      </w:r>
      <w:r>
        <w:rPr>
          <w:rStyle w:val="FootnoteAnchor"/>
          <w:rtl w:val="true"/>
        </w:rPr>
        <w:footnoteReference w:id="1587"/>
      </w:r>
      <w:r>
        <w:rPr>
          <w:rFonts w:ascii="Amiri" w:hAnsi="Amiri" w:eastAsia="Amiri" w:cs="Amiri"/>
          <w:color w:val="111111"/>
          <w:sz w:val="28"/>
          <w:sz w:val="28"/>
          <w:szCs w:val="28"/>
          <w:rtl w:val="true"/>
          <w:lang w:bidi="ar-SA"/>
        </w:rPr>
        <w:t>، غير 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ضعف الدلالة ففيها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الاحتجاج في الرواية إنما هو بفعل النبي لا بقوله، ولعلّ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لخصوصية في المورد لا نعلم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وإن نسب إلى فقهاء العامة إلاّ أن وجهه غير ظاهر، وذلك لأنّ بنت الإبن لا يخلو حالها من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بمنزلة الإبن،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بمنزلة البنت،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لها إرث العصبة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التقادير الثلاثة لا يكون نصيبها السدس كما هو في الرواية، بل يكون نصيبها على التقدير الأول باقي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 الثاني يكون نصيبها الثلث، وعلى التقدير الثالث يكون المال بينها وبين الأخت مناصفة، فالحكم بأنّ لهاالسدس مما لا وجه له، وما ورد في الرواية من أنّ السدس تكملة الثلثين بلا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لذلك لم يخرجه مسلم والنسائي في صحيحهما إذ لا يصحّ التمسّك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الحديث الرابع ففيه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يصلح لأن يكون دليلاً على المدعى لأنّ قضاء معاذ إنّما هو اجتهاد من نفسه، ولم يسنده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فرض صحة الاحتجاج بفعل الصحابي إلاّ أنه ليس دليلاً مستقلاًّ يمكن الاعتماد عليه وحده</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ورد في الروايات من طرقهم ما هو على خلاف ذلك، فقد </w:t>
      </w:r>
    </w:p>
    <w:p>
      <w:pPr>
        <w:pStyle w:val="BookText"/>
        <w:rPr/>
      </w:pPr>
      <w:r>
        <w:rPr>
          <w:rFonts w:ascii="Amiri" w:hAnsi="Amiri" w:eastAsia="Amiri" w:cs="Amiri"/>
          <w:color w:val="111111"/>
          <w:sz w:val="28"/>
          <w:sz w:val="28"/>
          <w:szCs w:val="28"/>
          <w:rtl w:val="true"/>
          <w:lang w:bidi="ar-SA"/>
        </w:rPr>
        <w:t>أخرج البيهقي في سننه بسنده عن حيان بياع الأنماط،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سويد بن غفلة فأتى في ابنة، وامرأة، ومولى،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رضي الله عنه يعطي الإبنة النصف، والمرأة الثمن، ويردّ ما بقي على الإبنة</w:t>
      </w:r>
      <w:r>
        <w:rPr>
          <w:rStyle w:val="FootnoteAnchor"/>
          <w:rtl w:val="true"/>
        </w:rPr>
        <w:footnoteReference w:id="1588"/>
      </w:r>
      <w:r>
        <w:rPr>
          <w:rFonts w:ascii="Amiri" w:hAnsi="Amiri" w:eastAsia="Amiri" w:cs="Amiri"/>
          <w:color w:val="111111"/>
          <w:sz w:val="28"/>
          <w:sz w:val="28"/>
          <w:szCs w:val="28"/>
          <w:rtl w:val="true"/>
          <w:lang w:bidi="ar-SA"/>
        </w:rPr>
        <w:t>، وستأتي الرواية بلفظ آخر، كما سنذكر جملة من روايات العامة الدالة على عدم توريث العصبة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فقهاء العامة يذهبون إلى أنّه إذا كان للميت بنتان وعمّ، وابنة ابن، فللبنتين الثلثان، والباقي للعمّ، ولاتعطى ابنة الإبن شيئاً، ولكن إذا كان مع ابنة الإبن ابن ابن فالباقي بينهما بالسوية، وإذا كان للميت بنت وأب فللبنت النصف، وللأب السدس، والباقي يردّ عليه، ولا تعطى العصبة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الموارد وغيرها على خلاف مذهبهم في توريث العصبة 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الحديث الخامس فهو أضعف الكل دلالة وإن قيل إنه من جهة السند متفق عليه،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ألفاظه، ففي بعض طرقه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ترك مالاً فلورثته،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ترك مالاً فماله لموالي العصبة،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ترك مالاً فهو لورثته،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وأيّكم ترك مالاً فإلى العصبة من كان،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وأيّكم ما ترك مالاً فليؤثر بماله عصبته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هذه الاختلافات فكيف يمكن الركون إليه أو جعل أحد ألفاظه مستنداً للحكم</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فرض التسليم وصحة الاستناد إلى أحد هذه الألفاظ وهو لفظ العصبة، لكن الظاهر من الرواية أنّ المراد هو أنّ الميراث لأقرباء الميت وورّاثه في مقابل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ترك كلاًّ أو ضياعاً فأنا وليّه، أو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فأيّكم ما </w:t>
      </w:r>
    </w:p>
    <w:p>
      <w:pPr>
        <w:pStyle w:val="BookText"/>
        <w:rPr/>
      </w:pPr>
      <w:r>
        <w:rPr>
          <w:rFonts w:ascii="Amiri" w:hAnsi="Amiri" w:eastAsia="Amiri" w:cs="Amiri"/>
          <w:color w:val="111111"/>
          <w:sz w:val="28"/>
          <w:sz w:val="28"/>
          <w:szCs w:val="28"/>
          <w:rtl w:val="true"/>
          <w:lang w:bidi="ar-SA"/>
        </w:rPr>
        <w:t>ترك ديناً أو ضياعاً فأنا مولاه، أو نحو ذلك مما تقدم، وليس المراد من العصبة هو ما اصطلح عليه العامة من إعطاء الزائد على الفريضة أقرباء الميت ممن لا فرض له أو ليس في طبقة الورّاث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يؤكّد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الميراث قد يكون بمقدار السّهام من دون زيادة أصلاً فكيف تفسر العصبة بذلك، فالرواية أجنبية عن المدّعى وعلى فرض التنزّل فهي مجملة، ولا تصلح أن تكون دليلاً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لم نقف على رواية واحدة تامة السند والدلالة يمكن الركون إليها، والاعتماد عليها، والتمسك بها، وجعلها مستنداً لهذا الحكم المهم بحيث نخرج بها عن قواعد الميراث وأحكام الفرائض وطبقاته، وتكون مسوغاً للتصرّففي أموال اليتامى والقصّر وإعطائها إلى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فهو وإن ادّعاه في المحلّى في مواضع متعددة</w:t>
      </w:r>
      <w:r>
        <w:rPr>
          <w:rStyle w:val="FootnoteAnchor"/>
          <w:rtl w:val="true"/>
        </w:rPr>
        <w:footnoteReference w:id="1589"/>
      </w:r>
      <w:r>
        <w:rPr>
          <w:rFonts w:ascii="Amiri" w:hAnsi="Amiri" w:eastAsia="Amiri" w:cs="Amiri"/>
          <w:color w:val="111111"/>
          <w:sz w:val="28"/>
          <w:sz w:val="28"/>
          <w:szCs w:val="28"/>
          <w:rtl w:val="true"/>
          <w:lang w:bidi="ar-SA"/>
        </w:rPr>
        <w:t xml:space="preserve">إلاّ أنه غير تام، وقد نقلنا قول السيد المرتضى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ادّعاء الإجماع على قولهم في التعصيب غير ممكن، مع الخلاف المعروف المسطور فيه سالفاً وآنفاً، فإنّ ابن عباس رحمة الله عليه كان يخالفهم في التعصيب، ويذهب إلى مثل مذهب الإمامية، ويقول فيمن خلّف ابنة وأختاً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كلّه للإبنة دون الأخت، ووافقه في ذلك جابر بن عبد الله، وحكى الساجي أنّ عبد الله بن الزبير قضى أيضاً بذلك، وحكى الطبري مثله، ورويت موافقة ابن عباس عن إبراهيم النخعي في رواية الأعمش عنه، واختاره داود بن علي الأصفهاني حيث إنه لم يجعل الأخوات عصبة مع البنات</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تحقق الإجماع مع هذا الخلاف تحكّم وتعسّف</w:t>
      </w:r>
      <w:r>
        <w:rPr>
          <w:rFonts w:eastAsia="Amiri" w:cs="Amiri" w:ascii="Amiri" w:hAnsi="Amiri"/>
          <w:color w:val="111111"/>
          <w:sz w:val="28"/>
          <w:szCs w:val="28"/>
          <w:rtl w:val="true"/>
          <w:lang w:bidi="ar-SA"/>
        </w:rPr>
        <w:t xml:space="preserve">. </w:t>
      </w:r>
      <w:bookmarkStart w:id="207" w:name="pg16406_258840"/>
    </w:p>
    <w:p>
      <w:pPr>
        <w:pStyle w:val="BookText"/>
        <w:rPr/>
      </w:pPr>
      <w:bookmarkEnd w:id="207"/>
      <w:r>
        <w:rPr>
          <w:rFonts w:ascii="IRNazanin" w:hAnsi="IRNazanin" w:eastAsia="IRNazanin"/>
          <w:color w:val="111111"/>
          <w:sz w:val="28"/>
          <w:sz w:val="28"/>
          <w:szCs w:val="28"/>
          <w:rtl w:val="true"/>
          <w:lang w:bidi="fa-IR"/>
        </w:rPr>
        <w:t xml:space="preserve">وعلى فرض التسليم وتحقّقه فلا تخلو حجّية الإجماع إما أن تكون من جهة كشفه عن السنة وأنهم قد أخذوا ذلك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فيرجع الأمر إلى السنّة وقد تقدم البحث فيها وأنه لم يثبت منها شيء يحتج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أن تكون من جهة وجود المعصوم ـ في المجمعين ـ الذي يكون قوله وفعله حجّة فهذا غير محرز، بل المحرز عدمه، فالاستدلال بالإجماع ضعيفجدّاً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خلوّ أكثر كتبهم عن دعواه</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7246595_1280447820"/>
      <w:bookmarkStart w:id="209" w:name="_Toc68"/>
      <w:bookmarkEnd w:id="208"/>
      <w:r>
        <w:rPr>
          <w:rtl w:val="true"/>
        </w:rPr>
        <w:t>أدلّة النافين</w:t>
      </w:r>
      <w:r>
        <w:rPr>
          <w:rtl w:val="true"/>
        </w:rPr>
        <w:t>:</w:t>
      </w:r>
      <w:bookmarkEnd w:id="209"/>
    </w:p>
    <w:p>
      <w:pPr>
        <w:pStyle w:val="BookText"/>
        <w:rPr/>
      </w:pPr>
      <w:r>
        <w:rPr>
          <w:rFonts w:ascii="Amiri" w:hAnsi="Amiri" w:eastAsia="Amiri" w:cs="Amiri"/>
          <w:color w:val="111111"/>
          <w:sz w:val="28"/>
          <w:sz w:val="28"/>
          <w:szCs w:val="28"/>
          <w:rtl w:val="true"/>
          <w:lang w:bidi="ar-SA"/>
        </w:rPr>
        <w:t>واستدلّ الإماميّة على بطلان التعصيب بالأدلة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والإجماع،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الكتاب فقد استدلوا بعدة آيات أهمها ثلاث</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1591"/>
      </w:r>
      <w:r>
        <w:rPr>
          <w:rFonts w:ascii="Amiri" w:hAnsi="Amiri" w:eastAsia="Amiri" w:cs="Amiri"/>
          <w:color w:val="111111"/>
          <w:sz w:val="28"/>
          <w:sz w:val="28"/>
          <w:szCs w:val="28"/>
          <w:rtl w:val="true"/>
          <w:lang w:bidi="ar-SA"/>
        </w:rPr>
        <w:t>وهذه الآية قد وردت في موضعين من القرآن الكريم، والمراد بالأولويّة فيهما أولوية التوارث كما نصّ على ذلك المفسّرون</w:t>
      </w:r>
      <w:r>
        <w:rPr>
          <w:rStyle w:val="FootnoteAnchor"/>
          <w:rtl w:val="true"/>
        </w:rPr>
        <w:footnoteReference w:id="1592"/>
      </w:r>
      <w:r>
        <w:rPr>
          <w:rFonts w:ascii="Amiri" w:hAnsi="Amiri" w:eastAsia="Amiri" w:cs="Amiri"/>
          <w:color w:val="111111"/>
          <w:sz w:val="28"/>
          <w:sz w:val="28"/>
          <w:szCs w:val="28"/>
          <w:rtl w:val="true"/>
          <w:lang w:bidi="ar-SA"/>
        </w:rPr>
        <w:t>، ونطقت به الروايات الواردة في تفسير الآية الشريفة</w:t>
      </w:r>
      <w:r>
        <w:rPr>
          <w:rStyle w:val="FootnoteAnchor"/>
          <w:rtl w:val="true"/>
        </w:rPr>
        <w:footnoteReference w:id="1593"/>
      </w:r>
      <w:r>
        <w:rPr>
          <w:rFonts w:ascii="IRNazanin" w:hAnsi="IRNazanin" w:eastAsia="IRNazanin"/>
          <w:color w:val="111111"/>
          <w:sz w:val="28"/>
          <w:sz w:val="28"/>
          <w:szCs w:val="28"/>
          <w:rtl w:val="true"/>
          <w:lang w:bidi="fa-IR"/>
        </w:rPr>
        <w:t>، وهي تنسخ ولاية الإرث بالمؤاخاة التي أجراها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المسلمين في أول الهجرة والموالاة في الدين وتثبت الإرث بالقرابة</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وتقريب الاستدلال بالآية هو أنّ التوارث كان في الجاهلية لأولي القدرة من الرجال دون النساء، والكبار دون الصغار، وقد قيل إنه كان في صدر الإسلامبالحلف والهجرة والمؤاخاة والمعاقدة، فلما نزلت هذه الآية وغيرها من الآيات الواردة في بيان الفرائض نسخت كلّ ذلك، وبيّنت أنه لا فرق بين الصغير والكبير، أو الرجل والمرأة في استحقاق الإرث، ونتج عنه ضابطة كليّة وقاعدة شاملة كما هو الظاهر من الآية المباركة، وهي أنّ المناط في الاستحقاق هو الأقربية من أولي الأرحام فالأقرب، ولا يرث المتأخر مع وجود المتقدّم بل يتعين المتقدّم، وهو من يكون أقرب إلى الميت رحماً بلا فرق في ذلك بين الرجل والمرأة، ولا بين الكبير والصغير، ومن ذلك تنشعب طبقات الإرث فمن كان انتسابه إلى الميت مباشراً فهو في  الطبقة الأولى وهو الأولى بالإرث ممن ينتسب إلى الميت بالواسطة، ولا حقّ للمتأخر مع وجود المتقدم، وتتمثل الطبقة الأولى في الأولاد ذكوراً كانوا أو إناثاً وفي الأبوين، ثم تليهم الطبقة الثانية وهي التي تنتسب إلى الميت بواسطة واحدة، وهم الأخوة والأخوات والأجداد والجدّات لأنهم ينتسبون إلى الميت بواسطة الأب أو الأم فهم  الأولى بالإرث ـ مع عدم الطبقة الأولى ـ ممن ينتسب إلى الميت بواسطتين حيث تتشكّل منهم الطبقة الثالثة وهم الأعمام والعمّات والأخوال والخالات فإنّهم ينتسبون إلى الميّت بواسطة الأب والجدّ أو الأم والجدّة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الأولاد في كلّ طبقة يقومون مقام آبائهم في استحقاق الإرث، وأما الزوجان فإنّهما يرثان مع كل هذه الطبقات</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فقدت طبقات ذوي الأرحام جميعاً انتقل الميراث إلى ولاء العتق إن كان، ومع عدمه ينتقل إلى ولاء ضمان الجريرة، ومع عدمه فإلى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p>
    <w:p>
      <w:pPr>
        <w:pStyle w:val="BookText"/>
        <w:rPr/>
      </w:pPr>
      <w:r>
        <w:rPr>
          <w:rFonts w:ascii="IRNazanin" w:hAnsi="IRNazanin" w:eastAsia="IRNazanin"/>
          <w:color w:val="111111"/>
          <w:sz w:val="28"/>
          <w:sz w:val="28"/>
          <w:szCs w:val="28"/>
          <w:rtl w:val="true"/>
          <w:lang w:bidi="fa-IR"/>
        </w:rPr>
        <w:t xml:space="preserve">وارث من لا وارث له، كما نصّت على ذلك الروايات الواردة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الضابطة الكلية المستفادة من الآية الشريفة هي أنّ الأقرب يمنع الأبعد ذكراً كان أو أنثى صغيراً كان أو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 توريث العم أو ابن العم، أو ابن ابن الأخ، مع وجود البنت خروج عن الضابطة والقاعدة المستفادة، وخلاف للنصّ القرآني المقرّر بأنّ الأقرب أولى من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من أنّ الآية واردة في الإرث إنما هو بناء على ما في تفاسير الشيعة ورواياتهم عن أئمتهم، وذلك مما لا يسلّم به الخصم، فكيف يستدلّ بها، وتجعل ضابطة كلية على بطلان القول بالتعصيب؟</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فرض التسليم بأن مضمونها عام أو مطلق وقابل للتخصيص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مخصّصة أو مبيّنة بما ورد في السنة من توريث العصبة بعد استيفاء ذوي الفروض فروضهم، على ما تقدم من الروايات</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عن الأول 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 الغض عن أنّ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عدل الكتاب، وهم الأعلم بمراداته ومقاصده، فكان الواجب على الأمة اتباعهم والأخذ ببياناتهم لكتاب الله ـ أنّ الآية الشريفة وإن لم يكن موردها خصوص الإرث إلاّ أنه لا إشكال في عمومها وشمولها للإرث، وهو من أجلى مصاديق ما في كتاب الله، على أنه قد استشهد بها في موضوع الإرث جميع علماءالأمة حتى العامة من فقهائهم ومفسريهم فمن فقهائهم استشهد السرخسي في مبسوطه بالآية الشريفة</w:t>
      </w:r>
      <w:r>
        <w:rPr>
          <w:rStyle w:val="FootnoteAnchor"/>
          <w:rtl w:val="true"/>
        </w:rPr>
        <w:footnoteReference w:id="159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والميراث ينبني على الأقرب، قال الله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تَرَكَ الْوَالِدَانِ وَالأَقْرَبُونَ</w:t>
      </w:r>
      <w:r>
        <w:rPr>
          <w:rFonts w:eastAsia="Amiri" w:cs="Amiri" w:ascii="Amiri" w:hAnsi="Amiri"/>
          <w:color w:val="111111"/>
          <w:sz w:val="28"/>
          <w:szCs w:val="28"/>
          <w:rtl w:val="true"/>
          <w:lang w:bidi="ar-SA"/>
        </w:rPr>
        <w:t>»</w:t>
      </w:r>
      <w:r>
        <w:rPr>
          <w:rStyle w:val="FootnoteAnchor"/>
          <w:rtl w:val="true"/>
        </w:rPr>
        <w:footnoteReference w:id="1597"/>
      </w:r>
      <w:r>
        <w:rPr>
          <w:rFonts w:ascii="Amiri" w:hAnsi="Amiri" w:eastAsia="Amiri" w:cs="Amiri"/>
          <w:color w:val="111111"/>
          <w:sz w:val="28"/>
          <w:sz w:val="28"/>
          <w:szCs w:val="28"/>
          <w:rtl w:val="true"/>
          <w:lang w:bidi="ar-SA"/>
        </w:rPr>
        <w:t>وزيادة القرب تدلّ على قوة الاستحقاق</w:t>
      </w:r>
      <w:r>
        <w:rPr>
          <w:rStyle w:val="FootnoteAnchor"/>
          <w:rtl w:val="true"/>
        </w:rPr>
        <w:footnoteReference w:id="1598"/>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بعضهم أقرب فهو بالميراث أحق</w:t>
      </w:r>
      <w:r>
        <w:rPr>
          <w:rStyle w:val="FootnoteAnchor"/>
          <w:rtl w:val="true"/>
        </w:rPr>
        <w:footnoteReference w:id="1599"/>
      </w:r>
      <w:r>
        <w:rPr>
          <w:rFonts w:ascii="Amiri" w:hAnsi="Amiri" w:eastAsia="Amiri" w:cs="Amiri"/>
          <w:color w:val="111111"/>
          <w:sz w:val="28"/>
          <w:sz w:val="28"/>
          <w:szCs w:val="28"/>
          <w:rtl w:val="true"/>
          <w:lang w:bidi="ar-SA"/>
        </w:rPr>
        <w:t>، 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وميراث ذوي الأرحام يبنى على  القرب</w:t>
      </w:r>
      <w:r>
        <w:rPr>
          <w:rStyle w:val="FootnoteAnchor"/>
          <w:rtl w:val="true"/>
        </w:rPr>
        <w:footnoteReference w:id="1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استشهد بها ابن رشد في بدايته</w:t>
      </w:r>
      <w:r>
        <w:rPr>
          <w:rStyle w:val="FootnoteAnchor"/>
          <w:rtl w:val="true"/>
        </w:rPr>
        <w:footnoteReference w:id="1601"/>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المفسرين الفخر الرازي</w:t>
      </w:r>
      <w:r>
        <w:rPr>
          <w:rStyle w:val="FootnoteAnchor"/>
          <w:rtl w:val="true"/>
        </w:rPr>
        <w:footnoteReference w:id="1602"/>
      </w:r>
      <w:r>
        <w:rPr>
          <w:rFonts w:ascii="Amiri" w:hAnsi="Amiri" w:eastAsia="Amiri" w:cs="Amiri"/>
          <w:color w:val="111111"/>
          <w:sz w:val="28"/>
          <w:sz w:val="28"/>
          <w:szCs w:val="28"/>
          <w:rtl w:val="true"/>
          <w:lang w:bidi="ar-SA"/>
        </w:rPr>
        <w:t>، والسيوطي</w:t>
      </w:r>
      <w:r>
        <w:rPr>
          <w:rStyle w:val="FootnoteAnchor"/>
          <w:rtl w:val="true"/>
        </w:rPr>
        <w:footnoteReference w:id="1603"/>
      </w:r>
      <w:r>
        <w:rPr>
          <w:rFonts w:ascii="Amiri" w:hAnsi="Amiri" w:eastAsia="Amiri" w:cs="Amiri"/>
          <w:color w:val="111111"/>
          <w:sz w:val="28"/>
          <w:sz w:val="28"/>
          <w:szCs w:val="28"/>
          <w:rtl w:val="true"/>
          <w:lang w:bidi="ar-SA"/>
        </w:rPr>
        <w:t>، والقرطبي</w:t>
      </w:r>
      <w:r>
        <w:rPr>
          <w:rStyle w:val="FootnoteAnchor"/>
          <w:rtl w:val="true"/>
        </w:rPr>
        <w:footnoteReference w:id="1604"/>
      </w:r>
      <w:r>
        <w:rPr>
          <w:rFonts w:ascii="Amiri" w:hAnsi="Amiri" w:eastAsia="Amiri" w:cs="Amiri"/>
          <w:color w:val="111111"/>
          <w:sz w:val="28"/>
          <w:sz w:val="28"/>
          <w:szCs w:val="28"/>
          <w:rtl w:val="true"/>
          <w:lang w:bidi="ar-SA"/>
        </w:rPr>
        <w:t>، فإنهم وغيرهم من مفسري العامة ذكروا أنّ الآية شاملة بعمومها للميراث، بل لم يتعرّضوا لغير موضوع الإرث في تفسيرهم للآية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أنّ بعضهم</w:t>
      </w:r>
      <w:r>
        <w:rPr>
          <w:rStyle w:val="FootnoteAnchor"/>
          <w:rtl w:val="true"/>
        </w:rPr>
        <w:footnoteReference w:id="1605"/>
      </w:r>
      <w:r>
        <w:rPr>
          <w:rFonts w:ascii="Amiri" w:hAnsi="Amiri" w:eastAsia="Amiri" w:cs="Amiri"/>
          <w:color w:val="111111"/>
          <w:sz w:val="28"/>
          <w:sz w:val="28"/>
          <w:szCs w:val="28"/>
          <w:rtl w:val="true"/>
          <w:lang w:bidi="ar-SA"/>
        </w:rPr>
        <w:t>قد تمسك بالآية الشريفة على أولوية بعض العصبةعلى بعض، واعتبروا فيها الأقرب فالأقرب فقدّموا الأخ على ابن الأخ والعم على ابن العم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الشريفة وإن سلّمنا أنها غير واردة في الإرث إلاّ أنها شاملة له، بل لا يبعد القول بأنها ظاهرة فيه، وقد تمسك بها العامة أنفسهم في استدلالاتهم</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عن الثاني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مع الغضّ أيضاً عن عدم صلاحية الاحتجاج بالروايات المتقدمة، وتخصيص الكتاب بها ـ أنّ الآية الشريفة في نفسها آبية </w:t>
      </w:r>
    </w:p>
    <w:p>
      <w:pPr>
        <w:pStyle w:val="BookText"/>
        <w:rPr/>
      </w:pPr>
      <w:r>
        <w:rPr>
          <w:rFonts w:ascii="Amiri" w:hAnsi="Amiri" w:eastAsia="Amiri" w:cs="Amiri"/>
          <w:color w:val="111111"/>
          <w:sz w:val="28"/>
          <w:sz w:val="28"/>
          <w:szCs w:val="28"/>
          <w:rtl w:val="true"/>
          <w:lang w:bidi="ar-SA"/>
        </w:rPr>
        <w:t>عن التخصيص، فكما لا يمكن التخصيص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اعْدِلُوا هُوَ أَقْرَبُ لِلتَّقْوَى</w:t>
      </w:r>
      <w:r>
        <w:rPr>
          <w:rFonts w:eastAsia="Amiri" w:cs="Amiri" w:ascii="Amiri" w:hAnsi="Amiri"/>
          <w:color w:val="111111"/>
          <w:sz w:val="28"/>
          <w:szCs w:val="28"/>
          <w:rtl w:val="true"/>
          <w:lang w:bidi="ar-SA"/>
        </w:rPr>
        <w:t>»</w:t>
      </w:r>
      <w:r>
        <w:rPr>
          <w:rStyle w:val="FootnoteAnchor"/>
          <w:rtl w:val="true"/>
        </w:rPr>
        <w:footnoteReference w:id="1606"/>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العدل واجب إلاّ في المورد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w:t>
      </w:r>
      <w:r>
        <w:rPr>
          <w:rStyle w:val="FootnoteAnchor"/>
          <w:rtl w:val="true"/>
        </w:rPr>
        <w:footnoteReference w:id="1607"/>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بالسبيل على المحسن في مورد واحد أو 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الأَعْمَى حَرَجٌ وَلا عَلَى الأَعْرَجِ حَرَجٌ وَلا عَلَى الْمَرِيضِ حَرَجٌ</w:t>
      </w:r>
      <w:r>
        <w:rPr>
          <w:rFonts w:eastAsia="Amiri" w:cs="Amiri" w:ascii="Amiri" w:hAnsi="Amiri"/>
          <w:color w:val="111111"/>
          <w:sz w:val="28"/>
          <w:szCs w:val="28"/>
          <w:rtl w:val="true"/>
          <w:lang w:bidi="ar-SA"/>
        </w:rPr>
        <w:t>»</w:t>
      </w:r>
      <w:r>
        <w:rPr>
          <w:rStyle w:val="FootnoteAnchor"/>
          <w:rtl w:val="true"/>
        </w:rPr>
        <w:footnoteReference w:id="1608"/>
      </w:r>
      <w:r>
        <w:rPr>
          <w:rFonts w:ascii="Amiri" w:hAnsi="Amiri" w:eastAsia="Amiri" w:cs="Amiri"/>
          <w:color w:val="111111"/>
          <w:sz w:val="28"/>
          <w:sz w:val="28"/>
          <w:szCs w:val="28"/>
          <w:rtl w:val="true"/>
          <w:lang w:bidi="ar-SA"/>
        </w:rPr>
        <w:t>أو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عَاقَبْتُمْ فَعَاقِبُوا بِمِثْلِ مَا عُوقِبْتُمْ بِهِ</w:t>
      </w:r>
      <w:r>
        <w:rPr>
          <w:rFonts w:eastAsia="Amiri" w:cs="Amiri" w:ascii="Amiri" w:hAnsi="Amiri"/>
          <w:color w:val="111111"/>
          <w:sz w:val="28"/>
          <w:szCs w:val="28"/>
          <w:rtl w:val="true"/>
          <w:lang w:bidi="ar-SA"/>
        </w:rPr>
        <w:t>»</w:t>
      </w:r>
      <w:r>
        <w:rPr>
          <w:rStyle w:val="FootnoteAnchor"/>
          <w:rtl w:val="true"/>
        </w:rPr>
        <w:footnoteReference w:id="1609"/>
      </w:r>
      <w:r>
        <w:rPr>
          <w:rFonts w:ascii="Amiri" w:hAnsi="Amiri" w:eastAsia="Amiri" w:cs="Amiri"/>
          <w:color w:val="111111"/>
          <w:sz w:val="28"/>
          <w:sz w:val="28"/>
          <w:szCs w:val="28"/>
          <w:rtl w:val="true"/>
          <w:lang w:bidi="ar-SA"/>
        </w:rPr>
        <w:t>ونظائرها كذلك الآية الشريفة فإنه لا يصح التخصيص فيها بوجه لأنّ في هذه الآية ونظائرها من الآيات التي هي بمثابة القواعد المحكمة إلماحاً إلى جهة واقعية تكوينية هي السبب والعلّة والمناط في الحكم، وفي هذه الآية بيان للرابطة بين الوارث والمورّث، وهي الأقربية الرحمية إلى الميّت،فحيثما تحقّق هذا المناط فلابدّ من تحقق الحكم وترتب  الأثر، ولا يصح نفيه عنه أو انسحابه على مورد خال عنه، فإذا جعلت الأقربية هي السبب في التوارث فكيف يصحّ تسرية الحكم مع وجود الأقرب إلى الأبعد، وهل هو إلاّ خلاف النص القرآني الآبي عن التخصيص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الشريفة واضحة الدلالة على إثبات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تَرَكَ الْوَالِدَانِ وَالأَقْرَبُونَ وَلِلنِّسَاءِ نَصِيبٌ مِمَّا تَرَكَ الْوَالِدَانِ وَالأَقْرَبُونَ مِمَّا قَلَّ مِنْهُ أَوْ كَثُرَ نَصِيباً مَفْرُوضاً</w:t>
      </w:r>
      <w:r>
        <w:rPr>
          <w:rFonts w:eastAsia="Amiri" w:cs="Amiri" w:ascii="Amiri" w:hAnsi="Amiri"/>
          <w:color w:val="111111"/>
          <w:sz w:val="28"/>
          <w:szCs w:val="28"/>
          <w:rtl w:val="true"/>
          <w:lang w:bidi="ar-SA"/>
        </w:rPr>
        <w:t>»</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الآية الشريفة هو اشتراك الرجال والنساء في الطبقة الواحدة في استحقاق الإرث، وهي في مقام الرّد </w:t>
      </w:r>
    </w:p>
    <w:p>
      <w:pPr>
        <w:pStyle w:val="BookText"/>
        <w:rPr/>
      </w:pPr>
      <w:r>
        <w:rPr>
          <w:rFonts w:ascii="Amiri" w:hAnsi="Amiri" w:eastAsia="Amiri" w:cs="Amiri"/>
          <w:color w:val="111111"/>
          <w:sz w:val="28"/>
          <w:sz w:val="28"/>
          <w:szCs w:val="28"/>
          <w:rtl w:val="true"/>
          <w:lang w:bidi="ar-SA"/>
        </w:rPr>
        <w:t>على شرع الجاهلية الحاكم باختصاص الإرث بالرجال دون النساء، فأبطل سبحانه وتعالى بهذه الآية ما كانوا عليه، واثبت أنّ النساء في درجة الرجال من حيث الاستحقاق، ولسن بمحرومات من الميراث، وأنّ كل مورد يرث فيه الرجل فالمرأة ترث فيه أيضاً، ولا ينفك إرث أحدهما عن الآخر إلاّ ما خرج بالدليل كالقاتل والمرتد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بالتعصيب فهو يخالف نص هذه الآية الشريفة لأنه يقتضي حرمان النساء من الإرث، ويوافق  الحكم الجاهلي إذ بمقتضى القول بالتعصيب يورّث الأخ دون الأخت، والعم دون العمة، وابن الإبن دون بنت الإبن، وابن الأخ للأب دون بنت الأخ للأب أو للأم وهكذا، مع أنهم في طبقة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فإنه يلزم على القول بالتعصيب حرمان اثنتي عشرة طائفة من الأرحام مع استحقاقهم الإرث، إما لأنّهم نساء، وإما لأنهم ينتسبون إلى الميت عن طريقهن وهي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أولاد بنت البنت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اولاد بنت الإبن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أولاد الأخت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أولاد الأخ للأمّ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بنات الأخ للأب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الجدّ والجدّة للأمّ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أمّ جدّ الأمّ وأمّ جدّة الأمّ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العمّ للأمّ وأولاده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العمّة وأولادها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الخال وأولاده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الخالة وأولادها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بنات العمّ وأولادهن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كل هذه الطبقات ترث بنصّ الكتاب إذا وقعن في طبقة الإرث، ولا فرق بينها وبين من ينتسب إلى الميت من جهة الرجال، فلا وجه لحرمان هؤلاء من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بالتعصيب مخالف لنص الكتاب العزيز وموافق لحكم الجاهلية في توريث الرجال دون النساء</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يَسْتَفْتُونَكَ قُلْ اللَّهُ يُفْتِيكُمْ فِي الْكَلالَةِ إِنْ امْرُؤٌ هَلَكَ لَيْسَ لَهُ وَلَدٌ وَلَهُ أُخْتٌ فَلَهَا نِصْفُ مَا تَرَكَ وَهُوَ يَرِثُهَا إِنْ لَمْ يَكُنْ لَهَا وَلَدٌ فَإِنْ كَانَتَا </w:t>
      </w:r>
    </w:p>
    <w:p>
      <w:pPr>
        <w:pStyle w:val="BookText"/>
        <w:rPr/>
      </w:pPr>
      <w:r>
        <w:rPr>
          <w:rFonts w:ascii="Amiri" w:hAnsi="Amiri" w:eastAsia="Amiri" w:cs="Amiri"/>
          <w:color w:val="111111"/>
          <w:sz w:val="28"/>
          <w:sz w:val="28"/>
          <w:szCs w:val="28"/>
          <w:rtl w:val="true"/>
          <w:lang w:bidi="ar-SA"/>
        </w:rPr>
        <w:t>اثْنَتَيْنِ فَلَهُمَا الثُّلُثَانِ مِمَّا تَرَكَ وَإِنْ كَانُوا إِخْوَةً رِجَالاً وَنِسَاءً فَلِلذَّكَرِ مِثْلُ حَظِّ الأُنثَيَيْنِ يُبَيِّنُ اللَّهُ لَكُمْ أَنْ تَضِلُّوا وَاللَّهُ بِكُلِّ شَيْءٍ عَلِيمٌ</w:t>
      </w:r>
      <w:r>
        <w:rPr>
          <w:rFonts w:eastAsia="Amiri" w:cs="Amiri" w:ascii="Amiri" w:hAnsi="Amiri"/>
          <w:color w:val="111111"/>
          <w:sz w:val="28"/>
          <w:szCs w:val="28"/>
          <w:rtl w:val="true"/>
          <w:lang w:bidi="ar-SA"/>
        </w:rPr>
        <w:t>»</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الآية واضحة الدلالة على أنّ الإرث إنما يصل إلى الأخ والأخت إذا لم يكن للميت ولد، ومع وجوده فلا يصل الإرث إليهما، فالقول بالتعصيبمخالف لنصّ الآية الشريفة لأنّ  القائلين به يورّثون الأخ أو الأخت مع وجود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الآية وردت في مقام الجواب عن طلب الفتيا في ميراث الكلالة، وهي الأخوة والأخوات فبيّن سبحانه وتعالى الحكم، وفيها دلالة على أنّ الأخ أو الأخت لا يرثان مع البنت، لأنه سبحانه شرط في ميراث الأخ والأخت عدم الولد، والولد يقع على الإبن والبنت بلا خلاف فيه</w:t>
      </w:r>
      <w:r>
        <w:rPr>
          <w:rStyle w:val="FootnoteAnchor"/>
          <w:rtl w:val="true"/>
        </w:rPr>
        <w:footnoteReference w:id="1612"/>
      </w:r>
      <w:r>
        <w:rPr>
          <w:rFonts w:ascii="Amiri" w:hAnsi="Amiri" w:eastAsia="Amiri" w:cs="Amiri"/>
          <w:color w:val="111111"/>
          <w:sz w:val="28"/>
          <w:sz w:val="28"/>
          <w:szCs w:val="28"/>
          <w:rtl w:val="true"/>
          <w:lang w:bidi="ar-SA"/>
        </w:rPr>
        <w:t>، ويشهد لذلك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وَلأَبَوَيْهِ لِكُلِّ وَاحِدٍ مِنْهُمَا السُّدُسُ مِمَّا تَرَكَ إِنْ كَانَ لَهُ وَلَدٌ</w:t>
      </w:r>
      <w:r>
        <w:rPr>
          <w:rFonts w:eastAsia="Amiri" w:cs="Amiri" w:ascii="Amiri" w:hAnsi="Amiri"/>
          <w:color w:val="111111"/>
          <w:sz w:val="28"/>
          <w:szCs w:val="28"/>
          <w:rtl w:val="true"/>
          <w:lang w:bidi="ar-SA"/>
        </w:rPr>
        <w:t>»</w:t>
      </w:r>
      <w:r>
        <w:rPr>
          <w:rStyle w:val="FootnoteAnchor"/>
          <w:rtl w:val="true"/>
        </w:rPr>
        <w:footnoteReference w:id="1613"/>
      </w:r>
      <w:r>
        <w:rPr>
          <w:rFonts w:ascii="Amiri" w:hAnsi="Amiri" w:eastAsia="Amiri" w:cs="Amiri"/>
          <w:color w:val="111111"/>
          <w:sz w:val="28"/>
          <w:sz w:val="28"/>
          <w:szCs w:val="28"/>
          <w:rtl w:val="true"/>
          <w:lang w:bidi="ar-SA"/>
        </w:rPr>
        <w:t>فإنّ الولد في  الآية أعم من الذكر والأنثى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التأكيد في آخر الآية الشريفة على أنّ الله تعالى بيّن هذا الحكم حذراً من الضلالة والخطأ فكيف يحكم بتوريث العصبة مع وجود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توريث العصبة مع وجود المتقدم من حيث الطبقة مخالف لصريح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 فقد دلّ كثير من الروايات على بطلان القول بالتعصيب من طرق الخاصة والعامة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الروايات من طرق الخاصّة فقد ادعي تواترها</w:t>
      </w:r>
      <w:r>
        <w:rPr>
          <w:rStyle w:val="FootnoteAnchor"/>
          <w:rtl w:val="true"/>
        </w:rPr>
        <w:footnoteReference w:id="1614"/>
      </w:r>
      <w:r>
        <w:rPr>
          <w:rFonts w:ascii="Amiri" w:hAnsi="Amiri" w:eastAsia="Amiri" w:cs="Amiri"/>
          <w:color w:val="111111"/>
          <w:sz w:val="28"/>
          <w:sz w:val="28"/>
          <w:szCs w:val="28"/>
          <w:rtl w:val="true"/>
          <w:lang w:bidi="ar-SA"/>
        </w:rPr>
        <w:t>وهي على طوائف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الطائفة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خصوص عدم توريث العصبة، وهي عدّة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حمران بن أعين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ترك ابنته وأمّه، أنّ الفريضة من أربعة أسهم، فإنّ للبنت ثلاثة أسهم، وللأم السدس سهم، وبقي سهمان فهما أحق بهما من العم وابن الأخ والعصبة، لأنّ البنت والأم سمّي لهما ولم يسمّ لهم فيردّ عليهما بقدر سهامهما</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موسى بن بكر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بكير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ترك ابنته وأمه، أنّ الفريضة من أربعة، لأنّ للبنت ثلاثة أسهم، وللأم السدس سهم، وما بقي سهمان، فهما أحقّ بهما من العم ومن الأخ ومن العصبة، لأنّ الله تعالى سمّى لهما ومن سمّى لهما فيردّ عليهما بقدر سهامهما</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ومضمون هاتين الروايتين واحد، وهما صريحتا الدلالة في عدم توريث العصبة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حسين الرزّاز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من يسأل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المال لمن هو؟ للأقرب؟ أو العصبة؟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للأقرب، والعصبة في فيه التراب</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كتاب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للمأمون في محض الإسلام وشرايع الدين، وهو ما رواه الصدوق بسنده عن الفضل بن شاذان في رواية طويلة جاء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والفرائض على ما أنزل الله تعالى في كتابه، ولا عول فيها،ولا يرث مع الولد والوالدين أحد إلاّ الزوج والمرأة، وذو السهم أحق ممن لا سهم له، وليست العصبة من دين الله تعالى</w:t>
      </w:r>
      <w:r>
        <w:rPr>
          <w:rFonts w:eastAsia="IRNazanin" w:cs="IRNazanin"/>
          <w:color w:val="111111"/>
          <w:sz w:val="28"/>
          <w:szCs w:val="28"/>
          <w:rtl w:val="true"/>
          <w:lang w:bidi="fa-IR"/>
        </w:rPr>
        <w:t>...</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وموضع الشاهد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العصبة من دين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صريح الدلالة إلاّ أن في سندها علي بن محمد بن قتيبة، ولم يرد فيه توثيق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عبد الله بن محرز بياع القلانص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إليّ رجل وترك خمسمائة درهم أو ستمائة درهم، وترك ابنة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عصبة بالشام، فسألت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الابنة النصف، والعصبة النصف الآخر، فلما قدمت الكوفة أخبرت أصحابنا،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اتّقاك فأعطيت الابنة النصف الآخر، ثم حججت فلقيت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بما قال أصحابنا، وأخبرته أنّي دفعت النصف الآخر إلى الابنة،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إنما أفتيتك مخافة العصبة عليك</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وهاتان الروايتان وإن كانتا واضحتي الدلالة إلاّ أنهما من حيث السند ضعيفتان فتكونان مؤيدتين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ميراث البنت أو البنات مع وجود الأخ أو الأخت، وهي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مات وترك ابنتهوأخته لأبيه وأمه،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للابنة وليس للأخت من الأب والأم شيء</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عبد الله بن خداش المنقري أنه سأل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مات وترك ابنته وأخاه،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للابنة</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وإن كانت واضحة الدلالة إلاّ أنها من حيث السند غير تامة، فإنّ عبد الله بن خداش قد روى عنه صفوان كما في نفس هذه الرواية، وهو أمارة على الوثاقة، ولكنّ النجاشي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w:t>
      </w:r>
      <w:r>
        <w:rPr>
          <w:rStyle w:val="FootnoteAnchor"/>
          <w:rtl w:val="true"/>
        </w:rPr>
        <w:footnoteReference w:id="1622"/>
      </w:r>
      <w:r>
        <w:rPr>
          <w:rFonts w:ascii="Amiri" w:hAnsi="Amiri" w:eastAsia="Amiri" w:cs="Amiri"/>
          <w:color w:val="111111"/>
          <w:sz w:val="28"/>
          <w:sz w:val="28"/>
          <w:szCs w:val="28"/>
          <w:rtl w:val="true"/>
          <w:lang w:bidi="ar-SA"/>
        </w:rPr>
        <w:t xml:space="preserve">فيكون مورداً </w:t>
      </w:r>
    </w:p>
    <w:p>
      <w:pPr>
        <w:pStyle w:val="BookText"/>
        <w:rPr/>
      </w:pPr>
      <w:r>
        <w:rPr>
          <w:rFonts w:ascii="Amiri" w:hAnsi="Amiri" w:eastAsia="Amiri" w:cs="Amiri"/>
          <w:color w:val="111111"/>
          <w:sz w:val="28"/>
          <w:sz w:val="28"/>
          <w:szCs w:val="28"/>
          <w:rtl w:val="true"/>
          <w:lang w:bidi="ar-SA"/>
        </w:rPr>
        <w:t>للتعارض ويتوقف في حاله، فتكون الرواية مؤيدة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ترك أمّه وأخاه،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تريد على الكتاب؟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يعطي المال الأقرب فالأقرب،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فالأخ لا يرث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أخبرتك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يعطي المال الأقرب فالأقرب</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محمد بن الحسن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بين رجلين من بني عمي منازعة في ميراث، فأشرت عليهما بالكتاب إليه في ذلك ليصدرا عن رأيه فكتبا إليه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امرأة تركت زوجها وابنتها وأختها لأبيها وأمها،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رأيت أن تجيبنا بمرّ الحقّ، فجرّد إليهما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ما ذكرتماأنّ امرأة ماتت وتركت زوجها وابنتها وأختها لأبيها وأمّها، الفريضة للزوج الربع، وما بقي فللبنت</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الرواية وإن كانت مضمرة إلاّ أن القرائن تدلّ على أنّ المراد هو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ليصدرا عن رأيه،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وغيرهما قرائن تدلّ على أنّ المقصود هو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وهي واضحة الدلالة، نعم الكلام في وثاقة محمد بن الحسن فإنها لم تثبت فتكون الرواية مؤيدة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مات وترك ابنته وأخته لأبيه وأمّه،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للابنة، وليس للأخت من الأب والأمّ شيء</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بمضمون الرواية السابقة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هلك وترك ابنته وعمّه،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للابنة،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مات وترك ابنة له </w:t>
      </w:r>
    </w:p>
    <w:p>
      <w:pPr>
        <w:pStyle w:val="BookText"/>
        <w:rPr/>
      </w:pPr>
      <w:r>
        <w:rPr>
          <w:rFonts w:ascii="Amiri" w:hAnsi="Amiri" w:eastAsia="Amiri" w:cs="Amiri"/>
          <w:color w:val="111111"/>
          <w:sz w:val="28"/>
          <w:sz w:val="28"/>
          <w:szCs w:val="28"/>
          <w:rtl w:val="true"/>
          <w:lang w:bidi="ar-SA"/>
        </w:rPr>
        <w:t>وأخاً،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للابنة</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ومحل الشاهد من هذه الرواية الشق الثاني منها وهو واضح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ميراث البنت مع وجود العمّ، وهي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بريد العجلي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مات وترك ابنته وعمّه،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للابنة، وليس للعم شيء،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للعمّ معالابنة شيء</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رجلاً مات على عهد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يبيع التمر، فأخذ عمّه التمر، وكان له بنات فأتت امرأته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فأعلمته بذلك، فأنزل الله عزوجل عليه، فأخذ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 من العم فدفعه إلى البنات</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البزنطي</w:t>
      </w:r>
      <w:r>
        <w:rPr>
          <w:rStyle w:val="FootnoteAnchor"/>
          <w:rtl w:val="true"/>
        </w:rPr>
        <w:footnoteReference w:id="1629"/>
      </w:r>
      <w:r>
        <w:rPr>
          <w:rFonts w:ascii="IRNazanin" w:hAnsi="IRNazanin" w:eastAsia="IRNazanin"/>
          <w:color w:val="111111"/>
          <w:sz w:val="28"/>
          <w:sz w:val="28"/>
          <w:szCs w:val="28"/>
          <w:rtl w:val="true"/>
          <w:lang w:bidi="fa-IR"/>
        </w:rPr>
        <w:t xml:space="preserve">المتقدمة في الطائفة الثانية ومحلّ الشاهد منها هو الشقّ الأول حيث السؤال فيه عن البنت والعمّ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للابنة</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مرفوعة العبدي، أنّ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على الرشيد فسأله عن مسائل ـ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 فضّلتم علينا ونحن من شجرة واحدة، ونحن وأنتم واحد، ونحن ولد العباس وأنتم ولد أبي طالب، وهما عمّا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وقرابتهما منه سواء؟ 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أقرب لأنّ عبد الله وأبا طالب لأبّ وأمّ فأبوكم العباس ليس هو من أمّ عبد الله ولا من أم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w:t>
      </w:r>
    </w:p>
    <w:p>
      <w:pPr>
        <w:pStyle w:val="BookText"/>
        <w:rPr/>
      </w:pPr>
      <w:r>
        <w:rPr>
          <w:rFonts w:ascii="IRNazanin" w:hAnsi="IRNazanin" w:eastAsia="IRNazanin"/>
          <w:color w:val="111111"/>
          <w:sz w:val="28"/>
          <w:sz w:val="28"/>
          <w:szCs w:val="28"/>
          <w:rtl w:val="true"/>
          <w:lang w:bidi="fa-IR"/>
        </w:rPr>
        <w:t xml:space="preserve">ادّعيتم أنّكم ورثتم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 يحجب ابن العم وقبض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توفي أبو طالب قبله، والعباس عمّه حيّ ـ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أمنتك،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قول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مع ولد الصلب ذكراً كان أو أنثى لأحد سهم إلاّ للأبوين والزوج والزوجة، ولم يثبت للعم مع ولد الصلب ميراث، ولم ينطق به الكتاب، إلاّ أن تيماً وعدياً وبني أمية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 والذرايا منهم، بلا حقيقة ولا أثر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وإن كانت من حيث السند ضعيفة إلاّ أنّ مضمونها صحيح موافق للروايات المعتبرة السابقة فتكون مؤيدة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ميراث الأبوين مع الأخوة، وهي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يرث مع الأم ولا مع الأب ولا مع الإبن ولا مع الإبنة إلاّ الزوج والزوجة، وإن الزوج لا ينقص من النصف شيئاً إذا لم يكن ولد، وإنّ الزوجة لا تنقص من الربع شيئاً إذا لم يكن ولد، فإن كان معهما ولد فللزوج الربع وللمرأة الثمن</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تدل على عدم استحقاق العصبة شيئاً من الإرث مع وجود الأولى بالميراث من أهل الطبقة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عنالكلالة،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يكن ولد ولا والد</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في دلالتها كالرواية السابقة، فإنّ الأقرب يمنع الأبعد</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الرحمن بن الحجاج،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الكلالة ما لم يكن له ولد ولا والد</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ومضمون هذه الرواية كالرواية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عمر بن أذينة،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رجل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أبوين وأخوة لأم أنهم يحجبون ولا يرثون،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الباطل، ولا أروي لك شيئاً والذي أقول لك والله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إذا ترك أبوين فلأمّه الثلث ولأبيه الثلثان في كتاب الله عزوجل، فإن كان له أخوة يعني الميت، يعني أخوة لأب وأم أو أخوة لأب فلأمّه السدس وللأب خمسة أسداس، وإنما وفّر للأبّ من أجل عياله، والأخوة لأمّ ليسوا لأب فإنهم لا يحجبون الأم عن الثلث ولا يرثون، وإن مات الرجل وترك أمه وأخوة وأخوات لأب وأم أو أخوة وأخوات لأب وأخوة وأخوات لأم وليس الأب حيّاً فإنهم لا يرثون ولا يحجبونها، لأنه لم يورث كلالة</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صريحة الدلالة في عدم استحقاق العصبة مع وجود أحد من الطبقة الأولى ولو كانت هي الأم وحدها، كما أنها تدل على أنّ الباقي يردّ علىالأب مع وجود الحاجب للأمّ عن الثلث، ولا يعطى الأخوة شيئاً من الميراث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زرارة ما تقول في رجل مات وترك أخويه من أمه وأبويه؟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السدس لأمه وما بقي فللأب،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الله عزوجل يقول في كتابه العزيز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كَانَ لَهُ إِخْوَةٌ فَلأُمِّهِ السُّدُسُ</w:t>
      </w:r>
      <w:r>
        <w:rPr>
          <w:rFonts w:eastAsia="IRNazanin" w:cs="IRNazanin"/>
          <w:color w:val="111111"/>
          <w:sz w:val="28"/>
          <w:szCs w:val="28"/>
          <w:rtl w:val="true"/>
          <w:lang w:bidi="fa-IR"/>
        </w:rPr>
        <w:t>»</w:t>
      </w:r>
      <w:r>
        <w:rPr>
          <w:rStyle w:val="FootnoteAnchor"/>
          <w:rtl w:val="true"/>
        </w:rPr>
        <w:footnoteReference w:id="1635"/>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زرارة أولئك الأخوة من الأب، إذا كان الأخوة من الأم لم يحجبوا الأم عن الثلث</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هذه الرواية واضحة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رجل ترك أبويه </w:t>
      </w:r>
    </w:p>
    <w:p>
      <w:pPr>
        <w:pStyle w:val="BookText"/>
        <w:rPr/>
      </w:pPr>
      <w:r>
        <w:rPr>
          <w:rFonts w:ascii="Amiri" w:hAnsi="Amiri" w:eastAsia="Amiri" w:cs="Amiri"/>
          <w:color w:val="111111"/>
          <w:sz w:val="28"/>
          <w:sz w:val="28"/>
          <w:szCs w:val="28"/>
          <w:rtl w:val="true"/>
          <w:lang w:bidi="ar-SA"/>
        </w:rPr>
        <w:t>وأخوته،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 السدس، وللأب خمسة أسهم، وسقط الأخوة، وهي من ستة أسهم</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وإن كانت واضحة الدلالة إلاّ أنها من حيث السند ضعيفة فتكون مؤيّدة للروايات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ميراث أولاد الأولاد مع الأخوة، وهي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يزيد الكناسي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ابنك أولى بك من ابن ابنك، وابن ابنك أولى بك من أخيك،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وأخوك لأبيك وأمك أولى بك من أخيك لأبيك، وأخوك لأبيك أولى بك من أخيك لأمك،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وأبنأخيك لأبيك وأمك أولى بك من ابن أخيك لأبيك،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أخيك من أبيك أولى بك من عمك،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وعمّك أخو أبيك من أبيه وأمه أولى بك من عمك أخي أبيك من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وعمك أخو أبيك من أبيه أولى بك من عمك أخي أبيك لأمه،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عمك أخي أبيك من أبيه وأمه أولى بك من ابن عمك أخي أبيك لأبيه،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عمك أخي أبيك من أبيه أولى بك من ابن عمك أخي أبيك لأمه</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الرواية واضحة الدلالة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في الأولى بالميراث وأنّ الأقرب يمنع الأبعد، وموضع الشاهد فيما نحن فيه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وابن ابنك أولى بك من أخيك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نقلها صاحب الوسائل في موضع آخر</w:t>
      </w:r>
      <w:r>
        <w:rPr>
          <w:rStyle w:val="FootnoteAnchor"/>
          <w:rtl w:val="true"/>
        </w:rPr>
        <w:footnoteReference w:id="1639"/>
      </w:r>
      <w:r>
        <w:rPr>
          <w:rFonts w:ascii="IRNazanin" w:hAnsi="IRNazanin" w:eastAsia="IRNazanin"/>
          <w:color w:val="111111"/>
          <w:sz w:val="28"/>
          <w:sz w:val="28"/>
          <w:szCs w:val="28"/>
          <w:rtl w:val="true"/>
          <w:lang w:bidi="fa-IR"/>
        </w:rPr>
        <w:t>مقتصراً على موضع الشاهد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سند الرواية ففيه يزيد الكناسي فإن كان متحداً مع يزيد أبي خالد القمّاط فالرواية معتبرة، وإلاّ فهي مؤيدة ولم يستبعد السيد الأستاذ </w:t>
      </w:r>
      <w:r>
        <w:rPr>
          <w:rFonts w:eastAsia="Amiri" w:cs="Amiri" w:ascii="Amiri" w:hAnsi="Amiri"/>
          <w:color w:val="111111"/>
          <w:sz w:val="28"/>
          <w:szCs w:val="28"/>
          <w:rtl w:val="true"/>
          <w:lang w:bidi="ar-SA"/>
        </w:rPr>
        <w:t xml:space="preserve">! </w:t>
      </w:r>
      <w:r>
        <w:rPr>
          <w:rStyle w:val="FootnoteAnchor"/>
          <w:rtl w:val="true"/>
        </w:rPr>
        <w:footnoteReference w:id="1640"/>
      </w:r>
    </w:p>
    <w:p>
      <w:pPr>
        <w:pStyle w:val="BookText"/>
        <w:rPr/>
      </w:pPr>
      <w:r>
        <w:rPr>
          <w:rFonts w:ascii="IRNazanin" w:hAnsi="IRNazanin" w:eastAsia="IRNazanin"/>
          <w:color w:val="111111"/>
          <w:sz w:val="28"/>
          <w:sz w:val="28"/>
          <w:szCs w:val="28"/>
          <w:rtl w:val="true"/>
          <w:lang w:bidi="fa-IR"/>
        </w:rPr>
        <w:t>اتحادهما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الصفّار أنه كتب إلى أبي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مات وترك ابنة ابنه وأخاه لأبيه وأمه لمن يكون الميراث؟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الميراث للأقرب إن شاء الله</w:t>
      </w:r>
      <w:r>
        <w:rPr>
          <w:rStyle w:val="FootnoteAnchor"/>
          <w:rtl w:val="true"/>
        </w:rPr>
        <w:footnoteReference w:id="1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الرواية كالروايتين السابقتين في الدلالة، فإنّ ابنة الابن تستحق الميراث كلّه دون الأخ لأنّها الأقرب إلى الميت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ميراث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عدة 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وورثت فاطمة تركته</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الرواية واضحة الدلالة، فإنها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ورثت ما تركه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المال والمتاع، وأما وراثة العلم فهي أمر آخر، يرتبط بمقام الإمامة والولاية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ورثت متاع البيت والخُرثى</w:t>
      </w:r>
      <w:r>
        <w:rPr>
          <w:rStyle w:val="FootnoteAnchor"/>
          <w:rtl w:val="true"/>
        </w:rPr>
        <w:footnoteReference w:id="1643"/>
      </w:r>
      <w:r>
        <w:rPr>
          <w:rFonts w:ascii="Amiri" w:hAnsi="Amiri" w:eastAsia="Amiri" w:cs="Amiri"/>
          <w:color w:val="111111"/>
          <w:sz w:val="28"/>
          <w:sz w:val="28"/>
          <w:szCs w:val="28"/>
          <w:rtl w:val="true"/>
          <w:lang w:bidi="ar-SA"/>
        </w:rPr>
        <w:t>وكلّ ما كان له</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كالرواية السابقة من حيث الدلالة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ورث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ورثته إلاّ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كان 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السلاحوغيره إلاّ لأنه قضى دينه،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حماد بن عثمان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أحرزت الميراث</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بمضمون الرواية الأولى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الحسن بن علي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مولانا أبا الحسن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فدك شيئاً؟ فقال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حيطاناً بالمدينة صدقة، وخلّف ستة أفراس، وثلاث 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العضباء، والصهباء، والديباج، وبغلتين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الشهباء، والدلدل، وحمارة اليعفور، وشاتين حلوبتين، وأربعين ناقة حلوباً، وسيفه ذا الفقار، ودرعه ذات الفضول، وعمامته السحاب، وحبرتين يمانيتين، وخاتمه الفاضل، وقضيبه الممشوق، ومراتب من ليف، وعباءتين قطوانيتين، ومخادّاً من أدم، فصار ذلك 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خلا درعه، وسيفه، وعمامته، وخاتمه، فإنه جعلها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الرواية وإن كانت ضعيفة السند إلاّ أنها من حيث الدلالة واضحة، فإنّفاطمة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التي ورثت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الدرع والسيف والعمامة والخاتم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تقدم في معتبرة الفضيل بن يسار من أنه ما أخذها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لأنّه قضى دينه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المستثنيات من مختصات القائم مقام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منصب الإمامة والولاية، كما صرّحت بذلك النصوص الصحيحة، بل ورد فيها أنّ عند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مواريث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كالكتب التي نزلت عليهم وعندهم ألواح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وعصاه وخاتم سليمان وغيرها، وقد كانوا يتوارثونها </w:t>
      </w:r>
    </w:p>
    <w:p>
      <w:pPr>
        <w:pStyle w:val="BookText"/>
        <w:rPr/>
      </w:pPr>
      <w:r>
        <w:rPr>
          <w:rFonts w:ascii="Amiri" w:hAnsi="Amiri" w:eastAsia="Amiri" w:cs="Amiri"/>
          <w:color w:val="111111"/>
          <w:sz w:val="28"/>
          <w:sz w:val="28"/>
          <w:szCs w:val="28"/>
          <w:rtl w:val="true"/>
          <w:lang w:bidi="ar-SA"/>
        </w:rPr>
        <w:t>إماماً بعد إمام حتى صارت إلى إمام العصر عجل الله تعالى فرجه الشريف</w:t>
      </w:r>
      <w:r>
        <w:rPr>
          <w:rStyle w:val="FootnoteAnchor"/>
          <w:rtl w:val="true"/>
        </w:rPr>
        <w:footnoteReference w:id="1648"/>
      </w:r>
      <w:r>
        <w:rPr>
          <w:rFonts w:ascii="Amiri" w:hAnsi="Amiri" w:eastAsia="Amiri" w:cs="Amiri"/>
          <w:color w:val="111111"/>
          <w:sz w:val="28"/>
          <w:sz w:val="28"/>
          <w:szCs w:val="28"/>
          <w:rtl w:val="true"/>
          <w:lang w:bidi="ar-SA"/>
        </w:rPr>
        <w:t>، وبناء على هذا فهي خارجة موضوعاً عن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لا تنافي الروايات المتقدمة، وحيث إنّ سندها غير تام فتكون مؤيّدة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هذه الروايات وإن لم يذكر فيها ميراث زوجات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يمكن القول إنّ النظر في خصوص هذه الروايات إلى ميراث البنت من أبيها مع قطع النظر عن ميراث الأزواج فإنّ  الزوجات والأزواج يرثون معكل الطبقات وهذا مما لا خلاف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واردة في مقام أنّ  الميراث للبنت وليس للعصبة شيء منه ولا ينافي هذا وجود وارث آخر في طبقتها كالأزواج فإنّ لهن نصيبهن من الميراث كما هو مقرّر، وقد تقدم في الطائفة الرابعة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ونكتفي بهذا القدر من الروايات من طرق الخاصة وهي كلّها تدل على أنّ العصبة لا تستحق شيئاً من الميراث كما أنّ أكثر روايات هذه الطوائف معتبرة الأسناد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الدالة على بطلان التعصيب من طرق العامة فهي كثيرة أيضاً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البخاري في صحيحه،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الحميدي، حدثنا سفيان، حدثنا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عامر بن سعد بن أبي وقاص، عن أبيه،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مرضت بمكة مرضاً فأشفيت منه على الموت، فأتاني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يعودني،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لي مالاً كثيراً وليس يرثني إلاّ ابنتي أفأتصدّق بثلثي 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 كبير، إنّك إن تركت ولدك أغنياء خير من أن تتركهم عالة يتكففون الناس</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مسلم في صحيحه بلفظ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يحيى التميمي، أخبرنا إبراهيم بن سعد، عن ابن شهاب، عن عامر بن سعد، عن أبيه،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حجة الوداع من وجع أشفيت منه على الموت،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بلغني ما ترى من الوجع وأنا ذو مال ولا يرثني إلاّ ابنة لي واحدة، أفأتصدّق بثلثي 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أفأتصدق بشطره؟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الثلث، والثلث كثير، إنّك إن تذر ورثتك أغنياء خير من أن تذرهم عالة يتكففون الناس</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كما في الدر المنثور مالك والطيالسي، وابن أبي شيبة، وأحمد، والبخاري، ومسلم، وأبو داود، والترمذي، والنسائي، وابن خزيمة، وابن الجارود، وابن حبان</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الترمذي بعد أن أورد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حسن صحيح</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إشكال في صحة سند الحديث عندهم</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من جهة الدلالة فهي واضحة، حيث إنّ سعداً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يرثني إلاّ ابنتي، وفي لفظ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يرثني إلاّ ابنة لي واحدة، ولم ينكر 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بأنّ له وارثاً آخر وهم العصبة، بل قرّره على ذلك فيكون المال كلّه للبنت ولا يتحقق هذا إلاّ بالردّ عليها وعدم توريث العصبة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ويستشعر من نفس الرواية أنها بعد نزول آية الإرث وأحكام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البيهقي في سننه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الفضل القطانببغداد، ثنا عبد الله بن جعفر، ثنا يعقوب بن سفيان، ثنا الحجاج، ثنا أبو عوانه، عن منصور، عن حيان بياع الأنماط،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سويد بن 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يعقوب وحدثني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عيسى، عن المبارك، عن سفيان، عن حيان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سويد بن غفلة فأتى في ابنة وامرأة ومولى،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رضي الله عنه يعطي  الابنة النصف، والمرأة الثمن، ويردّ ما بقي على الابنة</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ورواها الدارمي في سننه بلفظ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ثنا زهير، عن حيان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سويد بن غفلة، فجاءه رجل فسأله عن فريضة رجل ترك ابنته وامرأته،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أنبئك قضاء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قضاء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علي لامرأته الثمن، ولابنته النصف، ثم ردّ البقية على ابنته</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الرواية من حيث الدلالة واضحة، فإنها بناء على اللفظ الأول ـ تدل على أنّ فعل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ذلك، وهو يفيد الاستمرار وليس في مورد واحد، فلا وجه للمناقشة بأنّ ذلك لعله في مورد لم يكن للميت عصبة، فالرواية نصّ في بطلان التعصيب</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ـ بناء على اللفظ الثاني ـ صريحة الدلالة أيضاً، فإنّ قضاء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ذلك،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أقضى أمتي عليبن أبي طالب</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أحمد في مسنده،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ثنا يزيد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حرب الخولاني،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عمر بن رؤبة،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الواحد النصري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واثلة بن الأسقع يذكر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تحوز ثلاثة مواريث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عتيقها، والولد الذي لاعنت عليه</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ابن ماجة عن هشام بن عمار، ثنا محمد بن حرب، ثنا عمر بن رؤبة التغلبي، عن عبد الواحد بن عبد الله النصري، عن واثلة بن الأسقع،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تحوز ثلاث مواريث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عتيقها، ولقيطها، وولدها الذي لاعنت عليه</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تدل على أنّ الأم ترث ما يتركه ولدها كلّه لأنّ الأب يمنع من الإرث للملاعنة، مع أنّ للأم فرضاً في كتاب الله وهو السدس أو الثلث فما بقي من التركة يردّ عليها كما تدل عليه هذه الرواية، وهو مناف للقول بالتعصيب، إذ على القول به لا يردّ على ذوي السهام شيء، وإنما يعطى للعصبة، ومع عدمهم يردّ إلى بيت المال</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هاهنا روايتان أخريان عن العامّة وقد ذكرتا في كتب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قارية أو حارثة بن مضرب المتقدمة، وموضع الشاهد منها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هذه إلاّ فريضتان؟ وهل أبقتا شيئاً؟ ما قلت هذا، ولا طاووس يرويه عليّ، قال قارية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طاووساً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والله ما رويت هذا على ابن عباس قط، وإنما الشيطان ألقاه على ألسنتهم </w:t>
      </w:r>
      <w:r>
        <w:rPr>
          <w:rFonts w:eastAsia="Amiri" w:cs="Amiri" w:ascii="Amiri" w:hAnsi="Amiri"/>
          <w:color w:val="111111"/>
          <w:sz w:val="28"/>
          <w:szCs w:val="28"/>
          <w:rtl w:val="true"/>
          <w:lang w:bidi="ar-SA"/>
        </w:rPr>
        <w:t>...</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نقلها بعض العامة</w:t>
      </w:r>
      <w:r>
        <w:rPr>
          <w:rStyle w:val="FootnoteAnchor"/>
          <w:rtl w:val="true"/>
        </w:rPr>
        <w:footnoteReference w:id="1659"/>
      </w:r>
      <w:r>
        <w:rPr>
          <w:rFonts w:ascii="Amiri" w:hAnsi="Amiri" w:eastAsia="Amiri" w:cs="Amiri"/>
          <w:color w:val="111111"/>
          <w:sz w:val="28"/>
          <w:sz w:val="28"/>
          <w:szCs w:val="28"/>
          <w:rtl w:val="true"/>
          <w:lang w:bidi="ar-SA"/>
        </w:rPr>
        <w:t>أيضاً وهي واضحة الدلالة، فإنّ ابن عباس وطاووساً قد تبرءا من نسبة القول بالتعصيب إليهما، بل واستدل ابن عباس على البطلان بالآيتين الشريفتين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في التهذيب عن محمد بن الحسن الصفار، عن السندي، عن موسى بن حبيش، عن عمه هاشم الصيداني،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العباس وموسى بن عيسى، وعنده أبو بكر بن عياش، وإسماعيل بن حماد بن أبي حنيفة، وعلي بن ظبيان، ونوح بن درّاج تلك الأيام على</w:t>
      </w:r>
    </w:p>
    <w:p>
      <w:pPr>
        <w:pStyle w:val="BookText"/>
        <w:rPr/>
      </w:pPr>
      <w:r>
        <w:rPr>
          <w:rFonts w:ascii="IRNazanin" w:hAnsi="IRNazanin" w:eastAsia="IRNazanin"/>
          <w:color w:val="111111"/>
          <w:sz w:val="28"/>
          <w:sz w:val="28"/>
          <w:szCs w:val="28"/>
          <w:rtl w:val="true"/>
          <w:lang w:bidi="fa-IR"/>
        </w:rPr>
        <w:t>القضاء،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أما ترى ما أحدث نوح بن درّاج في القضاء، أنه ورث الخال، وطرح العصبة، وأبطل الشفعة، فقال أبو بكر بن عياش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عسى أن أقول لرجل قضى بالكتاب والسنة،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فاستوى العباس جالساً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قضى بالكتاب والسنة؟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حمزة بن عبد المطلب بعث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بابنة حمزة فسوّغها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الميراث كلّه، فقال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فظلم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أصلحك الله، شرع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 فما صنع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الحق،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إسماعيل بن حماد اختلف إلي أربعة أشهر أو ستة أشهر فلم أحدّثه به</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الرواية كالرواية السابقة في وضوح الدلالة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يورّث العصبة شيئاً، بل أعطى الميراث كلّه لابنة الحمزة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يعط أخاه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منه، ومن الغرابة بمكان اعتراض العباس بن عيسى على أبي بكر بن عياش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فظلم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جدّي؟ وكأنّ القول </w:t>
      </w:r>
    </w:p>
    <w:p>
      <w:pPr>
        <w:pStyle w:val="BookText"/>
        <w:rPr/>
      </w:pPr>
      <w:r>
        <w:rPr>
          <w:rFonts w:ascii="IRNazanin" w:hAnsi="IRNazanin" w:eastAsia="IRNazanin"/>
          <w:color w:val="111111"/>
          <w:sz w:val="28"/>
          <w:sz w:val="28"/>
          <w:szCs w:val="28"/>
          <w:rtl w:val="true"/>
          <w:lang w:bidi="fa-IR"/>
        </w:rPr>
        <w:t xml:space="preserve">بالتعصيب حقيقة مسلّمة، وقد أجابه أبو بكر بن عياش بأنّ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إلاّ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يظهر مدى استحكام المخالفة لما جاء به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لها من نظير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جعلنا هذه الرواية في عداد روايات العامة لأنّ أبا بكر بن عياش عامي</w:t>
      </w:r>
      <w:r>
        <w:rPr>
          <w:rStyle w:val="FootnoteAnchor"/>
          <w:rtl w:val="true"/>
        </w:rPr>
        <w:footnoteReference w:id="1661"/>
      </w:r>
      <w:r>
        <w:rPr>
          <w:rFonts w:ascii="Amiri" w:hAnsi="Amiri" w:eastAsia="Amiri" w:cs="Amiri"/>
          <w:color w:val="111111"/>
          <w:sz w:val="28"/>
          <w:sz w:val="28"/>
          <w:szCs w:val="28"/>
          <w:rtl w:val="true"/>
          <w:lang w:bidi="ar-SA"/>
        </w:rPr>
        <w:t>، وهو الذي شهد بأنّ نوح بن دراج قضى بالكتاب والسنّة، وأما نوح بن دراج فإنه من الشيعة، صحيح الاعتقاد، وكان يفتي ويقضي بالحق</w:t>
      </w:r>
      <w:r>
        <w:rPr>
          <w:rStyle w:val="FootnoteAnchor"/>
          <w:rtl w:val="true"/>
        </w:rPr>
        <w:footnoteReference w:id="1662"/>
      </w:r>
      <w:r>
        <w:rPr>
          <w:rFonts w:ascii="Amiri" w:hAnsi="Amiri" w:eastAsia="Amiri" w:cs="Amiri"/>
          <w:color w:val="111111"/>
          <w:sz w:val="28"/>
          <w:sz w:val="28"/>
          <w:szCs w:val="28"/>
          <w:rtl w:val="true"/>
          <w:lang w:bidi="ar-SA"/>
        </w:rPr>
        <w:t>، نعم ذكرالشيخ في كتاب العدة أنه من العامة، وأنّ الطائفة عملت بما رواه مع عدم المعارض من روايات الخاصّة</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مقتضى القاعدة في العمل والجمع بين الروايات المتضاربة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المتقدمة التي استدل بها العامة على القول بالتعصيب ليست بحجّة في نفسها كما تقدم، فلابدّ من طرحها والأخذ بالروايات  النافية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حجيّة تلك الروايات ووقوع التعارض بينها وبين الروايات النافية فالترجيح للروايات الدالة على بطلان القول بالتعصيب، فإنها أصحّ سنداً وأوضح دلالة، مضافاً إلى اعتضادها بروايات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أحد الثقلين، وقد أمرنا باتباعهم وأخذ معالم الدين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وقوع التعارض والحكم بالتساقط فالمرجع هو عمومات الكتاب وإطلاقاته، وقد دلّت على بطلان القول بالتعصيب، وتقديم أولي  الأرحام بعضهم على بعض كما تقدم بيان ذلك</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فأين الحكم بالتعصيب؟ ولماذا هذا التشبث بما هو أوهن من بيوت العنكبوت؟ ولماذا هذا التمسك بما لا برهان عليه ولا دليل، بل الدليل قائم على </w:t>
      </w:r>
    </w:p>
    <w:p>
      <w:pPr>
        <w:pStyle w:val="BookText"/>
        <w:rPr/>
      </w:pPr>
      <w:r>
        <w:rPr>
          <w:rFonts w:ascii="Amiri" w:hAnsi="Amiri" w:eastAsia="Amiri" w:cs="Amiri"/>
          <w:color w:val="111111"/>
          <w:sz w:val="28"/>
          <w:sz w:val="28"/>
          <w:szCs w:val="28"/>
          <w:rtl w:val="true"/>
          <w:lang w:bidi="ar-SA"/>
        </w:rPr>
        <w:t>خلافه من كتاب الله وسنة نبيه؟ ألم يأن لأهل الفتيا والمجتهدين أن يتحرّروا من تبعيّتهم العمياء، ويكون رائدهم الحق فإنّه أحق أن يتبع؟ ولا يعتمدوا على أحكام جاهلية مستندين إلى روايات قليلة العدد مخدوشة الدلالة والسند،ويفتون بالتعصيب مخالفين بذلك كتاب الله عزوجل والسنّة الصريحة الصحيحة، وهل هذا إلاّ مصداق جليّ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يُحَرِّفُونَ الْكَلِمَ مِن بَعْدِ مَوَاضِعِهِ يَقُولُونَ إِنْ أُوتِيتُمْ هَذَا فَخُذُوهُ وَإِن لَّمْ تُؤْتَوْهُ فَاحْذَرُواْ</w:t>
      </w:r>
      <w:r>
        <w:rPr>
          <w:rFonts w:eastAsia="Amiri" w:cs="Amiri" w:ascii="Amiri" w:hAnsi="Amiri"/>
          <w:color w:val="111111"/>
          <w:sz w:val="28"/>
          <w:szCs w:val="28"/>
          <w:rtl w:val="true"/>
          <w:lang w:bidi="ar-SA"/>
        </w:rPr>
        <w:t xml:space="preserve">» </w:t>
      </w:r>
      <w:r>
        <w:rPr>
          <w:rStyle w:val="FootnoteAnchor"/>
          <w:rtl w:val="true"/>
        </w:rPr>
        <w:footnoteReference w:id="1664"/>
      </w:r>
      <w:r>
        <w:rPr>
          <w:rFonts w:ascii="Amiri" w:hAnsi="Amiri" w:eastAsia="Amiri" w:cs="Amiri"/>
          <w:color w:val="111111"/>
          <w:sz w:val="28"/>
          <w:sz w:val="28"/>
          <w:szCs w:val="28"/>
          <w:rtl w:val="true"/>
          <w:lang w:bidi="ar-SA"/>
        </w:rPr>
        <w:t>، أو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وَوَيْلٌ لَّهُمْ مِّمَّا يَكْسِبُونَ</w:t>
      </w:r>
      <w:r>
        <w:rPr>
          <w:rFonts w:eastAsia="Amiri" w:cs="Amiri" w:ascii="Amiri" w:hAnsi="Amiri"/>
          <w:color w:val="111111"/>
          <w:sz w:val="28"/>
          <w:szCs w:val="28"/>
          <w:rtl w:val="true"/>
          <w:lang w:bidi="ar-SA"/>
        </w:rPr>
        <w:t xml:space="preserve">»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تعجب فاعجب من ابن حزم في كتابه المحلّى حيث اعترف ببطلان القول بالعول،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عول في شيء من مواريث الفرائض</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أطال في استعراض أدلة القائلين بالعول ومناقشتها ـ وسننقل عبارته بتمامها لاحقاً ـ وقد صرّح في آخر كلامه بأنّ القول بالعول مخالفة للقرآن بالدعوى بلا برهان</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ابن حزم هذا الذي يرى أنّ القول بالعول لا أساس له ولا دليل عليه نراه يصرّ على  القول بالتعصيب، ويدّعي الإجماع عليه في أكثر من موضع من كلامه كما تقدم، مع أنّ كلتا المسألتين من واد واحد، وهما على خلاف القرآن والبرهان</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عصمنا الله من الزلل والخطل في القول والعمل وهدانا بلطفه إلى الصواببجاه أوليائه محمد وآله الأطياب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الإجماع فهو متحقق بكلا قسميه بل إنّ القول ببطلان التعصيب من ضروريات المذهب، وهو المعلوم من دين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الجواهر</w:t>
      </w:r>
      <w:r>
        <w:rPr>
          <w:rStyle w:val="FootnoteAnchor"/>
          <w:rtl w:val="true"/>
        </w:rPr>
        <w:footnoteReference w:id="1668"/>
      </w:r>
      <w:r>
        <w:rPr>
          <w:rFonts w:ascii="Amiri" w:hAnsi="Amiri" w:eastAsia="Amiri" w:cs="Amiri"/>
          <w:color w:val="111111"/>
          <w:sz w:val="28"/>
          <w:sz w:val="28"/>
          <w:szCs w:val="28"/>
          <w:rtl w:val="true"/>
          <w:lang w:bidi="ar-SA"/>
        </w:rPr>
        <w:t>وغيره</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العقل فلأنّه يلزم على القول بالتعصيب أمور شنيعة تخالف مقتضى العقل والقواعد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w:t>
      </w:r>
      <w:r>
        <w:rPr>
          <w:rStyle w:val="FootnoteAnchor"/>
          <w:rtl w:val="true"/>
        </w:rPr>
        <w:footnoteReference w:id="1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يلزم من القول بالتعصيب أن يكون الولد الذكر للصلب أضعف سبباً من ابن ابن ابن العم، فإنه لو فرض أنّ رجلاً مات وخلّف ثمانية وعشرين بنتاً وابنا فإنّ للإبن جزئين من ثلاثين، ولكل واحدة من البنات جزء من ثلاثين بلا خلاف، فلو كان بدل الإبن ابن ابن ابن العم، كان له ـ بناء على القول بالتعصيب ـ عشرة أسهم من ثلاثين والباقي وهو عشرون سهماً للبنات، وفي هذا تفضيل للبعيد على الولد للصلب، وهو خروج عن العرف والشريعة، ومخالفة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w:t>
      </w:r>
      <w:r>
        <w:rPr>
          <w:rFonts w:eastAsia="Amiri" w:cs="Amiri" w:ascii="Amiri" w:hAnsi="Amiri"/>
          <w:color w:val="111111"/>
          <w:sz w:val="28"/>
          <w:szCs w:val="28"/>
          <w:rtl w:val="true"/>
          <w:lang w:bidi="ar-SA"/>
        </w:rPr>
        <w:t>»</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w:t>
      </w:r>
      <w:r>
        <w:rPr>
          <w:rStyle w:val="FootnoteAnchor"/>
          <w:rtl w:val="true"/>
        </w:rPr>
        <w:footnoteReference w:id="1672"/>
      </w:r>
      <w:r>
        <w:rPr>
          <w:rFonts w:ascii="Amiri" w:hAnsi="Amiri" w:eastAsia="Amiri" w:cs="Amiri"/>
          <w:color w:val="111111"/>
          <w:sz w:val="28"/>
          <w:sz w:val="28"/>
          <w:szCs w:val="28"/>
          <w:rtl w:val="true"/>
          <w:lang w:bidi="ar-SA"/>
        </w:rPr>
        <w:t xml:space="preserve">أيضاً من اشتراط توريث بعض الوراث بوجود وارث آخركما لو فرضت المسألة السابقة ومعهم بنت ابن، فإنّ للبنات ـ على القول بالتعصيب ـ الثلثين ـ وما بقي فللعصبة وليس لبنت الإبن شيء لأنّ البنات قد استكملن الثلثين، وإنما يكون لبنات الإبن إذا لم تستكمل البنات الثلثين، فإذا استكملن فلا شيء لهن، فإذا فرضت المسألة بحالها إلاّ أنه كان مع بنت الابن، </w:t>
      </w:r>
    </w:p>
    <w:p>
      <w:pPr>
        <w:pStyle w:val="BookText"/>
        <w:rPr/>
      </w:pPr>
      <w:r>
        <w:rPr>
          <w:rFonts w:ascii="Amiri" w:hAnsi="Amiri" w:eastAsia="Amiri" w:cs="Amiri"/>
          <w:color w:val="111111"/>
          <w:sz w:val="28"/>
          <w:sz w:val="28"/>
          <w:szCs w:val="28"/>
          <w:rtl w:val="true"/>
          <w:lang w:bidi="ar-SA"/>
        </w:rPr>
        <w:t>ابن ابن فبناء على القول بالتعصيب يكون للبنات الثلثان، وما بقي فبين ابن الابن وابنة الابن، للذكر مثل حظ الأنثيين، وفي ذلك نقض للأصل حيث لم يجعل الحكم في هذا الفرض كالحكم في الفرض السابق من أنّ الباقي يكون للعصبة لأنّ البنات قد استكملن الثلثين في هذا الفرض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ما ذكره صاحب الجواهر من أنّه إذا خلف الميت بنتين وابنة ابن وعم، فإنّ للعم ـ بناء على القول بالتعصيب ـ ما فضل من البنتين، ولا شيء لبنت الابن إلاّ إذا كان معها ذكر في درجتها، أو فيما دونها، فإنّ الثلث يكون بينهم أثلاثاً ولا شيء للعم</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خلّف الميّت بنتاً وابني أخ ذكراً أو أنثى للأب، فالنصف يعطى للبنت بالفرض، والنصف الباقي يعطى لابن الأخ، ولا تعطى بنت الأخ شيئاً، ولا يعصب ابن الأخ أخته، بل تسقط عن الميراث، وكذا إذا كان مكان ابني الأخ عمّاً وعمة فالنصف الباقي يعطى للعم، ولا تعطى العمة شيئاً، وهكذا إذا كان مكانهما ابني عمّ ذكراً وأنثى، فالنصف يعطى للذكر منهما دون الأنثى، هذا مع أنهم يقولون إنّ الأخ يعصب الأخت في ابني الابن ذكراً أو أنثى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تقعالعصوبة في هذا المورد دون الموارد السابقة، والمناط واحد في الجميع، وما ذكروه من التعليل لا يغني طائلاً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خلّف الميت أختاً لأب وأم، وأختاً لأب، وابن عم، فالنصف يعطى للأخت من الأبوين، والسدس للأخت من الأب، والباقي لابن العم، وذلك مناف لما رووه في حديث ابن طاووس من أنّ الباقي لابن العم من دون أن تعطى الأخت للأب شيئاً، لأنّ فيه أن المال يقسم على أهل الفرائض، وما بقي فلأولى رجل ذكر، وأهل الفريضة في المقام هي الأخت للأبوين، كما </w:t>
      </w:r>
    </w:p>
    <w:p>
      <w:pPr>
        <w:pStyle w:val="BookText"/>
        <w:rPr/>
      </w:pPr>
      <w:r>
        <w:rPr>
          <w:rFonts w:ascii="Amiri" w:hAnsi="Amiri" w:eastAsia="Amiri" w:cs="Amiri"/>
          <w:color w:val="111111"/>
          <w:sz w:val="28"/>
          <w:sz w:val="28"/>
          <w:szCs w:val="28"/>
          <w:rtl w:val="true"/>
          <w:lang w:bidi="ar-SA"/>
        </w:rPr>
        <w:t>دلّت عليه آية الكلالة فإنها وردت في كلالة الأبوين، وذلك مما لا خلاف فيه بين المسلمين، ولا فريضة للأخ أو الأخت للأب مع وجود من ينتسب منهما بالأبوين، وهو مما وقع الإجماع عليه أيضاً، وقد أسقط بعضهم الفرض عمن يتقرّب بالأب بالقياس، وهو غير تام كما هو مذكور في محلّه من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خلّف الميت بنتاً وأباً وأخاً للأب فالنصف يعطى للبنت وللأب السدس فرضاً، والباقي ردّاً ولا يعطى الأخ للأب شيئاً مع أنه بمقتضى رواية ابن طاووس لابد من تقسيم الفريضة على أهلها والباقي لغيرهم من العصبة لا أنه يردّ على ذوي الفريضة فكان ـ بناء على الرواية المذكورة ـ يجب إعطاء الباقي للأخ مع أنه في هذا المورد لا يعطى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الردّ على ذوي الفرض صحيحاً فلماذا لا يردّ عليهم في غير هذا المورد؟</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خلّف الميت بنتاً وأختاً للأبوين وعمّاً، فالنصف للبنت، والنصف الآخر للأخت، ولا يعطى العمّ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 في توجيه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الأخت في هذه الصورة عصبة مع الغير وإنالبنت تعصبها، ولكنه مخالف لرواية ابن طاووس من أنّ الباقي يعطى لأولى رجل ذكر، مضافاً إلى أنّ تسمية ذلك بأنها عصبة مع الغير مجرّد اصطلاح لم يرد عليه دليل ولا يغير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وهناك لوازم فاسدة أخرى تترتب على القول بالتعصيب ونكتفي بما ذكرنا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عجز القائلون بالتعصيب عن حلّ ما يرد عليهم من إشكالات، وغاية ما يعتذرون به أنه جريٌ على ما جرى عليه السلف، وهل هو إلاّ عذر أقبح من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ذلك خلافاً لكتاب الله وموافقاً لحكم الجاهلية الجائر وهو </w:t>
      </w:r>
    </w:p>
    <w:p>
      <w:pPr>
        <w:pStyle w:val="BookText"/>
        <w:rPr/>
      </w:pPr>
      <w:r>
        <w:rPr>
          <w:rFonts w:ascii="Amiri" w:hAnsi="Amiri" w:eastAsia="Amiri" w:cs="Amiri"/>
          <w:color w:val="111111"/>
          <w:sz w:val="28"/>
          <w:sz w:val="28"/>
          <w:szCs w:val="28"/>
          <w:rtl w:val="true"/>
          <w:lang w:bidi="ar-SA"/>
        </w:rPr>
        <w:t>توريث الرجال دون النساء، وإعطاء البعيد منهم من حيث الطبقة وحرمان النساء وإن كن قريبات، والحال أنّ المعلوم بالضرورة من الدين أنه جاء بالأحكام العادلة الحكيمة، وأبطل  الأحكام الجاهلية الجائرة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أحكام الله تعالى لا تأباها الفطرة الإنسانية لأنها عين الحكمة والعدل وقد تجسّدت تلك  الأحكام في تعاليم العترة النبوية قرناء الكتاب العزيز وهم عدله الآخر وترجمان آياته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 قد يلجأ بعض العامة إلى الأخذ والاستناد إلى الأحكام الواردة عن أهل بيت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ويأخذون بها في مقام التطبيق كما تقدّم في مباحث الطلاق، بل ذهب بعضهم ـ كما نقلنا ـ إلى أنه لو كان له أن يختار للمعمول به في مصر لاختار رأي الإمامية في مسألة الإشهاد على الطلاق، وقس على ذلك سائر الأحكام فإنها تصدر عن منبع واحد وهو الثقل الأصغر وعيبة 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حديث الثقلين المشهور بل المتواتر ما يدلّ على أنّ 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صمّام الأمان من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ما نحن فيه أيضاً شاهد آخر على ما ندّعيه فقد ذكر العلاّمة الشيخ محمد جواد مغنية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الفقه على المذاهب الخمسة أنّ كثيراً من العامة كانوا يلجأون إلى الأخذ بمذهب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مسألة التوريث، فقال بعد أن ذكر بعض سلبيات القول بالتعصيب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رأينا الكثير من أفراد الأسر اللبنانية الذين لهم بنات فقط يبدّلون مذهبهم من التسنّن إلى التشيّع، لا لشيء إلاّ خوفاً أن يشترك مع أولادهم الأخوان أو الأعمام</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ويفكر الآن الكثير من رجال السنة بالعدول عن القول بالتعصيب، والأخذ بقول الإمامية من ميراث البنت، تماماً كما عدلوا عن القول بعدم صحة الوصية للوارث، وقالوا بصحّتها كما تقول الإمامية، على الرغم من اتفاق </w:t>
      </w:r>
    </w:p>
    <w:p>
      <w:pPr>
        <w:pStyle w:val="BookText"/>
        <w:rPr/>
      </w:pPr>
      <w:r>
        <w:rPr>
          <w:rFonts w:ascii="Amiri" w:hAnsi="Amiri" w:eastAsia="Amiri" w:cs="Amiri"/>
          <w:color w:val="111111"/>
          <w:sz w:val="28"/>
          <w:sz w:val="28"/>
          <w:szCs w:val="28"/>
          <w:rtl w:val="true"/>
          <w:lang w:bidi="ar-SA"/>
        </w:rPr>
        <w:t>المذاهب على عدم الصحة</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ذلك إلاّ دليل على ما ذكرنا من أنّ أهل بيت العصمة والطهارة صلوات الله عليهم قد جسّدوا أحكام الله وتعاليمه، وعلموا منها ما لم يعلمه الناس، فجاءت أحكامهم وتعاليمهم مطابقة للفطرة الإنسانية لأنها عين الحكمة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ونسأله تعالى أن يثبّتنا على القول الثابت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عن المقام الأول</w:t>
      </w:r>
    </w:p>
    <w:p>
      <w:pPr>
        <w:pStyle w:val="BookText"/>
        <w:rPr/>
      </w:pPr>
      <w:r>
        <w:rPr>
          <w:rFonts w:ascii="IRNazanin" w:hAnsi="IRNazanin" w:eastAsia="IRNazanin"/>
          <w:color w:val="111111"/>
          <w:sz w:val="28"/>
          <w:sz w:val="28"/>
          <w:szCs w:val="28"/>
          <w:rtl w:val="true"/>
          <w:lang w:bidi="fa-IR"/>
        </w:rPr>
        <w:t>والله هو العاصم والمسدد للصواب</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210" w:name="pg16406_258868"/>
    </w:p>
    <w:p>
      <w:pPr>
        <w:pStyle w:val="Heading4"/>
        <w:numPr>
          <w:ilvl w:val="3"/>
          <w:numId w:val="1"/>
        </w:numPr>
        <w:rPr/>
      </w:pPr>
      <w:bookmarkStart w:id="211" w:name="__RefHeading___Toc7246597_1280447820"/>
      <w:bookmarkStart w:id="212" w:name="_Toc69"/>
      <w:bookmarkEnd w:id="210"/>
      <w:bookmarkEnd w:id="211"/>
      <w:r>
        <w:rPr>
          <w:rtl w:val="true"/>
        </w:rPr>
        <w:t>المقام الثاني في العول</w:t>
      </w:r>
      <w:r>
        <w:rPr>
          <w:rtl w:val="true"/>
        </w:rPr>
        <w:t>:</w:t>
      </w:r>
      <w:bookmarkEnd w:id="212"/>
    </w:p>
    <w:p>
      <w:pPr>
        <w:pStyle w:val="BookText"/>
        <w:rPr/>
      </w:pPr>
      <w:r>
        <w:rPr>
          <w:rFonts w:ascii="Amiri" w:hAnsi="Amiri" w:eastAsia="Amiri" w:cs="Amiri"/>
          <w:color w:val="111111"/>
          <w:sz w:val="28"/>
          <w:sz w:val="28"/>
          <w:szCs w:val="28"/>
          <w:rtl w:val="true"/>
          <w:lang w:bidi="ar-SA"/>
        </w:rPr>
        <w:t>وهو من مسائل الميراث التي وقع فيها الخلاف بين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والعول في اللغة على وزن القول من عال يعول عولاً، وقد جاء بمعان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في الحكم إلى الجور،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 أي جار ومال عن الحق، وفي التنزيل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أَدْنَى أَلاَّ تَعُولُوا</w:t>
      </w:r>
      <w:r>
        <w:rPr>
          <w:rFonts w:eastAsia="Amiri" w:cs="Amiri" w:ascii="Amiri" w:hAnsi="Amiri"/>
          <w:color w:val="111111"/>
          <w:sz w:val="28"/>
          <w:szCs w:val="28"/>
          <w:rtl w:val="true"/>
          <w:lang w:bidi="ar-SA"/>
        </w:rPr>
        <w:t>»</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النقصان،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 الميزان عولاً فهو عائل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الارتفاع،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عالت الناقة بذنبها أي رفعته ومنه العويل وهو ارتفاع الصوت بالبكاء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 الرجل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كفله وقام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 الرجل يعول ويعيل إذا كثر عياله، ومنه زيادة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الافتقار،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 يعول إذا افتقر</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المعاني، وهو من ألفاظ الأضداد كالجون والقرء والمولى</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العول في اللغة العربية اسم للزيادة والنقصان، وهو يجري مجرى الأضداد، وإنما دخل هذا الاسم في الفرائض في الموضع الذيينقص فيه المال عن السهام المفروضة فيه، فدخل هاهنا النقصان، ويمكن أن يكون دخوله لأجل الزيادة، لأنّ السهام زادت على مبلغ المال، وإذا أضيف إلى المال كان نقصاناً، وإذا أضيف إلى السهام كان زيادة</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هذا فلا يختلف معناه اللغوي عنه في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في الاصطلاح ـ كما في الجواهر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الفريضة لقصورها عن سهام الورثة على وجه يحصل به النقص على الجميع بالنسبة</w:t>
      </w:r>
      <w:r>
        <w:rPr>
          <w:rStyle w:val="FootnoteAnchor"/>
          <w:rtl w:val="true"/>
        </w:rPr>
        <w:footnoteReference w:id="1678"/>
      </w:r>
      <w:r>
        <w:rPr>
          <w:rFonts w:ascii="Amiri" w:hAnsi="Amiri" w:eastAsia="Amiri" w:cs="Amiri"/>
          <w:color w:val="111111"/>
          <w:sz w:val="28"/>
          <w:sz w:val="28"/>
          <w:szCs w:val="28"/>
          <w:rtl w:val="true"/>
          <w:lang w:bidi="ar-SA"/>
        </w:rPr>
        <w:t>وهو ضد التعصيب الذي هو توريث العصبة ما فضل عن ذوي السهام</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وإليه ذهب مشهور العامة، وأما الخاصة فمذهبهم فيه القول بالبطلان ـ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قسم السرخسي في مبسوطه الفريضة 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عادلة، وفريضة قاصرة، وفريضة عائلة</w:t>
      </w:r>
      <w:r>
        <w:rPr>
          <w:rStyle w:val="FootnoteAnchor"/>
          <w:rtl w:val="true"/>
        </w:rPr>
        <w:footnoteReference w:id="1680"/>
      </w:r>
      <w:r>
        <w:rPr>
          <w:rFonts w:ascii="Amiri" w:hAnsi="Amiri" w:eastAsia="Amiri" w:cs="Amiri"/>
          <w:color w:val="111111"/>
          <w:sz w:val="28"/>
          <w:sz w:val="28"/>
          <w:szCs w:val="28"/>
          <w:rtl w:val="true"/>
          <w:lang w:bidi="ar-SA"/>
        </w:rPr>
        <w:t>، وشرح كلّ قسم وذكر أمثلته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وصور الفريضة العائلة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كان الميت امرأة وخلّفت أبوين وبنتاً وزوجاً، فالثلث للأبوين لكل منهما السدس، وللبنت النصف، وللزوج الربع، فتنقص الفريضة عن السهام بمقدار نصف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الميت امرأة وخلّفت زوجاً واختين، فللزوج النصفوللأختين الثلثان، فتنقص الفريضة عن السهام بمقدار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خلفت المرأة أمّاً وأختاً وزوجاً، فللزوج النصف، وللأمّ الثلث، وللأخت النصف، فتنقص الفريضة عن السهام بمقدار الثلث بناء على قول العامة من أنّ الأم لا تحجب الأخت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الميت رجلاً وخلّف أمّاً وزوجة وأختاً، فللزوجة الربع وللأم الثلث وللأخت النصف، فتنقص الفريضة عن السهام بمقدار نصف السدس</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خلّف الميّت أبوين وبنتين وزوجة، فللأبوين الثلث لكلّ </w:t>
      </w:r>
    </w:p>
    <w:p>
      <w:pPr>
        <w:pStyle w:val="BookText"/>
        <w:rPr/>
      </w:pPr>
      <w:r>
        <w:rPr>
          <w:rFonts w:ascii="Amiri" w:hAnsi="Amiri" w:eastAsia="Amiri" w:cs="Amiri"/>
          <w:color w:val="111111"/>
          <w:sz w:val="28"/>
          <w:sz w:val="28"/>
          <w:szCs w:val="28"/>
          <w:rtl w:val="true"/>
          <w:lang w:bidi="ar-SA"/>
        </w:rPr>
        <w:t>منهما السدس، وللبنتين الثلثان، وللزوجة الثمن، فتنقص الفريضة عن السهام بمقدار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خلّف الميت أمّاً وأختين من الأبوين وأختين من الأم، فللأم السدس وللأختين من الأبوين الثلثان، وللأختين من الأم الثلث، فتنقص الفريضة عن السهام بمقدار السدس، وهذا وهو الفرض  الذي يوجب العول مع عدم الزوج أو الزوجة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خلّف الميت أختين من الأبوين وأختين من الأم وزوجة، فتنقص الفريضة عن السهام بمقدار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خلّف الميت أختاً من الأبوين وأختين من الأم وزوجاً، فتنقص الفريضة عن السهام بمقدار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خلّف الميت أمّاً وزوجة وأختين للأبوين وأختين للأم فتنقص الفريضة عن السهام بمقدار ثلث ونصف السدس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خلّف الميت أختين من الأبوين وأختين من الأم وزوجاً، فتنقص الفريضة عن السهام بمقدار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خلّف الميت أختين من الأبوين وأختين من الأم وأمّاً وزوجاً، فتنقص الفريضة عن السهام بمقدارها إلاّ سدساً، وهذه الصورة عندهم تسمى أمّ الفروخ لكثرة عولها، شبّهوا أصلها بالأم وعولها بفروخها</w:t>
      </w:r>
      <w:r>
        <w:rPr>
          <w:rStyle w:val="FootnoteAnchor"/>
          <w:rtl w:val="true"/>
        </w:rPr>
        <w:footnoteReference w:id="1681"/>
      </w:r>
      <w:r>
        <w:rPr>
          <w:rFonts w:ascii="Amiri" w:hAnsi="Amiri" w:eastAsia="Amiri" w:cs="Amiri"/>
          <w:color w:val="111111"/>
          <w:sz w:val="28"/>
          <w:sz w:val="28"/>
          <w:szCs w:val="28"/>
          <w:rtl w:val="true"/>
          <w:lang w:bidi="ar-SA"/>
        </w:rPr>
        <w:t>، كما تسمى بالمسألة الشريحية، لأنها حدثت في زمان شريح فقضى بها كذلك</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الكلام يقع في ثلاثة مواضع</w:t>
      </w:r>
      <w:r>
        <w:rPr>
          <w:rFonts w:eastAsia="Amiri" w:cs="Amiri" w:ascii="Amiri" w:hAnsi="Amiri"/>
          <w:color w:val="111111"/>
          <w:sz w:val="28"/>
          <w:szCs w:val="28"/>
          <w:rtl w:val="true"/>
          <w:lang w:bidi="ar-SA"/>
        </w:rPr>
        <w:t xml:space="preserve">: </w:t>
      </w:r>
      <w:bookmarkStart w:id="213" w:name="pg16406_258871"/>
    </w:p>
    <w:p>
      <w:pPr>
        <w:pStyle w:val="Heading4"/>
        <w:numPr>
          <w:ilvl w:val="3"/>
          <w:numId w:val="1"/>
        </w:numPr>
        <w:rPr/>
      </w:pPr>
      <w:bookmarkStart w:id="214" w:name="__RefHeading___Toc7246599_1280447820"/>
      <w:bookmarkStart w:id="215" w:name="_Toc70"/>
      <w:bookmarkEnd w:id="213"/>
      <w:bookmarkEnd w:id="214"/>
      <w:r>
        <w:rPr>
          <w:rtl w:val="true"/>
        </w:rPr>
        <w:t>الأول</w:t>
      </w:r>
      <w:r>
        <w:rPr>
          <w:rtl w:val="true"/>
        </w:rPr>
        <w:t xml:space="preserve">: </w:t>
      </w:r>
      <w:r>
        <w:rPr>
          <w:rtl w:val="true"/>
        </w:rPr>
        <w:t>الأقوال في المسألة</w:t>
      </w:r>
      <w:bookmarkEnd w:id="215"/>
    </w:p>
    <w:p>
      <w:pPr>
        <w:pStyle w:val="BookText"/>
        <w:rPr/>
      </w:pPr>
      <w:r>
        <w:rPr>
          <w:rFonts w:ascii="Amiri" w:hAnsi="Amiri" w:eastAsia="Amiri" w:cs="Amiri"/>
          <w:color w:val="111111"/>
          <w:sz w:val="28"/>
          <w:sz w:val="28"/>
          <w:szCs w:val="28"/>
          <w:rtl w:val="true"/>
          <w:lang w:bidi="ar-SA"/>
        </w:rPr>
        <w:t xml:space="preserve">أما من الخاصة فقد قال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تذهب إليه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إذا ضاق عن سهام الورثة قدّم ذوو السهام المؤكّدة من الأبوين والزوجين على البنات والأخوات من الأم وعلى الأخوات من الأب والأم أو من الأب، وجعل الفاضل عن سهامهم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مثل ذلك، وقال به أيضاً عطاء بن أبي رباح، وحكى الفقهاء من العامة هذا المذهب عن محمد بن علي بن الحسين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وعلى آبائه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مذهب داود بن علي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باقي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إذا ضاق عن سهام الورثة قسم بينهم على قدر سهامهم كما يفعل في الديون والوصايا إذا ضاقت التركة عنها</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أصحابنا ـ بلا خلاف ـ أنّ الفرائض لا تعول، ووافقنا على ذلك ابن عباس، وداود بن علي الأصفهاني، وخالفنا باقي الفقهاء</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الشيخ في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العول عندنا باطل، فكلّ مسألة تعول على مذهب المخالفين فالقول عندنا فيها بخلاف ما قالوه، وبه قال ابن عباس، فإنه لم يعول المسائل، وأدخل النقص على البنات، وبنات الابن والأخوات للأب والأم أو للأب، وبه قال محمد بن الحنفية، ومحمد بن علي بن الحسين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وداود بن علي، وأعالها جميع الفقهاء</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ونكتفي بهذا من أقوال الخاصّة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من العامة فقد قال  ابن قدامة في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في أم الفروخ من زوج واثنين فصاعداً من ولد الأم، وأم أو جدة، واثنين من ولد الأبوين أو الأب، أو إحداهما من ولد الأبوين، والأخرى من ولد الأب، فمتى اجتمع فيها هذا عالت إلى عشرة، ومعنى العول أن تزدحم فروض لا يتسع المال لها كهذه المسألة، فيدخل النقص عليهم كلهم، ويقسّم المال بينهم على قدر فروضهم، كما يقسّم مال المفلسّس بين غرمائه بالحصص، لضيق ماله عن وفائهم، ومال الميت بينأرباب الديون إذا لم يفها، والثلث بين أرباب الوصايا إذا عجز عنها، وهذا قول عامة الصحابة، ومن تبعهم من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يروى ذلك عن عمر، وعلي، والعباس، وابن مسعود، وزيد، وبه قال مالك في أهل المدينة، والثوري، وأهل العراق، والشافعي وأصحابه، وإسحاق ونعيم، وحماد، وأبو ثور، وسائر أهل العلم إلاّ ابن عباس، وطائفة شذّت يقل عددها، نقل ذلك عن محمد بن الحنفية، ومحمد بن علي بن الحسين، وعطاء، وداود،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تعول المسائل</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حزم في 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قال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ثابت، ووافقه عليه عمر بن الخطاب، وصحّ عنه هذا، وروي عن علي، وابن مسعود، غير مسند، وذكر عن العباس، ولم يصح، وصح عن شريح، ونفر من التابعين يسير، وبه يقول أبو حنيفة، ومالك، والشافعي، وأحمد، وأصحاب هؤلاء القوم إذا اجتمع رأيهم على شيء كان أسهل شيء عليهم دعوى الإجماع، فإن لم يمكنهم ذلك لم تكن عليهم مؤنة من دعوى أنه قول الجمهور، وأنّ خلافه شذوذ، وإنّ خصومهم ليرثون لهم من تورّطهم في هذه الدعاوى الكاذبة، نعوذ بالله من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 ابن عباس هذا يقول عطاء، ومحمد بن علي بن أبي طالب، </w:t>
      </w:r>
      <w:bookmarkStart w:id="216" w:name="pg16406_258873"/>
    </w:p>
    <w:p>
      <w:pPr>
        <w:pStyle w:val="BookText"/>
        <w:rPr/>
      </w:pPr>
      <w:bookmarkEnd w:id="216"/>
      <w:r>
        <w:rPr>
          <w:rFonts w:ascii="Amiri" w:hAnsi="Amiri" w:eastAsia="Amiri" w:cs="Amiri"/>
          <w:color w:val="111111"/>
          <w:sz w:val="28"/>
          <w:sz w:val="28"/>
          <w:szCs w:val="28"/>
          <w:rtl w:val="true"/>
          <w:lang w:bidi="ar-SA"/>
        </w:rPr>
        <w:t>ومحمد بن علي بن الحسين، وأبو سليمان، وجميع أصحابنا، وغيرهم</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ونكتفي بذلك من أقوالهم، ومن ذلك يظهر أنّ مذهب الخاصة هو القول ببطلان العول، وأما العامة فهم وإن اختلفت كلماتهم إلاّ أن القول به هو المشهورعندهم</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7246601_1280447820"/>
      <w:bookmarkStart w:id="218" w:name="_Toc71"/>
      <w:bookmarkEnd w:id="217"/>
      <w:r>
        <w:rPr>
          <w:rtl w:val="true"/>
        </w:rPr>
        <w:t>الموضع الثاني</w:t>
      </w:r>
      <w:r>
        <w:rPr>
          <w:rtl w:val="true"/>
        </w:rPr>
        <w:t xml:space="preserve">: </w:t>
      </w:r>
      <w:r>
        <w:rPr>
          <w:rtl w:val="true"/>
        </w:rPr>
        <w:t>في الأدلة</w:t>
      </w:r>
      <w:bookmarkEnd w:id="218"/>
    </w:p>
    <w:p>
      <w:pPr>
        <w:pStyle w:val="Heading4"/>
        <w:numPr>
          <w:ilvl w:val="3"/>
          <w:numId w:val="1"/>
        </w:numPr>
        <w:rPr/>
      </w:pPr>
      <w:bookmarkStart w:id="219" w:name="__RefHeading___Toc7246603_1280447820"/>
      <w:bookmarkStart w:id="220" w:name="_Toc72"/>
      <w:bookmarkEnd w:id="219"/>
      <w:r>
        <w:rPr>
          <w:rtl w:val="true"/>
        </w:rPr>
        <w:t>أدلة المثبتين</w:t>
      </w:r>
      <w:r>
        <w:rPr>
          <w:rtl w:val="true"/>
        </w:rPr>
        <w:t>:</w:t>
      </w:r>
      <w:bookmarkEnd w:id="220"/>
    </w:p>
    <w:p>
      <w:pPr>
        <w:pStyle w:val="BookText"/>
        <w:rPr/>
      </w:pPr>
      <w:r>
        <w:rPr>
          <w:rFonts w:ascii="Amiri" w:hAnsi="Amiri" w:eastAsia="Amiri" w:cs="Amiri"/>
          <w:color w:val="111111"/>
          <w:sz w:val="28"/>
          <w:sz w:val="28"/>
          <w:szCs w:val="28"/>
          <w:rtl w:val="true"/>
          <w:lang w:bidi="ar-SA"/>
        </w:rPr>
        <w:t>استدل العامة على القول بالعول بوجوه 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ذكره السيدان قدس سرهما أن الشعبي والحسن بن عمارة والنخعي قد رووا عن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يقول بالعول</w:t>
      </w:r>
      <w:r>
        <w:rPr>
          <w:rStyle w:val="FootnoteAnchor"/>
          <w:rtl w:val="true"/>
        </w:rPr>
        <w:footnoteReference w:id="1688"/>
      </w:r>
      <w:r>
        <w:rPr>
          <w:rFonts w:ascii="Amiri" w:hAnsi="Amiri" w:eastAsia="Amiri" w:cs="Amiri"/>
          <w:color w:val="111111"/>
          <w:sz w:val="28"/>
          <w:sz w:val="28"/>
          <w:szCs w:val="28"/>
          <w:rtl w:val="true"/>
          <w:lang w:bidi="ar-SA"/>
        </w:rPr>
        <w:t>، وذكر البيهقي في سننه أنه حكى إبراهيم النخعي عن علي مسائل أعال فيها الفرائض</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روي أنه سئل عن ميراث أبوين، وبنتين، وزوجة،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ثمنها تسعاً</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السائل ابن الكوا</w:t>
      </w:r>
      <w:r>
        <w:rPr>
          <w:rStyle w:val="FootnoteAnchor"/>
          <w:rtl w:val="true"/>
        </w:rPr>
        <w:footnoteReference w:id="1691"/>
      </w:r>
      <w:r>
        <w:rPr>
          <w:rFonts w:ascii="IRNazanin" w:hAnsi="IRNazanin" w:eastAsia="IRNazanin"/>
          <w:color w:val="111111"/>
          <w:sz w:val="28"/>
          <w:sz w:val="28"/>
          <w:szCs w:val="28"/>
          <w:rtl w:val="true"/>
          <w:lang w:bidi="fa-IR"/>
        </w:rPr>
        <w:t xml:space="preserve">، وتسمى هذه المسألة بالمنبرية، لأن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عنها على المنبر ـ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ومضى في خطبته</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سعيد أنبأ أبو عبد الله، ثنا محمد بن نصر، ثناإسحاق، ثنا يحيى بن آدم، ثنا شريك، عن أبي إسحاق عن الحارث، عن علي </w:t>
      </w:r>
    </w:p>
    <w:p>
      <w:pPr>
        <w:pStyle w:val="BookText"/>
        <w:rPr/>
      </w:pPr>
      <w:r>
        <w:rPr>
          <w:rFonts w:ascii="Amiri" w:hAnsi="Amiri" w:eastAsia="Amiri" w:cs="Amiri"/>
          <w:color w:val="111111"/>
          <w:sz w:val="28"/>
          <w:sz w:val="28"/>
          <w:szCs w:val="28"/>
          <w:rtl w:val="true"/>
          <w:lang w:bidi="ar-SA"/>
        </w:rPr>
        <w:t>رضي الله عنه في امرأة وأبوين وبنتين، صار ثمنها تسعاً</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أيضاً بطريق آخر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بالقياس على أرباب الديون إذا عجز مال المديون عنها، فإنه إذا مات المديون وعليه ديون كثيرة لا يفي المال بها وقع النقص على جميع الغرماء بالنسبة، ولا خلاف في ذلك بين المسلمين، فكذلك الحال في الميراث فإن عالت الفريضة وقع النقص على ذوي السهام بالنسبة</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بالقياس أيضاً على أرباب الوصايا إذا عجز الثلث عنها، فإنه إذا أوصى الميت بثلثه إلى كثيرين بحيث لا يفي المال بالجميع فلابدّ من تقسيم المال عليهم بالنسبة، فيقع النقص على الجميع، وكذلك الحال في الميراث</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العمدة من أدلتهم ـ وما مرّ من الأدلة إنما هي لتوجيه هذا الدليل ـ وهو الاستناد إلى قول عمر بن الخطاب، في ما رواه الزهري، عن عبيد الله بن عتبة،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أعال الفرائض عمر بن الخطاب، لما التوت عليه الفرائض، ودافع بعضها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أدري أيكم قدّم الله، ولا أيّكم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شيئاً هو أوسع لي أن أقسم  المال عليكم بالحصص، وأدخل على كل ذي حقّ ما دخل عليه من عول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رواه الجصاص في أحكامه</w:t>
      </w:r>
      <w:r>
        <w:rPr>
          <w:rStyle w:val="FootnoteAnchor"/>
          <w:rtl w:val="true"/>
        </w:rPr>
        <w:footnoteReference w:id="1696"/>
      </w:r>
      <w:r>
        <w:rPr>
          <w:rFonts w:ascii="Amiri" w:hAnsi="Amiri" w:eastAsia="Amiri" w:cs="Amiri"/>
          <w:color w:val="111111"/>
          <w:sz w:val="28"/>
          <w:sz w:val="28"/>
          <w:szCs w:val="28"/>
          <w:rtl w:val="true"/>
          <w:lang w:bidi="ar-SA"/>
        </w:rPr>
        <w:t>، والحاكم في مستدركه، وقال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 ولم يخرجاه</w:t>
      </w:r>
      <w:r>
        <w:rPr>
          <w:rStyle w:val="FootnoteAnchor"/>
          <w:rtl w:val="true"/>
        </w:rPr>
        <w:footnoteReference w:id="1697"/>
      </w:r>
      <w:r>
        <w:rPr>
          <w:rFonts w:ascii="Amiri" w:hAnsi="Amiri" w:eastAsia="Amiri" w:cs="Amiri"/>
          <w:color w:val="111111"/>
          <w:sz w:val="28"/>
          <w:sz w:val="28"/>
          <w:szCs w:val="28"/>
          <w:rtl w:val="true"/>
          <w:lang w:bidi="ar-SA"/>
        </w:rPr>
        <w:t>، والبيهقي في سننه</w:t>
      </w:r>
      <w:r>
        <w:rPr>
          <w:rStyle w:val="FootnoteAnchor"/>
          <w:rtl w:val="true"/>
        </w:rPr>
        <w:footnoteReference w:id="169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وغيرهم</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لم ينكر عليه أحد من الصحابة فيتحقق الإجماع على صحة هذا الحكم وهو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الوجوه المستفادة من كلماتهم في الاستدلال على القول بالعول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الوجوه كلها موهونة، ولا يمكن الاعتماد على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ضعيف السند والدلالة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ضعف السند فلأنّ الشعبي ممن وقع الخلاف فيه، فمدحه جمع وذمّه آخرون، منهم إبراهيم النخعي، بل كان كلّ منها يكذّب الآخر، فقد روى ابن عبد البر القرطبي في الجامع بسنده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إبراهيم النخعي عند الشعبي،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الأعور الذي يستفتيني بالليل ويجلس يفتي الناس بالنهار،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الكذّاب لم يسمع من مسروق شيئاً</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وعلّق على ذلك ابن عبد البر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وأظن الشعبي عوقب لقوله في الحارث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الحارث وكان أحد الكذابين، ولم يبن من الحارثكذب، وإنما نقم عليه إفراطه في حبّ علي وتفضيله على غيره</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المقبلي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ذنبه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التشيع والاختصاص بعلي كرّم الله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شكاة ظاهر عنك عارها</w:t>
      </w:r>
      <w:r>
        <w:rPr>
          <w:rFonts w:eastAsia="Amiri" w:cs="Amiri" w:ascii="Amiri" w:hAnsi="Amiri"/>
          <w:color w:val="111111"/>
          <w:sz w:val="28"/>
          <w:szCs w:val="28"/>
          <w:rtl w:val="true"/>
          <w:lang w:bidi="ar-SA"/>
        </w:rPr>
        <w:t>)</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الشعبي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لقينا من علي، إن أحببناه ذهبت دنيانا، وإن أبغضناه ذهب ديننا</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مضافاً إلى أنّ الشعبي لا يمكنه أن يروي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واسطة، لأنه ولد في سنة ست وثلاثين، وكانت شهادة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أربعين للهجرة</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فرض أنه أدرك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ولكن ذكر العسقلاني في  التهذيب عن الحاكم في علومه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عائشة، ولا من ابن مسعود، ولا من أسامة بن زيد، ولا من علي إنما رآه رؤية</w:t>
      </w:r>
      <w:r>
        <w:rPr>
          <w:rStyle w:val="FootnoteAnchor"/>
          <w:rtl w:val="true"/>
        </w:rPr>
        <w:footnoteReference w:id="1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وقالالدارقطني في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يسمع الشعبي من علي إلاّ حرفاً واحداً ما سمع غيره، كأنه عنى ما أخرجه البخاري في الرجم عنه عن علي حين رجم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رجمتها بسنّة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النخعي فهو وإن كان من محدّثي العامة، وفقهاء التابعين إلاّ أنه متّهم كما مرّ، مضافاً إلى أنّ ولادته كانت سنة سبع وثلاثين</w:t>
      </w:r>
      <w:r>
        <w:rPr>
          <w:rStyle w:val="FootnoteAnchor"/>
          <w:rtl w:val="true"/>
        </w:rPr>
        <w:footnoteReference w:id="1707"/>
      </w:r>
      <w:r>
        <w:rPr>
          <w:rFonts w:ascii="IRNazanin" w:hAnsi="IRNazanin" w:eastAsia="IRNazanin"/>
          <w:color w:val="111111"/>
          <w:sz w:val="28"/>
          <w:sz w:val="28"/>
          <w:szCs w:val="28"/>
          <w:rtl w:val="true"/>
          <w:lang w:bidi="fa-IR"/>
        </w:rPr>
        <w:t xml:space="preserve">فلا يمكنه أن يروي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واسطة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الحسن بن عمارة فهو ضعيف عند أصحاب الحديث، فقد روي عن أبي داود الطيالسي أنّ شعبة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 جرير بن حازم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لك أن تروي عن الحسن بن عمارة، فإنه يكذب </w:t>
      </w:r>
      <w:r>
        <w:rPr>
          <w:rFonts w:eastAsia="Amiri" w:cs="Amiri" w:ascii="Amiri" w:hAnsi="Amiri"/>
          <w:color w:val="111111"/>
          <w:sz w:val="28"/>
          <w:szCs w:val="28"/>
          <w:rtl w:val="true"/>
          <w:lang w:bidi="ar-SA"/>
        </w:rPr>
        <w:t>...</w:t>
      </w:r>
      <w:r>
        <w:rPr>
          <w:rStyle w:val="FootnoteAnchor"/>
          <w:rtl w:val="true"/>
        </w:rPr>
        <w:footnoteReference w:id="1708"/>
      </w:r>
      <w:r>
        <w:rPr>
          <w:rFonts w:ascii="Amiri" w:hAnsi="Amiri" w:eastAsia="Amiri" w:cs="Amiri"/>
          <w:color w:val="111111"/>
          <w:sz w:val="28"/>
          <w:sz w:val="28"/>
          <w:szCs w:val="28"/>
          <w:rtl w:val="true"/>
          <w:lang w:bidi="ar-SA"/>
        </w:rPr>
        <w:t>وقال عنه إبراهيم بن يعقوب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w:t>
      </w:r>
      <w:r>
        <w:rPr>
          <w:rStyle w:val="FootnoteAnchor"/>
          <w:rtl w:val="true"/>
        </w:rPr>
        <w:footnoteReference w:id="1709"/>
      </w:r>
      <w:r>
        <w:rPr>
          <w:rFonts w:ascii="Amiri" w:hAnsi="Amiri" w:eastAsia="Amiri" w:cs="Amiri"/>
          <w:color w:val="111111"/>
          <w:sz w:val="28"/>
          <w:sz w:val="28"/>
          <w:szCs w:val="28"/>
          <w:rtl w:val="true"/>
          <w:lang w:bidi="ar-SA"/>
        </w:rPr>
        <w:t>، وقال أبو حاتم، ومسلم، والنسائي، والدارقطني متروكالحديث</w:t>
      </w:r>
      <w:r>
        <w:rPr>
          <w:rStyle w:val="FootnoteAnchor"/>
          <w:rtl w:val="true"/>
        </w:rPr>
        <w:footnoteReference w:id="1710"/>
      </w:r>
      <w:r>
        <w:rPr>
          <w:rFonts w:ascii="Amiri" w:hAnsi="Amiri" w:eastAsia="Amiri" w:cs="Amiri"/>
          <w:color w:val="111111"/>
          <w:sz w:val="28"/>
          <w:sz w:val="28"/>
          <w:szCs w:val="28"/>
          <w:rtl w:val="true"/>
          <w:lang w:bidi="ar-SA"/>
        </w:rPr>
        <w:t>، وقال ابو طالب أحمد بن حميد، 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عمارة متروك الحديث،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هوى؟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كان منكر الحديث، وأحاديثه موضوعة، لا يكتب حديثه</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ولي الحسن بن عمارة مظالم الكوفة بلغ الأعمش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ولي مظالمنا</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ضعف الدلالة فلأنّه لم يذكر نص الرواية، وإنما نسب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بالعول، ولعل النسبة كانت اجتهاداً من الرواة قياساً منهم على بعض المسائل، وإلاّ فإنّ المعروف من مذهب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القول ببطلان العول كما سيأتي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ويؤيد ذلك ما رواه صاحب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 الفرائض الذي رواه الشعبي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عندي ما قاسه الشعبي على قول علي، وما أرى علياً كان يتفرّغ لهذا</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فهو ضعيف الدلالة والسند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من جهة السند ففيه أنّ الحارث مجهول الحال، ولم يعرف من هو، ولم يرد فيه ما يدل على وثاقته، وقد احتمل بعضهم أنه هو الحارث بن نوفل بن الحارثبن عبد المطلب</w:t>
      </w:r>
      <w:r>
        <w:rPr>
          <w:rStyle w:val="FootnoteAnchor"/>
          <w:rtl w:val="true"/>
        </w:rPr>
        <w:footnoteReference w:id="1714"/>
      </w:r>
      <w:r>
        <w:rPr>
          <w:rFonts w:ascii="Amiri" w:hAnsi="Amiri" w:eastAsia="Amiri" w:cs="Amiri"/>
          <w:color w:val="111111"/>
          <w:sz w:val="28"/>
          <w:sz w:val="28"/>
          <w:szCs w:val="28"/>
          <w:rtl w:val="true"/>
          <w:lang w:bidi="ar-SA"/>
        </w:rPr>
        <w:t>، ولم يذكر دليلاً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في السند غيره ممن اختلفت فيهم كلمات الرجاليين كأبي إسحاق وهو عمر بن عبد الله السبيعي، وشريك، وهو شريك بن عبد الله بن أبي شريك أبو عبد الله الكوفي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 العسقلاني في التهذيب عن معن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أفسد حديث أهل الكوفة الأعمش، وأبو إسحاق يعني للتدليس، وعن ابن حبان في كتاب الثقات أنه كان مدلّساً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ذكره في المدلّسين حسين الكرابيسي وأبو جعفر الطبري</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اختلفت الكلمات فيه أيضاً، فقد قال عنه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سيّىء الحفظ مضطرب الحديث مائل، وقال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يحتج بحديثه؟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الخطأ صاحب حديث، وهو يغلط أحياناً، فقال له فضلك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حدّث بواسط بأحاديث بواطيل، فقال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بواطيل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إبراهيم بن سعيد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في أربعمائة حديث، وقال ابن المثنى ما رأيت يحيى، ولا عبد الرحمن حدثنا عنه بشيء، وقال محمد بن يحيى بن سعيد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أصول شريك تخليطاً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وكذا قال الدارقطني، وقال أبو أحمد الحاكم، ليس بالمتين، وقال عبد الله بن أحمد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صالح أثبت من شريك، كان شريك لا يبالي كيفحدّث</w:t>
      </w:r>
      <w:r>
        <w:rPr>
          <w:rStyle w:val="FootnoteAnchor"/>
          <w:rtl w:val="true"/>
        </w:rPr>
        <w:footnoteReference w:id="1716"/>
      </w:r>
      <w:r>
        <w:rPr>
          <w:rFonts w:ascii="Amiri" w:hAnsi="Amiri" w:eastAsia="Amiri" w:cs="Amiri"/>
          <w:color w:val="111111"/>
          <w:sz w:val="28"/>
          <w:sz w:val="28"/>
          <w:szCs w:val="28"/>
          <w:rtl w:val="true"/>
          <w:lang w:bidi="ar-SA"/>
        </w:rPr>
        <w:t>، إلى غير ذلك من كلماتهم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وبناء على هذا فالرواية ساقطة من حيث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ضعف الدلالة فلأنّ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 ثمنها 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على الإنكار، وإنه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أسقط همزة الاستفهام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بذلك التعريض بالعول لأنه يؤدي إلى تغيير الفرائض، وهو على خلاف ما فرض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كان إخباراً منه عما هو في الخارج وما عليه الناس من القول بالعول، ولم يجب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المسألة، وإنما ذكر ذلك للإيهام على السائل والسامع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يبعد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بما تقتضيه التقية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على ذلك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المستفاد من كيفية السؤال والجواب أنّ المسألة لم تكن بالصورة المتعارفة، فقد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يخطب على المنبر حتى سمّيت هذه المسألة بالمنبرية، وكان السائل هو عبد الله بن الكوّا، وهو أحد المناوئين والخارجين</w:t>
      </w:r>
      <w:r>
        <w:rPr>
          <w:rStyle w:val="FootnoteAnchor"/>
          <w:rtl w:val="true"/>
        </w:rPr>
        <w:footnoteReference w:id="1717"/>
      </w:r>
      <w:r>
        <w:rPr>
          <w:rFonts w:ascii="IRNazanin" w:hAnsi="IRNazanin" w:eastAsia="IRNazanin"/>
          <w:color w:val="111111"/>
          <w:sz w:val="28"/>
          <w:sz w:val="28"/>
          <w:szCs w:val="28"/>
          <w:rtl w:val="true"/>
          <w:lang w:bidi="fa-IR"/>
        </w:rPr>
        <w:t>على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فقطع الخطبة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مشهد من الناس من دون أن تكون هناك حاجة ملحّة لطرح السؤال في تلكالحال، وإنما هو مجرّد فرض فرضه السائل وذلك يدل على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في مقام بيان الحكم الواقعي، بل في مقام التقية وتفويت الفرصة على المناوىء</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الكوفة ـ وهي عاصمة 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 تكن أوضاعها مستقرة، بل كانت مضطربة، وكان بعض أهلها يعلن عصيانه وتمرّده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يستطع أن يغيّر بعض البدع التي ورثها الناس ونشأوا عليها، إذ كانت مستحكمة في نفوسهم إلى حدّ بعيد، كصلاة التراويح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فإنه قد روي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اجتمعوا إليه بالكوفة، فسألوه أن ينصب لهم إماماً يصلّي بهم نافلة شهر رمضان، زجرهم وعرّفهم أنّ ذلك خلاف السنة، فتركوه، واجتمعوا لأنفسهم وقدّموا بعضهم، فبعث إليهم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عليهم المسجد ومعه الدرّة، فلما رأوه تبادروا الأبواب وصاحوا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واعمراه</w:t>
      </w:r>
      <w:r>
        <w:rPr>
          <w:rStyle w:val="FootnoteAnchor"/>
          <w:rtl w:val="true"/>
        </w:rPr>
        <w:footnoteReference w:id="1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نقل ابن أبي الحديد عن شيخه أبي جعفر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أهل البصرة كلهم يبغضونه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وكثير من أهل الكوفة، وكثير من أهل المدينة، وأما أهل مكة فكلّهم كانوا يبغضونه قاطبة، وكانت قريش كلها على خلافه،وكان جمهور الخلق مع بني أمية عليه</w:t>
      </w:r>
      <w:r>
        <w:rPr>
          <w:rStyle w:val="FootnoteAnchor"/>
          <w:rtl w:val="true"/>
        </w:rPr>
        <w:footnoteReference w:id="1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اليد في إجراء الأمور كما يريد حتى أنه لم يتمكن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عزل شريح عن تولّي القضاء مع انحرافه عنه لأن أهل الكوفة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تعزله لأنه منصوب من قبل عمر، وبايعناك على أن لا تغيّر شيئاً قرره أبو بكر وعمر</w:t>
      </w:r>
      <w:r>
        <w:rPr>
          <w:rStyle w:val="FootnoteAnchor"/>
          <w:rtl w:val="true"/>
        </w:rPr>
        <w:footnoteReference w:id="1721"/>
      </w:r>
      <w:r>
        <w:rPr>
          <w:rFonts w:ascii="Amiri" w:hAnsi="Amiri" w:eastAsia="Amiri" w:cs="Amiri"/>
          <w:color w:val="111111"/>
          <w:sz w:val="28"/>
          <w:sz w:val="28"/>
          <w:szCs w:val="28"/>
          <w:rtl w:val="true"/>
          <w:lang w:bidi="ar-SA"/>
        </w:rPr>
        <w:t>، وقال لقضاته، وقد سألوه بِمَ نحكم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اقضوا كا كنتم تقضون حتى يكون الناس جماعة، أو أموت كما مات أصحابي</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عباس، ومحمد بن الحنفية رضي الله عنهما والسجاد، والباقر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كانوا مخالفين للقول بالعول، وهم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وأدرى من غيرهم بما فيه، وقد كان ابن عباس ـ تلميذه، وآخذ العلم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الذين دافعوا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يجاهر ببطلان العول، ويحلف على بطلانه، ويدعو </w:t>
      </w:r>
    </w:p>
    <w:p>
      <w:pPr>
        <w:pStyle w:val="BookText"/>
        <w:rPr/>
      </w:pPr>
      <w:r>
        <w:rPr>
          <w:rFonts w:ascii="Amiri" w:hAnsi="Amiri" w:eastAsia="Amiri" w:cs="Amiri"/>
          <w:color w:val="111111"/>
          <w:sz w:val="28"/>
          <w:sz w:val="28"/>
          <w:szCs w:val="28"/>
          <w:rtl w:val="true"/>
          <w:lang w:bidi="ar-SA"/>
        </w:rPr>
        <w:t>للمباهلة حتى سمّيت مسألة النصفين مع الثلث بمسألة المباهلة من البهل وهو اللعن، وروي أنها أول فريضة أعيلت في زمان عمر، وكان ابن عباس صغيراً فلما كبر أظهر الخلاف بعد موت عمر،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تقل هذا لعمر؟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مهاباً فهبته،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أحصى رمل عالج عدداً لم يجعل في المال نصفاً ونصفاً وثلثاً، ذهب النصفان بالمال فأين موضع الثلث؟ ثم 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يغني عنك شيئاً لو متّ أو متّلقسّم ميراثنا على ما عليه الناس من خلاف رأيك،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شاؤا فلندع أبناءنا وأبناءهم، ونساءنا ونساءهم، وأنفسنا وأنفسهم، ثم نبتهل، فنجعل لعنة الله على الكاذبين، فسميت المباهلة لذلك</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ورواها السرخسي أيضاً في مبسوطه عن عطاء</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كان ابن عباس بهذه المثابة فكيف بمعلّمه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يتقي في ذلك لجهر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برأيه، وفي هذه الرواية ما يدل على ذلك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يغني عنك شيئاً لو متَّ أو متُّ لقسّم ميراثنا على ما عليه الناس</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خلاف القول بالعول، ولما تمكّن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الحكم في المسألة بالحق حكم به، ويدلّ على ذلك ما رواه الشيخ في التهذيب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طالب الأنباري،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محمد بن أيوب الجوزجاني،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أبي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بكر بن أبي بكر بن شعبة، عن سماك، عن عبيدة السلماني،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المنبر فقام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رجل مات وترك ابنتيه وأبويه وزوجة،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ثمن المرأة تسعاً، قال سماك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ذلك؟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عمر بن الخطاب وقعت في إمارته هذه الفريضة، فلم يدر ما صنع،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للبنتين الثلثان، وللأبوين السدسان، وللزوجة الثمن،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الثمن باقياً بعد الأبوين والبنتين، فقال له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هؤلاء فريضتهم، للأبوين السدسان، وللزوجة الثمن، وللبنتين ما يبقى،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فريضتهما الثلثان؟ فقال له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ما يبقى، فأبى ذلك عليه عمر وابن مسعود،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رأى عمر، قال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وأخبرني جماعة من أصحاب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في مثلها أنه أعطى للزوج الربع مع الإبنتين، وللأبوين السدسين، والباقي ردّ على البنتين، وذلك هو الحق، وإن أباه قومنا</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الرواية صريحة الدلالة في أنّ رأي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بطلان القول بالعول، وقد حكم بذلك في محضر عمر، إلاّ أنه وابن مسعود أبيا ذلك عليه، فاضطرّ إلى الموافقة تقية، فلما تمكن من الحكم بالحق بعد ذلك حكم به، وفي ذلك تأييد لما ذكرناه</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الكليني بسنده عن يونس بن يعقوب،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لا مقدّم لما أخّر، ولا مؤخّر لما قدّم، ثم ضرب بإحدى يديه على الأخرى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أيّتها الأمة المتحيّرة بعد نبيها، لو كنتم قدّمتم من قدّم الله، وأخّرتم من أخّر الله، وجعلتم الولاية والوراثة حيث جعلها الله، ما عال ولي الله، ولا عال سهم من فرائض الله، ولا اختلف اثنان في حكم الله، ولا تنازعت الأمة في شيء من أمرالله، إلاّ وعندنا علمه من كتاب الله، فذوقوا وبال أمركم، وما فرّطتم فيما قدّمت أيديكم، وما الله بظلاّم للعبيد، وسيعلم الذين ظلموا أيّ منقلب ينقلبون</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هذه الرواية دلالة على أنّ رأيه ومذهبه على خلاف القول بالعول، وفي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كنتم قدّمتم من قدّم الله وأخّرتم من أخّر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يدلّ على أن المسألة أبعد من مسألة العول في الفريضة، فإنّ القضية ترجع إلى نفس الولاية والإمامة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إماماً على الأمة وأخّر غيره ـ بأمر من الله ـ إلاّ أنّ الأمة قدّمت من أخّر الله وأخّرت من قدّم فوقعت في الضلال، وما هذا التحير والتخبّط في الأحكام على غير هدى إلاّ نتيجة طبيعية لمخالفة أوامر الله ورسوله، ولو قلّدوا علياً زمام الأمور لأمنوا من العثرات، ولما كان لظالم على مؤمن سلطان، ولما كان الحكم على خلاف ما أنزل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الرواية مؤيدة لما تقدم من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يذهب إلى بطلان القول بالعول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جعلنا الوجهين الأخيرين مؤيدين لأنّ الروايتين واردتان في كتب الخاصة لا في كتب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الثالث هو باطل لأنه لا يصح قياس الإرث على الدين، وذلك لأنّ بينهما فروقاً كثيرة،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الدين يتعلّق بذمة المديون في حال حياته، ولابدّ من وفائه كاملاً، بخلاف الإرث، فإنه لا حقّ للوارث فيه حال الحياة، لا في الذمة ولا في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على المديون وفاء الدين في دار الدنيا، فإذا لم يوفه فيها فهو مؤاخذ به في الآخرة، وليس الإرث كذلك، فإنه غير مؤاخذ على نقصان السهام عن الفريضة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الدين متعلّق بذمة المديون ابتداء وبماله عرضاً، فإذا لم يف مال المديون قسّم المال على أرباب الديون بالنسبة، وعرض النقص على حصصهم بحسب مقدار ديونهم، وأما الإرث فإنه لا يتعلّق بالذمة ابتداء، وإنّما </w:t>
      </w:r>
    </w:p>
    <w:p>
      <w:pPr>
        <w:pStyle w:val="BookText"/>
        <w:rPr/>
      </w:pPr>
      <w:r>
        <w:rPr>
          <w:rFonts w:ascii="Amiri" w:hAnsi="Amiri" w:eastAsia="Amiri" w:cs="Amiri"/>
          <w:color w:val="111111"/>
          <w:sz w:val="28"/>
          <w:sz w:val="28"/>
          <w:szCs w:val="28"/>
          <w:rtl w:val="true"/>
          <w:lang w:bidi="ar-SA"/>
        </w:rPr>
        <w:t>يتعلق ابتداء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في الدين هو المديون نفسه، لإقدامه على ذلك، فيجب عليه وفاء جميع الدين، فإن لم يكن عنده ما يفي به قسّم المال بالنسبة، وتكون ذمته مشغولة بالباقي، ولابدّ من إفراغها بعد ذلك مع تمكّنه، وأما الإرث فليس كذلك، فإنه حق من الله في مال الميت للوارث ابتداء، فلابدّ أن يكون الميراث بمقدار المال، ولذا لا يمكن أن يجعل سبحانه وتعالى في المال ثلثين ونصفاً، أو نصفين وثلثاً، فإنّ ذلك يستلزم إما جهله بأنّ المال لا يتحمّل هذا النحو من التقسيم، وهو باطل بالبداهة، وتعالى الله عما يقول الظالمون علوّاً كبيراً، وإما عدم جعله تعالى ذلك، بل شرّع سبحانه وتعالى الميراث بحيث لا تزيد السهام ولا ينقص المال، ولازم ذلك بطلان العول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الرابع فهو باطل أيضاً للفرق بين المقيس والمقيس عليه، وذلك لأنّ مقتضى القاعدة في الوصية هو أنه إذا أوصى أحد بمال لأشخاص على نحو الترتيبكأن أوصى لزيد، ثم أوصى لعمرو وهكذا، فإن علم من حال أو مقال رجوعه عن الوصية للأول فهو، وحينئذ فالمال يكون لمن عداه، وإلاّ إذا لم يعلم ولم تقم قرينة على ذلك فلابدّ من البدأة بالأول وإعطائه بمقدار ما أوصي به، ثم يعطى الثاني وهكذا، فإن وفى المال بالجميع فهو، وإلاّ سقط المتأخر ولا شيء له، وذلك لأنّ الوصية إنشاء تمليك من الموصي للموصى له بعد موته، ويعتبر في التمليك وجود الملك، فإذا نفد المال بالوصية للأول أو له وللثاني فلا يبقى للثالث شيء، وحينئذ فالوصية باطلة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كانت الوصية بالمال مثلاً لأشخاص مجتمعين بأن ذكر الموصي جماعة ثم أوصى لهم بمقدار من المال فإذا نقص المال الموصى به عن المقدار الذي عينه لكلّ منهم فلابدّ حينئذ من توزيع النقص عليهم بالنسبة كما يقسم بين </w:t>
      </w:r>
    </w:p>
    <w:p>
      <w:pPr>
        <w:pStyle w:val="BookText"/>
        <w:rPr/>
      </w:pPr>
      <w:r>
        <w:rPr>
          <w:rFonts w:ascii="Amiri" w:hAnsi="Amiri" w:eastAsia="Amiri" w:cs="Amiri"/>
          <w:color w:val="111111"/>
          <w:sz w:val="28"/>
          <w:sz w:val="28"/>
          <w:szCs w:val="28"/>
          <w:rtl w:val="true"/>
          <w:lang w:bidi="ar-SA"/>
        </w:rPr>
        <w:t>الشركاء كلّ بحسب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والميراث من القسم الأول، لأنّ الله تعالى قد جعل لكل من الورّاث سهماً مستقلاًّ، فلابدّ من تشخيص المقدّم والمؤخّر، وأما القول بأنّ الورّاث يشتركون في جميع المال بحيث يقع النقص على الجميع فلازمه نسبة الجهل لله تعالى بمورد النقص، وإلاّ لكان عليه أن يصرّح بالتوزيع أو ورود النقص على بعض دون بعض، لا أن يقدّم بعضاً ويؤخر بعضاً آخر، ويجعل المتأخّر شريكاً للمتقدّم، وهل هذا إلاّ 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 ذلك علوّاً كبيراً</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بناء على صحة الاستدلال بالقياس كما عليه العامة وإلاّ فإنّ القياس في نفسه باطل كما هو مقرر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الوجه الخامس ـ وهو عمدة أدلتهم كما ذكرنا ـ فقد قال جماعة من علماء العامة إنّ أول من أعال الفرائض هو عمر بن الخطاب، كالجصّاص في أحكامه</w:t>
      </w:r>
      <w:r>
        <w:rPr>
          <w:rStyle w:val="FootnoteAnchor"/>
          <w:rtl w:val="true"/>
        </w:rPr>
        <w:footnoteReference w:id="1727"/>
      </w:r>
      <w:r>
        <w:rPr>
          <w:rFonts w:ascii="Amiri" w:hAnsi="Amiri" w:eastAsia="Amiri" w:cs="Amiri"/>
          <w:color w:val="111111"/>
          <w:sz w:val="28"/>
          <w:sz w:val="28"/>
          <w:szCs w:val="28"/>
          <w:rtl w:val="true"/>
          <w:lang w:bidi="ar-SA"/>
        </w:rPr>
        <w:t>والسيوطي في تاريخه</w:t>
      </w:r>
      <w:r>
        <w:rPr>
          <w:rStyle w:val="FootnoteAnchor"/>
          <w:rtl w:val="true"/>
        </w:rPr>
        <w:footnoteReference w:id="1728"/>
      </w:r>
      <w:r>
        <w:rPr>
          <w:rFonts w:ascii="Amiri" w:hAnsi="Amiri" w:eastAsia="Amiri" w:cs="Amiri"/>
          <w:color w:val="111111"/>
          <w:sz w:val="28"/>
          <w:sz w:val="28"/>
          <w:szCs w:val="28"/>
          <w:rtl w:val="true"/>
          <w:lang w:bidi="ar-SA"/>
        </w:rPr>
        <w:t>، والعسكري في أوائله</w:t>
      </w:r>
      <w:r>
        <w:rPr>
          <w:rStyle w:val="FootnoteAnchor"/>
          <w:rtl w:val="true"/>
        </w:rPr>
        <w:footnoteReference w:id="1729"/>
      </w:r>
      <w:r>
        <w:rPr>
          <w:rFonts w:ascii="Amiri" w:hAnsi="Amiri" w:eastAsia="Amiri" w:cs="Amiri"/>
          <w:color w:val="111111"/>
          <w:sz w:val="28"/>
          <w:sz w:val="28"/>
          <w:szCs w:val="28"/>
          <w:rtl w:val="true"/>
          <w:lang w:bidi="ar-SA"/>
        </w:rPr>
        <w:t>، وذكر آخرون أنّ أول من أعال الفرائض هو زيد بن ثابت كالبيهقي في سننه</w:t>
      </w:r>
      <w:r>
        <w:rPr>
          <w:rStyle w:val="FootnoteAnchor"/>
          <w:rtl w:val="true"/>
        </w:rPr>
        <w:footnoteReference w:id="1730"/>
      </w:r>
      <w:r>
        <w:rPr>
          <w:rFonts w:ascii="Amiri" w:hAnsi="Amiri" w:eastAsia="Amiri" w:cs="Amiri"/>
          <w:color w:val="111111"/>
          <w:sz w:val="28"/>
          <w:sz w:val="28"/>
          <w:szCs w:val="28"/>
          <w:rtl w:val="true"/>
          <w:lang w:bidi="ar-SA"/>
        </w:rPr>
        <w:t>، وابن حزم في محلاّه</w:t>
      </w:r>
      <w:r>
        <w:rPr>
          <w:rStyle w:val="FootnoteAnchor"/>
          <w:rtl w:val="true"/>
        </w:rPr>
        <w:footnoteReference w:id="1731"/>
      </w:r>
      <w:r>
        <w:rPr>
          <w:rFonts w:ascii="Amiri" w:hAnsi="Amiri" w:eastAsia="Amiri" w:cs="Amiri"/>
          <w:color w:val="111111"/>
          <w:sz w:val="28"/>
          <w:sz w:val="28"/>
          <w:szCs w:val="28"/>
          <w:rtl w:val="true"/>
          <w:lang w:bidi="ar-SA"/>
        </w:rPr>
        <w:t>، وطريق الجمع أنّ عمر هو أول من أعال الفرائض بمشورة زيد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بمشورة العباس بن عبد المطلب</w:t>
      </w:r>
      <w:r>
        <w:rPr>
          <w:rStyle w:val="FootnoteAnchor"/>
          <w:rtl w:val="true"/>
        </w:rPr>
        <w:footnoteReference w:id="1732"/>
      </w:r>
      <w:r>
        <w:rPr>
          <w:rFonts w:ascii="Amiri" w:hAnsi="Amiri" w:eastAsia="Amiri" w:cs="Amiri"/>
          <w:color w:val="111111"/>
          <w:sz w:val="28"/>
          <w:sz w:val="28"/>
          <w:szCs w:val="28"/>
          <w:rtl w:val="true"/>
          <w:lang w:bidi="ar-SA"/>
        </w:rPr>
        <w:t>حيث ذكر السرخسي في مبسوطه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من قال بالعول العباس بن عبد المطلب فإنه قال 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وقعت هذه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أعيلوا الفرائض</w:t>
      </w:r>
      <w:r>
        <w:rPr>
          <w:rStyle w:val="FootnoteAnchor"/>
          <w:rtl w:val="true"/>
        </w:rPr>
        <w:footnoteReference w:id="1733"/>
      </w:r>
      <w:r>
        <w:rPr>
          <w:rFonts w:ascii="Amiri" w:hAnsi="Amiri" w:eastAsia="Amiri" w:cs="Amiri"/>
          <w:color w:val="111111"/>
          <w:sz w:val="28"/>
          <w:sz w:val="28"/>
          <w:szCs w:val="28"/>
          <w:rtl w:val="true"/>
          <w:lang w:bidi="ar-SA"/>
        </w:rPr>
        <w:t xml:space="preserve">، إلاّ أنّ ابن حزم أنكر أن يكون العباس هو </w:t>
      </w:r>
    </w:p>
    <w:p>
      <w:pPr>
        <w:pStyle w:val="BookText"/>
        <w:rPr/>
      </w:pPr>
      <w:r>
        <w:rPr>
          <w:rFonts w:ascii="Amiri" w:hAnsi="Amiri" w:eastAsia="Amiri" w:cs="Amiri"/>
          <w:color w:val="111111"/>
          <w:sz w:val="28"/>
          <w:sz w:val="28"/>
          <w:szCs w:val="28"/>
          <w:rtl w:val="true"/>
          <w:lang w:bidi="ar-SA"/>
        </w:rPr>
        <w:t>أول من أعال الفرائض،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عن العباس ولم يصح</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دعوى إجماع الصحابة على ذلك كما نقل عن بعضهم</w:t>
      </w:r>
      <w:r>
        <w:rPr>
          <w:rStyle w:val="FootnoteAnchor"/>
          <w:rtl w:val="true"/>
        </w:rPr>
        <w:footnoteReference w:id="1735"/>
      </w:r>
      <w:r>
        <w:rPr>
          <w:rFonts w:ascii="Amiri" w:hAnsi="Amiri" w:eastAsia="Amiri" w:cs="Amiri"/>
          <w:color w:val="111111"/>
          <w:sz w:val="28"/>
          <w:sz w:val="28"/>
          <w:szCs w:val="28"/>
          <w:rtl w:val="true"/>
          <w:lang w:bidi="ar-SA"/>
        </w:rPr>
        <w:t>فهي باطلة قطعاً،فقد ذكر السرخسي في المبسوط</w:t>
      </w:r>
      <w:r>
        <w:rPr>
          <w:rStyle w:val="FootnoteAnchor"/>
          <w:rtl w:val="true"/>
        </w:rPr>
        <w:footnoteReference w:id="1736"/>
      </w:r>
      <w:r>
        <w:rPr>
          <w:rFonts w:ascii="Amiri" w:hAnsi="Amiri" w:eastAsia="Amiri" w:cs="Amiri"/>
          <w:color w:val="111111"/>
          <w:sz w:val="28"/>
          <w:sz w:val="28"/>
          <w:szCs w:val="28"/>
          <w:rtl w:val="true"/>
          <w:lang w:bidi="ar-SA"/>
        </w:rPr>
        <w:t>أربعة أشخاص ذهبوا إلى القول بالعول على خلاف في اثنين منهم</w:t>
      </w:r>
      <w:r>
        <w:rPr>
          <w:rStyle w:val="FootnoteAnchor"/>
          <w:rtl w:val="true"/>
        </w:rPr>
        <w:footnoteReference w:id="1737"/>
      </w:r>
      <w:r>
        <w:rPr>
          <w:rFonts w:ascii="Amiri" w:hAnsi="Amiri" w:eastAsia="Amiri" w:cs="Amiri"/>
          <w:color w:val="111111"/>
          <w:sz w:val="28"/>
          <w:sz w:val="28"/>
          <w:szCs w:val="28"/>
          <w:rtl w:val="true"/>
          <w:lang w:bidi="ar-SA"/>
        </w:rPr>
        <w:t>، ولم يذكر غيرهم، وأما باقي الصحابة فلا يدل سكوتهم على الرضا، ولعله كان للخوف كما صرّح ابن عباس بذلك حين سأله عطاء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تقل هذا في زمن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مهيباً فهبت</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سخّف ابن حزم دعوى الإجماع في محلاّه</w:t>
      </w:r>
      <w:r>
        <w:rPr>
          <w:rStyle w:val="FootnoteAnchor"/>
          <w:rtl w:val="true"/>
        </w:rPr>
        <w:footnoteReference w:id="1739"/>
      </w:r>
      <w:r>
        <w:rPr>
          <w:rFonts w:ascii="Amiri" w:hAnsi="Amiri" w:eastAsia="Amiri" w:cs="Amiri"/>
          <w:color w:val="111111"/>
          <w:sz w:val="28"/>
          <w:sz w:val="28"/>
          <w:szCs w:val="28"/>
          <w:rtl w:val="true"/>
          <w:lang w:bidi="ar-SA"/>
        </w:rPr>
        <w:t>، وقال عنها بأنها دعوى كاذبة كما ذكرنا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عمر لما التوت عليه الفرائض ودافع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أيّكم قدّم الله ولا أيّكم أخّر ـ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 أجد شيئاً هو أوسع لي أن أقسم المال عليكم بالحصص، وأدخل على كل ذي حقّ ما دخل عليه من عول الفريضة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مردود بوجوه</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قد أقرّ بأن هناك من قدّمه الله، كما أنّ هناك من أخّره، واعترف بعدم درايته بالمقدّم والمؤخّر،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علمه بوجود المقدّم والمؤخّر إجمالاً وإدخاله النقص على الجميع موجب للمخالفة القطعية لحكم من أحكام </w:t>
      </w:r>
    </w:p>
    <w:p>
      <w:pPr>
        <w:pStyle w:val="BookText"/>
        <w:rPr/>
      </w:pPr>
      <w:r>
        <w:rPr>
          <w:rFonts w:ascii="Amiri" w:hAnsi="Amiri" w:eastAsia="Amiri" w:cs="Amiri"/>
          <w:color w:val="111111"/>
          <w:sz w:val="28"/>
          <w:sz w:val="28"/>
          <w:szCs w:val="28"/>
          <w:rtl w:val="true"/>
          <w:lang w:bidi="ar-SA"/>
        </w:rPr>
        <w:t>الله تعالى وتعد على حدّ من حدوده، وإذا كان الأمر كذلك فهل تجب متابعة عمر في ذلك أو يستحق قوله المتابعة؟؟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بعد أن بيّن ابن عباس من قدّمه الله ومن أخّره ـ وهو حبر  الأمة والآخذ علمه من باب علم النبوة فلماذا لم تعبأ الأمة برأيه، وأصرّت على موقفها في متابعة عمر، وقد وطّن ابن عباس نفسه على المباهلة في ذلك كما تقدم وكما نقله السرخسي وغيره من أنّ عطاء ـ أو علي كما في رواية مغني المحتاج ـ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يغني رأيك شيئاً، ولو متَّ لقسّم ميراثك بين ورثتك على غير رأيك، فغضب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لهؤلاء الذين يقولون بالعول حتى نجتمع، ثم نبتهل فنجعل لعنة الله على الكاذبين، إنّ الذي أحصى رمل مالج</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اعترف بصحة قول ابن عباس بعض الفقهاء، فقال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أنّه تقدّمه إمام عادل كان أمره على الورع فأمضى أمراً مضى ما اختلفت على ابن عباس من أهل العلم اثنان فيما قال</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أنه يقدّم في العول قضاء إمام عادل ورع لما اختلف اثنان على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في مسألة المباهلة يعني مسألة العول</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أخوفني من هذا القضاء لولا أنه سبقني به إمام عادل ورع يعني عمر بن الخطاب</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والمستفاد من ذلك أنه لا دليل على القول بالعول من الكتاب والسنة، بلالدليل على البطلان، إذ لا إشكال في مخالفته للكتاب والسنة كما بيّنا، وكما </w:t>
      </w:r>
    </w:p>
    <w:p>
      <w:pPr>
        <w:pStyle w:val="BookText"/>
        <w:rPr/>
      </w:pPr>
      <w:r>
        <w:rPr>
          <w:rFonts w:ascii="Amiri" w:hAnsi="Amiri" w:eastAsia="Amiri" w:cs="Amiri"/>
          <w:color w:val="111111"/>
          <w:sz w:val="28"/>
          <w:sz w:val="28"/>
          <w:szCs w:val="28"/>
          <w:rtl w:val="true"/>
          <w:lang w:bidi="ar-SA"/>
        </w:rPr>
        <w:t>دلّت عليه كلمات هؤلاء الفقهاء، على أنه لا معنى لمتابعة هؤلاء لقول عمر مع علمهم ببطلان قوله، وهلاّ تابعوا قول ابن عباس، ولماذا اختلفوا عليه؟؟</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تقرّر في محله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بجميع ما تحتاج إليه الأمة من الأحكام والتعاليم، وقد كمل الدين، وتمت النعمة، وختمت الرسالة، وأنّ حلال محمد حلال إلى يوم القيامة، وأنّ حرامه حرام إلى يوم القيامة، وقد وضعت الضوابط العامة للأحكام، فما أفتى به عمر عدا أنه قول بلا دليل، هو اجتراء على حكم من أحكام الله، وتعلّله بقوله لا أدري لا يبرّر جرأته مع أنه قد قال في خطبة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إنّ أصحاب الرأي أعداء السنن، أعيتهم الأحاديث أن يحفظوها فأفتوا بآرائهم فأضلّوا</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للخليفة أن يخالف بين قوله وفعله، وينهى عن شيء ويأتي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المعروف من سيرة عمر بن الخطاب، أنه كان كثير التلوّن في قضائه، وكان يغيّر آراءه باجتهاداته عبثاً، فيأتي بالحكم في مسألة وينقضه في أخرى، حتى أنّ البيهقي روى في سننه بسنده عن عبيدة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لأحفظ عن عمر في الجدّ ماءة قضية كلها ينقض بعضها بعضاً</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قضاؤه في شبيه ما نحن فيه، وهي المسألة الحمارية على ما ذكره السرخسي وغيره، فقد روى البيهقي بسنده عن الحكم بن مسعود الثقفي،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 الأخوة من الأب والأم مع الأخوة من الأم في الثلث،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في هذا عام أول بغير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قضيت؟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للأخوة من الأم ولم تجعل للأخوة من الأب والأم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على ما قضينا وهذا على ما قضينا</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رواية السرخسي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الأخوة لأب وأم سألوا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المسألة، فأفتى بنفي التشريك كما كان يقوله أولاً،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 أبانا كان حماراً، ألسنا من أم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ورجع إلى  القول بالتشريك</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أجل ذلك سمّيت هذه المسألة بالحمارية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الخليفة على هذه الحال فأي أقواله حجّة؟ وأيها الأحق بالاتباع؟ على أنه قد اعترف غير مرة بعدم علمه، وقد اشتهر عنه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أفقه من عمر</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كيف يكون قوله في العول هو الحجة، وهو المتبع مع وضوح بطلانه كما تقدّم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وليس القول ببطلان العول منحصراً بالخاصة، بل ذهب إليه بعض علماء العامة، ومنهم ابن حزم ـ كما تقدم ـ فإنه شدّد في النكير على القائلين به، وقال في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فنظرنا فيما احتجّ به من ذهب إلى العول فوجدنا ماذكره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لم يعرف من قدّم الله تعالى، ولا من أخّر، وزاد المتأخرون منهم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بعضهم أولى بالحطيطة من بعض، فالواجب أن يكونا كالغرماء، والموصى لهم، يضيق المال عن حقوقهم، فالواجب أن يعمّوا بالحطيطة، وادّعوا على من أبطل العول تناقضاً في مسألة واحدة فقط، وقال بعضهم في مسألة أخرى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حجّة أصلاً غير ما ذكرنا، ولا حجة لهم في شيء منه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أدري أيّهم قدّم الله عزّوجلّ ولا أيّهم أخّر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ومثله لم يدّع ما لم يتبين له، إلاّ أنّنا على يقين وثلج من أنّ الله تعالى لم يكلفنا ما لم يتبيّن لنا، فإن كان خفي على عمر فلم يخف على ابن عباس، وليس مغيب الحكم عمّن غاب عنه حجة على من علمه، وقد غاب عن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جواز كثرة الصداق، وموت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الكلالة، وأشياء كثيرة، فما كدح ذلك في علم من علمها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تشبيههم ذلك بالغرماء والموصى لهم، فباطل وتشبيه فاسد، لأنّ المال لو اتّسع على ما هولوا وسع الغرماء والموصي لهم، ولوجد بعد التحاصّ مال الغريم يقسم على الغرماء والموصى لهم أبداً، حتى يسعهم، وليس كذلك أمر العول، فإن كل ما خلق الله تعالى في الدنيا والجنة والنار والعرش لا يتسع لأكثر من نصفين، أو ثلاثة أثلاث، أو أربعة أرباع، أو ستة أسداس، أو ثمانية أثمان، فمن الباطل أن يكلّفنا الله عزوجل المحال وما ليس في الوسع، ومن الباطل أن يكلّفنا من المخرج من ذلك والمخلص منه ما لم يبيّن عنّا كيف نعمل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بعضهم أولى بالحطيطة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 صحيح إنزيد فيه ما ينقص منه، وهو أن لا يوجب حطّ بعضهم دون بعض نصّ أو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لهم هاهنا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لكم أن تحطّوا أحداً من الورثة ممّا جعل الله تعالى باحتياطك وظنّك، لكن بنصّ أو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دعواهم التناقض من المانعين بالعول في المسألة التي ذكروا فسنذكرها إن شاء الله تعالى ونرى أنّهم لم يتناقضوا فيها أصلاً</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 قد بطل كلّ ما شغبوا به فالواجب أن ننظر فيما احتجّ به المبطلون للعول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فوجدنا ابن عباس في الخبر الذي قد أوردنا من طريق عبيد الله بن عبد الله عنه قد انتظم بالحجّة في ذلك بما لا يقدر أحد على الاعتراض فيه، وأول </w:t>
      </w:r>
    </w:p>
    <w:p>
      <w:pPr>
        <w:pStyle w:val="BookText"/>
        <w:rPr/>
      </w:pPr>
      <w:r>
        <w:rPr>
          <w:rFonts w:ascii="Amiri" w:hAnsi="Amiri" w:eastAsia="Amiri" w:cs="Amiri"/>
          <w:color w:val="111111"/>
          <w:sz w:val="28"/>
          <w:sz w:val="28"/>
          <w:szCs w:val="28"/>
          <w:rtl w:val="true"/>
          <w:lang w:bidi="ar-SA"/>
        </w:rPr>
        <w:t>ذلك إخباره بأنّ عمر أول من عال الفرائض باعترافه، أنه لم يعرف مراد الله تعالى في ذلك، فصحّ أنه رأي لم يتقدّمه سنّة، وهذا يكفي في ردّ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وصف أنّ قوله في ذلك هو نصّ القرآن، فهو الحقّ، وبيّن أن الكلام في العول لا يقع إلاّ في فريضة فيها أبوان وزوج وزوجة وأخوات وبنات فقط، أو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يشكّ ذو مسكة عقل في أنّ الله تعالى لم يرد قط إعطاء فرائض لا يسعها المال، ووجدنا ثلاث حجج قاطعة موجبة صحّة قول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ذكر من تقديم من لم يحطه الله تعالى قط عن فرض مسمّى، على من حطّه عن الفرض المسمّى إلى أن لا يكون له إلاّ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بضرورة العقل عرفنا أنّ تقديم من أوجب الله تعالى ميراثه علىكل حال، ومن لا يمنعه من الميراث مانع أصلاً، إذا كان هو والميت حرّين على دين واحد، على من قد يرث وقد لا يرث، لأن من لم يمنعه الله تعالى قط من الميراث لا يحلّ منعه مما جعل الله تعالى له، وكلّ من قد يرث وقد لا يرث، فبالضرورة ندري أنه لا يرث إلاّ بعد من لا يرث ولابدّ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ووجدنا الزوجين والأبوين يرثون أبداً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ووجدنا الأخوات قد يرثن وقد لا يرثن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ووجدنا البنات لا يرثن إلاّ بعد ميراث من يرث معهن</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ننظر فيمن ذكرنا، فإن وجدنا المال يتّسع لفرائضهن أيقنّا أنّ الله عزوجل أرادهم في تلك الفريضة نفسها بما سمّي فيها في القرآن، وإن وجدنا المال لا يتسع لفرائضهم نظرنا فيهم واحداً وحداً، فمن وجدنا ممّن ذكرنا قد اتّفق جميع أهل الإسلام اتفاقاً مقطوعاً به معلوماً بالضرورة على أنه ليس له </w:t>
      </w:r>
      <w:bookmarkStart w:id="221" w:name="pg16406_258892"/>
    </w:p>
    <w:p>
      <w:pPr>
        <w:pStyle w:val="BookText"/>
        <w:rPr/>
      </w:pPr>
      <w:bookmarkEnd w:id="221"/>
      <w:r>
        <w:rPr>
          <w:rFonts w:ascii="Amiri" w:hAnsi="Amiri" w:eastAsia="Amiri" w:cs="Amiri"/>
          <w:color w:val="111111"/>
          <w:sz w:val="28"/>
          <w:sz w:val="28"/>
          <w:szCs w:val="28"/>
          <w:rtl w:val="true"/>
          <w:lang w:bidi="ar-SA"/>
        </w:rPr>
        <w:t>في تلك الفريضة ما ذكر الله عزوجل في</w:t>
      </w:r>
    </w:p>
    <w:p>
      <w:pPr>
        <w:pStyle w:val="BookText"/>
        <w:rPr/>
      </w:pPr>
      <w:r>
        <w:rPr>
          <w:rFonts w:ascii="Amiri" w:hAnsi="Amiri" w:eastAsia="Amiri" w:cs="Amiri"/>
          <w:color w:val="111111"/>
          <w:sz w:val="28"/>
          <w:sz w:val="28"/>
          <w:szCs w:val="28"/>
          <w:rtl w:val="true"/>
          <w:lang w:bidi="ar-SA"/>
        </w:rPr>
        <w:t>القرآن، أيقنّا قطعاً أن الله تعالى لم يرد قط فيما نصّ عليه في القرآن فلم نعطه إلاّ ما اتفق عليه، فإن لم يتفق له على شيء لم نعطه شيئاً، لأنه قد صحّ أن لا ميراث له في النصوص في القرآن</w:t>
      </w:r>
      <w:r>
        <w:rPr>
          <w:rStyle w:val="FootnoteAnchor"/>
          <w:rtl w:val="true"/>
        </w:rPr>
        <w:footnoteReference w:id="1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أجاب عن دعوى التناقض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أجاد فيما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بالعول قول بالمحال، فإنه على خلاف الضرورة العقلية والشرعية</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7246605_1280447820"/>
      <w:bookmarkStart w:id="223" w:name="_Toc73"/>
      <w:bookmarkEnd w:id="222"/>
      <w:r>
        <w:rPr>
          <w:rtl w:val="true"/>
        </w:rPr>
        <w:t>أدلة النافين</w:t>
      </w:r>
      <w:r>
        <w:rPr>
          <w:rtl w:val="true"/>
        </w:rPr>
        <w:t>:</w:t>
      </w:r>
      <w:bookmarkEnd w:id="223"/>
    </w:p>
    <w:p>
      <w:pPr>
        <w:pStyle w:val="BookText"/>
        <w:rPr/>
      </w:pPr>
      <w:r>
        <w:rPr>
          <w:rFonts w:ascii="Amiri" w:hAnsi="Amiri" w:eastAsia="Amiri" w:cs="Amiri"/>
          <w:color w:val="111111"/>
          <w:sz w:val="28"/>
          <w:sz w:val="28"/>
          <w:szCs w:val="28"/>
          <w:rtl w:val="true"/>
          <w:lang w:bidi="ar-SA"/>
        </w:rPr>
        <w:t>واستدل القائلون ببطلان العول ـ وهم الخاصة ـ بالأدلة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 والسنة، والإجماع،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ذكر أدلّتهم لا بأس أن نمهّد لها بأمور تشتمل على توضيح لما تقدم ويأتي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السهام المنصوصة في الكتاب العزيز ستة،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الثلثان والنصف، والثلث، والربع، والسدس، والثمن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اختصارها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الثلثان، والنصف، ونصفهما ونصف نصفهما،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وربع، وضعفهما، ونصفهما،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سدس وثمن، وضعفهما، وضعف ضعفهما، ولا إشكال في ذلك فإنه مورد لاتفاق المسلمين قاطبة وقد أجمعوا عليه وبه نطق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أرباب السهام ثلاث عشرة طائفة، وبيان ذلك</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الثلثين فرض طائفتين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البنتان فصاعداً مع الانفراد، والأختان </w:t>
      </w:r>
    </w:p>
    <w:p>
      <w:pPr>
        <w:pStyle w:val="BookText"/>
        <w:rPr/>
      </w:pPr>
      <w:r>
        <w:rPr>
          <w:rFonts w:ascii="Amiri" w:hAnsi="Amiri" w:eastAsia="Amiri" w:cs="Amiri"/>
          <w:color w:val="111111"/>
          <w:sz w:val="28"/>
          <w:sz w:val="28"/>
          <w:szCs w:val="28"/>
          <w:rtl w:val="true"/>
          <w:lang w:bidi="ar-SA"/>
        </w:rPr>
        <w:t>فصاعداً من الأبوين أو من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والنصف فرض ثلاث طوائف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مع عدم الولد، والبنت منفردة، والأخت منفردة من الأبوين أو من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والثلث فرض طائفتين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مع عدم الولد والحاجب، والأخوان أو الأختان أو أخ وأخت فصاعداً من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والربع فرض طائفتين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مع الولد، والزوجة مع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والسدس فرض ثلاث طوائف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الأبوان مع الولد، والأم مع الحاجب،والأخ أو الأخت من الأم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والثمن فرض طائفة واحدة وهي الزوجة مع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صور اجتماع إحدى هذه الطوائف مع غيرها في الفريضة كثيرة، وهي على أربعة 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فبعضها صحيح عادل لا يوجب زيادة ولا نقيصة، وبعضها ممتنع، وبعضها يوجب زيادة الفريضة على أربابها، وهو المسمى بالتعصيب وقد تقدم البحث حوله مفصّلاً، وبعضها يوجب نقص الفريضة عليهم وهو المسمّى بالعول وهو موضوع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يوجب النقص في الفريضة عند الخاصة إنما هو في إحدى عشرة صورة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الأبوين والبنت مع الزوج، ففيها نقصان السدس من الفريضة عن أرباب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الأبوين والبنتين مع الزوج، وفيها نقصان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الأبوين والبنتين مع الزوجة، وفيها نقصان الثمن</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أحد الأبوين والبنتين مع الزوج، وفيها نقصان نصف السدس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الأخوة من الأم والأخت من الأبوين أو الأب مع الزوجة، وفيها نقصان نصف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الأخوة من الأم والأختين فصاعداً من الأبوين أو من الأب مع الزوج، وفيها نقصان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الأخوة من الأم والأختين فصاعداً من الأبوين أو من الأبمع الزوجة، وفيها نقصان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الأخ أو الأخت من الأم والأخت من الأبوين أو الأب مع الزوج، وفيها نقصان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الأخ أو الأخت من الأم والأخت من الأبوين أو الأب مع الزوج، وفيها نقصان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الأخ أو الأخت من الأم والأختين فصاعداً من الأبوين أو الأب مع الزوج، وفيها نقصان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الأخ أو الأخت من الأم والأختين فصاعداً من الأبوين أو الأب مع الزوجة، وفيها نقصان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النقص في جميع هذه الصور على ذوي السهام من جهة وجود أحد الزوجين، وحيث إنّ العول باطل في مذهب الخاصة فإنّ النقص الواقع في الفريضة لا يدخل على جميع الأفراد، بل لابد من دخوله على المؤخّر، وهو من لا يرث بالفرض في هذه الحالة، وإنما يرث بالقرابة كالبنت والبنتين والأخت والأختين، على ما سيأتي بيانه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العامة حيث ذهبوا إلى القول بالعول وأدخلوا النقص على الجميع فتكون صور النقص عندهم كثيرة حتى من غير جهة الزوج أو الزوجة، كما في صورة اجتماع الأبوين مع الأختين فصاعداً وغيرها من الصور وقد تقدم ذكر بعضها، وبعض هذه الصور باطل على مذهب الخاصة، لاختلاف الطبقة فإنّ الأختين ـ مثلاً ـ لا ترثان مع وجود الأبوين أو أحدهما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وقد اشتهرت بعض الصور عندهم، كالمسألة المنبرية، والحمارية وأمّالفروخ وقد تقدّم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الخاصة على بطلان العول بالأدلة الأربعة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الكتاب فبالآيات المشتملة على بيان الفرائض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يُوصِيكُمْ اللَّهُ فِي أَوْلادِكُمْ لِلذَّكَرِ مِثْلُ حَظِّ الأُنثَيَيْنِ فَإِنْ كُنَّ نِسَاءً فَوْقَ اثْنَتَيْنِ فَلَهُنَّ ثُلُثَا مَا تَرَكَ وَإِنْ كَانَتْ وَاحِدَةً فَلَهَا النِّصْفُ وَلأَبَوَيْهِ لِكُلِّ وَاحِدٍ مِنْهُمَا السُّدُسُ مِمَّا تَرَكَ إِنْ كَانَ لَهُ وَلَدٌ فَإِنْ لَمْ يَكُنْ لَهُ وَلَدٌ وَوَرِثَهُ أَبَوَاهُ فَلأُمِّهِ الثُّلُثُ فَإِنْ كَانَ لَهُ إِخْوَةٌ فَلأُمِّهِ السُّدُسُ مِنْ بَعْدِ وَصِيَّةٍ يُوصِي بِهَا أَوْ دَيْنٍ آبَاؤُكُمْ وَأَبْنَاؤُكُمْ لا تَدْرُونَ أَيُّهُمْ أَقْرَبُ لَكُمْ نَفْعاً فَرِيضَةً مِنْ اللَّهِ إِنَّ اللَّهَ كَانَ عَلِيماً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نِصْفُ مَا تَرَكَ أَزْوَاجُكُمْ إِنْ لَمْ يَكُنْ لَهُنَّ وَلَدٌ فَإِنْ كَانَ لَهُنَّ وَلَدٌ فَلَكُمْ الرُّبُعُ مِمَّا تَرَكْنَ مِنْ بَعْدِ وَصِيَّةٍ يُوصِينَ بِهَا أَوْ دَيْنٍ وَلَهُنَّ الرُّبُعُ مِمَّا تَرَكْتُمْ إِنْ لَمْ يَكُنْ لَكُمْ وَلَدٌ فَإِنْ كَانَ لَكُمْ وَلَدٌ فَلَهُنَّ الثُّمُنُ مِمَّا تَرَكْتُمْ مِنْ بَعْدِ وَصِيَّةٍ تُوصُونَ بِهَا أَوْ دَيْنٍ وَإِنْ كَانَ رَجُلٌ يُورَثُ كَلالَةً أَوْ امْرَأَةٌ وَلَهُ أَخٌ أَوْ أُخْتٌ فَلِكُلِّ وَاحِدٍ مِنْهُمَا السُّدُسُ فَإِنْ كَانُوا أَكْثَرَ مِنْ ذَلِكَ فَهُمْ شُرَكَاءُ فِي الثُّلُثِ مِنْ بَعْدِ وَصِيَّةٍ يُوصَى بِهَا أَوْ دَيْنٍ غَيْرَ مُضَارٍّ وَصِيَّةً مِنْ اللَّهِ وَاللَّهُ عَلِيمٌ حَلِيمٌ</w:t>
      </w:r>
      <w:r>
        <w:rPr>
          <w:rFonts w:eastAsia="Amiri" w:cs="Amiri" w:ascii="Amiri" w:hAnsi="Amiri"/>
          <w:color w:val="111111"/>
          <w:sz w:val="28"/>
          <w:szCs w:val="28"/>
          <w:rtl w:val="true"/>
          <w:lang w:bidi="ar-SA"/>
        </w:rPr>
        <w:t>»</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يَسْتَفْتُونَكَ قُلْ اللَّهُ يُفْتِيكُمْ فِي الْكَلالَةِ إِنْ امْرُؤٌ هَلَكَ لَيْسَ لَهُ وَلَدٌ وَلَهُ أُخْتٌ فَلَهَا نِصْفُ مَا تَرَكَ وَهُوَ يَرِثُهَا إِنْ لَمْ يَكُنْ لَهَا وَلَدٌ فَإِنْ كَانَتَا اثْنَتَيْنِفَلَهُمَا الثُّلُثَانِ مِمَّا تَرَكَ وَإِنْ كَانُوا إِخْوَةً رِجَالاً وَنِسَاءً فَلِلذَّكَرِ مِثْلُ حَظِّ الأُنثَيَيْنِ يُبَيِّنُ اللَّهُ لَكُمْ أَنْ تَضِلُّوا وَاللَّهُ بِكُلِّ شَيْءٍ عَلِيمٌ</w:t>
      </w:r>
      <w:r>
        <w:rPr>
          <w:rFonts w:eastAsia="Amiri" w:cs="Amiri" w:ascii="Amiri" w:hAnsi="Amiri"/>
          <w:color w:val="111111"/>
          <w:sz w:val="28"/>
          <w:szCs w:val="28"/>
          <w:rtl w:val="true"/>
          <w:lang w:bidi="ar-SA"/>
        </w:rPr>
        <w:t>»</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وغيرها من الآيات، والمستفاد منها أن أرباب الفرائض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فرضان، أعلى وأدنى، كالزوج والزوجة والأب والأم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فرض واحد كالبنت والبنتين والأخت والأختين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النقص في الفريضة يدخل على القسم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صور تقسيم المال على ذوي الفرائض لا تخلو من ثلاث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يقسّم المال على ذوي الفرائض بحيث يعطى كل ذي فرض نصيبه ولا ينقص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محال وخلاف البداهة العقلية، إذ لا يمكن أن يجعل في مال ثلثان وسدسان وربع، أو نصفان وثلث، ونحو ذلك وهو لا يقع في فريضة أبداً وتعالى الله أن يحكم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يقسّم المال على ذوي الفرائض ويدخل النقص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ذلك أنّ الله تعالى إما أن يكون قد أراد من ألفاظ الفرائض الست المذكورة في الكتاب العزيز ـ في صورة نقص المال ـ غير معانيها الحقيقية المعروفة، كالنصف والربع والثلث والسدس وإنما أراد من النصف في بعض  الحالات الثلث وفي بعض الحالات أراد منه الربع، وفي حالة أخرى أراد منه مابينهما، وهكذا بقية الفرائض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الله تعالى لم يجعل لهذه الألفاظ معاني ومفاهيم محدّدة مع قدرته تعالى على ذلك</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واللازم من ذلك نسبة تعمّد الخطأ إلى الله تعالى والتمويه على العباد وإتيانه بألفاظ يريد بها غير معانيها أو لا معنى لها، وهو محال، تعالى الله عن ذلك علوّاً كبيراً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يقسّم المال على ذوي الفرائض ويدخل النقص على بعض معين دون بعض، وهذا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هذا البعض الذي يدخل عليه النقص دون غيره فهو القسم الثاني دون الأول،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تقديم القسم الأول والاهتمام به في جميع الحالات دون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جعل للوارث في القسم الأول 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وأدنى، فإن لم يرث بالحد الأعلى انتقل إلى الميراث بالحد الأدنى ولا ينقص عنه على 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القسم</w:t>
      </w:r>
    </w:p>
    <w:p>
      <w:pPr>
        <w:pStyle w:val="BookText"/>
        <w:rPr/>
      </w:pPr>
      <w:r>
        <w:rPr>
          <w:rFonts w:ascii="Amiri" w:hAnsi="Amiri" w:eastAsia="Amiri" w:cs="Amiri"/>
          <w:color w:val="111111"/>
          <w:sz w:val="28"/>
          <w:sz w:val="28"/>
          <w:szCs w:val="28"/>
          <w:rtl w:val="true"/>
          <w:lang w:bidi="ar-SA"/>
        </w:rPr>
        <w:t>الثاني يرث حينئذ بالقرابة لا بالفرض، نظير ما إذا زادت الفريضة على أربابها فإنه ـ أي القسم الثاني ـ يرث بالقرابة لا بالفرض، ولذلك يردّ عليه الزائد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الاستفادة من الآيات الشريفة وإن غابت عن أذهان بعض الأفراد كالخليفة الثاني حيث حكم بدخول النقص على الجميع إلاّ أنها لم تغب عن الأذهان الصافية كابن عباس وأمثاله، حتى أنه لكمال اطمئنانه وثقته بما يقول كان يدعو للمباهلة كما تقدم وسيأتي، وحتى 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أنه تقدّمهإمام عادل كان أمره على الورع فأمضى أمراً مضى ما اختلف على ابن عباس من أهل العلم اثنان فيما قال</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الكتاب على امتناع العول وبطلانه ودخول النقص على بعض معيّن من أهل السهام، واضحة بلا إشكال</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من السنة فقد وردت روايات كثيرة عن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w:t>
      </w:r>
    </w:p>
    <w:p>
      <w:pPr>
        <w:pStyle w:val="BookText"/>
        <w:rPr/>
      </w:pPr>
      <w:r>
        <w:rPr>
          <w:rFonts w:ascii="IRNazanin" w:hAnsi="IRNazanin" w:eastAsia="IRNazanin"/>
          <w:color w:val="111111"/>
          <w:sz w:val="28"/>
          <w:sz w:val="28"/>
          <w:szCs w:val="28"/>
          <w:rtl w:val="true"/>
          <w:lang w:bidi="fa-IR"/>
        </w:rPr>
        <w:t>بطلان العول، بل في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متواترة عن الأئمة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753"/>
      </w:r>
      <w:r>
        <w:rPr>
          <w:rFonts w:ascii="Amiri" w:hAnsi="Amiri" w:eastAsia="Amiri" w:cs="Amiri"/>
          <w:color w:val="111111"/>
          <w:sz w:val="28"/>
          <w:sz w:val="28"/>
          <w:szCs w:val="28"/>
          <w:rtl w:val="true"/>
          <w:lang w:bidi="ar-SA"/>
        </w:rPr>
        <w:t>، وهي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فيها التصريح ببطلان العول وهي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والفضيل بن يسار، وبريد العجلي، وزرارة بن أعين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السهام لا تعول، لا تكون أكثر من ستة</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أقرأني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كتاب الفرائض التي هي إملاء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فإذا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السهام لا تعول</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أعيلالسهام حتى يكون على المائة، أو أقل، أو أكثر،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تجوز ستة،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أحصى رمل عالج ليعلم أنّ السهام لا تعول على ستة، لو يبصرون وجهها لم تجز ستة</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أبي بكر الحضرمي،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ابن عباس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يحصي رمل عالج ليعلم أن السهام لا تعول من ستة، فمن شاء لاعنته عند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السهام لا تعول من ستة</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 من الروايات الكثيرة الدالة على بطلان العول وقد عقد صاحب الوسائل باباً خاصاً لذلك، ونكتفي بما ذكرنا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فيها أنّ النقص لا يدخل على الأبوين والزوجين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أبي بصير 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لا يدخل عليهم ضرر في الميراث الوالدان والزوج والمرأة</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المراد بالوالدين هما الأم مطلقاً، والأب إذا كان للميت ولد، فإنّ الأب مع عدم الولد لا يرث بالفرض وإنما يرث بالقرابة، فيدخل عليه النقص والزيادة، ولكنّه لا ينقص نصيبه عن الحد الأدنى وهو السدس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امرأة ماتت وتركت زوجها وأبويها وابنتها،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للزوج الربع ثلاثة أسهم من اثني عشرسهماً، وللأبوين لكلّ واحد منهما السدس سهمين من اثني عشر سهماً، وبقي خمسة أسهم فهي للإبنة، لأنه لو كان ذكراً لم يكن له أكثر من خمسة أسهم من اثني عشر سهماً، لأنّ الأبوين لا ينقصان كل واحد منهما من السدس شيئاً، وإنّ الزوج لا ينقص من الربع شيئاً</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وإن لم يذكر فيها إلاّ الزوج لأنّ الفرض هو موت الزوجة إلاّ أنّ حكم الزوجين واحد، وهو أنهما يرثان الحد الأعلى مع عدم الولد، أو الحد الأدنى مع وجوده ولا ينقصان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سالم الأشل أنه سمع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أدخل الوالدين على جميع أهل المواريث فلم ينقصهما من السدس، وأدخل الزوج والمرأة فلم ينقصهما من الربع والثمن</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من حيث الدلالة واضحة إلاّ أنها من حيث السند غير تامة فإنّ سالماً لم يرد فيه توثيق، فتكون مؤيدة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أبي المغرا عن رجل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أدخل الأبوين على جميع أهل الفرائض فلم ينقصهما من السدس لكل واحد منهما وأدخل الزوج والزوجة على جميع أهل المواريث فلم ينقصهما من الربع والثمن</w:t>
      </w:r>
      <w:r>
        <w:rPr>
          <w:rStyle w:val="FootnoteAnchor"/>
          <w:rtl w:val="true"/>
        </w:rPr>
        <w:footnoteReference w:id="1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الرواية كسابقتها من حيث الدلالة، ولكنها من حيث السند ضعيفة بالإرسال، فتكون مؤيدة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إسحاق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لا يدخل عليهم ضرر في الميراث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للوالدين السدسان أو ما فوق ذلك، وللزوج النصف أو الربع وللمرأة الربع أو الثمن</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واضحة الدلالة إلاّ أن في سندها محمد بن علي ولعله ابن سمينة وهو ضعيف، فتكون مؤيدة</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عبيد الله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جالست ابن عباس فعرض ذكر الفرائض في المواريث،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 أنّ الذي أحصى رمل عالج عدداً جعل في مال نصفاً ونصفاً وثلثاً، فهذان النصفان قد ذهبا بالمال، فأين موضع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زفر بن أوس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أول من أعال الفرائض؟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لما التفّت الفرائض عنده ودفع بعضها بعضاً،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أيكم قدّم الله وأيكم أخّر، وما أجد شيئاً هو أوسع من أن أقسم عليكم هذا المال بالحصص، فأدخل على كل ذي سهم ما دخل عليه من عول الفرائض، وأيم الله لو قدّم من قدّم الله وأخّر من أخّر الله ما عالت فريضة، فقال له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وأيها قدّم وأيها أخّر؟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p>
    <w:p>
      <w:pPr>
        <w:pStyle w:val="BookText"/>
        <w:rPr/>
      </w:pPr>
      <w:r>
        <w:rPr>
          <w:rFonts w:ascii="Amiri" w:hAnsi="Amiri" w:eastAsia="Amiri" w:cs="Amiri"/>
          <w:color w:val="111111"/>
          <w:sz w:val="28"/>
          <w:sz w:val="28"/>
          <w:szCs w:val="28"/>
          <w:rtl w:val="true"/>
          <w:lang w:bidi="ar-SA"/>
        </w:rPr>
        <w:t>فريضة لم يهبطها الله عن فريضة إلاّ إلى فريضة فهذا ما قدم الله، وأما ما أخّر فلكل فريضة إذا زالت عن فرضها لم يبق لها إلاّ ما بقي، فتلك التي أخّر، فأما الذي قدّم فالزوج له النصف، فإذا دخل عليه ما يزيلهعنه رجع إلى الربع لا يزيله عنه شيء، والزوجة لها الربع، فإذا دخل عليها ما يزيلها عنه صارت إلى الثمن لا يزيلها عنه شيء، والأم لها الثلث فإذا زالت عنه صارت إلى السدس ولا يزيلها عنه شيء، فهذه الفرائض التي قدّم الله، وأما التي أخّر ففريضة البنات والأخوات لها النصف والثلثان، فإذا أزالتهن الفرائض عن ذلك لم يكن لهن إلاّ ما بقي، فتلك التي أخّر، فإذا اجتمع ما قدّم الله وما أخّر، بدىء بما قدّم الله، فأعطي حقّه كاملاً فإن بقي شيء كان لمن أخّر، وإن لم يبق شيء فلا شيء له</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وإن لم يذكر فيها الأب إلاّ أن حكمه علم مما تقدم، وإنما ذكرناها بطولها لأنّها اشتملت على بيان الحدود العليا والدنيا في الفرائض ومن يدخل عليه النقص ومن لا يدخل عليه، كما أنها تصلح شاهداً للطائفة الأولى الدالة على بطلان العول، ولكنها حيث لم ترو عن المعصوم فتكون مؤيدة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أخرى وفي ما ذكرنا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فيها أنّ النقص لا يدخل على الزوجين أو الأبوين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يرث مع الأم ولا مع الأب ولا مع الإبن ولا مع الإبنة إلاّ الزوج والزوجة، وإنّ الزوج لا ينقص من النصف شيئاً إذا لم يكن ولد، والزوجة لا تنقص من الربع شيئاً إذا لم يكن ولد، فإذا كان معهما ولد فللزوج الربع وللمرأة الثمن</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واضحة الدلالة، وقد رواها صاحب الوسائل في موضع آخر</w:t>
      </w:r>
      <w:r>
        <w:rPr>
          <w:rStyle w:val="FootnoteAnchor"/>
          <w:rtl w:val="true"/>
        </w:rPr>
        <w:footnoteReference w:id="176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وهي شاهد في كل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صحيحته الأخرى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الزوج لا ينقص عن النصف شيئاً إذا لم يكن معه ولد، ولا تنقص الزوجة من الربع شيئاً إذا لم يكن ولد</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واضحة الدلالة كالصحيحة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أراني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 الفرائض فإذا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ينقص الأبوان من السدس شيئاً</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المتقدمة في الطائفة الثانية وموضع الشاهد منها في المقام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 الأبوين لا ينقصان كل واحد منهما من السدس شيئاً</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فيها أنّ النقص لا يدخل على الزوج والأخوة من الأم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بكير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تركت زوجها وأخوتها واخواتها لأمها واخوتها وأخواتها لأبيها،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للزوج النصف ثلاثة أسهم، وللأخوة من الأم الثلث الذكر والأنثى فيه سواء، وبقيسهم فهو للأخوة والأخوات من الأب للذكر مثل حظّ الأنثيين، لأنّ السهام لا تعول ولا ينقص الزوج من النصف، ولا الأخوة من الأم من ثلثهم</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صريحة الدلالة كما أنّها صحيحة السند</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صحيحته الأخرى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عن </w:t>
      </w:r>
    </w:p>
    <w:p>
      <w:pPr>
        <w:pStyle w:val="BookText"/>
        <w:rPr/>
      </w:pPr>
      <w:r>
        <w:rPr>
          <w:rFonts w:ascii="Amiri" w:hAnsi="Amiri" w:eastAsia="Amiri" w:cs="Amiri"/>
          <w:color w:val="111111"/>
          <w:sz w:val="28"/>
          <w:sz w:val="28"/>
          <w:szCs w:val="28"/>
          <w:rtl w:val="true"/>
          <w:lang w:bidi="ar-SA"/>
        </w:rPr>
        <w:t>امرأة تركت زوجها وأخوتها واخواتها لأمّها وأختاً لأبيها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ثلاثة أسهم، وللأخوة للأم الثلث سهمان، وللأخت من الأب السدس سهم</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كالصحيحة المتقدمة من حيث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عمر بن أذينة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محمد بن مسلم وبكيراً يرويان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زوج وأبوين وابنة، للزوج الربع ثلاثة أسهم من اثني عشر سهماً، وللأبوين السدسان أربعة أسهم من اثني عشر سهماً، وبقي خمسة أسهم فهو للإبنة لأنها لو كانت ذكراً لم يكن لها غير خمسة من اثني عشر سهماً، وإن كان اثنتين فلهما خمسة من اثني عشر، لأنهما لو كانا ذكرين لم يكن لهما غير ما بقي خمسة من اثني عشر سهماً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زرارة هذا هو الحق، إذا أردت أن تلقي العول فتجعل الفريضة لا تعول فإنما يدخل النقصان على الذين لهم الزيادة من الولد والأخوات من الأب والأم،فأما الزوج والأخوة للأم فإنهم لا ينقصون مما سمّى الله لهم شيئاً</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وموضع الشاهد من هذه الرواية هو الجملة الأخيرة، فإنها واضحة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سندها فالظاهر أنه معتبر لأن زرارة وإن لم يسند قوله إلى المعصوم إلاّ أنه أجلّ من أن يفتي من عند نفسه، ولذا لا يبعد أنه نقل الحكم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يذكره</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أبي عمر العبدي،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الفرائض من ستة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الثلثان أربعة أسهم، والنصف ثلاثة أسهم، والثلث سهمان، والربع سهم ونصف، والثمن ثلاثة أرباع سهم، ولا يرث مع الولد إلاّ الأبوان والزوج والمرأة، ولا يحجب الأم عن الثلث إلاّ الولد والأخوة، ولا يزاد </w:t>
      </w:r>
    </w:p>
    <w:p>
      <w:pPr>
        <w:pStyle w:val="BookText"/>
        <w:rPr/>
      </w:pPr>
      <w:r>
        <w:rPr>
          <w:rFonts w:ascii="Amiri" w:hAnsi="Amiri" w:eastAsia="Amiri" w:cs="Amiri"/>
          <w:color w:val="111111"/>
          <w:sz w:val="28"/>
          <w:sz w:val="28"/>
          <w:szCs w:val="28"/>
          <w:rtl w:val="true"/>
          <w:lang w:bidi="ar-SA"/>
        </w:rPr>
        <w:t>الزوج عن النصف، ولا ينقص من الربع ولا تزاد المرأة على الربع، ولا تنقص عن الثمن، وإن كنّ أربعاً أو دون ذلك فهنّ فيه سواء، ولا تزاد الأخوة من الأم على الثلث، ولا ينقصون من السدس، وهم فيه سواء الذكر والأنثى، ولا يحجبهم عن الثلث إلاّ الولد والوالد</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وموضع الشاهد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تزاد الأخوة من الأم على الثلث ولا ينقصون من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صريح الدلالة إلاّ أنّ الرواية من حيث السند غير تامة، فتكون مؤيدة للروايات السابقة، كما أنّ فيها تأييداً لبعض روايات الطوائف المتقدمة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امرأة تركت زوجها واخوتها لأمها وأخوة وأخوات لأبيها؟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للزوج النصف ثلاثة أسهم، ولأخوتها من أمها الثلث سهمان، الذكر والأنثى فيه سواء، وبقي سهم للأخوة والأخوات من الأب للذكر مثل حظّ الأنثيين، لأنّ السهام لا تعول، ولأنّ الزوج لا ينقص من النصف، ولا الأخوة من الأم من ثلثهم، فإن كانوا أكثر من ذلك فهم شركاء في الثلث، وإن كان واحد فله السدس</w:t>
      </w:r>
      <w:r>
        <w:rPr>
          <w:rStyle w:val="FootnoteAnchor"/>
          <w:rtl w:val="true"/>
        </w:rPr>
        <w:footnoteReference w:id="1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من حيث الدلالة واضحة إلاّ أنها من حيث السند غير تامة، فإنّ الطريق إلى محمد بن مسلم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إشكال في بطلان العول كما صرّحت بذلك الروايات الواردة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أدرى بما فيه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الإجماع على بطلان العول فهو ثابت بلا ريب، وقد نصّ عليه السيد المرتضى في الانتصار</w:t>
      </w:r>
      <w:r>
        <w:rPr>
          <w:rStyle w:val="FootnoteAnchor"/>
          <w:rtl w:val="true"/>
        </w:rPr>
        <w:footnoteReference w:id="1774"/>
      </w:r>
      <w:r>
        <w:rPr>
          <w:rFonts w:ascii="Amiri" w:hAnsi="Amiri" w:eastAsia="Amiri" w:cs="Amiri"/>
          <w:color w:val="111111"/>
          <w:sz w:val="28"/>
          <w:sz w:val="28"/>
          <w:szCs w:val="28"/>
          <w:rtl w:val="true"/>
          <w:lang w:bidi="ar-SA"/>
        </w:rPr>
        <w:t>، والشيخ في الخلاف</w:t>
      </w:r>
      <w:r>
        <w:rPr>
          <w:rStyle w:val="FootnoteAnchor"/>
          <w:rtl w:val="true"/>
        </w:rPr>
        <w:footnoteReference w:id="1775"/>
      </w:r>
      <w:r>
        <w:rPr>
          <w:rFonts w:ascii="Amiri" w:hAnsi="Amiri" w:eastAsia="Amiri" w:cs="Amiri"/>
          <w:color w:val="111111"/>
          <w:sz w:val="28"/>
          <w:sz w:val="28"/>
          <w:szCs w:val="28"/>
          <w:rtl w:val="true"/>
          <w:lang w:bidi="ar-SA"/>
        </w:rPr>
        <w:t>، والعاملي في المفتاح</w:t>
      </w:r>
      <w:r>
        <w:rPr>
          <w:rStyle w:val="FootnoteAnchor"/>
          <w:rtl w:val="true"/>
        </w:rPr>
        <w:footnoteReference w:id="1776"/>
      </w:r>
      <w:r>
        <w:rPr>
          <w:rFonts w:ascii="Amiri" w:hAnsi="Amiri" w:eastAsia="Amiri" w:cs="Amiri"/>
          <w:color w:val="111111"/>
          <w:sz w:val="28"/>
          <w:sz w:val="28"/>
          <w:szCs w:val="28"/>
          <w:rtl w:val="true"/>
          <w:lang w:bidi="ar-SA"/>
        </w:rPr>
        <w:t>، والنراقيفي المستند، بل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ضروريات المذهب</w:t>
      </w:r>
      <w:r>
        <w:rPr>
          <w:rStyle w:val="FootnoteAnchor"/>
          <w:rtl w:val="true"/>
        </w:rPr>
        <w:footnoteReference w:id="1777"/>
      </w:r>
      <w:r>
        <w:rPr>
          <w:rFonts w:ascii="Amiri" w:hAnsi="Amiri" w:eastAsia="Amiri" w:cs="Amiri"/>
          <w:color w:val="111111"/>
          <w:sz w:val="28"/>
          <w:sz w:val="28"/>
          <w:szCs w:val="28"/>
          <w:rtl w:val="true"/>
          <w:lang w:bidi="ar-SA"/>
        </w:rPr>
        <w:t>، ومثله في الرياض</w:t>
      </w:r>
      <w:r>
        <w:rPr>
          <w:rStyle w:val="FootnoteAnchor"/>
          <w:rtl w:val="true"/>
        </w:rPr>
        <w:footnoteReference w:id="1778"/>
      </w:r>
      <w:r>
        <w:rPr>
          <w:rFonts w:ascii="Amiri" w:hAnsi="Amiri" w:eastAsia="Amiri" w:cs="Amiri"/>
          <w:color w:val="111111"/>
          <w:sz w:val="28"/>
          <w:sz w:val="28"/>
          <w:szCs w:val="28"/>
          <w:rtl w:val="true"/>
          <w:lang w:bidi="ar-SA"/>
        </w:rPr>
        <w:t>، وغيرهم</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إشكال في قيام 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العقل فقد دلّ على امتناع العول، ودلالته على ذلك تارة على نحو الاستقلال، وأخرى بضميمة ما ورد في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دلالته على النحو الأول فبيانه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صحّ العول للزم أن يجعل الله تعالى في المال نصفين وثلثاً، أو ثلثين ونصفاً، ونحو ذلك، وهو محال ضرورة ذهاب النصفين بالمال فأين موضع الثلث؟ وقد أيّدته النصوص الواردة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دلالته على النحو الثاني فمن وجوه</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صحّ العول للزم أن تكون الفرائض الست المتقدمة على غير ما فرض الله، وذلك لأنه إذا فرض أنّ الوارث أبوان وبنتان وزوج، وكانت الفريضة اثني عشر سهماً وأعيلت إلى خمسة عشر سهماً، فإذا أعطي الأبوان أربعة أسهم من خمسة عشر سهماً فلم يكن نصيبهما سدسين، وإنما خمس وثلث الخمس، وإذا أعطي الزوج ثلاثة أسهم فلم يكن نصيبه الربع وإنما الخمس، </w:t>
      </w:r>
    </w:p>
    <w:p>
      <w:pPr>
        <w:pStyle w:val="BookText"/>
        <w:rPr/>
      </w:pPr>
      <w:r>
        <w:rPr>
          <w:rFonts w:ascii="IRNazanin" w:hAnsi="IRNazanin" w:eastAsia="IRNazanin"/>
          <w:color w:val="111111"/>
          <w:sz w:val="28"/>
          <w:sz w:val="28"/>
          <w:szCs w:val="28"/>
          <w:rtl w:val="true"/>
          <w:lang w:bidi="fa-IR"/>
        </w:rPr>
        <w:t>وإذا أعطيت البنتان ثمانية أسهم فلم يكن نصيبهما الثلثين، وإنما ثلث وخمس، وذلك باطل بلا إشكال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هو الذي أشار إليه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المسألة المنبرية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 ثمنها 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أراد التعريض بالعول وأنه يؤدي إلى تغيير الفرائض ـ لأنه لو كان مكان الزوج في الفرض المذكور زوجة كانت الفريضة من أربعة وعشرين وأعيلت إلى سبعة وعشرين فإنّ نصيب المرأة ثلاثة أسهم من سبعة وعشرين سهماً، فصار ثمنها تسعاً ـ وهو على خلاف ما فرض الله تعالى لذوي الفروض التي سمّاها</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بالعول يستلزم أن يكون نصيب البنت أزيد من نصيب الابن، كما إذا ماتت المرأة وخلّفت زوجاً وأبوين وبنتاً، فإذا أعيلت الفريضة ارتفعت السهام إلى ثلاثة عشر سهماً، وللبنت منها ستة وللأبوين منها أربعة، وللزوج منها ثلاثة، ولو كان الإبن مكان البنت أعطي الأبوان أربعة أسهم من اثني عشر سهماً، وأعطي الزوج ثلاثة أسهم من اثني عشر سهماً، والباقي وهو خمسة أسهم نصيب الإبن وهو أقل من سهم البنت في الفرض الأول، وهكذا الحال لو كان مكان البنت بنتين فأبدلناهما بابنين، فإنّ نصيب البنتين يكون أكثر من نصيب الابنين وهذا خلاف ما نصّ عليه الكتاب، وإجماع المسلمين، فإنهم أجمعوا على أنّ الابن أكثر نصيباً من البنت في الميراث، ولا أقل من التساوي كما في الفرض المذكور لأنّ البنت ليست بأقرب إلى الميّت من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هذا التعليل في عدة روايات</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المتقدمة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وبقيخمسة أسهم فهي للابنة، لأنه لو كان ذكراً لم </w:t>
      </w:r>
    </w:p>
    <w:p>
      <w:pPr>
        <w:pStyle w:val="BookText"/>
        <w:rPr/>
      </w:pPr>
      <w:r>
        <w:rPr>
          <w:rFonts w:ascii="Amiri" w:hAnsi="Amiri" w:eastAsia="Amiri" w:cs="Amiri"/>
          <w:color w:val="111111"/>
          <w:sz w:val="28"/>
          <w:sz w:val="28"/>
          <w:szCs w:val="28"/>
          <w:rtl w:val="true"/>
          <w:lang w:bidi="ar-SA"/>
        </w:rPr>
        <w:t>يكن له أكثر من خمسة أسهم من اثني عشر سهماً</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بالعول يستلزم أن يكون نصيب الأخت أو الأختين من الأبوين أو من الأب أكثر من نصيب الأخ أو الأخوة من الأبوين أو من الأب، كما إذا خلّفت المرأة زوجاً وأخاً أو إخوة من الأم وأخاً أو أختاً أو إخوة من الأبوين أو من الأب، فعلى القول بالعول يكون نصيب الأخت من الأبوين ستة أسهم من ستة عشر سهماً، وللأختين من الأبوين تسعة أسهم من ثمانية عشر سهماً مع أنه لو كان مكان الأخت أخ من الأبوين أو الأب لكان نصيبه سهمين من اثني عشر سهماً، ولو كان مكان الأختين أخوة لم يعطوا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خلاف ما نصّ عليه الكتاب، وقد أشير إليه في صحيحة بكير المتقدمة وموضع الشاهد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لكم نقصتم الأخ إن كنتم تحتجّون للأخت النصف بأنّ الله سمّى لها النصف، فإنّ</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قد سمّى للأخ الكل والكل أكثر من النصف،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النصف، وقال للأخ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يرثها، يعني جميع مالها إن لم يكن لها ولد، فلا تعطون الذي جعل الله له الجميع في بعض فرائضكم شيئاً، وتعطون الذي جعل الله له النصف تاماً؟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تعطى الأخت النصف ولا يعطى الذكر لو كانت هي ذكر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في أموزوج وأخوة لأم وأخت لأب فيعطون الزوج النصف والأم السدس والأخوة من الأم الثلث والاخت من الأب النصف فيجعلونها من تسعة وهي من ستة فترتفع إلى تسعة،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الأخت ذكراً أخاً لأب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شيء</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وغيرها من الروايات</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وهناك محاذير أخرى، ونكتفي بما 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تبيّن من جميع ذلك فساد القول بالعول، وأنه لعبٌ وعبث بأحكام الله، وهو إحدى ثمرات شجرة الانحراف عن أهل بيت الهدى والعصمة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ونتيجةٌ لإنكار أمر الإمامة والولاية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وأولاده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والتمسك بحبل العترة والعروة الوثقى التي لا انفصام لها وأثرٌ من آثار الضلال الذي أشار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بمفهوم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إن تمسّكتم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وفّقنا الله للهداية، والسير على الصراط المستقيم صراط الذين أنعمت عليهم غير المغضوب عليهم ولا الضالين</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224" w:name="pg16406_258909"/>
    </w:p>
    <w:p>
      <w:pPr>
        <w:pStyle w:val="Heading4"/>
        <w:numPr>
          <w:ilvl w:val="3"/>
          <w:numId w:val="1"/>
        </w:numPr>
        <w:rPr/>
      </w:pPr>
      <w:bookmarkStart w:id="225" w:name="__RefHeading___Toc7246607_1280447820"/>
      <w:bookmarkStart w:id="226" w:name="_Toc74"/>
      <w:bookmarkEnd w:id="224"/>
      <w:bookmarkEnd w:id="225"/>
      <w:r>
        <w:rPr>
          <w:rtl w:val="true"/>
        </w:rPr>
        <w:t>المقام الثالث</w:t>
      </w:r>
      <w:r>
        <w:rPr>
          <w:rtl w:val="true"/>
        </w:rPr>
        <w:t xml:space="preserve">: </w:t>
      </w:r>
      <w:r>
        <w:rPr>
          <w:rtl w:val="true"/>
        </w:rPr>
        <w:t>في مسائل أخرى في الميراث</w:t>
      </w:r>
      <w:r>
        <w:rPr>
          <w:rtl w:val="true"/>
        </w:rPr>
        <w:t>:</w:t>
      </w:r>
      <w:bookmarkEnd w:id="226"/>
    </w:p>
    <w:p>
      <w:pPr>
        <w:pStyle w:val="BookText"/>
        <w:rPr/>
      </w:pPr>
      <w:r>
        <w:rPr>
          <w:rFonts w:ascii="Amiri" w:hAnsi="Amiri" w:eastAsia="Amiri" w:cs="Amiri"/>
          <w:color w:val="111111"/>
          <w:sz w:val="28"/>
          <w:sz w:val="28"/>
          <w:szCs w:val="28"/>
          <w:rtl w:val="true"/>
          <w:lang w:bidi="ar-SA"/>
        </w:rPr>
        <w:t>ذكرنا فيما تقدم أنّ هناك مسائل ـ غير التعصيب والعول ـ قد وقع الخلاف فيها بين الخاصة والعامة، وفيما يلي نشير إليها وإلى أدلّتها فنقول</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7246609_1280447820"/>
      <w:bookmarkStart w:id="228" w:name="_Toc75"/>
      <w:bookmarkEnd w:id="227"/>
      <w:r>
        <w:rPr>
          <w:rtl w:val="true"/>
        </w:rPr>
        <w:t>المسألة الأولى</w:t>
      </w:r>
      <w:r>
        <w:rPr>
          <w:rtl w:val="true"/>
        </w:rPr>
        <w:t xml:space="preserve">: </w:t>
      </w:r>
      <w:r>
        <w:rPr>
          <w:rtl w:val="true"/>
        </w:rPr>
        <w:t>في ميراث الجد</w:t>
      </w:r>
      <w:r>
        <w:rPr>
          <w:rtl w:val="true"/>
        </w:rPr>
        <w:t>:</w:t>
      </w:r>
      <w:bookmarkEnd w:id="228"/>
    </w:p>
    <w:p>
      <w:pPr>
        <w:pStyle w:val="BookText"/>
        <w:rPr/>
      </w:pPr>
      <w:r>
        <w:rPr>
          <w:rFonts w:ascii="Amiri" w:hAnsi="Amiri" w:eastAsia="Amiri" w:cs="Amiri"/>
          <w:color w:val="111111"/>
          <w:sz w:val="28"/>
          <w:sz w:val="28"/>
          <w:szCs w:val="28"/>
          <w:rtl w:val="true"/>
          <w:lang w:bidi="ar-SA"/>
        </w:rPr>
        <w:t>ولا خلاف عند الخاصة في أنّ الأجداد والأخوة مطلقاً أي سواء كانوا من الأبوين أو من الأب أو من الأم وإن علوا يشكّلون الطبقة الثانية في الميراث، ويتقدّمون على الطبقة الثالثة، وهم الأعمام والعمّات والأخوال والخالات، فإن انفرد الأجداد ورثوا المال بالفرض والقرابة، وإن اجتمعوا مع الأخوة تقاسموا المال بينهم على حسب فروضهم، ولا يسقط أحد أحداً عن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العامة فقد اختلفوا في ميراث الأجداد إذا اجتمعوا مع الأخوة من الأبوين أو الأب، واتفقوا على إسقاط الأخوة من الأم عن الميراث إذا اجتمعوا مع الأجداد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البحث يقع في هذه المسألة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الجهة الأولى فقد صرّح علماء الطرفين بما ذكرنا، فمن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الأخوة من الأم مع الجد للأب يأخذون نصيبهم الثلث المفروض والباقي للجد، وخالف جميع الفقهاء في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المالللجدّ ويسقطون</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 الجد للأب إخوة من الأب والأم أو إخوة من الأب فإنهم يرثون معه ويقاسمونه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واختلفت الفقهاء في ذلك على مذهبين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فذهب قوم إلى أنهم لا يسقطون مع الجد ويرثون، وحكوا ذلك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وعثمان، وابن مسعود، وزيد بن ثابت، وفي التابعين جماعة، وفي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أنس، وأهل الحجاز، والأوزاعي، وأهل الشام، وأبو يوسف، ومحمد بن الحسن، والشافعي، وأحمد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وذهبت طائفة إلى أنّ الأخوة للأب والأم أو للأب لا يرثون مع الجد ويسقطون، روى ذلك عن أبي بكر، وابن عباس، وعشرة من مهاجري الصحابة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 وعائشة، وأبي الدرداء، وغيرهم، وفي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 وعثمان البتي، وداود، والمزني من أصحاب الشافعي، ومحمد بن جرير الطبري، وإسحاق بن راهويه</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والجدة من قبل الأم بمنزلة الأخ والأخت من قبلها، يقاسمان الأخوة والأخوات من قبل الأب والأم، أو من قبل  الأب، والأخوة والأخوات من قبل الأم، وخالف جميع الفقهاء في ذلك</w:t>
      </w:r>
      <w:r>
        <w:rPr>
          <w:rStyle w:val="FootnoteAnchor"/>
          <w:rtl w:val="true"/>
        </w:rPr>
        <w:footnoteReference w:id="17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 مع الأخت أو الأختين فصاعداً للأب والأم أو للأب جدّ وجدة أو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الجد كالأخ من قبله والجدة كالأخت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ويقسم الباقي بعد كلالة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أيضاً أجده في تنزيل الجد معها، أو معهما، أو مع الأخوة منزلة الأخ للأب، والجدة منزلة الأخت له، بل عن ظاهر جماعة الإجماع عليه، بل عن الكليني، والشيخ، دعواه صريحاً، مضافاً إلى النصوص المتواترة التي هي ما بين مطلقة كون الجد والجدة كالأخ والأخت … وما بين </w:t>
      </w:r>
    </w:p>
    <w:p>
      <w:pPr>
        <w:pStyle w:val="BookText"/>
        <w:rPr/>
      </w:pPr>
      <w:r>
        <w:rPr>
          <w:rFonts w:ascii="Amiri" w:hAnsi="Amiri" w:eastAsia="Amiri" w:cs="Amiri"/>
          <w:color w:val="111111"/>
          <w:sz w:val="28"/>
          <w:sz w:val="28"/>
          <w:szCs w:val="28"/>
          <w:rtl w:val="true"/>
          <w:lang w:bidi="ar-SA"/>
        </w:rPr>
        <w:t>مصرّحة بأنّ الجد مع الأخوة من الأب مثل واحد منهم كثروا أو قلّوا</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العامة قال الشوكاني في 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اختلفت الصحابة في الجد اختلافاً طويلاً، ففي البخاري تعليقاً يروي عن علي، وعمر، وزيد بن ثابت، وابن مسعود في الجد قضايا مختلفة، وقد ذكر البيهقي في ذلك آثاراً كثيرة، وروى الخطابي في الغريب بإسناد صحيح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عبيدة عن الجد،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بالجد، لقد حفظت فيه عن عمر مائة قضية، يخالف بعضها بعضاً، ثم أنكر الخطابي هذا إنكاراً شديداً، وسبقه إلى ذلك 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محمول على المبالغة، كما حكى ذلك البزاز، وجعله ابن عباس كالأب كما رواه البيهقي عنه عن غيره، وروى أيضاً من طريق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رأي أبي بكر، وعمر، أنّ الجد أولى من الأخ، وكان عمر يكره الكلام فيه … قال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علي، وابن مسعود، وزيد بن ثابت، والأكثر، ولا يسقطالأخوة الجد بل يقاسمهم بخلاف الأب، وإن اختلفوا في كيفية 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وعائشة، وابن الزبير، ومعاذ، والحسن البصري، وبشر بن غياث، بل يسقط الأخوة كالأب، إذ سمّاه الله أباً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أبيكم إبراهيم</w:t>
      </w:r>
      <w:r>
        <w:rPr>
          <w:rFonts w:eastAsia="Amiri" w:cs="Amiri" w:ascii="Amiri" w:hAnsi="Amiri"/>
          <w:color w:val="111111"/>
          <w:sz w:val="28"/>
          <w:szCs w:val="28"/>
          <w:rtl w:val="true"/>
          <w:lang w:bidi="ar-SA"/>
        </w:rPr>
        <w:t>) …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من السلف أنّ الأخوة يسقطون الجد،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المثل الذي ذكره علي، والمثل الذي ذكره ابن مسعود يستلزمان أن يكون الأخوة أولى من الأب ولا قائل به، وللأب مزايا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على ميراثه في القرآن … وأيضاً للجد مزايا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يرث مع الأولاد،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يسقط الأخوة لأم اتفاقاً</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ابن قدامة في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الجد مع الأخوة والأخوات للأبوين أو للأب، ولا خلاف بينهم في إسقاطه بني الأخوة وولد الأم ذكرهم وأنثاهم، وذهب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الجد يسقط جميع الأخوة والأخوات من جميع الجهات كما يسقطهم الأب، وبذلك قال عبد الله بن عباس، وعبد الله بن الزبير، وروي ذلك عن عثمان، وعائشة، وأبي بن كعب، وأبي الدرداء، ومعاذ بن جبل، وأبي موسى، وأبي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وحكي أيضاً عن عمران بن الحصين، وجابر بن عبد الله ، وأبي الطفيل، وعبادة بن الصامت، وعطاء، وطاووس، وجابر بن زيد، وبه قال قتادة، وإسحاق، وأبو ثور، ونعيم بن حماد، وأبو حنيفة، والمزني، وابن شريح، وابن اللبان، وداود، وابن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بن أبي طالب، وابن مسعود، وزيد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يورّثونهم معه،ولا يحجبونهم به، وبه قال مالك، والأوزاعي، والشافعي، وأبو يوسف، ومحمد</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وأطال ابن حزم في المحلّى، فذكر اثني عشر قولاً في المسألة مع أدلتها، وناقش في أكثرها، ونقتصر على بعض كلامه،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وللناس في الجد اختلاف كثير، فطائفة توقّفت فيه، كما روينا بأصحّ طريق إلى شعبة، عن يحيى بن سعيد التيمي تيم الرباب،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الشعبي يحدث عن ابن عمر، 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وددت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يقبض حتى يبين لنا فيهن أمراً ينتهى إليه، في الجد، والكلالة، وأبواب من أبواب الربا</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مغيب بيان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بالقرآن أو بسنته لحكم الجد والكلالة والربا عن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أنّ ذلك البيان غاب عن غيره من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وحاش لله من أن يكون له حكم في الدين، افترضه على عباده، </w:t>
      </w:r>
    </w:p>
    <w:p>
      <w:pPr>
        <w:pStyle w:val="BookText"/>
        <w:rPr/>
      </w:pPr>
      <w:r>
        <w:rPr>
          <w:rFonts w:ascii="Amiri" w:hAnsi="Amiri" w:eastAsia="Amiri" w:cs="Amiri"/>
          <w:color w:val="111111"/>
          <w:sz w:val="28"/>
          <w:sz w:val="28"/>
          <w:szCs w:val="28"/>
          <w:rtl w:val="true"/>
          <w:lang w:bidi="ar-SA"/>
        </w:rPr>
        <w:t>ثم غاب بيانه عن جميع أهل الإسلام إذاً كان يكون ذلك حكماً من الدين قد بطل، وشريعة لازمة قد سقطت، ولكان الدين ساقطاً، وليس أحد من الفقهاء الذين قلّده المشنّعون بمثل هذا دينهم، كأبي حنيفة، ومالك، والشافعي، إلاّ وهم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حكم الجد والربا والكلالة قد تبيّن لهم، إما بنصّ قرآن، أو سنّة، أو نظر، أو 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الأمر من قبل ومن بعد، ومن طريق حماد بن زيد، نا أيوب السختياني، عن حميد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سعيد بن المسيب عن فريضة فيها 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إلى هذا، أو تريد إلى هذا، إنّ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أجرؤكم على الجد أجرؤكم على النار، وإنما يجتري علىالجد من يجتري على النار</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طائفة ـ وهو القول الثاني عشر الذي اختاره ابن حزم ـ لا يرث مع الجد أخ شيئاً، لا شقيق، ولا لأب، ولا لأم، وميراث الجد كميراث الأب سواء سواء، إذا لم يكن هناك أب وارث</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نقل ابن حزم أنّ ذلك رأي جماعة من الصحابة والتابعين ومن بعدهم فمن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وعثمان، وعلي، وابن مسعود، وأبو موسى الأشعري، وابن عباس، وابن الزبير، وعائشة، وأبو الدرداء، وأبيّ بن كعب، ومعاذ بن جبل، وأبو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طاووس، وعطاء، وعبيد الله بن عتبة بن مسعود، والحسن، وجابر بن زيد، وقتادة، وعثمان البتي، وشريح، والشعبي، وجماعة سواهم</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 ونعيم بن حماد، والمزني، وأبو ثور، وإسحاق بن راهويه، وداود بن علي، وجماعة من أصحابه، وجماعة غيرهم</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ونكتفي بما نقلناه من الأقوال، ومنها يتبين أنّ العامة يختلفون في ميراث الأخوة من الأبوين أو من الأب إذا اجتمعوا مع الجد، وأما الأخوة من الأم فقد اتفقوا على إسقاطهم عن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الخاصة فلا خلاف عندهم في أنّ الأجداد والأخوة مطلقاً يرثون الميتبحسب انتسابهم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الجهة الثانية وهي الروايات، فقد روى العامة روايات تقدّم بعضها في ضمن نقل الأقوال ونضيف عدة روايات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الحاكم في مستدركه بسنده عن عروة بن الزبير أنّ مروان بن الحكم حدثه أنّ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طعن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في الجد رأياً فإن رأيتم أن تتبعوه،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نتّبع رأيك فهو رشد، وإن نتبع رأي الشيخ قبلك فنعم ذو الرأي كان</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الدارمي في سننه</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البيهقي في سننه بسنده عن عيسى المدني،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رأي أبي بكر،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يجعلا الجد أولى من الأخ، وكان عمر يكره الكلام فيه، فلما صار جدّاً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قد وقع، لابدّ للناس من معرفته، فأرسل إلى زيد بن ثابت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رأي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الجدّ أولى من الأخ،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تجعل شجرة نبتت فانشعب منها غصن، فانشعب في الغصن غصن، فما يجعل الغصن الأول أولى من الغصن الثاني، وقد خرج الغصن من الغصن،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إلى علي رضي الله </w:t>
      </w:r>
    </w:p>
    <w:p>
      <w:pPr>
        <w:pStyle w:val="BookText"/>
        <w:rPr/>
      </w:pPr>
      <w:r>
        <w:rPr>
          <w:rFonts w:ascii="Amiri" w:hAnsi="Amiri" w:eastAsia="Amiri" w:cs="Amiri"/>
          <w:color w:val="111111"/>
          <w:sz w:val="28"/>
          <w:sz w:val="28"/>
          <w:szCs w:val="28"/>
          <w:rtl w:val="true"/>
          <w:lang w:bidi="ar-SA"/>
        </w:rPr>
        <w:t>عنه فسأله،فقال له كما قال زيد، إلاّ أنه جعل سيلاً سال فانشعبت منه شعبة، ثم انشعبت منه شعبتان، فقال أرأيت لو أنّ هذه الشعبة الوسطى رجع، أليس إلى الشعبتين جميعاً</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البيهقي أيضاً بسنده عن عقيل بن خالد أنّ سعيد بن سليمان ابن زيد بن ثابت حدّثه عن أبيه، عن جده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عليه يوماً، فأذن له ورأسه في يد جارية ترجّله، فنزع رأسه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ترجّلك،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لو أرسلت إليّ جئتك، فقال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الحاجة لي، إني جئتك لتنظر في أمر الجد،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يقول فيه، فقال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هو بوحي حتى نزيد فيه وننقص منه، إنما هو شيء نراه، فإن رأيته وافقني تبعته، وإلاّ لم يكن عليك فيه شيء، فأبى زيد، فخرج مغضباً،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 وأنا أظنّك ستفرغ من حاجتي، ثم أتاه مرة أخرى في الساعة التي أتاه المرة الأولى، فلم يزل به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فسأكتب لك فيه، فكتبه في قطعة قتب، وضرب 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مثله مثل شجرة نبتت على ساق واحد، فخرج فيها غصن، ثم خرج في الغصن غصن آخر، فالساق يسقي الغصن، فإن قطع الغصن الأول رجع الماء إلى الغصن يعني الثاني، وإن قطعت الثاني رجع الماء إلى الأول، فأتى به فخطب الناس عمر، ثم قرأ قطعة القتب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 بن ثابت قال في الجدّ قولاً وقد أمضيته، وكان أول جد كان، فأراد أن يأخذ  المال كله، مال ابن ابنه دون أخوته، فقسمه بعد ذلك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الدارمي في سننه بسنده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جدّ ورث في الإسلام عمر، فأخذ ماله، فأتاه علي وزيد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ذلك، إنما أنت </w:t>
      </w:r>
    </w:p>
    <w:p>
      <w:pPr>
        <w:pStyle w:val="BookText"/>
        <w:rPr/>
      </w:pPr>
      <w:r>
        <w:rPr>
          <w:rFonts w:ascii="Amiri" w:hAnsi="Amiri" w:eastAsia="Amiri" w:cs="Amiri"/>
          <w:color w:val="111111"/>
          <w:sz w:val="28"/>
          <w:sz w:val="28"/>
          <w:szCs w:val="28"/>
          <w:rtl w:val="true"/>
          <w:lang w:bidi="ar-SA"/>
        </w:rPr>
        <w:t>كأحد الأخوين</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البيهقي في سننه وفيه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رأيكما اجتمع لم أر أن يكون ابني ولا أكون أباه</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الطبراني بسنده عن سعيد بن المسيب، عن عمر أنه سأل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قسم الجد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سؤالك عن ذلك يا عمر؟ إني أظنك تموت قبل أن تعلم ذلك، فمات قبل أن يعلم ذلك</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وأورده الهيثمي في مجمع الزوائد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رجال الصحيح، إلاّ أن سعيد بن المسيب اختلف في سماعه من عمر</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البيهقي في سننه بسنده عن محمد بن سيرين، عن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لأحفظ عن عمر في الجد ماءة قضية كلها ينقض بعضها بعضاً</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بسنده عن معتمر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عون يحدّث عن محمد، عن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عن عمر مائة قضية في الجد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قضيت في الجد قضايا مختلفة، كلها لا آلو فيه عن الحق، ولئن عشت إن شاء الله إلى الصيف لأقضينّ فيها بقضية تقضي به المرأة وهي على ذيلها</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 يفتي كثيراً بالحكم ثم ينقضه، ويفتي بضده وخلافه، قضى في الجد مع الأخوة قضايا كثيرة مختلفة، ثم خاف من </w:t>
      </w:r>
    </w:p>
    <w:p>
      <w:pPr>
        <w:pStyle w:val="BookText"/>
        <w:rPr/>
      </w:pPr>
      <w:r>
        <w:rPr>
          <w:rFonts w:ascii="Amiri" w:hAnsi="Amiri" w:eastAsia="Amiri" w:cs="Amiri"/>
          <w:color w:val="111111"/>
          <w:sz w:val="28"/>
          <w:sz w:val="28"/>
          <w:szCs w:val="28"/>
          <w:rtl w:val="true"/>
          <w:lang w:bidi="ar-SA"/>
        </w:rPr>
        <w:t>الحكم في هذه 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يقتحم جراثيم جهنّم فليقل في الجد برأيه</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الخاصة فقد وردت من طرقهم عن أئمتهم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كثيرة جداً، حتى ادعى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807"/>
      </w:r>
      <w:r>
        <w:rPr>
          <w:rFonts w:ascii="Amiri" w:hAnsi="Amiri" w:eastAsia="Amiri" w:cs="Amiri"/>
          <w:color w:val="111111"/>
          <w:sz w:val="28"/>
          <w:sz w:val="28"/>
          <w:szCs w:val="28"/>
          <w:rtl w:val="true"/>
          <w:lang w:bidi="ar-SA"/>
        </w:rPr>
        <w:t>تواترها كما تقدم، ونكتفي بذكر بعضها تيمّناً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أجد أحداً قال فيه إلاّ برأيه إلاّ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فما قال فيه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غداً فالقني حتى أقرئكه في كتاب،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حدّثني فإنّ حديثك أحبّ إلي من أن تقرئنيه في كتاب، فقال لي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 ما أقول لك، إذا كان غداً فالقني حتى أقرئكه في كتاب، فأتيته من الغد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أصبحت لقيت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أقرأت صحيفة الفرائض؟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رأيت ما قرأت؟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ليس بشيء، هو خلاف ما الناس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الذي رأيت والله يا زرارة هو الحق، الذي رأيت إملاء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طويلة وقد روى الشيخ بعضها مفرّقاً بين بابين من التهذيب</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صاحب الوسائل من كتاب الحسن بن أبي عقيل،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أملى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صحيفة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الجد مع الأخوة يرث حيث ترث الأخوة، ويسقط حيث تسقط، وكذلك الجدة أخت مع الأخوات، ترث حيث يرثن، وتسقط حيث يسقطن</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الأخوات مع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لهنّ فريضتهنّ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واحدة فلها النصف، وإن كانتا اثنتين أو أكثر من ذلك فلهما الثلثان، وما بقي فللجدّ</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أخ لأب وجدّ،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بينهما سواء</w:t>
      </w:r>
      <w:r>
        <w:rPr>
          <w:rStyle w:val="FootnoteAnchor"/>
          <w:rtl w:val="true"/>
        </w:rPr>
        <w:footnoteReference w:id="18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أبي الربيع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يورّث الأخ من الأب مع الجدّ ينزله بمنزلته</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وبكير، ومحمد، والفضيل، وبريد،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الجد مع الأخوة من الأب يصير مثل واحد من الأخوة ما بلغوا،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ترك أخاه لأبيه وأمه وجدّه، أو أخاه لأبيه، أو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جده وأخاه لأبيه وأمه،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بينهما، وإن كانا أخوين أو مائة فله مثل نصيب واحد من الأخوة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لا يؤخذ عليّ فيه، قد سمعته من أبيه ومنه، وليس عندنا في ذلك شكّ ولا اختلاف</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صحيحتهم الأخرى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الجدة مع الأخوة من الأب مثل واحد من الأخوة</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ولعلهما رواية واحدة، اقتصر في الثانية على بعضها، نعم ورد في الأولى الجد وفي الثانية الجدّة</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صحيفة ينظر فيها أبو </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فقرأت فيها مكتوباً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 وجدّ، المال بينهما سواء، فقلت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عندنا لا يقضون بهذا القضاء، لايجعلون لابن الأخ مع الجد شيئاً،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إملاء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فيه بيده</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إسماعيل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 يقاسم الأخوة ولو كانوا ماءة ألف</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ستة أخوة وجدّ أن أجعله كأحدهم وامح كتابي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فجعله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سابعاً معهم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وامح كتابي كره أن يشنع عليه بالخلاف على من تقدّمه</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ونستخلص من مجموع الأقوال والروايات عدة أمور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 للعامة في إرث الجد مع الأخوة من الأبوين، أو من الأب أكثر من اثنين عشر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عدم الخلاف عند العامة في أنّ الأخوة من الأم لا نصيب لهم في الميراث إذا اجتمعوا مع الجد للأب، ويلتزمون بتوريثهم إذا اجتمعوا مع الأخوة من الأبوين أو من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 الثاني قد حكم في الجد بأحكام كثيرة مختلفة، وأنهاهابعض الرواة إلى مائة قضية</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الخليفة الثاني كان يرى أنه لم يأل في الجد عن الحق في جميع </w:t>
      </w:r>
    </w:p>
    <w:p>
      <w:pPr>
        <w:pStyle w:val="BookText"/>
        <w:rPr/>
      </w:pPr>
      <w:r>
        <w:rPr>
          <w:rFonts w:ascii="Amiri" w:hAnsi="Amiri" w:eastAsia="Amiri" w:cs="Amiri"/>
          <w:color w:val="111111"/>
          <w:sz w:val="28"/>
          <w:sz w:val="28"/>
          <w:szCs w:val="28"/>
          <w:rtl w:val="true"/>
          <w:lang w:bidi="ar-SA"/>
        </w:rPr>
        <w:t>هذه الأحكام والآراء المتناقضة مع أنها في موضوع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 الثاني طلب من زيد بن ثابت أن يفتي على ما يوافق رأيه، وقد امتنع زيد في أول الأمر، ثم قبل وكتب في ذلك كتاباً قرأه الخليفة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 الثاني كان يرى أنّ إرث الجد مما لم ينزل فيه قرآن ولم ترو فيه سنة، كما ذكره ابن حزم وأجاب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w:t>
      </w:r>
    </w:p>
    <w:p>
      <w:pPr>
        <w:pStyle w:val="BookText"/>
        <w:rPr/>
      </w:pPr>
      <w:r>
        <w:rPr>
          <w:rFonts w:ascii="IRNazanin" w:hAnsi="IRNazanin" w:eastAsia="IRNazanin"/>
          <w:color w:val="111111"/>
          <w:sz w:val="28"/>
          <w:sz w:val="28"/>
          <w:szCs w:val="28"/>
          <w:rtl w:val="true"/>
          <w:lang w:bidi="fa-IR"/>
        </w:rPr>
        <w:t xml:space="preserve">الثاني لم يعلم بحكم ميراث الجد مدّة حياته كما أخبره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وكان عمر يكره الكلام في ميراث الجد، وقد روى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أجرؤكم على الجد أجرؤكم على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عند الشيعة الإمامية في أنّ الجد يرث مع الأخوة من الأبوين أو من الأب ولا فرق بينهما ثبوتاً وسقوطاً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عند الشيعة الإمامية في أنّ الأخوة من الأم يرثون مع الجد بالفرض إما السدس أو الثلث ولا يسقطون من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عند الشيعة الإمامية في أنّ الجدين من الأبوين أو من الأب والجدين من الأم إذا اجتمعوا مع الأخوة ورثوا نصيب من يتقربون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عندهم في أنّ الجد يعدّ كأحد الأخوة ويقاسمهم بلا فرق بين الواحد والمتعدد من الطرفين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خلاف عندهم في أنّ حكم ميراث الجد والأخوة قد ذكر في القرآن الكريم وبيّنه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وأملاه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صحيفة، وقد حفظها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وكانوا يطلعون بعض أصحابهم عليها</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هذا كلّه فلا نرى حاجة تدعونا لذكر أدلة الطرفين، فإنّ الحق فيها أوضح من أن يبيّن وأظهر من أن يذكر، ولكن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عدة تساؤلات </w:t>
      </w:r>
    </w:p>
    <w:p>
      <w:pPr>
        <w:pStyle w:val="BookText"/>
        <w:rPr/>
      </w:pPr>
      <w:r>
        <w:rPr>
          <w:rFonts w:ascii="Amiri" w:hAnsi="Amiri" w:eastAsia="Amiri" w:cs="Amiri"/>
          <w:color w:val="111111"/>
          <w:sz w:val="28"/>
          <w:sz w:val="28"/>
          <w:szCs w:val="28"/>
          <w:rtl w:val="true"/>
          <w:lang w:bidi="ar-SA"/>
        </w:rPr>
        <w:t>تفرض نفسها في المقام، وطالب الحق والباحث عن الحقيقة المتجرّد عن العصبية ينتظر الجواب عنها بما تقتضيه أصول البحث العلمي من العدل والإنصاف والواقعية،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هل أنّ الأحكام الكثيرة المختلفة التي طرحها الخليفة الثاني ـ كحلول لمسألة ميراث الجد ـ كلها مطابقة للحق، ومن قبل الله تعالى؟ وهل أنّ ما أجاب به قاضي القضاة، وما انتصر به ابن أبي الحديد</w:t>
      </w:r>
      <w:r>
        <w:rPr>
          <w:rStyle w:val="FootnoteAnchor"/>
          <w:rtl w:val="true"/>
        </w:rPr>
        <w:footnoteReference w:id="1819"/>
      </w:r>
      <w:r>
        <w:rPr>
          <w:rFonts w:ascii="Amiri" w:hAnsi="Amiri" w:eastAsia="Amiri" w:cs="Amiri"/>
          <w:color w:val="111111"/>
          <w:sz w:val="28"/>
          <w:sz w:val="28"/>
          <w:szCs w:val="28"/>
          <w:rtl w:val="true"/>
          <w:lang w:bidi="ar-SA"/>
        </w:rPr>
        <w:t>له يجدي نفعاً في الجواب أم أنه مجرّد تمحّل بلا طائل؟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هل أنّ العقل السليم يرتضي لخليفة المسلمين أن يضطرب في حكم قضية واحدة ويفتي فيها بأحكام متناقضة، مع أنّ العهد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هل ينتظر أو يتوقّع من خليفة المسلمين أن ينفي أن يكون ميراث الجدّ مذكوراً في القرآن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يبيّنه؟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هل أنّ ما ذكره العامة من الآراء المختلفة في ميراث الجد تستند إلى كتابالله وسنة نبيه، أو أنها مجرد آراء أبدوها على خلاف الحق؟</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أليس في ماذكروه يتضمّن أن يكون الدين ناقصاً، وقد قال الحق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w:t>
      </w:r>
      <w:r>
        <w:rPr>
          <w:rFonts w:eastAsia="Amiri" w:cs="Amiri" w:ascii="Amiri" w:hAnsi="Amiri"/>
          <w:color w:val="111111"/>
          <w:sz w:val="28"/>
          <w:szCs w:val="28"/>
          <w:rtl w:val="true"/>
          <w:lang w:bidi="ar-SA"/>
        </w:rPr>
        <w:t>»</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أليس من اللائق بل المتعيّن على ذوي الفهم والإدراك أن يخلعوا عنهم رداء العصبية، ويتّبعوا الحق وإن كان على خلاف الآباء والأجداد؟</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ثبتنا الله على القول الثابت، ونسأله الهداية والسداد</w:t>
      </w:r>
      <w:r>
        <w:rPr>
          <w:rFonts w:eastAsia="Amiri" w:cs="Amiri" w:ascii="Amiri" w:hAnsi="Amiri"/>
          <w:color w:val="111111"/>
          <w:sz w:val="28"/>
          <w:szCs w:val="28"/>
          <w:rtl w:val="true"/>
          <w:lang w:bidi="ar-SA"/>
        </w:rPr>
        <w:t xml:space="preserve">. </w:t>
      </w:r>
      <w:bookmarkStart w:id="229" w:name="pg16406_258922"/>
    </w:p>
    <w:p>
      <w:pPr>
        <w:pStyle w:val="Heading4"/>
        <w:numPr>
          <w:ilvl w:val="3"/>
          <w:numId w:val="1"/>
        </w:numPr>
        <w:rPr/>
      </w:pPr>
      <w:bookmarkStart w:id="230" w:name="__RefHeading___Toc7246611_1280447820"/>
      <w:bookmarkStart w:id="231" w:name="_Toc76"/>
      <w:bookmarkEnd w:id="229"/>
      <w:bookmarkEnd w:id="230"/>
      <w:r>
        <w:rPr>
          <w:rtl w:val="true"/>
        </w:rPr>
        <w:t>المسألة الثانية</w:t>
      </w:r>
      <w:r>
        <w:rPr>
          <w:rtl w:val="true"/>
        </w:rPr>
        <w:t xml:space="preserve">: </w:t>
      </w:r>
      <w:r>
        <w:rPr>
          <w:rtl w:val="true"/>
        </w:rPr>
        <w:t>في ميراث الزوجة</w:t>
      </w:r>
      <w:r>
        <w:rPr>
          <w:rtl w:val="true"/>
        </w:rPr>
        <w:t>:</w:t>
      </w:r>
      <w:bookmarkEnd w:id="231"/>
    </w:p>
    <w:p>
      <w:pPr>
        <w:pStyle w:val="BookText"/>
        <w:rPr/>
      </w:pPr>
      <w:r>
        <w:rPr>
          <w:rFonts w:ascii="IRNazanin" w:hAnsi="IRNazanin" w:eastAsia="IRNazanin"/>
          <w:color w:val="111111"/>
          <w:sz w:val="28"/>
          <w:sz w:val="28"/>
          <w:szCs w:val="28"/>
          <w:rtl w:val="true"/>
          <w:lang w:bidi="fa-IR"/>
        </w:rPr>
        <w:t xml:space="preserve">وهي من المسائل الخلافية بين الفريقين، فقد ذهب الخاصة ـ استناداً إلى ما أثر عن أئمتهم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إلى أنّ الزوجة لا ترث من كلّ ما تركه زوجها، وإنما ترث من بعض دون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وذهب العامة إلى أنّ</w:t>
      </w:r>
    </w:p>
    <w:p>
      <w:pPr>
        <w:pStyle w:val="BookText"/>
        <w:rPr/>
      </w:pPr>
      <w:r>
        <w:rPr>
          <w:rFonts w:ascii="Amiri" w:hAnsi="Amiri" w:eastAsia="Amiri" w:cs="Amiri"/>
          <w:color w:val="111111"/>
          <w:sz w:val="28"/>
          <w:sz w:val="28"/>
          <w:szCs w:val="28"/>
          <w:rtl w:val="true"/>
          <w:lang w:bidi="ar-SA"/>
        </w:rPr>
        <w:t>الزوجة ترث من جميع ما تركه الزوج وذلك مما يستفاد من أقوال علماء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الخاصة فقد قال السيد في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انفردت به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الزوجة لا تورث من رباع المتوفى شيئاً، بل تعطى بقيمته حقّها من البناء، والآلات، دون قيمة العراص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باقي الفقهاء في ذلك، ولم يفرّقوا بين الرباع وغيرها في تعلّق حقالزوجات</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ترث المرأة من الرباع، والدور، والأرضين شيئاً، بل يقوّم الطوب والخشب فتعطى حقها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جميع الفقهاء في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الميراث من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ودليلنا إجماع الطائفة وأخبارهم</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المسلمين في أنّ الزوج يرث من جميع ما تركته زوجته من أرض وبناء وغيرهما</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خلاف معتدّ به بيننا في أنّ الزوجة في الجملة لا ترث من بعض تركة زوجها، بل في الانتصار مما انفردت به الإمامية حرمان الزوجة من أرباع الأرض، بل عن الخلاف والسرائر الإجماع على حرمانها من العقار</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علل ذلك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تتزوج المرأة فيجيء زوجها أو ولدها من قوم آخرين فيزاحم قوماً آخرين في عقارهم</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من العامة فقد يستفاد من كلمات بعضهم أنّ الزوجة ترث من کل ما تركه الزوج قال في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الزوجة فلها الربع من زوجها إذا لم يكن له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ولد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سفل، ولها منه الثمن إذا كان له ولد أو ولد ابن وإنسفل، ذكراً كان أو أنثى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وَلَهُنَّ الرُّبُعُ مِمَّا تَرَكْتُمْ إِنْ لَمْ يَكُنْ لَكُمْ وَلَدٌ فَإِنْ كَانَ لَكُمْ وَلَدٌ فَلَهُنَّ الثُّمُنُ مِمَّا تَرَكْتُمْ </w:t>
      </w:r>
      <w:r>
        <w:rPr>
          <w:rFonts w:eastAsia="Amiri" w:cs="Amiri" w:ascii="Amiri" w:hAnsi="Amiri"/>
          <w:color w:val="111111"/>
          <w:sz w:val="28"/>
          <w:szCs w:val="28"/>
          <w:rtl w:val="true"/>
          <w:lang w:bidi="ar-SA"/>
        </w:rPr>
        <w:t>...»</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رشد في البداية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ميراث المرأة من زوجها إذا لم يترك الزوج ولداً ولا ولد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فإن ترك ولداً أو ولد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فالثمن، وأنه ليس يحجبهنّ أحد عن الميراث، ولا ينقصهنّ إلاّ الولد، وهذا لورود النص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نِصْفُ مَا تَرَكَ أَزْوَاجُكُمْ إِنْ لَمْ يَكُنْ لَهُنَّ وَلَدٌ</w:t>
      </w:r>
      <w:r>
        <w:rPr>
          <w:rFonts w:eastAsia="Amiri" w:cs="Amiri" w:ascii="Amiri" w:hAnsi="Amiri"/>
          <w:color w:val="111111"/>
          <w:sz w:val="28"/>
          <w:szCs w:val="28"/>
          <w:rtl w:val="true"/>
          <w:lang w:bidi="ar-SA"/>
        </w:rPr>
        <w:t>»</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المتسالم عليه بين الإمامية أنّ الزوجة لا ترث من بعض ما يتركه زوجها كالأرض، وإنما تعطى نصيبها من قيمة ما عليها من الأبنية، وتفصيل ذلك موكول إلى محلّه من كتاب الميراث</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العامة فلا خلاف عندهم في أنها كسائر الورّاث، وترث نصيبها من جميع ما يتركه زوجها، ولعلّ عدم التصريح بذلك في كلماتهم لأنّ المسألة لم تكن معنونة عندهم كما هي عند الخاصة</w:t>
      </w:r>
      <w:r>
        <w:rPr>
          <w:rFonts w:eastAsia="Amiri" w:cs="Amiri" w:ascii="Amiri" w:hAnsi="Amiri"/>
          <w:color w:val="111111"/>
          <w:sz w:val="28"/>
          <w:szCs w:val="28"/>
          <w:rtl w:val="true"/>
          <w:lang w:bidi="ar-SA"/>
        </w:rPr>
        <w:t xml:space="preserve">. </w:t>
      </w:r>
      <w:bookmarkStart w:id="232" w:name="pg16406_258924"/>
    </w:p>
    <w:p>
      <w:pPr>
        <w:pStyle w:val="Heading4"/>
        <w:numPr>
          <w:ilvl w:val="3"/>
          <w:numId w:val="1"/>
        </w:numPr>
        <w:rPr/>
      </w:pPr>
      <w:bookmarkStart w:id="233" w:name="__RefHeading___Toc7246613_1280447820"/>
      <w:bookmarkStart w:id="234" w:name="_Toc77"/>
      <w:bookmarkEnd w:id="232"/>
      <w:bookmarkEnd w:id="233"/>
      <w:r>
        <w:rPr>
          <w:rtl w:val="true"/>
        </w:rPr>
        <w:t>المسألة الثالثة</w:t>
      </w:r>
      <w:r>
        <w:rPr>
          <w:rtl w:val="true"/>
        </w:rPr>
        <w:t xml:space="preserve">: </w:t>
      </w:r>
      <w:r>
        <w:rPr>
          <w:rtl w:val="true"/>
        </w:rPr>
        <w:t>في الحبوة</w:t>
      </w:r>
      <w:r>
        <w:rPr>
          <w:rtl w:val="true"/>
        </w:rPr>
        <w:t>:</w:t>
      </w:r>
      <w:bookmarkEnd w:id="234"/>
    </w:p>
    <w:p>
      <w:pPr>
        <w:pStyle w:val="BookText"/>
        <w:rPr/>
      </w:pPr>
      <w:r>
        <w:rPr>
          <w:rFonts w:ascii="Amiri" w:hAnsi="Amiri" w:eastAsia="Amiri" w:cs="Amiri"/>
          <w:color w:val="111111"/>
          <w:sz w:val="28"/>
          <w:sz w:val="28"/>
          <w:szCs w:val="28"/>
          <w:rtl w:val="true"/>
          <w:lang w:bidi="ar-SA"/>
        </w:rPr>
        <w:t>وهي عند الخاصة ما يعطى للولد الأكبر من تركة أبيه من ثياب بدنه، وخاتمه، وسيفه، ومصحفه، وتكون كالعوض عما يؤديه الولد من قضاء صلاة أبيه وصومه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اختصاصها بالولد أن لا يكون سفيهاً، ولا فاسد الرأي والمذهب،وأن يخلّف الأب مالاً غيره، وأن لا يكون عليه دين يستغرق التركة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الخاصة والعامة في ذلك، فذهب الخاصة إلى أنّ الحبوة يختصّ بها الولد الأكبر من دون سائر الورّاث مع تحقق الشرائط، وإلاّ لم يخصّ بشيء منها، وقد ادعي الإجماع على ذلك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العامة إلى خلاف ذلك، وقالوا بعدم اختصاص الولد الأكبر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في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انفردت به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الولد الذكر الأكبر يفضّل دون سائر الورثة بسيف أبيه، وخاتمه ومصحفه، وباقي الفقهاء يخالفون في ذلك</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 الابن الأكبر من التركة بثياب جلد الميّت، وسيفه، ومصحفه، دون باقي الورثة، وخالف جميع الفقهاء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ودليلنا إجماع الفرقة وأخبارهم</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ولم نقف على تصريح من العامة في خصوص الحبوة إلاّ أنّ المستفاد من كلماتهم هو ذلك</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مغني المحتاج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يوهم كلامه أنّ الملك لا ينتقل للوارث إلاّ بعد </w:t>
      </w:r>
    </w:p>
    <w:p>
      <w:pPr>
        <w:pStyle w:val="BookText"/>
        <w:rPr/>
      </w:pPr>
      <w:r>
        <w:rPr>
          <w:rFonts w:ascii="Amiri" w:hAnsi="Amiri" w:eastAsia="Amiri" w:cs="Amiri"/>
          <w:color w:val="111111"/>
          <w:sz w:val="28"/>
          <w:sz w:val="28"/>
          <w:szCs w:val="28"/>
          <w:rtl w:val="true"/>
          <w:lang w:bidi="ar-SA"/>
        </w:rPr>
        <w:t xml:space="preserve">وفاء الدين والوصية، وليس مراداً ، بل الملك في الجميع ينتقل للوارث بمجرّد الموت على الأصحّ </w:t>
      </w:r>
      <w:r>
        <w:rPr>
          <w:rFonts w:eastAsia="Amiri" w:cs="Amiri" w:ascii="Amiri" w:hAnsi="Amiri"/>
          <w:color w:val="111111"/>
          <w:sz w:val="28"/>
          <w:szCs w:val="28"/>
          <w:rtl w:val="true"/>
          <w:lang w:bidi="ar-SA"/>
        </w:rPr>
        <w:t>...</w:t>
      </w:r>
      <w:r>
        <w:rPr>
          <w:rStyle w:val="FootnoteAnchor"/>
          <w:rtl w:val="true"/>
        </w:rPr>
        <w:footnoteReference w:id="1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من تركة الميت بمؤنة تجهيزه، ثم تقضى ديونه ثم وصاياه من ثلث الباقي</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ما جاء في المبسوط</w:t>
      </w:r>
      <w:r>
        <w:rPr>
          <w:rStyle w:val="FootnoteAnchor"/>
          <w:rtl w:val="true"/>
        </w:rPr>
        <w:footnoteReference w:id="1831"/>
      </w:r>
      <w:r>
        <w:rPr>
          <w:rFonts w:ascii="IRNazanin" w:hAnsi="IRNazanin" w:eastAsia="IRNazanin"/>
          <w:color w:val="111111"/>
          <w:sz w:val="28"/>
          <w:sz w:val="28"/>
          <w:szCs w:val="28"/>
          <w:rtl w:val="true"/>
          <w:lang w:bidi="fa-IR"/>
        </w:rPr>
        <w:t>، والمجموع</w:t>
      </w:r>
      <w:r>
        <w:rPr>
          <w:rStyle w:val="FootnoteAnchor"/>
          <w:rtl w:val="true"/>
        </w:rPr>
        <w:footnoteReference w:id="1832"/>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عدم تصريحهم بذلك لما ذكرناه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نرى حاجة تدعونا إلى عرض الأدلة على ذلك، وفي ما أشرنا إليه كفاية</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أهم المسائل الخلافية في الميراث بين الخاصة والعامة، وهناك عدّة مسائل أخرى يقف عليها المتتبع، ونكتفي بما ذكرناه</w:t>
      </w:r>
      <w:r>
        <w:rPr>
          <w:rFonts w:eastAsia="Amiri" w:cs="Amiri" w:ascii="Amiri" w:hAnsi="Amiri"/>
          <w:color w:val="111111"/>
          <w:sz w:val="28"/>
          <w:szCs w:val="28"/>
          <w:rtl w:val="true"/>
          <w:lang w:bidi="ar-SA"/>
        </w:rPr>
        <w:t xml:space="preserve">. </w:t>
      </w:r>
      <w:bookmarkStart w:id="235" w:name="pg16406_258926"/>
    </w:p>
    <w:p>
      <w:pPr>
        <w:pStyle w:val="Heading4"/>
        <w:numPr>
          <w:ilvl w:val="3"/>
          <w:numId w:val="1"/>
        </w:numPr>
        <w:rPr/>
      </w:pPr>
      <w:bookmarkStart w:id="236" w:name="__RefHeading___Toc7246615_1280447820"/>
      <w:bookmarkStart w:id="237" w:name="_Toc78"/>
      <w:bookmarkEnd w:id="235"/>
      <w:bookmarkEnd w:id="236"/>
      <w:r>
        <w:rPr>
          <w:rtl w:val="true"/>
        </w:rPr>
        <w:t>المقام الرابع</w:t>
      </w:r>
      <w:r>
        <w:rPr>
          <w:rtl w:val="true"/>
        </w:rPr>
        <w:t xml:space="preserve">: </w:t>
      </w:r>
      <w:r>
        <w:rPr>
          <w:rtl w:val="true"/>
        </w:rPr>
        <w:t>في أحكام التقية في الميراث</w:t>
      </w:r>
      <w:bookmarkEnd w:id="237"/>
    </w:p>
    <w:p>
      <w:pPr>
        <w:pStyle w:val="BookText"/>
        <w:rPr/>
      </w:pPr>
      <w:r>
        <w:rPr>
          <w:rFonts w:ascii="Amiri" w:hAnsi="Amiri" w:eastAsia="Amiri" w:cs="Amiri"/>
          <w:color w:val="111111"/>
          <w:sz w:val="28"/>
          <w:sz w:val="28"/>
          <w:szCs w:val="28"/>
          <w:rtl w:val="true"/>
          <w:lang w:bidi="ar-SA"/>
        </w:rPr>
        <w:t>ويقع الكلام فيها في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الورثة والمورّث من الشيعة الإمامية وجب أن تكون قسمة الميراث على ما تقتضيه أصول مذهبهم، وذلك مما لا إشكال فيه، ولكن لو قسّموا الميراث على طبق المذهب الحق وعلم به قضاة العامة مثلاً وأوجب ذلك الخوف على النفس أو العرض فبمقتضى ما مرّ من الأدلة العامة من وجوب التقية في كلّ ضرورة يجب أن يكون التقسيم على ما يقتضيه مذهب العامة من العول أو التعصيب أو نحو ذلك، فإن أمكن بعد ذلك القسمة على طبق المذهبالحق وجب ذلك، وإلاّ فلابدّ من تسوية المسألة بين الورّاث بصلح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بعض الورثة معتقداً بالحق دون الجميع فله حالات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يعطى نصيبه تامّاً من دون زيادة ولا 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يعطى أكثر من نصيبه على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يعطى أقل من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الحالة الأولى فلا إشكال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الحالة الثانية فيقع الكلام فيها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حكمها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حكمها الوضعي</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إلى الجهة الأولى فالظاهر أنه لا إشكال في جواز الأخذ، كما إذا أعطي بالتعصيب، أو أعطيت المرأة من الأرض والعقار ونحو ذلك، وذلك لما يستفاد من جملة من الروايات الواردة، وهي على نحوين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العامة الدالة على قاعدة الإلزام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الأحكام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على أهل كل ذي دين ما يستحلّون</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أيوب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نأخذ في أحكام المخالفين ما يأخذون منا في أحكامهم أم لا؟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لكم ذلك، إذا كان مذهبكم فيه التقية منهم والمداراة</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والتقييد فيها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مذهبكم فيه التقية، شرط متحقق كما هو الفرض في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علي بن أبي حمزة،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ألزموهم بما ألزموا به أنفسهم</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هذه الروايات واضحة، وقد تقدم الكلام فيها في مبحث التقية في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الخاصة الواردة في المقام</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محمد بن إسماعيل بن بزيع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ميّت ترك أمه وأخوة وأخوات، فقسّم هؤلاء ميراثه، فأعطوا الأم السدس، وأعطوا الأخوة والأخوات ما بقي، فمات الأخوات، فأصابني من ميراثه، فأحببت أن أسألك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يجوز لي أن آخذ ما أصابني من ميراثها على هذه القسمة أم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 الميّت فيما بلغني قد دخلت في هذا الأمر أعني الدين، فسكت قليلاً،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وظاهر الرواية أنّ محمد بن إسماعيل بن بزيع لم يكن يستحقّ شيئاً، وقد أعطيبالتعصيب، فأمره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بالأخذ، وإنما جاز الأخذ للإلزام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عبد الله بن محرز،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ترك ابنته وأخته لأبيه وأمه،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كلّه لابنته، وليس للأخت من الأب والأم شيء،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قد احتجنا إلى هذا، والميت رجل من هؤلاء الناس، وأخته مؤمنة عارفة،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لها النصف، خذوا منهم كما يأخذون منكم في سنتهم وقضاياهم، قال ابن أذينة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ذلك لزرارة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على ما جاء به ابن محرز لنوراً</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والرواية صريحة الدلالة إلاّ أنّ الكلام في سندها، فإنّ عبد الله بن محرز لم يرد فيه توثيق، نعم إن أورث قول زرارة الاطمئنان بصدور الرواية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أمكن اعتبار سندها، وقد أشرنا إلى ذلك في مبحث التقية في الطلاق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التعبير في هذه الرواية وغيرها من الروايات المتقدمة بصيغة الأمر بالأخذ لا تدلّ على الوجوب لأنها واقعة بعد توهّم الحظر فتدل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فرضنا أنّ المؤمن لم يعط من المال شيئاً، فهل يسوغ له أن يقيم الدعوى والمطالبة بالمال وإن لم يكن مستحقاً في الواقع؟</w:t>
      </w:r>
    </w:p>
    <w:p>
      <w:pPr>
        <w:pStyle w:val="BookText"/>
        <w:rPr/>
      </w:pPr>
      <w:r>
        <w:rPr>
          <w:rFonts w:ascii="IRNazanin" w:hAnsi="IRNazanin" w:eastAsia="IRNazanin"/>
          <w:color w:val="111111"/>
          <w:sz w:val="28"/>
          <w:sz w:val="28"/>
          <w:szCs w:val="28"/>
          <w:rtl w:val="true"/>
          <w:lang w:bidi="fa-IR"/>
        </w:rPr>
        <w:t xml:space="preserve">والظاهر هو الجواز، وذلك لما يستفاد من الروايات المتقدمة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لها، أو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منهم، أو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ألزموهم، أو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يدل على أنّ له حقاً في أموالهم، وحكمه حكم سائر الحقوق فيجوز إقامة الدعوىوالمطالبة به</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بالنسبة إلى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الحكم الوضعي، فهل يجوز التملّك </w:t>
      </w:r>
    </w:p>
    <w:p>
      <w:pPr>
        <w:pStyle w:val="BookText"/>
        <w:rPr/>
      </w:pPr>
      <w:r>
        <w:rPr>
          <w:rFonts w:ascii="Amiri" w:hAnsi="Amiri" w:eastAsia="Amiri" w:cs="Amiri"/>
          <w:color w:val="111111"/>
          <w:sz w:val="28"/>
          <w:sz w:val="28"/>
          <w:szCs w:val="28"/>
          <w:rtl w:val="true"/>
          <w:lang w:bidi="ar-SA"/>
        </w:rPr>
        <w:t>بمجرّد الأخذ؟ أو أنّ جواز التملّك مراعى بعدم استبصار صاحب الحقّ، كما إذا كان المستحقّ في الواقع عامياً ثم استبصر؟</w:t>
      </w:r>
    </w:p>
    <w:p>
      <w:pPr>
        <w:pStyle w:val="BookText"/>
        <w:rPr/>
      </w:pPr>
      <w:r>
        <w:rPr>
          <w:rFonts w:ascii="Amiri" w:hAnsi="Amiri" w:eastAsia="Amiri" w:cs="Amiri"/>
          <w:color w:val="111111"/>
          <w:sz w:val="28"/>
          <w:sz w:val="28"/>
          <w:szCs w:val="28"/>
          <w:rtl w:val="true"/>
          <w:lang w:bidi="ar-SA"/>
        </w:rPr>
        <w:t>والظاهر هو الأول، وذلك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مفاد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أو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منهم، أو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ألزموهم ونحوها من التعابير هو الأخذ بعنوان التملّك على نحو الإطلاق، لا التملّك المشروط بعدم الاستبصار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الاعتبار في النقل والانتقال هو وقت التسليم، وهو أمر لازم، وأما الاستبصار بعد ذلك فلا أثر له، نظير الدخول في الإسلام بعد التقسيم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هو الظاهر من صحيحة محمد بن إسماعيل بن بزيع المتقدمة،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بالأخذ مع العلم باستبصار الأم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الحالة الثالثة وهي ما إذا أعطي أقلّ من حقّه، كالولد الأكبر إذا لم يعطّ الحبوة، فهل تجوز له المطالبة؟ وعلى فرض عدم إعطائه فهل يجوز له أن يأخذ عين الحق إن وجدت أو مقدارها إن لم توجد مع الإمكان أم لا؟</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المطالبة فالظاهر أنّه لا إشكال في جوازها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أخذ عين الحق فكذلك؛ لأنّ الحق بالنسبة إليه ثابت بإطلاق الأدلة، وعدم تصديق الآخرين أو جهلهم بذلك لا يوجب بطلان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الأخذ قهراً، فلا يخلو إما أن تكون حصّته معيّنة، وإما أن تكون مشاعة، فإن كانت معيّنة كما إذا كان باقي التركة له بالردّ فأعطي العصبة كالبنت المنفردةفلا إشكال في جواز الأخذ قهراً مع الإمكان</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الحصّة مشاعة كما إذا دخل عليه النقص من جهة العول ففي جواز الأخذ مشروطاً بإجازة المالكين، أو إجازة الحاكم الشرعي مع التعذر، أو عدم الحاجة إلى الإجازة بحوث تقدّم الكلام حولها في مبحث التقية في الجهاد </w:t>
      </w:r>
    </w:p>
    <w:p>
      <w:pPr>
        <w:pStyle w:val="BookText"/>
        <w:rPr/>
      </w:pPr>
      <w:r>
        <w:rPr>
          <w:rFonts w:ascii="Amiri" w:hAnsi="Amiri" w:eastAsia="Amiri" w:cs="Amiri"/>
          <w:color w:val="111111"/>
          <w:sz w:val="28"/>
          <w:sz w:val="28"/>
          <w:szCs w:val="28"/>
          <w:rtl w:val="true"/>
          <w:lang w:bidi="ar-SA"/>
        </w:rPr>
        <w:t>من الجزء الثاني، كما تقدم فيه أيضاً  البحث حول جواز التقاصّ بمقدار الحق وعدمه مع تعذّر أخذ نفس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الورثة مستبصران، واقتضى التقسيم على مذهب المخالفين إعطاء أحدهما أو بعضه إلى الآخر، كما إذا كان الولد وإحدى البنات معتقدين بالحق، وقسّمت الحبوة بينهما مع أنها تختص بالولد، أو نحو ذلك، فالظاهر عدم جواز تملّك المال لغير المستحقّ، ويجب إرجاعه إلى المستحقّ وهو الولد؛ وذلك لأنّ الظاهر من أدلة الإلزام والروايات الخاصة الواردة في المقام هو ما إذا كان المأخوذ منه لا يرى أنّ له حقاً في المال، وإنما هو حقّ لغيره فيلزم بذلك، وأما ما نحن فيه فليس كذلك، فإنّ البنت ـ حسب الفرض ـ عارفة، وتعلم أن لا حقّ لها في مال الحبوة، وإنما هو لأخيها، فلا دليل على الإلزام في المقام، ويجب إرجاع المال إلى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الورثة كلّهم على غير الحق فقسموا المال بينهم على طبق مذهبهم، ثم استبصروا قبل القبض والتصرف أو بعده، فهل يحكم ببطلان القسمة وأنه لابدّ من قسمة جديدة على طبق المذهب الحق أو لا؟</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رضي الجميع بالإقالة والقسمة على طبق المذهب الحق فهو، وإن لم يرض الجميع بذلك فالأمر مشكل؛ لأنّ القسمة على القول بلزومها ولا يعتبرفيها القبض والتصرّف، وكانت صحيحة في نظرهم في وقتها، فكيف يحكم ببطلانها؟</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القسمة نظير الدعوى بأنّ القسمة غلط فيراد تصحيحها، والغلط في هذه القسمة معلوم؛ لأنها حسب الفرض على خلاف الحق، وحينئذ يحكم ببطلان القسمة وإعادتها والمسألة بحاجة إلى تأمّل</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التقية في الفرائض، والحمد لله أوّلا وآخراً</w:t>
      </w:r>
      <w:r>
        <w:rPr>
          <w:rFonts w:eastAsia="Amiri" w:cs="Amiri" w:ascii="Amiri" w:hAnsi="Amiri"/>
          <w:color w:val="111111"/>
          <w:sz w:val="28"/>
          <w:szCs w:val="28"/>
          <w:rtl w:val="true"/>
          <w:lang w:bidi="ar-SA"/>
        </w:rPr>
        <w:t xml:space="preserve">.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8" w:name="pg16406_258932"/>
      <w:bookmarkStart w:id="239" w:name="pg16406_258932"/>
      <w:bookmarkEnd w:id="239"/>
    </w:p>
    <w:p>
      <w:pPr>
        <w:pStyle w:val="Heading2"/>
        <w:numPr>
          <w:ilvl w:val="1"/>
          <w:numId w:val="1"/>
        </w:numPr>
        <w:rPr/>
      </w:pPr>
      <w:bookmarkStart w:id="240" w:name="pg16406_258932"/>
      <w:bookmarkStart w:id="241" w:name="__RefHeading___Toc7246617_1280447820"/>
      <w:bookmarkStart w:id="242" w:name="_Toc79"/>
      <w:bookmarkEnd w:id="240"/>
      <w:bookmarkEnd w:id="241"/>
      <w:r>
        <w:rPr>
          <w:rtl w:val="true"/>
        </w:rPr>
        <w:t>خاتمة في مستثنيات التقية</w:t>
      </w:r>
      <w:bookmarkEnd w:id="242"/>
    </w:p>
    <w:p>
      <w:pPr>
        <w:pStyle w:val="BookText"/>
        <w:rPr/>
      </w:pPr>
      <w:r>
        <w:rPr>
          <w:rFonts w:ascii="Amiri" w:hAnsi="Amiri" w:eastAsia="Amiri" w:cs="Amiri"/>
          <w:color w:val="111111"/>
          <w:sz w:val="28"/>
          <w:sz w:val="28"/>
          <w:szCs w:val="28"/>
          <w:rtl w:val="true"/>
          <w:lang w:bidi="ar-SA"/>
        </w:rPr>
        <w:t>ذكرنا في الجزئين السابقين بعض الموارد الخارجة تخصيصاً أو تخصّصاً عن أدلة التقية، وبقيت موارد أخرى آثرنا ذكرها في خاتمة هذه المباحث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الموارد التي مرّ ذكرها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 إذا استلزمت التقية إضعاف الدين، أو اضمحلاله، أو هتك مقدساته، أو التوهين من شأنه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التقية في البراءة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التقية في إراقة دم المؤمن، فإنها إنما شرّعت ليحقن بها الدم، فإذا بلغت الدم فلا 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التقية في متعة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التقية في شرب المسكر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التقية في المسح على الخفّين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التقية في الجهر ببسم الله الرحمن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 إذا استلزمت التقية لحفظ المال، هتك عرض المؤمن، وقد قوّينا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تقدّمت البحوث حول هذه الموارد، واستعرضنا أدلتها ومواطن الخلاففيها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الموارد الباقية فهي بحسب التتبّع للروايات أربعة نشير إليها وإلى أدلّتها إجمالاً دون الدخول في التفاصيل، وهي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في  ترك السلام على المؤمن</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مما لا شكّ فيه أنّ للمؤمن حرمة يجب أن تصان، ومنزلة ينبغي أن </w:t>
      </w:r>
    </w:p>
    <w:p>
      <w:pPr>
        <w:pStyle w:val="BookText"/>
        <w:rPr/>
      </w:pPr>
      <w:r>
        <w:rPr>
          <w:rFonts w:ascii="Amiri" w:hAnsi="Amiri" w:eastAsia="Amiri" w:cs="Amiri"/>
          <w:color w:val="111111"/>
          <w:sz w:val="28"/>
          <w:sz w:val="28"/>
          <w:szCs w:val="28"/>
          <w:rtl w:val="true"/>
          <w:lang w:bidi="ar-SA"/>
        </w:rPr>
        <w:t>تراعى، وقد وردت النصوص الكثيرة في الحثّ والتأكيد على الاهتمام بشأنه وشؤونه، وأنّ له حقوقاً واجبة ومندوبة على إخوانه المؤمنين، وبلغت من الكثرة فوق حدّ التواتر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مرازم،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الله بشيء أفضل من أداء حقّ المؤمن</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معلّى بن خنيس،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ليأذن بحرب منّي من أذلّ عبدي المؤمن، وليأمن غضبي من أكرم عبدي المؤمن</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معتبرته الأخرى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استذلّ عبدي المؤمن فقد بارزني بالمحاربة، الحديث</w:t>
      </w:r>
      <w:r>
        <w:rPr>
          <w:rStyle w:val="FootnoteAnchor"/>
          <w:rtl w:val="true"/>
        </w:rPr>
        <w:footnoteReference w:id="18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وغيرها من الروايات الكثيرة الواردة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عدّ في بعض الروايات أنّ التسليم على المؤمن حقّ من حقوقه</w:t>
      </w:r>
      <w:r>
        <w:rPr>
          <w:rStyle w:val="FootnoteAnchor"/>
          <w:rtl w:val="true"/>
        </w:rPr>
        <w:footnoteReference w:id="1841"/>
      </w:r>
      <w:r>
        <w:rPr>
          <w:rFonts w:ascii="IRNazanin" w:hAnsi="IRNazanin" w:eastAsia="IRNazanin"/>
          <w:color w:val="111111"/>
          <w:sz w:val="28"/>
          <w:sz w:val="28"/>
          <w:szCs w:val="28"/>
          <w:rtl w:val="true"/>
          <w:lang w:bidi="fa-IR"/>
        </w:rPr>
        <w:t xml:space="preserve">، وهو من أبرز مصاديق الإكرام، وورد الحثّ عليه والمبادرة إليه، فقد جاء في صحيحة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يحبّ إفشاء السلام</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صحيحة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البادي بالسلام أولى بالله ورسوله</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المسلم والمجيب ماءة حسنة، تسعة وتسعون منها لمن يسلّم، وواحدة لمن يجيب</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مضافاً إلى أنّ السلام أحد الآداب الأخلاقية الإلهية، فإنه تحية أهل الجنة</w:t>
      </w:r>
      <w:r>
        <w:rPr>
          <w:rStyle w:val="FootnoteAnchor"/>
          <w:rtl w:val="true"/>
        </w:rPr>
        <w:footnoteReference w:id="1845"/>
      </w:r>
      <w:r>
        <w:rPr>
          <w:rFonts w:ascii="IRNazanin" w:hAnsi="IRNazanin" w:eastAsia="IRNazanin"/>
          <w:color w:val="111111"/>
          <w:sz w:val="28"/>
          <w:sz w:val="28"/>
          <w:szCs w:val="28"/>
          <w:rtl w:val="true"/>
          <w:lang w:bidi="fa-IR"/>
        </w:rPr>
        <w:t xml:space="preserve">، وهو سنة الأنبياء، وإنّ من أخلاق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يسلّم على الصغير والكبير</w:t>
      </w:r>
      <w:r>
        <w:rPr>
          <w:rStyle w:val="FootnoteAnchor"/>
          <w:rtl w:val="true"/>
        </w:rPr>
        <w:footnoteReference w:id="1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ورد التأكيد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ذلك، حيث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لا أدعهنّ حتى الممات، الأكل على الحضيض مع العبيد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والتسليم على الصبيان ليكون ذلك سنّة من بعدي</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ونظراً لأهمية هذه السنة الإلهية ولما لها من آثار جليلة ورد أنه لابدّ من مراعاتها في جميع الأحوال، وإن كان السلام في نفسه ليس من الواجبات إلاّ أن من أبرز ما ينافي مراعاة مكانة المؤمن وأداء حقوقه، الإعراض عنه وترك السلام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ولذلك ورد الأمر به ولو في حال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ما رواه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وكنت تركت التسليم على أصحابنا في مسجد الكوفة، وذلك لتقية علينا فيها شديدة، فقال لي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إسحاق متى أحدثت هذا الجفاء لإخوانك، تمرّ بهم فلا تسلّم عليهم؟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لتقية كنت فيها،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عليك في التقية ترك السلام، وإنما عليك في الإذاعة، إنّ المؤمن ليمرّ بالمؤمنين فيسلّم عليهم فتردّ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 ورحمة الله وبركاته</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واضحة الدلالة على عدم تسويغ التقية في ترك السلام على المؤمن، إلاّ أنّ الكلام في سندها فإنّ الرواية مجهولة الطريق</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ـ مع ذلك ـ يمكن أن يقال بأنها مطابقة لمقتضى القاعدة، فإنّ السلام من آداب الإسلام وتعاليمه، ولا خلاف بين المسلمين في استحباب الابتداء به،ووجوب الردّ فلا مجال لأن يكون مورداً للتقية، نعم قد تأتي </w:t>
      </w:r>
    </w:p>
    <w:p>
      <w:pPr>
        <w:pStyle w:val="BookText"/>
        <w:rPr/>
      </w:pPr>
      <w:r>
        <w:rPr>
          <w:rFonts w:ascii="Amiri" w:hAnsi="Amiri" w:eastAsia="Amiri" w:cs="Amiri"/>
          <w:color w:val="111111"/>
          <w:sz w:val="28"/>
          <w:sz w:val="28"/>
          <w:szCs w:val="28"/>
          <w:rtl w:val="true"/>
          <w:lang w:bidi="ar-SA"/>
        </w:rPr>
        <w:t>بالنسبة إلى غير المسلمين إلاّ أنّ الرواية غير ثابتة كما أشرنا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في صدّ فقراء المؤمنين خشية من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مما أكّد عليه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وأوصوا به 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يغفلوا عن الحقوق فيما بينهم، وأن يتفقد بعضهم أحوال بعض، فيسدّ الغني منهم حاجة الفقير ويأخذ القوي منهم بيد الضعيف، لتشتدّ أواصر الأخوة الإيمانية فيما بينهم</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يدلّ على ما نحن فيه ما رواه الكشي بسنده عن سليمان الديلمي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كثر مالي أجلست على بابي بوّاباً يردّ عني فقراء الشيعة،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إلى مكة في تلك السنة، فسلّمت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عليّ بوجه قاطب غير مسرور،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الذي غيّرني عندك؟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غيّرك للمؤمنين،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والله إنى لأعلم أنهم على دين الله، ولكن خشيت الشهرة على نفسي،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إسحاق أما علمت أنّ المؤمنين إذا التقيا فتصافحا بين إبهاميهما مائة رحمة، تسعة وتسعون منها لأشدّهما حبّاً لصاحبه، فإذا اعتنقا غمرتهما الرحمة، فإذا التأما لا يريدان بذلك إلاّ وجه الله قيل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لكما، فإذا جلسا يتساءلان قالت الحفظة بعضها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اعتزلوا بنا عنهما فإنّ لهما سراً، وقد ستر الله عليهما،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وتسمع الحفظة قولهما ولا تكتبه وقد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يَلْفِظُ مِنْ قَوْلٍ إِلاَّ لَدَيْهِ رَقِيبٌعَتِيدٌ</w:t>
      </w:r>
      <w:r>
        <w:rPr>
          <w:rFonts w:eastAsia="IRNazanin" w:cs="IRNazanin"/>
          <w:color w:val="111111"/>
          <w:sz w:val="28"/>
          <w:szCs w:val="28"/>
          <w:rtl w:val="true"/>
          <w:lang w:bidi="fa-IR"/>
        </w:rPr>
        <w:t>»</w:t>
      </w:r>
      <w:r>
        <w:rPr>
          <w:rStyle w:val="FootnoteAnchor"/>
          <w:rtl w:val="true"/>
        </w:rPr>
        <w:footnoteReference w:id="184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رأسه طويلاً، ثم رفعه وقد فاضت دموعه على لحيته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إن كانت الحفظة لا تسمعه ولا تكتبه فقد يسمعه ويعلمه الذي يعلم السرّ وأخفى، يا إسحاق خف الله كأنّك تراه، فإن شككت في أنه يراك فقد كفرت، وإن تيقّنت أنه يراك ثم برزت له بالمعصية فقد جعلته في حدّ أهون الناظرين إليك</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وموضع الشاهد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غيّرك للمؤمنين، مضافاً إلى عدم قبول اعتذاره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صنعه من صدّ فقراء الشيعة هو الخوف من الشهرة، بل قد يستشعر من ذيل الرواية أنّ ذلك منه في عداد التجاهر بالمعصية فقد يقال بأنّ الرواية تدلّ في الجملة على عدم جواز التقية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وقد رواها الشيخ الصدوق في ثواب الأعمال بسنده إلى سليمان الديلمي عن إسحاق بن عمار مع اختلاف في الألفاظ</w:t>
      </w:r>
      <w:r>
        <w:rPr>
          <w:rStyle w:val="FootnoteAnchor"/>
          <w:rtl w:val="true"/>
        </w:rPr>
        <w:footnoteReference w:id="1851"/>
      </w:r>
      <w:r>
        <w:rPr>
          <w:rFonts w:ascii="Amiri" w:hAnsi="Amiri" w:eastAsia="Amiri" w:cs="Amiri"/>
          <w:color w:val="111111"/>
          <w:sz w:val="28"/>
          <w:sz w:val="28"/>
          <w:szCs w:val="28"/>
          <w:rtl w:val="true"/>
          <w:lang w:bidi="ar-SA"/>
        </w:rPr>
        <w:t>، ورواها الكليني أيضاً مع تفاوت يسير</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ويؤيد ذلك ما ورد في أحوال علي بن يقطين، من أنّ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اشترط عليه أن لا يأتيه وليّ أبداً إلاّ أكرمه، وضمن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مقابل ذلك أن لا يصيبه حرّ الحديد أبداً بقتل ولا فاقة ولا سقف سجن، فوفى علي بن يقطين بما شرط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وضمن له الإمام تلك  الأمور</w:t>
      </w:r>
      <w:r>
        <w:rPr>
          <w:rStyle w:val="FootnoteAnchor"/>
          <w:rtl w:val="true"/>
        </w:rPr>
        <w:footnoteReference w:id="1853"/>
      </w:r>
      <w:r>
        <w:rPr>
          <w:rFonts w:ascii="Amiri" w:hAnsi="Amiri" w:eastAsia="Amiri" w:cs="Amiri"/>
          <w:color w:val="111111"/>
          <w:sz w:val="28"/>
          <w:sz w:val="28"/>
          <w:szCs w:val="28"/>
          <w:rtl w:val="true"/>
          <w:lang w:bidi="ar-SA"/>
        </w:rPr>
        <w:t>، ولعلي بن يقطين قضايا كثيرة ومنها قضيته مع إبراهيم الجمّال</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سند الرواية فالظاهر أنه معتبر، فإنّ سليمان الديلمي وإن لم يرد فيه توثيق إلاّ أنه واقع في أسناد تفسير القمّي</w:t>
      </w:r>
      <w:r>
        <w:rPr>
          <w:rStyle w:val="FootnoteAnchor"/>
          <w:rtl w:val="true"/>
        </w:rPr>
        <w:footnoteReference w:id="1855"/>
      </w:r>
      <w:r>
        <w:rPr>
          <w:rFonts w:ascii="Amiri" w:hAnsi="Amiri" w:eastAsia="Amiri" w:cs="Amiri"/>
          <w:color w:val="111111"/>
          <w:sz w:val="28"/>
          <w:sz w:val="28"/>
          <w:szCs w:val="28"/>
          <w:rtl w:val="true"/>
          <w:lang w:bidi="ar-SA"/>
        </w:rPr>
        <w:t>، وذلك أمارة على اعتبار روايته، كما حقّقناه في محلّه</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زيارة سيد الشهداء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تجاوزت الروايات الدالة على فضل زيارته والحث عليها من الكثرة حدّ التواتر، والذي يعنينا في المقام ما ورد في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الخوف، وهي عدة روايات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فيمن زار أباك على خوف؟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يؤمنه الله يوم الفزع الأكبر، وتلقاه الملائكة بالبشارة، ويقال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ولا تحزن، هذا يومك الذي فيه فوزك</w:t>
      </w:r>
      <w:r>
        <w:rPr>
          <w:rStyle w:val="FootnoteAnchor"/>
          <w:rtl w:val="true"/>
        </w:rPr>
        <w:footnoteReference w:id="18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ابن بكير،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أنزل الأرجان وقلبي ينازعني إلى قبر أبيك، فإذا خرجت فقلبي وجل مشفق حتى أرجع خوفاً من السلطان والسعاة وأصحاب المسالح،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بكير أما تحب أن يراك الله فينا خائفاً، أما تعلم أنّه من خاف لخوفنا أظلّه الله في ظلّ عرشه، وكان محدّثه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العرش، وآمنه الله من أفزاع يوم القيامة، يفزع الناس ولا يفزع، فإن فزع وقّرته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الملائكة وسكّنت قلبه بالبشارة</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معاوية بن وهب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لا تدع زيارة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لخوف، فإنّ من تركه رأى من الحسرة ما يتمنّى أن قبره كان عنده، أما تحب أن يرى الله شخصك وسوادك فيمن يدعو له رسول  الله وعلي وفاطمة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 تحب أن تكون ممن ينقلب بالمغفرة لما مضى ويغفر له ذنوب سبعين سنة، أما تحب أن تكون ممن يخرج من الدنيا وليس عليه ذنب يتبع به، أما تحب أن تكون غداً ممن يصافحه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يونس بن ظبيان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فداك زيارة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حال التقية،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أتيت الفرات فاغتسل، ثم </w:t>
      </w:r>
    </w:p>
    <w:p>
      <w:pPr>
        <w:pStyle w:val="BookText"/>
        <w:rPr/>
      </w:pPr>
      <w:r>
        <w:rPr>
          <w:rFonts w:ascii="Amiri" w:hAnsi="Amiri" w:eastAsia="Amiri" w:cs="Amiri"/>
          <w:color w:val="111111"/>
          <w:sz w:val="28"/>
          <w:sz w:val="28"/>
          <w:szCs w:val="28"/>
          <w:rtl w:val="true"/>
          <w:lang w:bidi="ar-SA"/>
        </w:rPr>
        <w:t xml:space="preserve">البس أثوابك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ثوبيك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تمرّ بإزاء القبر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عليك يا أبا عبد الله ، صلى الله عليك يا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تمّت زيارتك</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ودلالة هذه الرواية واضحة، فإنّ الراوي سأل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الزيارة في ظرف التقية 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بالأمر بالزيارة بل علّمه آدابها وكيفيتها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محمد بن مسلم في حديث طويل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تأتي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على خوف ووجل،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من هذا أشدّ فالثواب فيه على قدر الخوف، ومن خاف في إتيانه آمن الله روعته يوم القيامة، يوم يقوم الناس لرب العالمين، وانصرف بالمغفرة، وسلّمت عليه الملائكة، وزاره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له، وانقلب بنعمة من الله وفضل لم يمسسه سوء، واتبع رضوان الله، ثم ذكر الحديث</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جميع هذه الروايات جواز الزيارة حال الخوف بل الترغيب فيذلك كما هو صريح الروايتين الثانية والأخيرة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حمل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في هذه الروايات على أنّ المراد به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الضعيف مع ظنّ السلامة، والآخر الخوف على فوات العزّة والجاه وذهاب المال لا تلف النفس والعرض، وذلك لعمومات التقية، والنهي عن إلقاء النفس إلى التهلكة</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أي تقدير فإنّ دلالة الروايات واضحة في جواز زيارة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كانت في حال الخوف والتقية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ولكن وردت بإزاء هذه الروايات عدة روايات أخرى تدلّ على جواز ترك الزيارة خشية  الشهرة والاكتفاء بزيارته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في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زيارة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السنة مرة، إني أخاف الشهرة</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عبيد الله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نزور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السنة مرتين أو ثلاث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أكره أن تكثروا القصد إلي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زوروه في السنة مرة </w:t>
      </w:r>
      <w:r>
        <w:rPr>
          <w:rFonts w:eastAsia="IRNazanin" w:cs="IRNazanin"/>
          <w:color w:val="111111"/>
          <w:sz w:val="28"/>
          <w:szCs w:val="28"/>
          <w:rtl w:val="true"/>
          <w:lang w:bidi="fa-IR"/>
        </w:rPr>
        <w:t>...</w:t>
      </w:r>
      <w:r>
        <w:rPr>
          <w:rStyle w:val="FootnoteAnchor"/>
          <w:rtl w:val="true"/>
        </w:rPr>
        <w:footnoteReference w:id="18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وغيرها من الروايات، وهي تدلّ على جواز ترك الزيارة خوفاً من اشتهار الأمر بين الظالمين، ولذلك كره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الرواية الثانية الإكثار من القصد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وهي بظاهرها تنافي الروايات السابقة الدالة على جواز الزيارة مع الخوف، ويمكن الجمع بينها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الخوف إذا كان من الناس فيكتفى بالزيارة في السنة مرة، وأما إذا كان الخوف من السلطان فلا بأس بتكرار الزيارة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ولكن الروايات الدالة على جواز الزيارة مع الخوف كلها ضعيفة الأسناد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زمان ظهور الحجة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وبظهوره يظهر الحق، فتنكشف غياهب الظلمات ويرتفع الجور وتملأ الأرض قسطاً وعدلاً بعدما ملئت ظلماً وجوراً، ويظهره الله على الدين كله ولو كره الكافرون، وتنقطع التقية ويحقّ الحق، وينعم البشر بالعدل والأمان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عدّة من الروايات</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دين لمن لا ورع له، ولا إيمان لمن لا تقية له، وإنّ أكرمكم عند الله أعملكم </w:t>
      </w:r>
    </w:p>
    <w:p>
      <w:pPr>
        <w:pStyle w:val="BookText"/>
        <w:rPr/>
      </w:pPr>
      <w:r>
        <w:rPr>
          <w:rFonts w:ascii="Amiri" w:hAnsi="Amiri" w:eastAsia="Amiri" w:cs="Amiri"/>
          <w:color w:val="111111"/>
          <w:sz w:val="28"/>
          <w:sz w:val="28"/>
          <w:szCs w:val="28"/>
          <w:rtl w:val="true"/>
          <w:lang w:bidi="ar-SA"/>
        </w:rPr>
        <w:t>بالتقية،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إلى 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الوقت المعلوم، وهو يوم خروج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ترك التقية قبل خروج قائمنا فليس منّا،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ومن القائم منكم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من ولدي، ابن سيدة الإماء، يطهّر الله به الأرض من كل جور ويقدّسها من كل ظلم، وهو الذي يشكّ الناس في ولادته، وهو صاحب الغيبة قبل خروجه، فإذا خرج أشرقت الأرض بنوره، يضع ميزان العدل بين الناس فلا يظلم أحد أحداً،وهو الذي تطوى له الأرض، ولا يكون له ظلّ، وهو الذي ينادي مناد من السماء ويسمعه جميع أهل الأرض بالدعاء إليه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حجة الله قد ظهر عند بيت الله فاتبعوه، فإنّ الحق معه وفيه، 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تبق الأرض إلاّ وفيها منّا عالم يعرف الحق من الباطل،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جعلت التقية ليحقن بها الدم، فإذا بلغت التقية الدم فلا تقية، وأيم الله لو دعيتم لتنصرونا لقلتم لا نفعل إنّما نتقي، ولكانت التقية أحبّ إليكم من آبائكم وأمّهاتكم، ولو قام القائم ما احتاج إلى مساءلتكم عن ذلك، ولأقام في كثير منكم من أهل النفاق حدّ الله</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العياشي بسنده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رَبِّي جَعَلَهُ دَكَّاءَ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التقية عند الكشف فانتقم من أعداء الله</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الرواية واضحة، فإنّ المراد من الكشف هو ظهور الحجة عجّل الله تعالى فرجه الشريف</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يؤيّد هذا المعنى أنه ورد في نسخة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التقية عند قيام القائم</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في الهداية،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الرياء مع المنافق في داره عبادة، ومع المؤمن شرك، والتقية واجبة لا يجوز تركها إلى أن يخرج القائم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فمن تركها فقد دخل في نهي الله عزوجل ونهي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صلوات الله عليهم</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 وهي واضحة الدلالة على أنّ التقية إنما هي محدودة في دولة الظالمين، وأما إذا جاء الحق وزهق الباطل وتحقق العدل الإلهي فلا مجال للتقية لارتفاع موضوعها إذ ينجلي الغم، وينكشف الضر، ويرتفع البلاء، ويخلع ثوب التقية عن لابسيه، وينعم المؤمنون في ظل رعايته وخيره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يعجّل له الفرج وأن يجعلنا من شيعته وأوليائه ويرزقنا النظر إلى طلعته الرشيدة وغرّته الحميدة ويشرّفنا بخدمته والجهاد بين يديه، إنه أكرم الأكرمين وأرحم الراحمين، والسلام عليه وعلى آبائه الغرّ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بلغ بنا الحديث إلى هذا المقام فليكن مسك الختام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ما أردناه من الجزء الثالث من التقية في فقه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 تنتهي هذه المباحث الفقهية التي تناولت هذا الموضوع في جميع أبواب الفقه،ونسأله تعالى أن يتقبّله بقبول حسن إنه جواد كريم، كما نبتهل إليه تعالى أن يجعله مرعيّاً بنظر وليّ النعمة مولانا الحجة بن الحسن أرواحنا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الله على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الثلاثاء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قم المشرفة ـ عشّ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243" w:name="pg16406_258942"/>
    </w:p>
    <w:p>
      <w:pPr>
        <w:pStyle w:val="Heading2"/>
        <w:numPr>
          <w:ilvl w:val="1"/>
          <w:numId w:val="1"/>
        </w:numPr>
        <w:rPr/>
      </w:pPr>
      <w:bookmarkStart w:id="244" w:name="__RefHeading___Toc7246619_1280447820"/>
      <w:bookmarkStart w:id="245" w:name="_Toc80"/>
      <w:bookmarkEnd w:id="243"/>
      <w:bookmarkEnd w:id="244"/>
      <w:r>
        <w:rPr>
          <w:rtl w:val="true"/>
        </w:rPr>
        <w:t>الفهرس</w:t>
      </w:r>
      <w:bookmarkEnd w:id="2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 w:name="pg16406_258944"/>
      <w:bookmarkStart w:id="247" w:name="pg16406_258944"/>
      <w:bookmarkEnd w:id="247"/>
    </w:p>
    <w:p>
      <w:pPr>
        <w:pStyle w:val="Heading2"/>
        <w:numPr>
          <w:ilvl w:val="1"/>
          <w:numId w:val="1"/>
        </w:numPr>
        <w:rPr/>
      </w:pPr>
      <w:bookmarkStart w:id="248" w:name="pg16406_258944"/>
      <w:bookmarkStart w:id="249" w:name="__RefHeading___Toc7246621_1280447820"/>
      <w:bookmarkStart w:id="250" w:name="_Toc81"/>
      <w:bookmarkEnd w:id="248"/>
      <w:bookmarkEnd w:id="249"/>
      <w:r>
        <w:rPr>
          <w:rtl w:val="true"/>
        </w:rPr>
        <w:t>فهرس المصادر</w:t>
      </w:r>
      <w:bookmarkEnd w:id="250"/>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أئمتنا، لعلي محمد علي دخيل، الطبعة السادسة،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مكتبة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المرتضى، بيروت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الوصية، لأبي الحسن علي بن الحسين بن علي المسعودي ت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منشورات الرضي ،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السروية، لأبي عبد 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المطبوع في ضمن كتاب عدة رسائل، منشورات مكتبة المفيد، قم ـ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أحكام القرآن، لأبي بكر أحمد الرازي الجصّاص ت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دار الفكر للطباعة والنشر والتوزيع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إحياء علوم الدين، لأبي حامد محمد بن محمد الغزالي ت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وبذيله كتاب المغني عن حمل الأسفار في الاسفار في تخريج ما في  الإحياء من الأخبار، لزين الدين أبي الفضل عبد الرحيم بن الحسين العراقي ت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دار الندوة الجديدة، بيروت ـ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لشيخ الطائفة أبي جعفر الطوسي، تصحيح وتعليق المعلم الثالث محمد باقر الحسيني الميرداماد الاسترآبادي، تحقيق السيد مهدي الرجائي، مطبعة بعثت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مؤسسة آل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الاستبصار فيما اختلف من الأخبار، لشيخ الطائفة أبي جعفر محمد بن  الحسن الطوسي ت</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تحقيق وتعليق السيد حسن الموسوي الخرسان، نشر دار الكتب الإسلامية،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طهران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الاستغاثة، لأبي القاسم علي بن أحمد الكوفي ت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لم يذكر فيه الطبعة، ولا سنة الطبع، ولا دار 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في تمييز الصحابة، لشهاب الدين أبي الفضل أحمد بن علي بن حجر العسقلاني 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وبهامشه الاستيعاب في معرفة الأصحاب، لابن عبد البر النمري القرطبي 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الطبعة الأولى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مطبعة السعادة ـ مصر، 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علم الرجال بين النظرية والتطبيق، تقرير بحث آية الله الشيخ مسلم الداوري، لمحمد علي المعلم،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مطبعة نمونة، قم المقدسة،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الأصول من الكافي، لثقة الإسلام أبي جعفر محمد بن يعقوب بن إسحاق الكليني الرازي 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أو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نشر الشيخ محمد الآخوندي، مطبعة الحيدري ـ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أقرب الموارد في فصيح العربية والشوارد، لسعيد الخوري الشرتوني اللبناني، منشورات مكتبة آية الله العظمى المرعشي النجفي،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قم ـ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لأبي جعفر محمد بن علي بن الحسين بن موسى بن بابويه القمي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تحقيق قسم الدراسات الإسلامية، مؤسسة البعثة،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لشيخ الطائفة أبي جعفر محمد بن الحسن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تقديم السيد محمد صادق بحر العلوم، منشورات المكتبة الأهلية، بغداد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لشيخ الطائفة الطوسي، تحقيق قسم الدراسات الإسلامية، مؤسسة البعثة،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زفر وآراؤه الفقهية، للدكتور أبي اليقظان عطية الجبوري، الطبعة الثانية،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دار الندوة الجديدة، بيروت ـ 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الانتصار، للشريف المرتضى علم الهدى علي بن الحسين الموسوي ت</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هـ، تحقيق ونشر مؤسسة النشر الإسلامي، شوال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مؤسسة النشر الإسلامي التابعة لجماعة المدرسين، 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أنوار التنزيل وأسرار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البيضاوي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لناصر الدين أبي الخير عبد الله بن عمر البيضاوي ت</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الطبعة الثانية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 شركة مكتبة ومطبعة مصطفى البابي الحلبي وأولاده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الأوائل، لأبي هلال الحسن بن عبد الله بن سهل العسكري، المتوفى في أواخر القرن الرابع الهجري،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دار الكتب العلمية ، بيروت ـ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إيضاح الفوائد في شرح القواعد، لفخر المحققين الشيخ أبي طالب محمد بن الحسن بن يوسف بن المطهر الحلي ت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الطبعة الأولى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لشيخ الإسلام المولى محمد باقر المجلسي 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دار الكتب الإسلامية،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الأجزاء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للعلامة المولى الشيخ محمد باقر المجلسي، تحقيق الشيخ عبد الزهراء العلوي، دار الرضا، بيروت ـ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البحر الرائق شرح كنز الدقائق، للشيخ زين الدين عمر بن إبراهيم بن محمد المصري الشهير بابن نجم ت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وبهامشه حواشي محمد أمين الشهير بابن عابدين، المكتبة</w:t>
      </w:r>
    </w:p>
    <w:p>
      <w:pPr>
        <w:pStyle w:val="BookText"/>
        <w:rPr/>
      </w:pPr>
      <w:r>
        <w:rPr>
          <w:rFonts w:ascii="Amiri" w:hAnsi="Amiri" w:eastAsia="Amiri" w:cs="Amiri"/>
          <w:color w:val="111111"/>
          <w:sz w:val="28"/>
          <w:sz w:val="28"/>
          <w:szCs w:val="28"/>
          <w:rtl w:val="true"/>
          <w:lang w:bidi="ar-SA"/>
        </w:rPr>
        <w:t>الماجدية، باكستان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البحر الزخار الجامع لمذاهب علماء الأمصار، لأحمد بن يحيى بن المرتضى ت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مؤسسة الرسالة، بيروت ـ لبنان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بحوث فقهية، من محاضرات آية الله العظمى الشيخ حسين الحلي، للسيد عز الدين بحر العلوم، الطبعة الرابعة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مؤسسة المنار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بداية المجتهد ونهاية المقتصد، لأبي الوليد محمد بن أحمد بن محمد بن أحمد بن رشد القرطبي ت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منشورات الرضي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في تفسير القرآن، للسيد هاشم الحسيني البحراني 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أو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الطبعة الثانية مطبعة آفتاب، طهران، دار الكتب العلمية، قم ـ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في تفسير القرآن، للسيد هاشم البحراني، تحقيق قسم الدراسات الإسلامية، مؤسسة البعثة،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ـ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الكبرى، لأبي جعفر محمد بن الحسن بن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هـ من أصحاب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تقديم وتعليق وتصحيح الميرزا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كوچه باغي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مؤسسة الأعلمي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 ـ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بلوغ المرام من أدلة الأحكام، للحافظ ابن حجر العسقلاني 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تصحيح وتعليق محمد حامد الفقي، دار النهضة للطباعة والنشر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من جواهر القاموس، لمحب الدين بن أبي الفيض السيد محمد مرتضى الحسيني الواسطي الزبيدي الحنفي، الطبعة الأولى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منشورات مكتبة الحياة، بيروت ـ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ألمانيا النازية، لنوري الأنسي، منشورات مكتبة الطلاب ـ المكتبة العصرية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ألمانيا الهتلرية، لوليام شيرر، تعريب خيري حماد، الطبعة الثانية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 ، منشورات مكتبة المثنى ـ بغداد، توزيع دار الكتاب العربي، بيروت ـ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الخلفاء، للحافظ جلال الدين السيوطي 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دار الكتب العلمية، بيروت ـ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لأبي جعفر محمد بن جرير الطبري 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تحقيق محمد أبو الفضل إبراهيم، الطبعة الثانية،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w:t>
      </w:r>
    </w:p>
    <w:p>
      <w:pPr>
        <w:pStyle w:val="BookText"/>
        <w:rPr/>
      </w:pPr>
      <w:r>
        <w:rPr>
          <w:rFonts w:ascii="Amiri" w:hAnsi="Amiri" w:eastAsia="Amiri" w:cs="Amiri"/>
          <w:color w:val="111111"/>
          <w:sz w:val="28"/>
          <w:sz w:val="28"/>
          <w:szCs w:val="28"/>
          <w:rtl w:val="true"/>
          <w:lang w:bidi="ar-SA"/>
        </w:rPr>
        <w:t>سويدان، بيروت ـ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في تفسير القرآن، لشيخ الطائفة أبي جعفر محمد بن الحسن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ترتيب كتاب العين، للخليل بن أحمد الفراهيدي 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تحقيق الدكتور مهدي المخزومي، والدكتور إبراهيم السامرائي، تصحيح الأستاذ أسعد الطيب،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انتشارات أسوة،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الفقهاء لجمال الدين الحسن بن يوسف بن علي بن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منشورات المكتبة المرتضوية لإحياء الآثار الجعفرية، طهران ـ الطبع القديم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البحر المحيط ، لمحمد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حيان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دار الفكر للطباعة والنشر والتوزيع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 لأبي النضر محمد بن مسعود بن عياش السلمي السمرقندي، المعروف بالعياشي، تصحيح وتحقيق وتعليق السيد هاشم الرسولي المحلاتي، المكتبة العلمية الإسلامية ـ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الكبير، لفخر الدين محمد بن عمر بن الحسين الرازي ت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دار الكتب، بيروت ـ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لأبي الحسن علي بن إبراهيم القمي، تصحيح وتعليق السيد طيب الموسوي الجزائري،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دار السرور، بيروت ـ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المراغي، لأحمد مصطفى المراغي، الطبعة الثانية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نور الثقلين، للشيخ عبد علي بن جمعة العروسي الحويزي، تصحيح وتعليق السيد هاشم الرسولي المحلاتي، دار الكتب العلمية ـ قم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تفصيل وسائل الشيعة إلى تحصيل مسائل الشريعة، للمحدث الشيخ محمد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الحر العاملي 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تحقيق ونشر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التقية في فقه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الجزآن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تقرير بحث آية الله الشيخ مسلم الداوري، لمحمد علي المعلم،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قم المقدسة ـ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لشيخ الطائفة أبي جعفر محمد بن الحسن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تحقيق وتعليق السيد حسن الموسوي الخرسان، الطبعة الثالثة،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دار الكتب الإسلامية ـ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لشهاب الدين أحمد بن علي بن حجر العسقلاني 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الطبعة 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دار الفكر للطباعة والنشر والتوزيع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الكمال في أسماء الرجال، للحافظ جمال الدين أبي الحجاج يوسف بن عبد الرحمن بن يوسف بن علي القضاعي المزي ت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تحقيق وضبط وتعليق الدكتور بشار عواد معروف،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مؤسسة الرسالة ـ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للشيخ أبي جعفر محمد بن علي بن الحسين بن بابويه القمي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تصحيح وتعليق علي أكبر الغفاري، نشر كتبي نجفي ـ قم ومكتبة الصدوق ـ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أحاديث الشيعة، ألّف تحت إشراف آية الله العظمى آقا حسين الطباطبائي البروجردي، منشورات مدينة العلم آية الله العظمى الخوئي ـ المطبعة العلمية، قم ـ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بيان العلم وفضله وما ينبغي في روايته وحمله، لأبي عمر يوسف بن عبد البر القرطبي 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تقديم وتعليق محمد عبد القادر أحمد عطا،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مؤسسة الكتب الثقافية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البيان في تفسير القرآن، لأبي جعفر محمد بن جرير الطبري 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وبهامشه غرائب القرآن ورغائب الفرقان، لنظام الدين الحسن بن محمد بن حسين القمي النيسابوري، الطبعة الأولى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دار المعرفة، بيروت ـ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لأبي عيسى محمد بن عيسى بن سورة ت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تحقيق وشرح أحمد محمد شاكر، 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عبد الله محمد بن أحمد الأنصاري القرطبي 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الطبعة الثانية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المدارك في شرح المختصر النافع، للسيد أحمد الخوانساري، تعليق علي أكبر الغفاري، الطبعة الثانية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 مكتبة الصدوق،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المسانيد والسنن، للحافظ عماد الدين أبي الفداء إسماعيل بن عمر بن كثير القرشي الدمشقي الشافعي 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 توثيق وتخريج وتعليق الدكتور عبد المعطي أمين قلعچي، دار الفكر للطباعة والنشر والتوزيع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المقاصد في شرح القواعد، للمحقق الثاني الشيخ علي بن  الحسين الكركي 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تحقيق ونشر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الجرح والتعديل، للحافظ شيخ الإسلام أبي محمد عبد الرحمن بن أبي حاتم محمد بن إدريس بن المنذر التميمي الحنظلي الرازي 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الطبعة الأولى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دار إحياء التراث العربي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جوابات أهل الموصل في العدد والرؤية، لأبي عبد الله محمد بن محمد بن النعمان ابن المعلم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تحقيق الشيخ مهدي نجف، المطبوع ضمن سلسلة مصنفات الشيخ المفيد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 قم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 في شرح شرائع الإسلام، للشيخ محمد حسن النجفي ت</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هـ، الطبعة السابعة، دار الكتب الإسلامية ،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المكاسب، للسيد محمد كاظم الطباطبائي اليزدي، دار المعارف الإسلامية، طهران ـ دار العلم ، قم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الطبع القديم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الناضرة في أحكام العترة الطاهرة، للشيخ يوسف البحراني ت</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هـ ، تحقيق وتعليق الشيخ محمد تقي الأيرواني، منشورات مؤسسة النشر الإسلامي التابعة لجماعة المدرسين بقم المشرفة ـ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الخرائج والجرائح، لقطب الدين الراوندي 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تحقيق ونشر مؤسسة الإمام المهدي،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لأبي جعفر محمد بن علي بن الحسين بن بابويه القمي، تصحيح وتعليق علي أكبر الغفاري نشر مكتبة الصدوق ـ طهران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 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الإيجاز في المتعة، لأبي عبد 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تحقيق علي أكبر نزاد، المطبوع ضمن سلسلة مصنفات الشيخ المفيد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الخلاف، لشيخ الطائفة أبي جعفر محمد بن الحسن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تحقيق السيد علي الخراساني، والسيد جواد الشهرستاني، والشيخ مهدي طه نجف، إشراف الشيخ مجتبى العراقي، طبع ونشر مؤسسة النشر الإسلامي التابعة لجماعة المدرسين بقم المشرفة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الدروس الشرعية في فقه الإمامية، لشمس الدين الشيخ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تحقيق ونشر مؤسسة النشر الإسلامي ،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 المنثور في التفسير بالمأثور، للإمام عبد الرحمن جلال الدين السيوطي،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دار الفكر ، 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دعائم الإسلام، لأبي حنيفة النعمان بن محمد بن منصور بن أحمد بن حيّون التميمي المغربي 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تحقيق آصف بن علي بن أصغر فيضي، دار المعارف،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ذكرى الشيعة في أحكام الشريعة، للشهيد الأول محمد بن جمال الدين مكي العاملي الجزيني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تحقيق ونشر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الطبعة 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الرجال، لشيخ الطائفة أبي جعفر محمد بن الحسن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وتعليق السيد محمد صادق آل بحر العلوم، الطبعة الأولى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منشورات المكتبة والمطبعة الحيدرية في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النجاشي، لأبي العباس أحمد بن علي النجاشي 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تحقيق محمد جواد النائيني،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دار الأضواء للطباعة والنشر والتوزيع، بيروت ـ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الرجل الصنم كمال أتاتورك، لضابط تركي سابق، ترجمة عبد الله عبد الرحمن، الطبعة الرابعة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مؤسسة الرسالة ـ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تنزيه الصفوة، لآية الله العظمى السيد علي الحسيني العلامة الفاني الاصفهاني، لم يذكر تاريخ الطبع ولا دار 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التحريم من جهة المصاهرة، للشيخ مرتضى الأنصاري ت</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هـ، مطبوعة ضمن كتاب المكاسب ـ الطبع القديم، بخط طاهر خوش نويس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الروضة البهية في شرح اللمعة الدمشقية، للشيخ زين الدين الجبعي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إشراف السيد محمد كلانتر، الطبعة الثانية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منشورات جامعة النجف الدينية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الروضة من الكافي لثقة الإسلام الكليني، تصحيح ومقابلة وتعليق علي أكبر </w:t>
      </w:r>
    </w:p>
    <w:p>
      <w:pPr>
        <w:pStyle w:val="BookText"/>
        <w:rPr/>
      </w:pPr>
      <w:r>
        <w:rPr>
          <w:rFonts w:ascii="Amiri" w:hAnsi="Amiri" w:eastAsia="Amiri" w:cs="Amiri"/>
          <w:color w:val="111111"/>
          <w:sz w:val="28"/>
          <w:sz w:val="28"/>
          <w:szCs w:val="28"/>
          <w:rtl w:val="true"/>
          <w:lang w:bidi="ar-SA"/>
        </w:rPr>
        <w:t xml:space="preserve">غفاري ، الطبعة الثانية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المتقين في شرح من لا يحضره الفقيه، للمولى محمد تقي المجلسي ت</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هـ منشورات بنياد فرهنگ إسلامي، حاج محمد حسين كوشان بور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المسائل في بيان الأحكام بالدلائل، للسيد علي الطباطبائي، منشورات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للطباعة والنشر،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الطبع القديم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الزواج في القرآن والسنة، للسيد عز الدين بحر العلوم، الطبعة الثالثة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دار الزهراء للطباعة والنشر والتوزيع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ماجة، للحافظ أبي عبد الله محمد بن يزيد القزويني ابن ماجة 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تحقيق وترقيم وتعليق محمد فؤاد عبد الباقي،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داود، لأبي سليمان بن الأشعث السجستاني الأزدي 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مراجعة وضبط وتعليق محمد محي الدين عبد الحميد، دار الفكر للطباعة والنشر والتوزيع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الدارقطني، لشيخ الإسلام علي بن عمر الدارقطني 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تصحيح وتحقيق السيد هاشم يماني المدني، دار المحاسن للطباعة،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الدارمي، لأبي محمد عبد الله بن عبد الرحمن بن الفضل بن بهرام التميمي السمرقندي الدارمي 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تخريج الشيخ محمد عبد العزيز الخالدي،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دار الكتب العلمية، بيروت ـ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الدارمي، لأبي محمد عبد الله بن عبد الرحمن بن الفضل بن بهرام الدارمي،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لأبي بكر أحمد بن الحسين بن علي البيهقي 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دار المعرفة، بيروت ـ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النسائي، لأبي عبد الرحمن أحمد بن شعيب بن علي النسائي 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دار الفكر ـ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شرائع الإسلام، لأبي القاسم نجم الدين جعفر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تحقيق وإخراج وتعليق عبد الحسين محمد علي، الطبعة الأولى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مطبعة الآداب،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تجريد الكلام، للقوشجي، الطبع القديم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لعز الدين أبي حامد عبد الحميد بن هبة الله محمد بن أبي الحديد المدائني 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تحقيق محمد أبو الفضل إبراهيم، دار إحياء الكتب العربية،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لإسماعيل بن حماد الجوهري، تحقيق أحمد عبد الغفور عطار، الطبعة الرابعة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دار العلم للملايين، بيروت ـ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لأبي عبد الله محمد بن إسماعيل بن إبراهيم بن المغيرة البخاري 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الطبعة الخامسة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عالم الكتب، بيروت ـ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لأبي الحسين مسلم بن الحجاج القشيري النيسابوري 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تحقيق وتصحيح وترقيم محمد فؤاد عبد الباقي، الطبعة الثانية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بشرح النووي، للحافظ محي الدين أبي زكريا بن شرف بن مري الحزامي الخواربي 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دار الكتاب العربي،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العتب الجميل على أهل الجرح والتعديل، للسيد محمد بن عقيل ت</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مؤسسة البلاغ، بيروت ـ لبنان، دار الحكمة اليمانية، صنعاء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العتب الجميل على أهل الجرح والتعديل، للسيد محمد بن عقيل، منشورات </w:t>
      </w:r>
    </w:p>
    <w:p>
      <w:pPr>
        <w:pStyle w:val="BookText"/>
        <w:rPr/>
      </w:pPr>
      <w:r>
        <w:rPr>
          <w:rFonts w:ascii="Amiri" w:hAnsi="Amiri" w:eastAsia="Amiri" w:cs="Amiri"/>
          <w:color w:val="111111"/>
          <w:sz w:val="28"/>
          <w:sz w:val="28"/>
          <w:szCs w:val="28"/>
          <w:rtl w:val="true"/>
          <w:lang w:bidi="ar-SA"/>
        </w:rPr>
        <w:t xml:space="preserve">هيئة البحوث الإسلامية، اندونيسيا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العدة في أصول الفقه، لشيخ الطائفة أبي جعفر محمد بن الحسن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تحقيق محمد رضا الأنصاري القمي،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الأصول، لشيخ الطائفة أبي جعفر محمد بن الحسن الطوسي، تحقيق محمد مهدي نجف، الطبعة المحققة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الفريد، لأبي عمر أحمد بن محمد بن عبد ربه الأندلسي 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شرح وتصحيح أحمد أمين، وأحمد الزين وإبراهيم الأبياري، دار الكتاب العربي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الفريد، لأحمد بن محمد بن عبد ربه الأندلسي، تحقيق الدكتور مفيد قميحة، الطبعة 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دار الكتب العلمية، بيروت ـ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لأبي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الطبعة الثانية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منشورات المكتبة الحيدرية ومطبعتها في النجف، دار إحياء التراث العربي للنشر والتوزيع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القارئ شرح صحيح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العيني على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لبدر الدين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محمود بن أحمد بن موسى 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دار الفكر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لأبي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تصحيح وتذييل السيد مهدي الحسيني اللاجوردي، انتشارات جهان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الغارات أو الاستنفار والغارات، لأبي إسحاق إبراهيم بن محمد بن سعد بن هلال المعروف بابن هلال الثقفي 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تحقيق وتعليق الخطيب السيد عبد الزهراء الحسيني،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مؤسسة دار الكتاب الإسلامي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في الكتاب والسنة والأدب، للشيخ عبد الحسين أحمد الأميني النجفي، الطبعة الخامسة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دار الكتاب العربي، بيروت ـ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الغنية، للسيد عز الدين حمزة بن علي بن زهرة الحسيني الحلبي، المطبوع ضمن كتاب الجوامع الفقهية، انتشارات جهان، طهران، الطبع القديم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غنية النزوع إلى علمي الأصول والفروع، للسيد حمزة بن علي بن زهرة الحلبي ت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 تحقيق إبراهيم البهادري، الطبعة الأولى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الباري بشرح صحيح البخاري، للحافظ ابن حجر العسقلاني 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الطبعة الثانية، دار إحياء التراث العربي، بيروت ـ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فرج المهموم في تاريخ علماء النجوم، لرضي الدين أبي القاسم علي بن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بن محمد بن طاووس الحسني الحسيني 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منشورات الرضي،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الفروع من الكافي، لثقة الإسلام أبي جعفر محمد بن يعقوب الكليني ت</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هـ، أو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تصحيح ومقابلة وتعليق علي أكبر غفاري، الطبعة الثانية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مطبعة الحيدري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السنة، للسيد سابق، الطبعة الشرعية الثامنة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دار الكتاب العربي، بيروت ـ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السنة، للشيخ السيد سابق،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دار الفتح للإعلام العربي، مصر ـ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الفقه على المذاهب الأربعة، لعبد الرحمن الجزيري، دار الكتب العلمية، بيروت ـ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الفقه على المذاهب الخمسة، للشيخ محمد جواد مغنية، الطبعة السابعة </w:t>
      </w:r>
    </w:p>
    <w:p>
      <w:pPr>
        <w:pStyle w:val="BookText"/>
        <w:rPr/>
      </w:pP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لشيخ الطائفة أبي جعفر محمد بن الحسن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تصحيح وتعليق السيد محمد صادق آل بحر العلوم، الطبعة الثانية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منشورات المطبعة الحيدرية،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لمجد الدين محمد بن يعقوب الفيروزآبادي ت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دار الفكر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الإسناد، للشيخ أبي العباس عبد الله الحميري، تحقيق ونشر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قواعد الأحكام، للحسن بن يوسف بن علي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منشورات الرضي ، قم ـ إيران، الطبع القديم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في الفقه، لأبي الصلاح الحلبي ت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 تحقيق رضا استادي، منشورات مكتبة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اصفهان ـ إيران الطبع القديم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لأبي القاسم جعفر بن محمد بن جعفر بن موسى بن قولويه القمي ت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تصحيح وتعليق بهزاد الجعفري، إشراف علي أكبر الغفاري، الطبعة الأولى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ش ، نشر مكتبة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لعز الدين أبي الحسن علي بن أبي الكرم محمد بن محمد بن عبد الكريم بن عبد الواحد الشيباني المعروف بابن الأثير 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دار صادر،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في ضعفاء الرجال، للحافظ أبي أحمد عبد الله بن عدي الجرجاني ت</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تحقيق وضبط ومراجعة لجنة من المختصين، الطبعة الثانية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دار الفكر للطباعة والنشر والتوزيع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الدروس الشرعية في فقه الإمامية، لشمس الدين أبي عبد الله محمد </w:t>
      </w:r>
    </w:p>
    <w:p>
      <w:pPr>
        <w:pStyle w:val="BookText"/>
        <w:rPr/>
      </w:pPr>
      <w:r>
        <w:rPr>
          <w:rFonts w:ascii="Amiri" w:hAnsi="Amiri" w:eastAsia="Amiri" w:cs="Amiri"/>
          <w:color w:val="111111"/>
          <w:sz w:val="28"/>
          <w:sz w:val="28"/>
          <w:szCs w:val="28"/>
          <w:rtl w:val="true"/>
          <w:lang w:bidi="ar-SA"/>
        </w:rPr>
        <w:t xml:space="preserve">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تصحيح وتعليق السيد مهدي اللازوردي الحسيني، انتشارات صادقي، الطبع القديم ،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السرائر، لأبي عبد الله محمد بن إدريس العجلي الحلي، الطبعة الثانية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انتشارات المعارف الإسلامية طهران ـ المطبعة العلمية ، قم، الطبع القديم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السرائر، لمحمد بن إدريس الحلي ت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تحقيق ونشر مؤسسة النشر الإسلامي التابعة لجماعة المدرسين ، الطبعة الثانية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الضعفاء الكبير، للحافظ أبي جعفر محمد بن عمرو بن موسى بن حماد العقيلي المكي ت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تحقيق وتوثيق الدكتور عبد المعطي أمين قلعجي، الطبعة 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دار الكتب العلمية ، بيروت ـ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الغيبة، لشيخ الطائفة أبي جعفر محمد بن الحسن الطوسي 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هـ، تحقيق الشيخ عباد الله الطهراني، والشيخ علي أحمد ناصح،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مؤسسة المعارف الإسلامية،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الغيبة، لشيخ الطائفة أبي جعفر محمد بن الحسن الطوسي، الطبعة الثانية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منشورات مكتبة بصيرتي،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المبسوط، لشمس الدين أبي بكر محمد بن أبي سهل السرخسي 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الطبعة الثالثة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دار المعرفة للطباعة والنشر ، بيروت ـ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المناهل، لآية الله المجاهد السيد محمد الطباطبائي ت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الوافي، للمحدث محمد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الفيض الكاشاني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 الطبعة الأولى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 منشورات مكتبة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الوافي، للمحدث محمد محسن بن الشاه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منشورت مكتبة آية الله العظمى المرعشي النجفي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قم المقدسة ـ إيران، الطبع القديم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الكشاف عن حقائق التنزيل وعيون الأقاويل في وجوه التأويل، لأبي القاسم جار الله محمود بن عمر الزمخشري الخوارزمي 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دار المعرفة، بيروت ـ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اللثام، لبهاء الدين محمد بن الحسن بن محمد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أو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منشورات مكتبة آية الله العظمى المرعشي النجفي،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قم المقدسة ـ إيران، الطبع القديم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اللثام عن قواعد الأحكام، للشيخ بهاء الدين محمد بن الحسن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مؤسسة النشر التابعة لجماعة المدرسين ،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الأحكام، للمولى محمد باقر بن محمد مؤمن السبزواري ت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منشورات مهدوي، اصفهان، الطبع القديم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وتمام النعمة، لأبي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تصحيح وتعليق علي أكبر الغفاري، مؤسسة النشر الإسلامي التابعة لجماعة المدرسين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قم المشرفة ـ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في سنن الأقوال والأفعال، لعلاء الدين المتقي بن حسام الدين الهندي 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الطبعة الخامسة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مؤسسة الرسالة،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لأبي الفضل جمال الدين محمد بن مكرم بن منظور الأفريقي المصري، نشر أدب الحوزة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قم ـ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مباني تكملة المنهاج، للسيد أبو القاسم الموسوي الخوئي، نشر لطفي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pStyle w:val="BookText"/>
        <w:rPr/>
      </w:pPr>
      <w:r>
        <w:rPr>
          <w:rFonts w:ascii="Amiri" w:hAnsi="Amiri" w:eastAsia="Amiri" w:cs="Amiri"/>
          <w:color w:val="111111"/>
          <w:sz w:val="28"/>
          <w:sz w:val="28"/>
          <w:szCs w:val="28"/>
          <w:rtl w:val="true"/>
          <w:lang w:bidi="ar-SA"/>
        </w:rPr>
        <w:t>مطبعة الآداب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مباني منهاج الصالحين، للسيد تقي الطباطبائي القمي، إشراف الشيخ عباس الحاجياني،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منشورات مكتبة المفيد،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المبسوط في فقه الإمامية، لشيخ الطائفة أبي جعفر محمد بن الحسن الطوسي ت</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تصحيح وتعليق السيد محمد تقي الكشفي، الطبعة الثانية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نشر المكتبة المرتضوية لإحياء الآثار الجعفرية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المتعة وأثرها في الإصلاح الاجتماعي، لتوفيق الفكيكي، مطبوعات النجاح،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مثير الأحزان في أحوال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أمناء الرحمن، للشيخ شريف الجواهري، الطبعة الثانية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منشورات الرضي، قم ـ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للشيخ فخر الدين الطريحي 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تحقيق السيد أحمد الحسيني، الطبعة الثانية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منشورات المكتبة المرتضوية،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في تفسير القرآن، للشيخ أبي علي الفضل بن الحسن الطبرسي، تصحيح وتعليق الشيخ أبو الحسن الشعراني، المطبعة الإسلامية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 ومنبع الفوائد، للحافظ نور الدين علي بن أبي بكر الهيثمي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الطبعة الثالثة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منشورات دار الكتاب العربي، بيروت ـ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الفائدة والبرهان في شرح إرشاد الأذهان، للمولى أحمد المقدس الأردبيلي ت</w:t>
      </w:r>
      <w:r>
        <w:rPr>
          <w:rFonts w:eastAsia="Amiri" w:cs="Amiri" w:ascii="Amiri" w:hAnsi="Amiri"/>
          <w:color w:val="111111"/>
          <w:sz w:val="28"/>
          <w:szCs w:val="28"/>
          <w:lang w:bidi="ar-SA"/>
        </w:rPr>
        <w:t>933</w:t>
      </w:r>
      <w:r>
        <w:rPr>
          <w:rFonts w:ascii="Amiri" w:hAnsi="Amiri" w:eastAsia="Amiri" w:cs="Amiri"/>
          <w:color w:val="111111"/>
          <w:sz w:val="28"/>
          <w:sz w:val="28"/>
          <w:szCs w:val="28"/>
          <w:rtl w:val="true"/>
          <w:lang w:bidi="ar-SA"/>
        </w:rPr>
        <w:t xml:space="preserve">هـ، تحقيق آقا مجتبى العراقي، والشيخ علي بناه الاشتهاردي، وآقا حسين اليزدي،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مؤسسة النشر الإسلامي التابعة لجماعة المدرسين،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المجموع شرح المهذب، لأبي زكريا محي الدين بن شرف النووي ت</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هـ، </w:t>
      </w:r>
    </w:p>
    <w:p>
      <w:pPr>
        <w:pStyle w:val="BookText"/>
        <w:rPr/>
      </w:pP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للشيخ أبي جعفر أحمد بن محمد بن خالد البرقي، تصحيح وتعليق السيد جلال الدين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 دار الكتب الإسلامية،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محاضرات الأدباء ومحاورات الشعراء والبلغاء، لأبي القاسم حسين بن محمد الراغب الاصفهاني، منشورات دار مكتبة الحياة،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المحلّى، لأبي محمد علي بن أحمد بن سعيد بن حزم 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تحقيق لجنة إحياء التراث العربي في دار الآفاق الجديدة، منشورات دار الآفاق الجديدة،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المحلّى بالآثار، لأبي محمد علي بن أحمد بن سعيد بن حزم الأندلسي، تحقيق الدكتور عبد الغفار سليمان البنداري، دار الفكر ، بيروت ـ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المحيط في اللغة، لكافي الكفاة الصاحب إسماعيل بن عباد 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تحقيق الشيخ محمد حسن آل ياسين،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 بيروت ـ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محيط المحيط، للمعلم بطرس البستاني، مكتبة لبنان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مختلف الشيعة، لأبي منصور الحسن بن يوسف المطهر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تحقيق مؤسسة النشر التابعة لجماعة المدرسين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مختلف الشيعة في أحكام الشريعة، للحسن بن يوسف بن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مركز الأبحاث والدراسات الإسلامية،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 مركز النشر التابع لمكتب الإعلام الإسلامي،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مدارك الأحكام في شرح شرائع الإسلام، للسيد محمد بن علي الموسوي العاملي ت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تحقيق ونشر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الطبعة </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المراسم، لحمزة بن عبد العزيز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أو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المطبوع ضمن كتاب الجوامع الفقهية، انتشارات جهان،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المراسم في الفقه الإمامي، لحمزة بن عبد العزيز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هـ، تحقيق وتقديم الدكتور محمود البستاني، الطبعة الأولى،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منشورات الحرمين ،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ومعادن الجواهر، لأبي الحسن علي بن الحسين بن علي المسعودي ت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طبعة بربيه دي منار وبافيه دي كرتاي، تنقيح وتصحيح شارل بلا، منشورات الجامعة اللبنانية ـ قم الدراسات التاريخية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المنتخبة، لزعيم الحوزة العلمية السيد أبو القاسم الخوئي، الطبعة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عشرة ،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مسائل الناصريات، لعلم الهدى السيد علي بن الحسين بن موسى الشريف المرتضى 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تحقيق مركز البحوث والدراسات العلمية، نشر رابطة الثقافة والعلاقات الإسلامية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مسالك الأفهام في شرح شرائع الإسلام، للشهيد زين الدين علي العاملي  الجبعي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أو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الطبع القديم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مسالك الأفهام إلى تنقيح شرائع الإسلام، لزين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تحقيق ونشر مؤسسة المعارف الإسلامية،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المسترشد في إمامة أمير المؤمنين علي بن أبي طالب، للحافظ محمد بن جرير بن رستم الطبري الإمامي، المتوفى أوائل القرن الرابع الهجري، تحقيق الشيخ أحمد المحمودي، الطبعة الأولى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في الحديث، للحاكم النيسابوري، دار الفكر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ومستنبط المسائل، لخاتمة المحدثين الميرزا حسين النوري الطبرسي 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تحقيق ونشر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مستمسك العروة الوثقى، لآية الله العظمى السيد محسن الطباطبائي الحكيم الطبعة الرابعة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مطبعة الآداب،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مستند الشيعة في أحكام الشريعة، للمولى أحمد بن المولى مهدي النراقي 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منشورات مكتبة آية الله العظمى المرعشي النجفي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قم المقدسة ـ إيران، الطبع القديم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مستند الشيعة في أحكام الشريعة، للمولى أحمد بن محمد مهدي النراقي ت</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 xml:space="preserve">هـ ، تحقيق ونشر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مشهد المقدسة،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الإمام أحمد بن حنبل، لأبي عبد الله الشيباني 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مؤسسة التاريخ العربي، 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وبهامشه منتخب كنز العمال في سنن الأقوال والأفعال،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مشيخة الفقيه، شرح وترجمة وتعليق محمد جعفر شمس الدين، دار التعارف للمطبوعات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الفقاهة، تقرير أبحاث آية الله العظمى السيد أبو القاسم الخوئي، للميرزا محمد علي التوحيدي ،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دار الهادي للطباعة والنشر والتوزيع، بيروت ـ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مصباح الفقاهة، من تقرير بحث الأستاذ الأكبر آية الله العظمى السيد أبو القاسم </w:t>
      </w:r>
    </w:p>
    <w:p>
      <w:pPr>
        <w:pStyle w:val="BookText"/>
        <w:rPr/>
      </w:pPr>
      <w:r>
        <w:rPr>
          <w:rFonts w:ascii="Amiri" w:hAnsi="Amiri" w:eastAsia="Amiri" w:cs="Amiri"/>
          <w:color w:val="111111"/>
          <w:sz w:val="28"/>
          <w:sz w:val="28"/>
          <w:szCs w:val="28"/>
          <w:rtl w:val="true"/>
          <w:lang w:bidi="ar-SA"/>
        </w:rPr>
        <w:t>الخوئي لمحمد علي التوحيدي، انتشارات أنصاريان ـ وجداني،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المنير، للعلامة أحمد بن محمد بن علي المقري الفيومي ت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الطبعة السابعة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المطبعة الأميرية ،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رجال الفكر في القاهرة، للسيد مرتضى الرضوي، الطبعة الأولى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مطبوعات النجاح ،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المعتبر في شرح المختصر، لنجم الدين أبي القاسم جعفر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منشورات مجمع الذخائر الإسلامية قم ـ إيران، الطبع القديم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الأوسط، للحافظ أبي القاسم سليمان بن أحمد بن أيوب اللخمي الشامي الطبراني 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تحقيق الدكتور محمود الطحان، الطبعة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مكتبة المعارف، 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وتفصيل طبقات الرواة، للسيد أبو القاسم الخوئي، الطبعة الخامسة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مفردات ألفاظ القرآن، لأبي القاسم الحسين بن محمد بن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الراغب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نديم مرعشلي، دار الكتاب العربي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مطبعة التقدم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المفهرس لألفاظ القرآن الكريم، لمحمد فؤاد عبد الباقي، مطبعة دار الكتاب المصرية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الوسيط، إخراج نخبة من الأدباء، الطبعة الثانية، مجمع اللغة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مغني المحتاج إلى معرفة ألفاظ المنهاج، للشيخ محمد الشربيني على متن المنهاج، لأبي زكريا يحيى بن شرف النووي 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طبع ونشر مكتبة ومطبعة مصطفى البابي الحلبي وأولاده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مصر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المغني والشرح الكبير، لموفق الدين أبي محمد عبد الله بن أحمد بن قدامة ت</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هـ ، وشمس الدين أبي الفرج عبد الرحمن بن أبي عمر محمد بن أحمد بن قدامة المقدسي ت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الطبعة 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دار الفكر، بيروت ـ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 لأبي جعفر محمد بن علي بن الحسين بن موسى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 تحقيق لجنة التحقيق التابعة لمؤسسة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مؤسسة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 مطبعة اعتماد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المقنعة، لفخر الشيعة أبي عبد الله 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تحقيق ونشر مؤسسة النشر الإسلامي التابعة لجماعة المدرسين، الطبعة الثانية،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لرضي الدين أبي نصر الحسن بن الفضل الطبرسي، من أعلام القرن السادس الهجري تقديم وتعليق محمد الحسين الأعلمي، الطبعة السادسة،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منشورات مؤسسة الأعلمي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المكاسب، للشيخ مرتضى الأنصاري ت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الطبع القديم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بخط طاهر خوش نويس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الملل والنحل، لأبي الفتح محمد بن عبد الكريم بن أبي بكر أحمد الشهرستاني، الطبعة الرابعة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دار المعرفة، بيروت ـ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الملهوف على قتلى الطفوف، للسيد علي بن موسى بن جعفر بن طاووس، 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وتقديم الشيخ فارس تبريزيان الحسون، الطبعة الثانية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نشر دار الأسوة للطباعة والنشر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منتهى الآمال في تاريخ النبي والآل، للمحدث الشيخ عباس القمي، تعريب المؤسسة الإسلامية للترجمة، السيد هاشم الميلاني،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طبع ونشر مؤسسة النشر الإسلامي التابعة لجماعة المدرسين بقم المشرفة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الصالحين، فتاوى مرجع المسلمين زعيم الحوزة العلمية السيد أبو القاسم الموسوي الخوئي، إخراج مرتضى الحكمي، الطبعة الثانية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 نشر مكتبة لطفي،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الصالحين، فتاوى مرجع المسلمين زعيم الحوزة العلمية السيد أبو القاسم الموسوي الخوئي، الطبعة الثامنة والعشرون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المهذب، للقاضي عبد العزيز بن البراج الطرابلسي ت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مؤسسة النشر الإسلامي التابعة لجماعة المدرسين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لأبي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تحقيق وتعليق السيد حسن الموسوي الخرسان، الطبعة الخامسة،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دار الكتب الإسلامية،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منية الطالب في حاشية المكاسب، تقرير أبحاث الميرزا محمد حسين الغروي النائيني، للشيخ موسى النجفي الخوانساري ، الطبع القديم، بخط محمد علي التبريزي الغروي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أطراف الحديث النبوي الشريف، إعداد أبو هاجر محمد السعيد بسيوني زغلول،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عالم التراث،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الموطأ، للإمام مالك بن أنس، تصحيح وترقيم وإخراج وتعليق محمد فؤاد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الباقي، 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في نقد الرجال، لأبي عبد الله محمد بن أحمد بن عثمان الذهبي، 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تحقيق علي محمد البجاوي، دار المعرفة ، بيروت ـ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الميزان في تفسير القرآن، للعلامة السيد محمد حسين الطباطبائي، الطبعة الخامسة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مؤسسة إسماعيليان،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الناصريات، للسيد أبي القاسم علي بن الحسين بن موسى الشريف المرتضى </w:t>
      </w:r>
    </w:p>
    <w:p>
      <w:pPr>
        <w:pStyle w:val="BookText"/>
        <w:rPr/>
      </w:pPr>
      <w:r>
        <w:rPr>
          <w:rFonts w:ascii="Amiri" w:hAnsi="Amiri" w:eastAsia="Amiri" w:cs="Amiri"/>
          <w:color w:val="111111"/>
          <w:sz w:val="28"/>
          <w:sz w:val="28"/>
          <w:szCs w:val="28"/>
          <w:rtl w:val="true"/>
          <w:lang w:bidi="ar-SA"/>
        </w:rPr>
        <w:t xml:space="preserve">علم الهدى 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المطبوع ضمن كتاب الجوامع الفقهية، انتشارات جهان، الطبع القديم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الإحكام في معرفة الأحكام، للحسن بن يوسف بن علي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تحقيق السيد مهدي الرجائي، الطبعة 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دار الأضواء،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لشيخ الطائفة أبي جعفر محمد بن الحسن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المطبوع ضمن كتاب الجوامع الفقهية، انتشارات جهان، الطبع القديم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مجرد الفقه والفتاوى، لشيخ الطائفة أبي جعفر محمد بن الحسن بن علي الطوسي، الطبعة الأولى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دار الكتاب العربي، بيروت ـ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الحديث والأثر، لمجد الدين أبي السعادات المبارك بن محمد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تحقيق طاهر أحمد الزاوي، ومحمود محمد الطناجي، الطبعة الرابعة، نشر مؤسسة إسماعيليان،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ونكتها، لشيخ الطائفة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والمحقق الأول الحلي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بن الحسن الهذلي، تحقيق ونشر مؤسسة النشر الإسلامي،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الدراية في شرح الكفاية، للشيخ محمد حسين الاصفهاني ت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تحقيق ونشر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نيل الأوطار من أحاديث سيد الأخيار شرح منتقى الأخبار، لقاضي قضاة القطر اليماني محمد بن علي بن محمد الشوكاني، ت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دار الجيل، بيروت ـ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الوافية في أصول الفقه، للمولى عبد الله بن محمد البشروي الخراساني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 xml:space="preserve">هـ، تحقيق السيد محمد حسين الرضوي الكشميري، الطبعة المحققة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مجمع الفكر الإسلامي،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الوجيز في فقه الإمام الشافعي، لحجة الإسلام محمد بن محمد أبي حامد الغزالي ت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دار المعرفة للطباعة والنشر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إلى تحصيل مسائل الشريعة، للمحدث الشيخ محمد حسن الحر العاملي 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تصحيح وتحقيق وتذييل الشيخ عبد الرحيم الرباني الشيرازي، الطبعة الخامسة،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هـ ، منشورات المكتبة الإسلامية،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الوسيلة إلى نيل الفضيلة، للشيخ عماد الدين أبي جعفر محمد بن علي بن حمزة الطوسي المشهدي، المطبوع ضمن كتاب الجوامع الفقهية، انتشارات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 طهران، الطبع القديم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الوسيلة إلى نيل الفضيلة، لعماد الدين أبي جعفر محمد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محمد الحسون،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نشر مكتبة آية الله العظمى المرعشي النجفي،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وسيلة النجاة، لآية الله العظمى السيد أبو الحسن الموسوي الأصفهاني، مع تعاليق آية الله العظمى السيد محمد رضا الموسوي الگلبايگاني، الطبعة الثانية،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دار التعارف للمطبوعات، بيروت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وفيات الأعيان وأنباء أبناء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العباس شمس الدين أحمد بن محمد بن أبي بكر بن خلكان، تحقيق الدكتور إحسان عباس، دار صادر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الهداية، لأبي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المطبوع ضمن كتاب الجوامع الفقهية ، انتشارات </w:t>
      </w:r>
    </w:p>
    <w:p>
      <w:pPr>
        <w:pStyle w:val="BookText"/>
        <w:rPr/>
      </w:pPr>
      <w:r>
        <w:rPr>
          <w:rFonts w:ascii="Amiri" w:hAnsi="Amiri" w:eastAsia="Amiri" w:cs="Amiri"/>
          <w:color w:val="111111"/>
          <w:sz w:val="28"/>
          <w:sz w:val="28"/>
          <w:szCs w:val="28"/>
          <w:rtl w:val="true"/>
          <w:lang w:bidi="ar-SA"/>
        </w:rPr>
        <w:t>جهان، طهران، الطبع القديم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الهداية، للشيخ الأقدم أبي جعفر الصدوق، المطبوع مع كتاب المقنع ضمن سلسلة المتون الفقهية، نشر مؤسسة المطبوعات الدينية، المكتبة الإسلامية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قم ـ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هداية الطالب إلى أسرار المكاسب، للميرزا فتاح الشهيدي التبريزي، الطبعة الثانية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مطبعة الاطلاعات، تبريز، الطبع القديم</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 تفاصيل مأساة الاستلحاق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الغدير في الكتاب والسنة والأدب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راجع تفاصيل أحواله ومصادرها كتاب الغدير في الكتاب والسنة والأدب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ذكر أصحاب المقاتل أنّ عمر بن سعد ـ بعد أن 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انتدب عشرة فرسان ليوطؤا الخيل صدره وظهره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وهؤلاء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إسحاق بن حويّة، وأخنس بن مرتد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وحكيم بن طفيل السنبسي، وعمر بن صبيح الصيداوي، ورجاء بن منقذ العبدي، وسالم بن خيثمة الجعفي، وواحد بن ناعم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واحظ بن غانم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وصالح بن وهب الجعفي، وهاني بن شبث الحضرمي، وأسيد بن مالك، لعنهم الله تعالى، فداسوا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بحوافر خيلهم حتى رضّوا صدره وظهره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فنظرنا إلى هؤلاء العشرة فوجدناهم كلّهم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أولاد زنا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اللهوف على قتلى الطفوف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ومثير الأحزان المجلس العاشر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الآمال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لاحظ تاريخ ألمانيا الهتلرية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المانيا النازية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والرجل الصنم كمال أتاتورك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راجع كتاب الزواج والطلاق في جميع الأديان لعبد الله المراغي، وكتاب الزواج وتطور المجتمع لعادل أحمد سركيس، وكتاب النكاح والقضايا المتعلّقة به لأحمد الحصري، وكتاب الزواج المؤقت للسيد محمد تقي الحكيم، والعدد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سلسلة اقرأ، عادات الزواج وشعائره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الزواج في القرآن والسنة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أحاديث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بدء التزويج وفضله وحكمه والحث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وأولياء العقد،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والشقاق،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القيامة،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التفسير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تاريخ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الكامل في 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التفسير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تنزيه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الميزان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قرب الاسناد ـ باب قرب الاسناد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الحديث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بالنسب،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أحاديث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بالنسب والرضاع،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الفروع من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ـ باب نوادر ـ الحديث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بالنسب،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أحاديث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بالنسب والرضاع،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مصنفات الشيخ المفيد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كتاب الاختصاص ـ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مستدرك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بالنسب،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الأمالي ـ المجلس الثالث والستون ـ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مستدرك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بالنسب،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الدخان،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الجامع لأحكام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كيفية بدء النسل،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تفسير المراغي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الخصال ـ باب ما بعد الألف ـ الحديث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روايات في عدة مواطن من أجزاء البحار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ونشر مؤسسة النشر الإسلامي التابعة لجماعة المدرسين بقم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كتاب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الخلاف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المسألة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المحققة ـ مؤسسة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الأبحاث والدراسات الإسلامية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الأولى</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المبسوط في فقه الإمامية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مؤسسة النشر الإسلامي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الخلاف كتاب النكاح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مسألة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المغني والشرح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المحلّى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مسألة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الفقه على المذاهب الأربعة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 الكتب العلمية ـ بيروت ـ لبنان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الثانية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النجاشي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مستدرك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مستدرك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تفسير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العلمية نقلاً عن تهذيب الأحكام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تفسير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تفسير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الفروع من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ذبائح أهل الكتاب،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تهذيب الأحكام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والأطعمة وما يحل من ذلك وما يحرم منه،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الأولى المحققة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مستدرك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المسائل المنتخبة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عشرة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غنية النزوع إلى علمي الأصول والفروع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الأولى</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رسالة في التحريم من جهة المصاهرة المطبوعة ضمن كتاب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القديم مؤسسة آل البيت </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التبيان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إحياء التراث العربي</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المحققة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يناسبه،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يناسبه،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يناسبه،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ذيل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يناسبه،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النجاشي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يناسبه،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المصباح المنير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الثانية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دار العلم للملايين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الثانية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التبيان في تفسير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إحياء التراث العربي</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الخلاف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المسألة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كتاب الملل والنحل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الثانية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وهي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آمَنُوا وَالَّذِينَ هَادُوا وَالنَّصَارَى وَالصَّابِئِينَ مَنْ آمَنَ بِاللَّهِ وَالْيَوْمِ الآخِرِ وَعَمِلَ صَالِحاً وَعَمِلَ صَالِحاً فَلَهُمْ أَجْرُهُمْ عِنْدَ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آمَنُوا وَالَّذِينَ هَادُوا وَالصَّابِئُونَ وَالنَّصَارَى مَنْ آمَنَ بِاللَّهِ وَالْيَوْمِ الآخِرِ وَعَمِلَ صَالِحاً فَلا خَوْفٌ عَلَيْهِمْ وَلا هُمْ يَحْزَنُونَ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آمَنُوا وَالَّذِينَ هَادُوا وَالصَّابِئِينَ وَالنَّصَارَى وَالْمَجُوسَ وَالَّذِينَ أَشْرَكُوا إِنَّ اللَّهَ يَفْصِلُ بَيْنَهُمْ يَوْمَ الْقِيَامَةِ إِنَّ اللَّهَ عَلَى كُلِّ شَيْءٍ 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السادسة عن 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المصباح المنير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كتاب 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كشف اللثام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كتاب  النكاح ـ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الخلاف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المسألة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مستدرك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جامعة المدرسين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هذه اللفظة ساقطة من نسخة الوسائل ووردت في 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الضلال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وفسرت في ذيل الرواية بالشرك والكفر أو الذنب العظيم، ثم أن بين ما في الوسائل وما في الكافي اختلافاً يسيراً، وللرواية تتمة ذكرها الكليني واقتصر صاحب الوسائل على نقل موضع الحاجة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الأصول من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الإيمان يشرك الإسلام والإسلام لا يشرك الإيمان،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الأصول من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الإيمان يشرك الإسلام والإسلام لا يشرك الإيمان،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الأصول من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الإيمان يشرك الإسلام والإسلام لا يشرك الإيمان،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أحاديث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تزويج الناصب والناصبية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كتاب البحر الزخار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مؤسسة الرسالةـ بيروت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الخلاف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المسألة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المسائل الناصريات ـ المطبوعة ضمن كتاب الجوامع الفقهية ـ المسألة الثالثة والخمسون والمائة،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الأصول من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الكفر،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المدرسين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المسائل الناصريات ـ المطبوعة ضمن كتاب الجوامع الفقهية ـ المسألة الثالثة والخمسون والمائة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مايحرم بالكفر، 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النهاية في غريب الحديث والأثر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المكتبة الإسلامية ـ ولسان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أدب الحوزة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أحاديث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مناكحة المستضعفين والشكاك المظهرين للإسلام،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روضة المتقين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العلمية ـ قم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الأصول من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الكفر،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منهاج الصالحين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ـ مسائل أخرى متفرقة المسألة الثانية،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الاستغاثة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أجوبة المسائل السروية المطبوع ضمن كتاب عدة رسائل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العاشرة، منشورات مكتبة المفيد، قم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في كتاب خرائج الجرائح عن أبي بصير عن جدعان بن نصر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عبد الله بن أبي سعدة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حمويه بن إسماعيل، عن أبي عبد الله الرنيني، عن عمر بن أذينة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الناس يحتجون علينا ، ويقولون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 فلاناً ابنته أمّ كلثوم، وكان متكّئاً فجلس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يقولون ذلك، إنّ قوماً يزعمون ذلك لا يهتدون إلى سواء السبيل، سبحان الله ما كان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يقدر أن يحول بينه وبينها فينقذها، كذبوا ولم يكن ما قالوا، وإنّ فلاناً خطب إلى علي بنته أمّ كلثوم فأبى عليّ، فقال للعباس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لئن لم يزوّجني لأنتزعنّ منك السقاية وزمزم، فأتى العباس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وكلّمه فأبى عليه فألح العباس عليه، فلما رأى أمير المؤمنين شنعة كلام الرجل على العباس وأنه سيفعل بالسقاية ما قال فأرسل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جنّية من أهل نجران يهودية، يقال لها سخيفة بنت جريرية فأمرها فتمثلت في مثال أم كلثوم، وحجبت الأبصار عن أمّ كلثوم وبعث بها إلى الرجل فلم تزل عنده حتى أنه استراب بها يوماً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الأرض أهل بيت أسحر من بني هاشم، ثم أراد أن يظهر ذلك للناس فقتل وحوت الميراث وانصرفت إلى نجران، فأظهر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كلثوم ـ راجع كتاب الوافي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الأولى</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مباني تكملة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الآداب النجف</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مباني تكملة المنهاج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الآداب النجف،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الخلاف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المسألة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الأخوة والأجداد،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الحديث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الوارد في روضة المتقين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شمر بدلاً من عمرو بن نعمان ولعله تصحيف فإنه لم يرد عن عمرو بن نعمان إلاّ هذه الرواية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المسد،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الخلاف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المسألة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الخلاف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المسألة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مستدرك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الخلاف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المسألة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النهاية ونكتها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يحرم نكاحهن بالأسباب دون الأنساب، الحديثان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والمرأة إذا كانا ذميين فتسلم المرأة دون الرجل، الحديثان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المبسوط في فقه الإمامية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الخلاف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كتاب النكاح ـ مسألة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السرائر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كتاب النكاح ـ باب النكاح المؤجل وما في ذلك من الأحكام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التفسير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المحلّى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كتاب النكاح ـ المسألة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التفسير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المتعة،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بداية المجتهد ونهاية المقتصد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نيل الأوطار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والجامع لأحكام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صحيح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كتاب النكاح ـ باب نهي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نكاح المتعة آخر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صحيح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كتاب النكاح ـ باب نهي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نكاح المتعة، آخر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44753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كتاب النكاح ـ باب ما جاء في نكاح المتعة،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سنن ابن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السنن الكبري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نيل الأوطار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نيل الأوطار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سنن الدارقطني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الحديث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نيل الأوطار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المتعة وأثرها في الإصلاح الاجتماعي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باب المتعة، الأحاديث</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والحديث</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والحديث </w:t>
      </w:r>
      <w:r>
        <w:rPr>
          <w:rFonts w:eastAsia="IRNazanin" w:cs="IRNazanin"/>
          <w:b w:val="false"/>
          <w:bCs w:val="false"/>
          <w:i w:val="false"/>
          <w:iCs w:val="false"/>
          <w:color w:val="333333"/>
          <w:sz w:val="20"/>
          <w:szCs w:val="20"/>
        </w:rPr>
        <w:t>14500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والسنن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45715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ابن خلكان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وفيه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عهد أبي بكر، وزاد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عن عمر، والمبسوط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صح أنّ عمر </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شرح التجريد آخر مبحث الإمامة الطبع القديم، والمسترشد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مسلم ـ كتاب النكاح ـ باب نكاح المتعة،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المعاد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ـ باب نكاح المتعة،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الموطأ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كتاب النكاح ـ الحديث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باب ما جاء في المتعة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تفسير البحر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راجع كتاب الغدير في الكتاب والسنة والأدب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محاضرات الأدباء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راجع كتاب الغدير في الكتاب والسنة والأدب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التفسير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التمتع على عهد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الجامع الصحيح وهو 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التمتع، الحديث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باب التمتع،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شرح التجريد آخر مبحث الإمامة الطبع القديم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الأوائل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المحلّى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كتاب النكاح المسألة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السرائر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التفسير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ـ باب نكاح المتعة ذيل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المتعة وأثرها في الإصلاح الاجتماعي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الإصابة في تمييز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البحر الرائق شرح كنز الدقائق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المكتبة الماجدية باكستان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الجامع لأحكام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البحر الرائق شرح كنز الدقائق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المكتبة الماجدية باكستان،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زفر وآراؤه الفقهية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كتبه الرضا للمأمون في محض الإسلام وشرائع الدين،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الشيخ ـ في من لم يرو عنهم ـ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كمال الدين وتمام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التوقيعات الواردة عن القائم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التقية في فقه أهل البيت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كتاب الغيبة الحديث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الرضي قم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باب المتعة،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باب المتعة،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النحل، 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مع رجال الفكر في 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الأولى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ـ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القاهرة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الفروع من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باب النوادر،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مصنفات الشيخ المفيد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الإيجاز في المتعة،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مصنفات الشيخ المفيد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الإيجاز في المتعة،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أحاديث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الخلاف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نيل الأوطار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نيل الأوطار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المحلّى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المحلّى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المحلّى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المحلى بالآثار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التفسير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عدد الطلاق،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مسند أحمد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26792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سنن الدارقطني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الحديث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نيل الأوطار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الدارقطني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الحديث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نيل الأوطار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نيل الأوطار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نيل الأوطار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القارىء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باب طلاق الثلاث،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القارىء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باب طلاق الثلاث،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الحديث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كنز العمال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كنز العمال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الرسالة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راجع كتاب الغدير في الكتاب والسنة والأدب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القاري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سنن النسائي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إحياء التراث العربي</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سنن النسائي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 إحياء التراث العربي</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بلوغ المرام، الحديث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نيل الأوطار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الجيل</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سنن النسائي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المحلّى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الآفاق الجديدة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المحلّى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نيل الأوطار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راجع كتاب الغدير في الكتاب والسنة والأدب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المحلّى بالآثار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دار الفكر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الانتصار ـ كتاب الطلاق ـ مسألة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المسائل 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كتاب الجوامع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الخلاف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مختلف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منهاج الصالحين ، كتاب الطلاق، فصل في أقسام الطلاق،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البقرة، 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النجاشي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تهذيب الأحكام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المشيخة،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مشيخة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تهذيب الأحكام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الحديث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من طلق امرأته ثلاث تطليقات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تهذيب الأحكام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الحديث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من طلّق امرأته ثلاث تطليقات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والأجداد،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والأجداد،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الأخوة والأجداد،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تهذيب الأحكام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الحديث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مصنفات الشيخ المفيد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جوابات أهل الموصل في العدد والرؤية،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تهذيب الأحكام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 الحديث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من طلق امرأته ثلاث تطليقات،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الفروع من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تزويج المرأة التي تطلق على غير السنة،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تهذيب الأحكام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الحديث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الأئمة أنهم يتكلمون على سبعين وجهاً كلها المخرج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مستمسك العروة الوثقى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ملحق كتاب النكاح، رسالة في حكم طلاق المخالف بعد استبصاره،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منهاج الصالحين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بحوث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مستمسك العروة الوثقى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ملحق كتاب النكاح، رسالة في حكم طلاق المخالف بعد استبصاره،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بحوث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الروضة من الكافي، الحديث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مستمسك العروة الوثقى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ملحق كتاب النكاح، رسالة في حكم طلاق المخالف بعد استبصاره،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الخلاف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نيل الأوطار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المغني والشرح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البيان في تفسير القرآن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الخلاف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التفسير الكبير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البرهان في تفسير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الأولى، مؤسسة البعثة، والدر المنثور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وأحكامه،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وأحكامه،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وأحكامه،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ص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ص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ص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المحلّى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نيل الأوطار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نيل الأوطار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مسند أحمد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نيل الأوطار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المحلّى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الخلاف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فقه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الفقه على المذاهب الخمسة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الفقه على المذاهب الخمسة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ذكر صاحب الوسائل الرواية مسندة في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الخلاف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والشرح الكبير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المغني والشرح الكبير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مسألة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والخلاف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الأيمان، المسألتان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المغني والشرح الكبير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الطلاق، المسألة</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المغني والشرح الكبير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الفقه على المذاهب الأربعة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والشرح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كتاب النكاح، المسألة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الفقه على المذاهب الأربعة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العدة،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المكاسب ـ كتاب البيع ـ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المنافقون،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القديم، ولم نقف على ذلك في كتب الشيخ، وإنما استدل على الحرمة بآية نفي السبيل لاحظ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الثانية، نعم استدل بالرواية على عدم ثبوت الخيار لمن اشترى عبداً واشترط أن يكون كافراً فخرج مسلماً لاحظ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حاشية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كتاب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منهاج الصالحين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قد ورد في بعض الأخبار أنّ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عبد الملك بن مروان ضرب الدراهم والدنانير، وأمره أن ينقش عليها سورة التوحيد واسم النبي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لم يرد ذلك بطريق 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أئمتنا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المحاسن والمساوىء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الغنية المطبوع ضمن كتاب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ورواها الشيخ في التهذيب والنهاية إلاّ أن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 بعبد لذمي قد أسلم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وسيتعرض لها سماحة الشيخ الأستاذ، ونقلها صاحب المستدرك من كتاب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عن أبيه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مستدرك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مصباح الفقاهة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المكاسب، كتاب البيع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المكاسب، كتاب البيع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وجه دلائل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والرد على الغلاة والمفوضة،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النهاية، كتاب القضايا والأحكام، باب جامع في القضايا والأحكام،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المكاسب ـ كتاب البيع ـ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مصباح الفقاهة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أنصاريان ـ قم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منية الطالب في حاشية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الأصول من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الإيمان يشرك الإسلام والإسلام لا يشرك الإيمان،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المكاسب ـ كتاب البيع ـ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الخلاف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البيوع، مسألة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أيضاح الفوائد في شرح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المكاسب ـ كتاب البيع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الدروس الشرعية في فقه الإمامية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المكاسب ـ كتاب البيع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منية الطالب في حاشية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مصباح الفقاهة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أنصاريان ـ قم</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سورة الدهر،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الدهر،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العامة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آجر نفسه من يهودي يستقي له كل دلو بتمرة، وأتى بذلك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فأكله، وفعل ذلك رجل من الأنصار وأتى به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ينكره، راجع المغني والشرح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الخلاف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البيوع، مسألة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إيضاح الفوائد في شرح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المكاسب ـ كتاب البيع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مصباح الفقاهة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أنصاريان ـ قم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نهاية الأحكام في معرفة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إيضاح الفواعد في شرح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المبسوط في فقه الإمامية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الدروس الشرعية في فقه الإمامية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إيضاح الفوائد في شرح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المكاسب ـ كتاب البيع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منية الطالب في حاشية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مصباح الفقاهة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أنصاريان ـ قم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المكاسب ـ كتاب البيع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المجموع شرح المهذب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الوجيز في فقه الإمام الشافعي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 بيروت ـ لبنان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الآفاق الجديدة ـ بيروت</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الفقه على المذاهب الأربعة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إحياء علوم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نيل الأوطار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الجيل</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الأولى</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المصباح المنير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أدب الحوزة، قم ـ إيران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المعجم الوسيط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مستدرك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الأحاديث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مستدرك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الأحاديث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البيان في تفسير القرآن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التكاثر،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الجمعة،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الانبياء،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معجم مفردات ألفاظ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  الكتاب العربي</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المصباح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أدب الحوزة، قم ـ إيران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المصباح المنير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البيان في تفسير القرآن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البيان في تفسير القرآن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الجمعة،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مستدرك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النجاشي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المكاسب، أخبار بيع الكلب وأجر المغنية، الحديث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أجر المغنية،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الفائدة الثالثة،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بهجة الآمال في شرح زبدة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بنياد فرهنك اسلامي</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مشيخة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المصباح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أدب الحوزة قم ـ إيران</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الثانية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الرابعة ـ دار العلم للملايين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المعجم الوسيط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مستند الشيعة في أحكام الشريعة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مصباح الفقاهة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الطبعة الأولى ـ بيروت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الأصول من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فضل القرآن باب ترتيل القرآن بالصوت الحسن،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مصباح الفقاهة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ـ بيروت</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كتاب الوافي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مستند الشيعة في أحكام الشريعة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كتاب الوافي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المعايش والمكاسب والفوائد والصناعات،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كتاب الوافي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الفروع من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كسب المغنية وشرائها،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المكاسب، الحديث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 المغنية،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ذيل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الأنوار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جوز من الغناء وما يوهم ذلك،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ذيل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مصباح الفقاهة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ـ بيروت</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كتاب المراسم المطبوع ضمن كتاب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كتاب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القديمة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الفروع من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كسب المغنية وشرائها،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بيع الكلب وأجر المغنية، الحديث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 المغنية،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بيع الكلب والمغنية، الحديث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النجاشي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الثانية</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المصباح المنير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مستند الشيعة في أحكام الشريعة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الأولى</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مسند الإمام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الثانية ،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وغيره،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الثانية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وغيره،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وغيره،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مصباح الفقاهة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ـ بيروت</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مصباح الفقاهة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بيروت</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الفائدة والبرهان في شرح إرشاد الأذهان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وما يناسبهما،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مستدرك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والآنك هو الرصاص</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عزف</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وما يناسبها،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المعجم الوسيط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مستدرك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مستدرك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المعجم الوسيط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الثانية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مستدرك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الروضة البهية في شرح اللمعة الدمشقية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ـ النجف</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هداية الطالب إلى أسرار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القديمة</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هداية الطالب إلى أسرار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القديمة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أمالي الشيخ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مستدرك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مستدرك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مستدرك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مباني منهاج الصالحين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الخلاف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والذباحة، 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مستند الشيعة في أحكام الشريعة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الفقه على المذاهب الأربعة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مختلف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الصيد وتوابعه الفصل الثالث، 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الانتصار المسألة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الخلاف ـ كتاب الصيد والذبائح ـ 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المحلّى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المغني والشرح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التفسير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الميزان في تفسير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عبس،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الميزان في تفسير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الميزان في تفسير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الحاقة،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الفجر،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كذا ورد في الرواية، وهو من اشتباه النساخ، إذ ليس في القرآن آية بهذا اللفظ، والصحيح هو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w:t>
      </w:r>
      <w:r>
        <w:rPr>
          <w:rFonts w:ascii="IRNazanin" w:hAnsi="IRNazanin" w:eastAsia="IRNazanin"/>
          <w:b w:val="false"/>
          <w:b w:val="false"/>
          <w:bCs w:val="false"/>
          <w:i w:val="false"/>
          <w:i w:val="false"/>
          <w:iCs w:val="false"/>
          <w:color w:val="333333"/>
          <w:sz w:val="20"/>
          <w:sz w:val="20"/>
          <w:szCs w:val="20"/>
          <w:rtl w:val="true"/>
        </w:rPr>
        <w:t xml:space="preserve">وَطَعَامُ الَّذِينَ أُوتُوا الْكِتَابَ حِلٌّ 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الروايات اللاحقة</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والذبائح، الحديث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النجاشي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المحققة، ومعجم رجال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ذيل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والذبائح، الحديث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التقية في فقه أهل البيت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والذبائح، الحديث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والذبائح، الحديث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مشيخة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ووقت الإمساك،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تهذيب الأحكام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وما يحل من ذلك وما يحرم منه، 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الخلاف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والذباحة، 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القديم، ومختلف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وسيلة النجاة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الصيد ـ القول في الذباحة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منهاج الصالحين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والذبائح، الحديث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معجم رجال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تهذيب الأحكام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وما يحلّ من ذلك وما يحرم، الحديث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ذبائح من نصب العداوة لآل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معجم رجال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كتاب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والذبائح، الحديث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المبسوط في فقه الإمامية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مستند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الأولى المحققة</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الليطة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قشر القصبة والقناة، وكل شيء له صلابة ومتانة، لاحظ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أبيض برّاق،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يقدح منها النار، لاحظ النهاية في غريب الحديث والأثر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لا يجوز الذبح إلاّ بالحديد،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الفروع من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تذكى به الذبيحة،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تهذيب  الأحكام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الحديث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تهذيب الأحكام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الحديث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لا يجوز الذبح إلاّ بالحديد،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الفروع من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منه في حال الاضطرار،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صحيح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الذبائح والصيد،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والذباحة باب الأمر بإحسان الذبح والقتل وتحديد الشفرة، الحديث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المغني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أقرب الموارد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محيط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والذبائح ـ باب الأمر بإحسان الذبح والقتل وتحديد الشفرة ، الحديث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قال  ابن 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 العلماء على أنّ كل ما أنهر الدمّ وفرى الأوداج من حديد أو صخر أو عود أو قضيب أنّ التذكية به جائزة، واختلفوا في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 والظفر، والعظم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الخلاف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الضحايا،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كتاب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المغني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فقه السنة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الإسلامية</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الإسلامية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الخلاف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كتاب الصيد والذبائح ـ 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النهاية في مجرد الفقه والفتاوى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كتاب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المحلى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الفقه على المذاهب الأربعة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الفروع من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صيد السمك،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ذيل</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ذيل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والذبائح، الحديث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أحاديث الشيعة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الخلاف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والذبائح، 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غنية النزوع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المعتبر في شرح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كتاب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ذكرى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الفائدة والبرهان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كتاب المناهل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التقية في فقه أهل البيت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النهاية في مجرد الفقه والفتاوى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النهاية ونكتها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كذا في الوسائل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فروع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صيد السمك،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والذبائح، الحديث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والذبائح،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مشيخة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كتاب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غنية النزوع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الأصول من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القول عند الإصباح والإمساء،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الرابعة، الطبع القديم</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الفائدة والبرهان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الأولى، الطبع القديم</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منهاج الصالحين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الثامنة والعشرون</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أمالي الصدوق، المجلس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الفروع من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صيد السمك،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المغني والشرح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7755</w:t>
      </w:r>
      <w:r>
        <w:rPr>
          <w:rFonts w:eastAsia="IRNazanin" w:cs="IRNazanin"/>
          <w:b w:val="false"/>
          <w:bCs w:val="false"/>
          <w:i w:val="false"/>
          <w:iCs w:val="false"/>
          <w:color w:val="333333"/>
          <w:sz w:val="20"/>
          <w:szCs w:val="20"/>
          <w:rtl w:val="true"/>
        </w:rPr>
        <w:t xml:space="preserve"> .</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الوافية في أصول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الأولى</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التنقيح في شرح العروة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لاحظ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الصيد</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النقل فلاحظ</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ذكر صاحب الحدائق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ليست رواية ولم ترد في كتب الأخبار وإنما يتناقلها الفقهاء، لاحظ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الوافية في أصول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الأولى</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الوافية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كذا في مصباح الأصول، ولم نقف على هذا المعنى في مظانّه من مجمع البحرين، وسيأتي تصريح الشيخ الأستاذ بذلك</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المصباح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الظاهر أنّ المراد هو الفاضل التوني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المعروف، وقد صرّح 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 في مبحث الاستصحاب، فلعل ما وقع من اشتباه النساخ أو الطبع</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والتنقيح في شرح العروة الوثقى، كتاب الطهارة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تهذيب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يجوز الصلاة فيه من اللباس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يصلى فيه وما لا يصلى فيه من الثياب وجميع الأنواع، 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فرائد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جماعة المدرسين</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فرائد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جماعة المدرسين</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نهاية الدراية في شرح الكفاية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المحققة ـ مؤسسة آل البيت </w:t>
      </w:r>
      <w:r>
        <w:rPr>
          <w:rFonts w:eastAsia="IRNazanin" w:cs="IRNazanin"/>
          <w:b w:val="false"/>
          <w:bCs w:val="false"/>
          <w:i w:val="false"/>
          <w:iCs w:val="false"/>
          <w:color w:val="333333"/>
          <w:sz w:val="20"/>
          <w:szCs w:val="20"/>
          <w:rtl w:val="true"/>
        </w:rPr>
        <w:t>( .</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فرائد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مصباح الفقيه كتاب الطهارة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الوافية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المحيط في اللغة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تاج العروس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ترتيب 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المعجم الوسيط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محيط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والفروع من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ينتفع به من الميتة وما لا ينتفع 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والفروع من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ينتفع به من الميتة وما لا ينتفع به منها،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التنقيح في شرح العروة الوثقى ـ كتاب الطهارة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المحاسن ـ كتاب المآكل 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تطهير الثياب وغيرها من النجاسات، الحديث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أحاديث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الفروع من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ينتفع به من الميتة وما لا ينتفع به 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وجامع الأحاديث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التنقيح في شرح العروة الوثقى ـ كتاب الطهارة 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نهاية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التنقيح في شرح العروة الوثقى ـ كتاب الطهارة 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الفروع من الكافي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اللباس الذي تكره الصلاة فيه وما لا تكره،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مستند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فقه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الخلاف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 المسألة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المغني والشرح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المسألة </w:t>
      </w:r>
      <w:r>
        <w:rPr>
          <w:rFonts w:eastAsia="IRNazanin" w:cs="IRNazanin"/>
          <w:b w:val="false"/>
          <w:bCs w:val="false"/>
          <w:i w:val="false"/>
          <w:iCs w:val="false"/>
          <w:color w:val="333333"/>
          <w:sz w:val="20"/>
          <w:szCs w:val="20"/>
        </w:rPr>
        <w:t>4817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نيل الأوطار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صحيح مسلم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الحديث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 وصحيح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ص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الجامع الصحيح وهو 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ص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وردت هذه الرواية في كتب الخاصة فقد رواها الشيخ في التهذيب بسنده عن علي بن عابس عن ابن طاووس، عن أبيه عن ابن عباس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أبقت الفرائض فلأولى عصبة ذكر، لاحظ تهذيب الأحكام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إبطال العول والعصبة، ذيل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الجامع الصحيح وهو 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وردت هذه الرواية في كتب الخاصة فإن الشيخ رواها في التهذيب بسنده عن عبد الله بن محمد بن عقيل عن جابر لاحظ تهذيب الأحكام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إبطال العول والعصبة، ذيل</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الجامع الصحيح وهو 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الجامع الصحيح وهو 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نيل الأوطار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القاري شرح صحيح البخاري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العتب الجميل على أهل الجرح والتعديل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تهذيب الأحكام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باب إبطال العول والعصبة، ذيل 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العتب الجميل على أهل الجرح والتعديل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الخلاف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المسألة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نيل الأوطار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القاري شرح صحيح البخاري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القاري شرح صحيح البخاري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الجرح والتعديل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الكامل في ضعفاء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المسانيد والسنن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الجامع الصحيح وهو 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ذيل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الضعفاء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المحلّى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المحلى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والمسألة </w:t>
      </w:r>
      <w:r>
        <w:rPr>
          <w:rFonts w:eastAsia="IRNazanin" w:cs="IRNazanin"/>
          <w:b w:val="false"/>
          <w:bCs w:val="false"/>
          <w:i w:val="false"/>
          <w:iCs w:val="false"/>
          <w:color w:val="333333"/>
          <w:sz w:val="20"/>
          <w:szCs w:val="20"/>
        </w:rPr>
        <w:t>1725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والمسألة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البيان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والميزان في تفسير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الميزان في تفسير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ميراث ولاء العتق،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وأبواب ولاء ضمان الجريرة والإمامة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المبسوط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المبسوط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المبسوط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المبسوط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بداية المجتهد ونهاية المقتصد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التفسير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الجامع لأحكام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الجامع لأحكام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معجم رجال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الخرثى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أثاث البيت أو أردأ المتاع والغنائم لاحظ 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الأصول من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عند الأئمة من آيات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وباب ما عند الأئمة من سلاح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ومتاعه، 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صحيح البخاري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باب ميراث البنات،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الوصية، باب الوصية بالثلث، الحديث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الجامع الصحيح وهو 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باب ما جاء في الوصية بالثلث، الحديث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فيمن أعطى ذوي الأرحام دون الموالي، الحديث</w:t>
      </w:r>
      <w:r>
        <w:rPr>
          <w:rFonts w:eastAsia="IRNazanin" w:cs="IRNazanin"/>
          <w:b w:val="false"/>
          <w:bCs w:val="false"/>
          <w:i w:val="false"/>
          <w:iCs w:val="false"/>
          <w:color w:val="333333"/>
          <w:sz w:val="20"/>
          <w:szCs w:val="20"/>
        </w:rPr>
        <w:t>3020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موسوعة أطراف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مسند الإمام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باب تحوز المرأة ثلاث مواريث، الحديث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تهذيب الأحكام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باب إبطال العول والعصبة، ذيل 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الحديث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معجم رجال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العدة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المحلى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المحلّى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الفقه على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والمصباح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المبسوط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المغني والشرح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 المسألة </w:t>
      </w:r>
      <w:r>
        <w:rPr>
          <w:rFonts w:eastAsia="IRNazanin" w:cs="IRNazanin"/>
          <w:b w:val="false"/>
          <w:bCs w:val="false"/>
          <w:i w:val="false"/>
          <w:iCs w:val="false"/>
          <w:color w:val="333333"/>
          <w:sz w:val="20"/>
          <w:szCs w:val="20"/>
        </w:rPr>
        <w:t>4834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المجموع شرح المهذب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مسائل الناصريات ـ كتاب الفرائض ـ المسألة التسعون والمائة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الخلاف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المسألة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المغني والشرح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المسألة </w:t>
      </w:r>
      <w:r>
        <w:rPr>
          <w:rFonts w:eastAsia="IRNazanin" w:cs="IRNazanin"/>
          <w:b w:val="false"/>
          <w:bCs w:val="false"/>
          <w:i w:val="false"/>
          <w:iCs w:val="false"/>
          <w:color w:val="333333"/>
          <w:sz w:val="20"/>
          <w:szCs w:val="20"/>
        </w:rPr>
        <w:t>4834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المحلى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وغنية النزوع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المجموع شرح التهذيب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المغني والشرح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المغني والشرح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المبسوط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بيان العلم وفضله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العتب الجميل على أهل 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وغنية النزوع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 الرجاليين ذكروا في ترجمته أنه ولد في زمان عمر لست سنين خلت من خلافته على المشهور، ومات سنة ثلاث ومائة، وسنّه تسع وسبعون سنة،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أربع ومائة، وبلغ اثنتين وثمانين سنة، وقيل غير ذلك لاحظ تهذيب الكمال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ويؤيد ذلك ما رواه ابن هلال الثقفي في كتاب الغارات بسنده عن يزيد بن عبد الرحمن عن الشعبي،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الرحبة وأنا غلام في غلمان، فإذا أنا بأمير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صبرتين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وفضة، ومعه مخفقة، فجعل يطرد الناس بمخفقته ثم يرجع إلى المال فيقسمه بين الناس، حتى لم يبق منه شيء، ورجع لم يحمل إلى بيته منه شيئاً، فرجعت إلى أبي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رأيت اليوم خير الناس أو أحمق الناس،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هو يا بني؟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أمير المؤمنين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فقصصت عليه الذي رأيته يصنع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فبكى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خير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كتاب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وغنية النزوع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الجرح والتعديل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الغدير في الكتاب والسنة والأدب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مغني المحتاج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المبسوط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تهذيب الأحكام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إبطال العول والعصبة،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الفروع من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باب نادر،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الأوائل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المبسوط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المبسوط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المبسوط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المبسوط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المبسوط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المبسوط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النساء، الآيتان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الأخوة والأجداد،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الأخوة والأجداد،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الخلاف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المسألة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مفتاح الكرامة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الأخوة والأجداد،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الأخوة والأجداد، الحديثان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الخلاف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المسألة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الخلاف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المسألة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المسألة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نيل الأوطار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المغني والشرح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المحلى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شرح نهج البلاغة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الفروع من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ميراث الولد مع الأبوين،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تهذيب الأحكام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ميراث الوالدين مع الأخوة والأخوات،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وباب ميراث من علا من الآباء وهبط من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الأخوة والأجداد،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الأخوة والأجداد،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الأخوة والأجداد،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الأخوة والأجداد،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الأخوة والأجداد،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لاحظ تفاصيل ذلك في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الانتصار المسألة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الخلاف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المسألة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المجموع شرح المهذب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بداية المجتهد ونهاية المقتصد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الانتصار المسألة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الخلاف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المسألة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مغني المحتاج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المبسوط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المجموع شرح المهذب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الأخوة والأجداد،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الأخوة والأجداد،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الأخوة والأجداد،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الأصول من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العشرة، باب التسليم،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أحاديث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جامع أحاديث الشيعة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كيفية التسليم وبيان صيغه،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في تسليم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الصبيان، الحديث</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ق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أحاديث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معانقة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ثواب الأعمال ـ باب زيارة الإخوان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الأصول من 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كتاب الإيمان والكفر ـ باب المصافحة، الحديث</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كامل الزيارات ـ الباب الخامس والأربعون ـ ثواب من زار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خوف، الحديث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كامل الزيارات ـ الباب الخامس والأربعون ـ ثواب من زار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خوف ،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كامل الزيارات ـ الباب الخامس والأربعون ـ ثواب من زار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خوف، الحديث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كامل الزيارات ـ الباب الخامس والأربعون ـ ثواب من زار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خوف، الحديث</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كامل الزيارات ـ الباب الخامس والأربعون ـ ثواب من زار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خوف، الحديث</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كامل الزيارات ـ الباب الثامن والتسعون ـ أقل ما يزار فيه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بهذا المضمون أحاديث أخرى لاحظ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كامل الزيارات ـ الباب الثامن والتسعون ـ أقل ما يزار فيه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أحاديث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التقية مع الخوف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وما يناسبهما،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footer" Target="footer465.xml"/><Relationship Id="rId473" Type="http://schemas.openxmlformats.org/officeDocument/2006/relationships/footer" Target="footer466.xml"/><Relationship Id="rId474" Type="http://schemas.openxmlformats.org/officeDocument/2006/relationships/footer" Target="footer467.xml"/><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footer" Target="footer473.xml"/><Relationship Id="rId481" Type="http://schemas.openxmlformats.org/officeDocument/2006/relationships/footer" Target="footer474.xml"/><Relationship Id="rId482" Type="http://schemas.openxmlformats.org/officeDocument/2006/relationships/footer" Target="footer475.xml"/><Relationship Id="rId483" Type="http://schemas.openxmlformats.org/officeDocument/2006/relationships/footer" Target="footer476.xml"/><Relationship Id="rId484" Type="http://schemas.openxmlformats.org/officeDocument/2006/relationships/footer" Target="footer477.xml"/><Relationship Id="rId485" Type="http://schemas.openxmlformats.org/officeDocument/2006/relationships/footer" Target="footer478.xml"/><Relationship Id="rId486" Type="http://schemas.openxmlformats.org/officeDocument/2006/relationships/footer" Target="footer479.xml"/><Relationship Id="rId487" Type="http://schemas.openxmlformats.org/officeDocument/2006/relationships/footer" Target="footer480.xml"/><Relationship Id="rId488" Type="http://schemas.openxmlformats.org/officeDocument/2006/relationships/footer" Target="footer481.xml"/><Relationship Id="rId489" Type="http://schemas.openxmlformats.org/officeDocument/2006/relationships/footer" Target="footer482.xml"/><Relationship Id="rId490" Type="http://schemas.openxmlformats.org/officeDocument/2006/relationships/footer" Target="footer483.xml"/><Relationship Id="rId491" Type="http://schemas.openxmlformats.org/officeDocument/2006/relationships/footer" Target="footer484.xml"/><Relationship Id="rId492" Type="http://schemas.openxmlformats.org/officeDocument/2006/relationships/footer" Target="footer485.xml"/><Relationship Id="rId493" Type="http://schemas.openxmlformats.org/officeDocument/2006/relationships/footer" Target="footer486.xml"/><Relationship Id="rId494" Type="http://schemas.openxmlformats.org/officeDocument/2006/relationships/footer" Target="footer487.xml"/><Relationship Id="rId495" Type="http://schemas.openxmlformats.org/officeDocument/2006/relationships/footer" Target="footer488.xml"/><Relationship Id="rId496" Type="http://schemas.openxmlformats.org/officeDocument/2006/relationships/footer" Target="footer489.xml"/><Relationship Id="rId497" Type="http://schemas.openxmlformats.org/officeDocument/2006/relationships/footer" Target="footer490.xml"/><Relationship Id="rId498" Type="http://schemas.openxmlformats.org/officeDocument/2006/relationships/footer" Target="footer491.xml"/><Relationship Id="rId499" Type="http://schemas.openxmlformats.org/officeDocument/2006/relationships/footer" Target="footer492.xml"/><Relationship Id="rId500" Type="http://schemas.openxmlformats.org/officeDocument/2006/relationships/footer" Target="footer493.xml"/><Relationship Id="rId501" Type="http://schemas.openxmlformats.org/officeDocument/2006/relationships/footer" Target="footer494.xml"/><Relationship Id="rId502" Type="http://schemas.openxmlformats.org/officeDocument/2006/relationships/footer" Target="footer495.xml"/><Relationship Id="rId503" Type="http://schemas.openxmlformats.org/officeDocument/2006/relationships/footer" Target="footer496.xml"/><Relationship Id="rId504" Type="http://schemas.openxmlformats.org/officeDocument/2006/relationships/footer" Target="footer497.xml"/><Relationship Id="rId505" Type="http://schemas.openxmlformats.org/officeDocument/2006/relationships/footer" Target="footer498.xml"/><Relationship Id="rId506" Type="http://schemas.openxmlformats.org/officeDocument/2006/relationships/footer" Target="footer499.xml"/><Relationship Id="rId507" Type="http://schemas.openxmlformats.org/officeDocument/2006/relationships/footer" Target="footer500.xml"/><Relationship Id="rId508" Type="http://schemas.openxmlformats.org/officeDocument/2006/relationships/footer" Target="footer501.xml"/><Relationship Id="rId509" Type="http://schemas.openxmlformats.org/officeDocument/2006/relationships/footer" Target="footer502.xml"/><Relationship Id="rId510" Type="http://schemas.openxmlformats.org/officeDocument/2006/relationships/footer" Target="footer503.xml"/><Relationship Id="rId511" Type="http://schemas.openxmlformats.org/officeDocument/2006/relationships/footer" Target="footer504.xml"/><Relationship Id="rId512" Type="http://schemas.openxmlformats.org/officeDocument/2006/relationships/footer" Target="footer505.xml"/><Relationship Id="rId513" Type="http://schemas.openxmlformats.org/officeDocument/2006/relationships/footer" Target="footer506.xml"/><Relationship Id="rId514" Type="http://schemas.openxmlformats.org/officeDocument/2006/relationships/footer" Target="footer507.xml"/><Relationship Id="rId515" Type="http://schemas.openxmlformats.org/officeDocument/2006/relationships/footer" Target="footer508.xml"/><Relationship Id="rId516" Type="http://schemas.openxmlformats.org/officeDocument/2006/relationships/footer" Target="footer509.xml"/><Relationship Id="rId517" Type="http://schemas.openxmlformats.org/officeDocument/2006/relationships/footer" Target="footer510.xml"/><Relationship Id="rId518" Type="http://schemas.openxmlformats.org/officeDocument/2006/relationships/footer" Target="footer511.xml"/><Relationship Id="rId519" Type="http://schemas.openxmlformats.org/officeDocument/2006/relationships/footer" Target="footer512.xml"/><Relationship Id="rId520" Type="http://schemas.openxmlformats.org/officeDocument/2006/relationships/footer" Target="footer513.xml"/><Relationship Id="rId521" Type="http://schemas.openxmlformats.org/officeDocument/2006/relationships/footer" Target="footer514.xml"/><Relationship Id="rId522" Type="http://schemas.openxmlformats.org/officeDocument/2006/relationships/footer" Target="footer515.xml"/><Relationship Id="rId523" Type="http://schemas.openxmlformats.org/officeDocument/2006/relationships/footer" Target="footer516.xml"/><Relationship Id="rId524" Type="http://schemas.openxmlformats.org/officeDocument/2006/relationships/footer" Target="footer517.xml"/><Relationship Id="rId525" Type="http://schemas.openxmlformats.org/officeDocument/2006/relationships/footer" Target="footer518.xml"/><Relationship Id="rId526" Type="http://schemas.openxmlformats.org/officeDocument/2006/relationships/footer" Target="footer519.xml"/><Relationship Id="rId527" Type="http://schemas.openxmlformats.org/officeDocument/2006/relationships/footer" Target="footer520.xml"/><Relationship Id="rId528" Type="http://schemas.openxmlformats.org/officeDocument/2006/relationships/footer" Target="footer521.xml"/><Relationship Id="rId529" Type="http://schemas.openxmlformats.org/officeDocument/2006/relationships/footer" Target="footer522.xml"/><Relationship Id="rId530" Type="http://schemas.openxmlformats.org/officeDocument/2006/relationships/footer" Target="footer523.xml"/><Relationship Id="rId531" Type="http://schemas.openxmlformats.org/officeDocument/2006/relationships/footer" Target="footer524.xml"/><Relationship Id="rId532" Type="http://schemas.openxmlformats.org/officeDocument/2006/relationships/footer" Target="footer525.xml"/><Relationship Id="rId533" Type="http://schemas.openxmlformats.org/officeDocument/2006/relationships/footer" Target="footer526.xml"/><Relationship Id="rId534" Type="http://schemas.openxmlformats.org/officeDocument/2006/relationships/footer" Target="footer527.xml"/><Relationship Id="rId535" Type="http://schemas.openxmlformats.org/officeDocument/2006/relationships/footer" Target="footer528.xml"/><Relationship Id="rId536" Type="http://schemas.openxmlformats.org/officeDocument/2006/relationships/footer" Target="footer529.xml"/><Relationship Id="rId537" Type="http://schemas.openxmlformats.org/officeDocument/2006/relationships/footer" Target="footer530.xml"/><Relationship Id="rId538" Type="http://schemas.openxmlformats.org/officeDocument/2006/relationships/footer" Target="footer531.xml"/><Relationship Id="rId539" Type="http://schemas.openxmlformats.org/officeDocument/2006/relationships/footer" Target="footer532.xml"/><Relationship Id="rId540" Type="http://schemas.openxmlformats.org/officeDocument/2006/relationships/footer" Target="footer533.xml"/><Relationship Id="rId541" Type="http://schemas.openxmlformats.org/officeDocument/2006/relationships/footer" Target="footer534.xml"/><Relationship Id="rId542" Type="http://schemas.openxmlformats.org/officeDocument/2006/relationships/footer" Target="footer535.xml"/><Relationship Id="rId543" Type="http://schemas.openxmlformats.org/officeDocument/2006/relationships/footer" Target="footer536.xml"/><Relationship Id="rId544" Type="http://schemas.openxmlformats.org/officeDocument/2006/relationships/footer" Target="footer537.xml"/><Relationship Id="rId545" Type="http://schemas.openxmlformats.org/officeDocument/2006/relationships/footer" Target="footer538.xml"/><Relationship Id="rId546" Type="http://schemas.openxmlformats.org/officeDocument/2006/relationships/footer" Target="footer539.xml"/><Relationship Id="rId547" Type="http://schemas.openxmlformats.org/officeDocument/2006/relationships/footer" Target="footer540.xml"/><Relationship Id="rId548" Type="http://schemas.openxmlformats.org/officeDocument/2006/relationships/footer" Target="footer541.xml"/><Relationship Id="rId549" Type="http://schemas.openxmlformats.org/officeDocument/2006/relationships/footer" Target="footer542.xml"/><Relationship Id="rId550" Type="http://schemas.openxmlformats.org/officeDocument/2006/relationships/footer" Target="footer543.xml"/><Relationship Id="rId551" Type="http://schemas.openxmlformats.org/officeDocument/2006/relationships/footer" Target="footer544.xml"/><Relationship Id="rId552" Type="http://schemas.openxmlformats.org/officeDocument/2006/relationships/footer" Target="footer545.xml"/><Relationship Id="rId553" Type="http://schemas.openxmlformats.org/officeDocument/2006/relationships/footer" Target="footer546.xml"/><Relationship Id="rId554" Type="http://schemas.openxmlformats.org/officeDocument/2006/relationships/footer" Target="footer547.xml"/><Relationship Id="rId555" Type="http://schemas.openxmlformats.org/officeDocument/2006/relationships/footer" Target="footer548.xml"/><Relationship Id="rId556" Type="http://schemas.openxmlformats.org/officeDocument/2006/relationships/footer" Target="footer549.xml"/><Relationship Id="rId557" Type="http://schemas.openxmlformats.org/officeDocument/2006/relationships/footer" Target="footer550.xml"/><Relationship Id="rId558" Type="http://schemas.openxmlformats.org/officeDocument/2006/relationships/footer" Target="footer551.xml"/><Relationship Id="rId559" Type="http://schemas.openxmlformats.org/officeDocument/2006/relationships/footer" Target="footer552.xml"/><Relationship Id="rId560" Type="http://schemas.openxmlformats.org/officeDocument/2006/relationships/footer" Target="footer553.xml"/><Relationship Id="rId561" Type="http://schemas.openxmlformats.org/officeDocument/2006/relationships/footer" Target="footer554.xml"/><Relationship Id="rId562" Type="http://schemas.openxmlformats.org/officeDocument/2006/relationships/footer" Target="footer555.xml"/><Relationship Id="rId563" Type="http://schemas.openxmlformats.org/officeDocument/2006/relationships/footer" Target="footer556.xml"/><Relationship Id="rId564" Type="http://schemas.openxmlformats.org/officeDocument/2006/relationships/footer" Target="footer557.xml"/><Relationship Id="rId565" Type="http://schemas.openxmlformats.org/officeDocument/2006/relationships/footer" Target="footer558.xml"/><Relationship Id="rId566" Type="http://schemas.openxmlformats.org/officeDocument/2006/relationships/footer" Target="footer559.xml"/><Relationship Id="rId567" Type="http://schemas.openxmlformats.org/officeDocument/2006/relationships/footer" Target="footer560.xml"/><Relationship Id="rId568" Type="http://schemas.openxmlformats.org/officeDocument/2006/relationships/footer" Target="footer561.xml"/><Relationship Id="rId569" Type="http://schemas.openxmlformats.org/officeDocument/2006/relationships/footer" Target="footer562.xml"/><Relationship Id="rId570" Type="http://schemas.openxmlformats.org/officeDocument/2006/relationships/footer" Target="footer563.xml"/><Relationship Id="rId571" Type="http://schemas.openxmlformats.org/officeDocument/2006/relationships/footer" Target="footer564.xml"/><Relationship Id="rId572" Type="http://schemas.openxmlformats.org/officeDocument/2006/relationships/footer" Target="footer565.xml"/><Relationship Id="rId573" Type="http://schemas.openxmlformats.org/officeDocument/2006/relationships/footer" Target="footer566.xml"/><Relationship Id="rId574" Type="http://schemas.openxmlformats.org/officeDocument/2006/relationships/footer" Target="footer567.xml"/><Relationship Id="rId575" Type="http://schemas.openxmlformats.org/officeDocument/2006/relationships/footer" Target="footer568.xml"/><Relationship Id="rId576" Type="http://schemas.openxmlformats.org/officeDocument/2006/relationships/footer" Target="footer569.xml"/><Relationship Id="rId577" Type="http://schemas.openxmlformats.org/officeDocument/2006/relationships/footer" Target="footer570.xml"/><Relationship Id="rId578" Type="http://schemas.openxmlformats.org/officeDocument/2006/relationships/footer" Target="footer571.xml"/><Relationship Id="rId579" Type="http://schemas.openxmlformats.org/officeDocument/2006/relationships/footer" Target="footer572.xml"/><Relationship Id="rId580" Type="http://schemas.openxmlformats.org/officeDocument/2006/relationships/footer" Target="footer573.xml"/><Relationship Id="rId581" Type="http://schemas.openxmlformats.org/officeDocument/2006/relationships/footer" Target="footer574.xml"/><Relationship Id="rId582" Type="http://schemas.openxmlformats.org/officeDocument/2006/relationships/footer" Target="footer575.xml"/><Relationship Id="rId583" Type="http://schemas.openxmlformats.org/officeDocument/2006/relationships/footer" Target="footer576.xml"/><Relationship Id="rId584" Type="http://schemas.openxmlformats.org/officeDocument/2006/relationships/footer" Target="footer577.xml"/><Relationship Id="rId585" Type="http://schemas.openxmlformats.org/officeDocument/2006/relationships/footer" Target="footer578.xml"/><Relationship Id="rId586" Type="http://schemas.openxmlformats.org/officeDocument/2006/relationships/footer" Target="footer579.xml"/><Relationship Id="rId587" Type="http://schemas.openxmlformats.org/officeDocument/2006/relationships/footer" Target="footer580.xml"/><Relationship Id="rId588" Type="http://schemas.openxmlformats.org/officeDocument/2006/relationships/footer" Target="footer581.xml"/><Relationship Id="rId589" Type="http://schemas.openxmlformats.org/officeDocument/2006/relationships/footer" Target="footer582.xml"/><Relationship Id="rId590" Type="http://schemas.openxmlformats.org/officeDocument/2006/relationships/footer" Target="footer583.xml"/><Relationship Id="rId591" Type="http://schemas.openxmlformats.org/officeDocument/2006/relationships/footer" Target="footer584.xml"/><Relationship Id="rId592" Type="http://schemas.openxmlformats.org/officeDocument/2006/relationships/footer" Target="footer585.xml"/><Relationship Id="rId593" Type="http://schemas.openxmlformats.org/officeDocument/2006/relationships/footer" Target="footer586.xml"/><Relationship Id="rId594" Type="http://schemas.openxmlformats.org/officeDocument/2006/relationships/footer" Target="footer587.xml"/><Relationship Id="rId595" Type="http://schemas.openxmlformats.org/officeDocument/2006/relationships/footer" Target="footer588.xml"/><Relationship Id="rId596" Type="http://schemas.openxmlformats.org/officeDocument/2006/relationships/footer" Target="footer589.xml"/><Relationship Id="rId597" Type="http://schemas.openxmlformats.org/officeDocument/2006/relationships/footer" Target="footer590.xml"/><Relationship Id="rId598" Type="http://schemas.openxmlformats.org/officeDocument/2006/relationships/footer" Target="footer591.xml"/><Relationship Id="rId599" Type="http://schemas.openxmlformats.org/officeDocument/2006/relationships/footer" Target="footer592.xml"/><Relationship Id="rId600" Type="http://schemas.openxmlformats.org/officeDocument/2006/relationships/image" Target="media/image2.jpeg"/><Relationship Id="rId601" Type="http://schemas.openxmlformats.org/officeDocument/2006/relationships/image" Target="media/image2.jpeg"/><Relationship Id="rId602" Type="http://schemas.openxmlformats.org/officeDocument/2006/relationships/footer" Target="footer593.xml"/><Relationship Id="rId603" Type="http://schemas.openxmlformats.org/officeDocument/2006/relationships/footnotes" Target="footnotes.xml"/><Relationship Id="rId604" Type="http://schemas.openxmlformats.org/officeDocument/2006/relationships/numbering" Target="numbering.xml"/><Relationship Id="rId605" Type="http://schemas.openxmlformats.org/officeDocument/2006/relationships/fontTable" Target="fontTable.xml"/><Relationship Id="rId606" Type="http://schemas.openxmlformats.org/officeDocument/2006/relationships/settings" Target="settings.xml"/><Relationship Id="rId6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599</Pages>
  <Words>141735</Words>
  <Characters>601158</Characters>
  <CharactersWithSpaces>738867</CharactersWithSpaces>
  <Paragraphs>6718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2026-08-25T12:54:58Z</dcterms:created>
  <dc:creator>ghaemiyeh.com</dc:creator>
  <dc:description/>
  <dc:language>en-US</dc:language>
  <cp:lastModifiedBy/>
  <dcterms:modified xsi:type="dcterms:W3CDTF">2026-08-25T16:25:27Z</dcterms:modified>
  <cp:revision>1</cp:revision>
  <dc:subject/>
  <dc:title>التقیة فی فقه أهل البیت علیهم السلام جلد 3</dc:title>
</cp:coreProperties>
</file>

<file path=docProps/custom.xml><?xml version="1.0" encoding="utf-8"?>
<Properties xmlns="http://schemas.openxmlformats.org/officeDocument/2006/custom-properties" xmlns:vt="http://schemas.openxmlformats.org/officeDocument/2006/docPropsVTypes"/>
</file>