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مطارح الأنظار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8128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418130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18132_1280447820">
            <w:r>
              <w:rPr>
                <w:webHidden/>
                <w:rStyle w:val="IndexLink"/>
                <w:rtl w:val="true"/>
              </w:rPr>
              <w:t xml:space="preserve">كلمة المجمع </w:t>
            </w:r>
            <w:r>
              <w:rPr>
                <w:rStyle w:val="IndexLink"/>
                <w:rtl w:val="true"/>
              </w:rPr>
              <w:t>:</w:t>
              <w:tab/>
            </w:r>
            <w:r>
              <w:rPr>
                <w:rStyle w:val="IndexLink"/>
              </w:rPr>
              <w:t>13</w:t>
            </w:r>
          </w:hyperlink>
        </w:p>
        <w:p>
          <w:pPr>
            <w:pStyle w:val="Contents2"/>
            <w:tabs>
              <w:tab w:val="clear" w:pos="8743"/>
              <w:tab w:val="right" w:pos="9026" w:leader="dot"/>
            </w:tabs>
            <w:rPr/>
          </w:pPr>
          <w:hyperlink w:anchor="__RefHeading___Toc4418134_1280447820">
            <w:r>
              <w:rPr>
                <w:webHidden/>
                <w:rStyle w:val="IndexLink"/>
                <w:rtl w:val="true"/>
              </w:rPr>
              <w:t xml:space="preserve">مقدّمة التحقيق </w:t>
            </w:r>
            <w:r>
              <w:rPr>
                <w:rStyle w:val="IndexLink"/>
                <w:rtl w:val="true"/>
              </w:rPr>
              <w:t>:</w:t>
              <w:tab/>
            </w:r>
            <w:r>
              <w:rPr>
                <w:rStyle w:val="IndexLink"/>
              </w:rPr>
              <w:t>15</w:t>
            </w:r>
          </w:hyperlink>
        </w:p>
        <w:p>
          <w:pPr>
            <w:pStyle w:val="Contents3"/>
            <w:tabs>
              <w:tab w:val="clear" w:pos="8459"/>
              <w:tab w:val="right" w:pos="9026" w:leader="dot"/>
            </w:tabs>
            <w:rPr/>
          </w:pPr>
          <w:hyperlink w:anchor="__RefHeading___Toc4418136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418138_1280447820">
            <w:r>
              <w:rPr>
                <w:webHidden/>
                <w:rStyle w:val="IndexLink"/>
                <w:rtl w:val="true"/>
              </w:rPr>
              <w:t>نبذة من حياة المؤلف</w:t>
            </w:r>
            <w:r>
              <w:rPr>
                <w:rStyle w:val="IndexLink"/>
                <w:rtl w:val="true"/>
              </w:rPr>
              <w:tab/>
            </w:r>
            <w:r>
              <w:rPr>
                <w:rStyle w:val="IndexLink"/>
              </w:rPr>
              <w:t>15</w:t>
            </w:r>
          </w:hyperlink>
        </w:p>
        <w:p>
          <w:pPr>
            <w:pStyle w:val="Contents4"/>
            <w:tabs>
              <w:tab w:val="clear" w:pos="8176"/>
              <w:tab w:val="right" w:pos="9026" w:leader="dot"/>
            </w:tabs>
            <w:rPr/>
          </w:pPr>
          <w:hyperlink w:anchor="__RefHeading___Toc4418140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418142_1280447820">
            <w:r>
              <w:rPr>
                <w:webHidden/>
                <w:rStyle w:val="IndexLink"/>
                <w:rtl w:val="true"/>
              </w:rPr>
              <w:t xml:space="preserve">ولادته </w:t>
            </w:r>
            <w:r>
              <w:rPr>
                <w:rStyle w:val="IndexLink"/>
                <w:rtl w:val="true"/>
              </w:rPr>
              <w:t>:</w:t>
              <w:tab/>
            </w:r>
            <w:r>
              <w:rPr>
                <w:rStyle w:val="IndexLink"/>
              </w:rPr>
              <w:t>16</w:t>
            </w:r>
          </w:hyperlink>
        </w:p>
        <w:p>
          <w:pPr>
            <w:pStyle w:val="Contents4"/>
            <w:tabs>
              <w:tab w:val="clear" w:pos="8176"/>
              <w:tab w:val="right" w:pos="9026" w:leader="dot"/>
            </w:tabs>
            <w:rPr/>
          </w:pPr>
          <w:hyperlink w:anchor="__RefHeading___Toc4418144_1280447820">
            <w:r>
              <w:rPr>
                <w:webHidden/>
                <w:rStyle w:val="IndexLink"/>
                <w:rtl w:val="true"/>
              </w:rPr>
              <w:t xml:space="preserve">أسرته </w:t>
            </w:r>
            <w:r>
              <w:rPr>
                <w:rStyle w:val="IndexLink"/>
                <w:rtl w:val="true"/>
              </w:rPr>
              <w:t>:</w:t>
              <w:tab/>
            </w:r>
            <w:r>
              <w:rPr>
                <w:rStyle w:val="IndexLink"/>
              </w:rPr>
              <w:t>16</w:t>
            </w:r>
          </w:hyperlink>
        </w:p>
        <w:p>
          <w:pPr>
            <w:pStyle w:val="Contents4"/>
            <w:tabs>
              <w:tab w:val="clear" w:pos="8176"/>
              <w:tab w:val="right" w:pos="9026" w:leader="dot"/>
            </w:tabs>
            <w:rPr/>
          </w:pPr>
          <w:hyperlink w:anchor="__RefHeading___Toc4418146_1280447820">
            <w:r>
              <w:rPr>
                <w:webHidden/>
                <w:rStyle w:val="IndexLink"/>
                <w:rtl w:val="true"/>
              </w:rPr>
              <w:t xml:space="preserve">وفاته </w:t>
            </w:r>
            <w:r>
              <w:rPr>
                <w:rStyle w:val="IndexLink"/>
                <w:rtl w:val="true"/>
              </w:rPr>
              <w:t>:</w:t>
              <w:tab/>
            </w:r>
            <w:r>
              <w:rPr>
                <w:rStyle w:val="IndexLink"/>
              </w:rPr>
              <w:t>17</w:t>
            </w:r>
          </w:hyperlink>
        </w:p>
        <w:p>
          <w:pPr>
            <w:pStyle w:val="Contents4"/>
            <w:tabs>
              <w:tab w:val="clear" w:pos="8176"/>
              <w:tab w:val="right" w:pos="9026" w:leader="dot"/>
            </w:tabs>
            <w:rPr/>
          </w:pPr>
          <w:hyperlink w:anchor="__RefHeading___Toc4418148_1280447820">
            <w:r>
              <w:rPr>
                <w:webHidden/>
                <w:rStyle w:val="IndexLink"/>
                <w:rtl w:val="true"/>
              </w:rPr>
              <w:t xml:space="preserve">حياته العلمية </w:t>
            </w:r>
            <w:r>
              <w:rPr>
                <w:rStyle w:val="IndexLink"/>
                <w:rtl w:val="true"/>
              </w:rPr>
              <w:t>:</w:t>
              <w:tab/>
            </w:r>
            <w:r>
              <w:rPr>
                <w:rStyle w:val="IndexLink"/>
              </w:rPr>
              <w:t>18</w:t>
            </w:r>
          </w:hyperlink>
        </w:p>
        <w:p>
          <w:pPr>
            <w:pStyle w:val="Contents4"/>
            <w:tabs>
              <w:tab w:val="clear" w:pos="8176"/>
              <w:tab w:val="right" w:pos="9026" w:leader="dot"/>
            </w:tabs>
            <w:rPr/>
          </w:pPr>
          <w:hyperlink w:anchor="__RefHeading___Toc4418150_1280447820">
            <w:r>
              <w:rPr>
                <w:webHidden/>
                <w:rStyle w:val="IndexLink"/>
                <w:rtl w:val="true"/>
              </w:rPr>
              <w:t xml:space="preserve">تلامذته </w:t>
            </w:r>
            <w:r>
              <w:rPr>
                <w:rStyle w:val="IndexLink"/>
                <w:rtl w:val="true"/>
              </w:rPr>
              <w:t>:</w:t>
              <w:tab/>
            </w:r>
            <w:r>
              <w:rPr>
                <w:rStyle w:val="IndexLink"/>
              </w:rPr>
              <w:t>19</w:t>
            </w:r>
          </w:hyperlink>
        </w:p>
        <w:p>
          <w:pPr>
            <w:pStyle w:val="Contents4"/>
            <w:tabs>
              <w:tab w:val="clear" w:pos="8176"/>
              <w:tab w:val="right" w:pos="9026" w:leader="dot"/>
            </w:tabs>
            <w:rPr/>
          </w:pPr>
          <w:hyperlink w:anchor="__RefHeading___Toc4418152_1280447820">
            <w:r>
              <w:rPr>
                <w:webHidden/>
                <w:rStyle w:val="IndexLink"/>
                <w:rtl w:val="true"/>
              </w:rPr>
              <w:t xml:space="preserve">مؤلّفاته </w:t>
            </w:r>
            <w:r>
              <w:rPr>
                <w:rStyle w:val="IndexLink"/>
                <w:rtl w:val="true"/>
              </w:rPr>
              <w:t>:</w:t>
              <w:tab/>
            </w:r>
            <w:r>
              <w:rPr>
                <w:rStyle w:val="IndexLink"/>
              </w:rPr>
              <w:t>20</w:t>
            </w:r>
          </w:hyperlink>
        </w:p>
        <w:p>
          <w:pPr>
            <w:pStyle w:val="Contents5"/>
            <w:tabs>
              <w:tab w:val="clear" w:pos="7892"/>
              <w:tab w:val="right" w:pos="9026" w:leader="dot"/>
            </w:tabs>
            <w:rPr/>
          </w:pPr>
          <w:hyperlink w:anchor="__RefHeading___Toc4418154_1280447820">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4418156_1280447820">
            <w:r>
              <w:rPr>
                <w:webHidden/>
                <w:rStyle w:val="IndexLink"/>
              </w:rPr>
              <w:t>1</w:t>
            </w:r>
            <w:r>
              <w:rPr>
                <w:rStyle w:val="IndexLink"/>
                <w:rtl w:val="true"/>
              </w:rPr>
              <w:t xml:space="preserve"> - </w:t>
            </w:r>
            <w:r>
              <w:rPr>
                <w:rStyle w:val="IndexLink"/>
                <w:rtl w:val="true"/>
              </w:rPr>
              <w:t xml:space="preserve">التقريرات في الفقه </w:t>
            </w:r>
            <w:r>
              <w:rPr>
                <w:rStyle w:val="IndexLink"/>
                <w:rtl w:val="true"/>
              </w:rPr>
              <w:t>:</w:t>
              <w:tab/>
            </w:r>
            <w:r>
              <w:rPr>
                <w:rStyle w:val="IndexLink"/>
              </w:rPr>
              <w:t>20</w:t>
            </w:r>
          </w:hyperlink>
        </w:p>
        <w:p>
          <w:pPr>
            <w:pStyle w:val="Contents5"/>
            <w:tabs>
              <w:tab w:val="clear" w:pos="7892"/>
              <w:tab w:val="right" w:pos="9026" w:leader="dot"/>
            </w:tabs>
            <w:rPr/>
          </w:pPr>
          <w:hyperlink w:anchor="__RefHeading___Toc4418158_1280447820">
            <w:r>
              <w:rPr>
                <w:webHidden/>
                <w:rStyle w:val="IndexLink"/>
              </w:rPr>
              <w:t>2</w:t>
            </w:r>
            <w:r>
              <w:rPr>
                <w:rStyle w:val="IndexLink"/>
                <w:rtl w:val="true"/>
              </w:rPr>
              <w:t xml:space="preserve"> - </w:t>
            </w:r>
            <w:r>
              <w:rPr>
                <w:rStyle w:val="IndexLink"/>
                <w:rtl w:val="true"/>
              </w:rPr>
              <w:t xml:space="preserve">التقريرات في اصول الفقه </w:t>
            </w:r>
            <w:r>
              <w:rPr>
                <w:rStyle w:val="IndexLink"/>
                <w:rtl w:val="true"/>
              </w:rPr>
              <w:t>:</w:t>
              <w:tab/>
            </w:r>
            <w:r>
              <w:rPr>
                <w:rStyle w:val="IndexLink"/>
              </w:rPr>
              <w:t>20</w:t>
            </w:r>
          </w:hyperlink>
        </w:p>
        <w:p>
          <w:pPr>
            <w:pStyle w:val="Contents5"/>
            <w:tabs>
              <w:tab w:val="clear" w:pos="7892"/>
              <w:tab w:val="right" w:pos="9026" w:leader="dot"/>
            </w:tabs>
            <w:rPr/>
          </w:pPr>
          <w:hyperlink w:anchor="__RefHeading___Toc4418160_1280447820">
            <w:r>
              <w:rPr>
                <w:webHidden/>
                <w:rStyle w:val="IndexLink"/>
              </w:rPr>
              <w:t>3</w:t>
            </w:r>
            <w:r>
              <w:rPr>
                <w:rStyle w:val="IndexLink"/>
                <w:rtl w:val="true"/>
              </w:rPr>
              <w:t xml:space="preserve"> - </w:t>
            </w:r>
            <w:r>
              <w:rPr>
                <w:rStyle w:val="IndexLink"/>
                <w:rtl w:val="true"/>
              </w:rPr>
              <w:t xml:space="preserve">رسالة في بعض فروع الإرث </w:t>
            </w:r>
            <w:r>
              <w:rPr>
                <w:rStyle w:val="IndexLink"/>
                <w:rtl w:val="true"/>
              </w:rPr>
              <w:t>:</w:t>
              <w:tab/>
            </w:r>
            <w:r>
              <w:rPr>
                <w:rStyle w:val="IndexLink"/>
              </w:rPr>
              <w:t>21</w:t>
            </w:r>
          </w:hyperlink>
        </w:p>
        <w:p>
          <w:pPr>
            <w:pStyle w:val="Contents5"/>
            <w:tabs>
              <w:tab w:val="clear" w:pos="7892"/>
              <w:tab w:val="right" w:pos="9026" w:leader="dot"/>
            </w:tabs>
            <w:rPr/>
          </w:pPr>
          <w:hyperlink w:anchor="__RefHeading___Toc4418162_1280447820">
            <w:r>
              <w:rPr>
                <w:webHidden/>
                <w:rStyle w:val="IndexLink"/>
              </w:rPr>
              <w:t>4</w:t>
            </w:r>
            <w:r>
              <w:rPr>
                <w:rStyle w:val="IndexLink"/>
                <w:rtl w:val="true"/>
              </w:rPr>
              <w:t xml:space="preserve"> - </w:t>
            </w:r>
            <w:r>
              <w:rPr>
                <w:rStyle w:val="IndexLink"/>
                <w:rtl w:val="true"/>
              </w:rPr>
              <w:t xml:space="preserve">رسالة في المشتقّ </w:t>
            </w:r>
            <w:r>
              <w:rPr>
                <w:rStyle w:val="IndexLink"/>
                <w:rtl w:val="true"/>
              </w:rPr>
              <w:t>:</w:t>
              <w:tab/>
            </w:r>
            <w:r>
              <w:rPr>
                <w:rStyle w:val="IndexLink"/>
              </w:rPr>
              <w:t>21</w:t>
            </w:r>
          </w:hyperlink>
        </w:p>
        <w:p>
          <w:pPr>
            <w:pStyle w:val="Contents5"/>
            <w:tabs>
              <w:tab w:val="clear" w:pos="7892"/>
              <w:tab w:val="right" w:pos="9026" w:leader="dot"/>
            </w:tabs>
            <w:rPr/>
          </w:pPr>
          <w:hyperlink w:anchor="__RefHeading___Toc4418164_1280447820">
            <w:r>
              <w:rPr>
                <w:webHidden/>
                <w:rStyle w:val="IndexLink"/>
              </w:rPr>
              <w:t>5</w:t>
            </w:r>
            <w:r>
              <w:rPr>
                <w:rStyle w:val="IndexLink"/>
                <w:rtl w:val="true"/>
              </w:rPr>
              <w:t xml:space="preserve"> - </w:t>
            </w:r>
            <w:r>
              <w:rPr>
                <w:rStyle w:val="IndexLink"/>
                <w:rtl w:val="true"/>
              </w:rPr>
              <w:t xml:space="preserve">مطارح الأنظار </w:t>
            </w:r>
            <w:r>
              <w:rPr>
                <w:rStyle w:val="IndexLink"/>
                <w:rtl w:val="true"/>
              </w:rPr>
              <w:t>:</w:t>
              <w:tab/>
            </w:r>
            <w:r>
              <w:rPr>
                <w:rStyle w:val="IndexLink"/>
              </w:rPr>
              <w:t>21</w:t>
            </w:r>
          </w:hyperlink>
        </w:p>
        <w:p>
          <w:pPr>
            <w:pStyle w:val="Contents4"/>
            <w:tabs>
              <w:tab w:val="clear" w:pos="8176"/>
              <w:tab w:val="right" w:pos="9026" w:leader="dot"/>
            </w:tabs>
            <w:rPr/>
          </w:pPr>
          <w:hyperlink w:anchor="__RefHeading___Toc4418166_1280447820">
            <w:r>
              <w:rPr>
                <w:webHidden/>
                <w:rStyle w:val="IndexLink"/>
                <w:rtl w:val="true"/>
              </w:rPr>
              <w:t xml:space="preserve">قالوا فيه </w:t>
            </w:r>
            <w:r>
              <w:rPr>
                <w:rStyle w:val="IndexLink"/>
                <w:rtl w:val="true"/>
              </w:rPr>
              <w:t>:</w:t>
              <w:tab/>
            </w:r>
            <w:r>
              <w:rPr>
                <w:rStyle w:val="IndexLink"/>
              </w:rPr>
              <w:t>21</w:t>
            </w:r>
          </w:hyperlink>
        </w:p>
        <w:p>
          <w:pPr>
            <w:pStyle w:val="Contents3"/>
            <w:tabs>
              <w:tab w:val="clear" w:pos="8459"/>
              <w:tab w:val="right" w:pos="9026" w:leader="dot"/>
            </w:tabs>
            <w:rPr/>
          </w:pPr>
          <w:hyperlink w:anchor="__RefHeading___Toc4418168_1280447820">
            <w:r>
              <w:rPr>
                <w:webHidden/>
                <w:rStyle w:val="IndexLink"/>
                <w:rtl w:val="true"/>
              </w:rPr>
              <w:t>مطارح الأنظار ومسيرة تحقيقه</w:t>
            </w:r>
            <w:r>
              <w:rPr>
                <w:rStyle w:val="IndexLink"/>
                <w:rtl w:val="true"/>
              </w:rPr>
              <w:tab/>
            </w:r>
            <w:r>
              <w:rPr>
                <w:rStyle w:val="IndexLink"/>
              </w:rPr>
              <w:t>24</w:t>
            </w:r>
          </w:hyperlink>
        </w:p>
        <w:p>
          <w:pPr>
            <w:pStyle w:val="Contents4"/>
            <w:tabs>
              <w:tab w:val="clear" w:pos="8176"/>
              <w:tab w:val="right" w:pos="9026" w:leader="dot"/>
            </w:tabs>
            <w:rPr/>
          </w:pPr>
          <w:hyperlink w:anchor="__RefHeading___Toc4418170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418172_1280447820">
            <w:r>
              <w:rPr>
                <w:webHidden/>
                <w:rStyle w:val="IndexLink"/>
                <w:rtl w:val="true"/>
              </w:rPr>
              <w:t xml:space="preserve">نسخ التحقيق </w:t>
            </w:r>
            <w:r>
              <w:rPr>
                <w:rStyle w:val="IndexLink"/>
                <w:rtl w:val="true"/>
              </w:rPr>
              <w:t>:</w:t>
              <w:tab/>
            </w:r>
            <w:r>
              <w:rPr>
                <w:rStyle w:val="IndexLink"/>
              </w:rPr>
              <w:t>26</w:t>
            </w:r>
          </w:hyperlink>
        </w:p>
        <w:p>
          <w:pPr>
            <w:pStyle w:val="Contents4"/>
            <w:tabs>
              <w:tab w:val="clear" w:pos="8176"/>
              <w:tab w:val="right" w:pos="9026" w:leader="dot"/>
            </w:tabs>
            <w:rPr/>
          </w:pPr>
          <w:hyperlink w:anchor="__RefHeading___Toc4418174_1280447820">
            <w:r>
              <w:rPr>
                <w:webHidden/>
                <w:rStyle w:val="IndexLink"/>
                <w:rtl w:val="true"/>
              </w:rPr>
              <w:t xml:space="preserve">مراحل التحقيق والمشاركون فيها </w:t>
            </w:r>
            <w:r>
              <w:rPr>
                <w:rStyle w:val="IndexLink"/>
                <w:rtl w:val="true"/>
              </w:rPr>
              <w:t>:</w:t>
              <w:tab/>
            </w:r>
            <w:r>
              <w:rPr>
                <w:rStyle w:val="IndexLink"/>
              </w:rPr>
              <w:t>26</w:t>
            </w:r>
          </w:hyperlink>
        </w:p>
        <w:p>
          <w:pPr>
            <w:pStyle w:val="Contents2"/>
            <w:tabs>
              <w:tab w:val="clear" w:pos="8743"/>
              <w:tab w:val="right" w:pos="9026" w:leader="dot"/>
            </w:tabs>
            <w:rPr/>
          </w:pPr>
          <w:hyperlink w:anchor="__RefHeading___Toc4418176_1280447820">
            <w:r>
              <w:rPr>
                <w:webHidden/>
                <w:rStyle w:val="IndexLink"/>
                <w:rtl w:val="true"/>
              </w:rPr>
              <w:t>خطبة الكتاب</w:t>
            </w:r>
            <w:r>
              <w:rPr>
                <w:rStyle w:val="IndexLink"/>
                <w:rtl w:val="true"/>
              </w:rPr>
              <w:tab/>
            </w:r>
            <w:r>
              <w:rPr>
                <w:rStyle w:val="IndexLink"/>
              </w:rPr>
              <w:t>29</w:t>
            </w:r>
          </w:hyperlink>
        </w:p>
        <w:p>
          <w:pPr>
            <w:pStyle w:val="Contents2"/>
            <w:tabs>
              <w:tab w:val="clear" w:pos="8743"/>
              <w:tab w:val="right" w:pos="9026" w:leader="dot"/>
            </w:tabs>
            <w:rPr/>
          </w:pPr>
          <w:hyperlink w:anchor="__RefHeading___Toc4418178_1280447820">
            <w:r>
              <w:rPr>
                <w:webHidden/>
                <w:rStyle w:val="IndexLink"/>
                <w:rtl w:val="true"/>
              </w:rPr>
              <w:t>القول في الصحيح والأعم</w:t>
            </w:r>
            <w:r>
              <w:rPr>
                <w:rStyle w:val="IndexLink"/>
                <w:rtl w:val="true"/>
              </w:rPr>
              <w:tab/>
            </w:r>
            <w:r>
              <w:rPr>
                <w:rStyle w:val="IndexLink"/>
              </w:rPr>
              <w:t>33</w:t>
            </w:r>
          </w:hyperlink>
        </w:p>
        <w:p>
          <w:pPr>
            <w:pStyle w:val="Contents3"/>
            <w:tabs>
              <w:tab w:val="clear" w:pos="8459"/>
              <w:tab w:val="right" w:pos="9026" w:leader="dot"/>
            </w:tabs>
            <w:rPr/>
          </w:pPr>
          <w:hyperlink w:anchor="__RefHeading___Toc4418180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418182_1280447820">
            <w:r>
              <w:rPr>
                <w:webHidden/>
                <w:rStyle w:val="IndexLink"/>
                <w:rtl w:val="true"/>
              </w:rPr>
              <w:t>هداية</w:t>
            </w:r>
            <w:r>
              <w:rPr>
                <w:rStyle w:val="IndexLink"/>
                <w:rtl w:val="true"/>
              </w:rPr>
              <w:tab/>
            </w:r>
            <w:r>
              <w:rPr>
                <w:rStyle w:val="IndexLink"/>
              </w:rPr>
              <w:t>37</w:t>
            </w:r>
          </w:hyperlink>
        </w:p>
        <w:p>
          <w:pPr>
            <w:pStyle w:val="Contents3"/>
            <w:tabs>
              <w:tab w:val="clear" w:pos="8459"/>
              <w:tab w:val="right" w:pos="9026" w:leader="dot"/>
            </w:tabs>
            <w:rPr/>
          </w:pPr>
          <w:hyperlink w:anchor="__RefHeading___Toc4418184_1280447820">
            <w:r>
              <w:rPr>
                <w:webHidden/>
                <w:rStyle w:val="IndexLink"/>
                <w:rtl w:val="true"/>
              </w:rPr>
              <w:t>هداية</w:t>
            </w:r>
            <w:r>
              <w:rPr>
                <w:rStyle w:val="IndexLink"/>
                <w:rtl w:val="true"/>
              </w:rPr>
              <w:tab/>
            </w:r>
            <w:r>
              <w:rPr>
                <w:rStyle w:val="IndexLink"/>
              </w:rPr>
              <w:t>51</w:t>
            </w:r>
          </w:hyperlink>
        </w:p>
        <w:p>
          <w:pPr>
            <w:pStyle w:val="Contents3"/>
            <w:tabs>
              <w:tab w:val="clear" w:pos="8459"/>
              <w:tab w:val="right" w:pos="9026" w:leader="dot"/>
            </w:tabs>
            <w:rPr/>
          </w:pPr>
          <w:hyperlink w:anchor="__RefHeading___Toc4418186_1280447820">
            <w:r>
              <w:rPr>
                <w:webHidden/>
                <w:rStyle w:val="IndexLink"/>
                <w:rtl w:val="true"/>
              </w:rPr>
              <w:t>هداية في بيان المراد من القول بالأعم</w:t>
            </w:r>
            <w:r>
              <w:rPr>
                <w:rStyle w:val="IndexLink"/>
                <w:rtl w:val="true"/>
              </w:rPr>
              <w:tab/>
            </w:r>
            <w:r>
              <w:rPr>
                <w:rStyle w:val="IndexLink"/>
              </w:rPr>
              <w:t>57</w:t>
            </w:r>
          </w:hyperlink>
        </w:p>
        <w:p>
          <w:pPr>
            <w:pStyle w:val="Contents4"/>
            <w:tabs>
              <w:tab w:val="clear" w:pos="8176"/>
              <w:tab w:val="right" w:pos="9026" w:leader="dot"/>
            </w:tabs>
            <w:rPr/>
          </w:pPr>
          <w:hyperlink w:anchor="__RefHeading___Toc4418188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418190_1280447820">
            <w:r>
              <w:rPr>
                <w:webHidden/>
                <w:rStyle w:val="IndexLink"/>
                <w:rtl w:val="true"/>
              </w:rPr>
              <w:t xml:space="preserve">تذنيب </w:t>
            </w:r>
            <w:r>
              <w:rPr>
                <w:rStyle w:val="IndexLink"/>
                <w:rtl w:val="true"/>
              </w:rPr>
              <w:t>:</w:t>
              <w:tab/>
            </w:r>
            <w:r>
              <w:rPr>
                <w:rStyle w:val="IndexLink"/>
              </w:rPr>
              <w:t>64</w:t>
            </w:r>
          </w:hyperlink>
        </w:p>
        <w:p>
          <w:pPr>
            <w:pStyle w:val="Contents3"/>
            <w:tabs>
              <w:tab w:val="clear" w:pos="8459"/>
              <w:tab w:val="right" w:pos="9026" w:leader="dot"/>
            </w:tabs>
            <w:rPr/>
          </w:pPr>
          <w:hyperlink w:anchor="__RefHeading___Toc4418192_1280447820">
            <w:r>
              <w:rPr>
                <w:webHidden/>
                <w:rStyle w:val="IndexLink"/>
                <w:rtl w:val="true"/>
              </w:rPr>
              <w:t>هداية</w:t>
            </w:r>
            <w:r>
              <w:rPr>
                <w:rStyle w:val="IndexLink"/>
                <w:rtl w:val="true"/>
              </w:rPr>
              <w:tab/>
            </w:r>
            <w:r>
              <w:rPr>
                <w:rStyle w:val="IndexLink"/>
              </w:rPr>
              <w:t>67</w:t>
            </w:r>
          </w:hyperlink>
        </w:p>
        <w:p>
          <w:pPr>
            <w:pStyle w:val="Contents4"/>
            <w:tabs>
              <w:tab w:val="clear" w:pos="8176"/>
              <w:tab w:val="right" w:pos="9026" w:leader="dot"/>
            </w:tabs>
            <w:rPr/>
          </w:pPr>
          <w:hyperlink w:anchor="__RefHeading___Toc4418194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418196_1280447820">
            <w:r>
              <w:rPr>
                <w:webHidden/>
                <w:rStyle w:val="IndexLink"/>
                <w:rtl w:val="true"/>
              </w:rPr>
              <w:t xml:space="preserve">تذنيب </w:t>
            </w:r>
            <w:r>
              <w:rPr>
                <w:rStyle w:val="IndexLink"/>
                <w:rtl w:val="true"/>
              </w:rPr>
              <w:t>:</w:t>
              <w:tab/>
            </w:r>
            <w:r>
              <w:rPr>
                <w:rStyle w:val="IndexLink"/>
              </w:rPr>
              <w:t>77</w:t>
            </w:r>
          </w:hyperlink>
        </w:p>
        <w:p>
          <w:pPr>
            <w:pStyle w:val="Contents3"/>
            <w:tabs>
              <w:tab w:val="clear" w:pos="8459"/>
              <w:tab w:val="right" w:pos="9026" w:leader="dot"/>
            </w:tabs>
            <w:rPr/>
          </w:pPr>
          <w:hyperlink w:anchor="__RefHeading___Toc4418198_1280447820">
            <w:r>
              <w:rPr>
                <w:webHidden/>
                <w:rStyle w:val="IndexLink"/>
                <w:rtl w:val="true"/>
              </w:rPr>
              <w:t>هداية في ذكر احتجاج القول بالصحيح</w:t>
            </w:r>
            <w:r>
              <w:rPr>
                <w:rStyle w:val="IndexLink"/>
                <w:rtl w:val="true"/>
              </w:rPr>
              <w:tab/>
            </w:r>
            <w:r>
              <w:rPr>
                <w:rStyle w:val="IndexLink"/>
              </w:rPr>
              <w:t>79</w:t>
            </w:r>
          </w:hyperlink>
        </w:p>
        <w:p>
          <w:pPr>
            <w:pStyle w:val="Contents3"/>
            <w:tabs>
              <w:tab w:val="clear" w:pos="8459"/>
              <w:tab w:val="right" w:pos="9026" w:leader="dot"/>
            </w:tabs>
            <w:rPr/>
          </w:pPr>
          <w:hyperlink w:anchor="__RefHeading___Toc4418200_1280447820">
            <w:r>
              <w:rPr>
                <w:webHidden/>
                <w:rStyle w:val="IndexLink"/>
                <w:rtl w:val="true"/>
              </w:rPr>
              <w:t>هداية في ذكر احتجاج القائلين بالأعم</w:t>
            </w:r>
            <w:r>
              <w:rPr>
                <w:rStyle w:val="IndexLink"/>
                <w:rtl w:val="true"/>
              </w:rPr>
              <w:tab/>
            </w:r>
            <w:r>
              <w:rPr>
                <w:rStyle w:val="IndexLink"/>
              </w:rPr>
              <w:t>93</w:t>
            </w:r>
          </w:hyperlink>
        </w:p>
        <w:p>
          <w:pPr>
            <w:pStyle w:val="Contents3"/>
            <w:tabs>
              <w:tab w:val="clear" w:pos="8459"/>
              <w:tab w:val="right" w:pos="9026" w:leader="dot"/>
            </w:tabs>
            <w:rPr/>
          </w:pPr>
          <w:hyperlink w:anchor="__RefHeading___Toc4418202_1280447820">
            <w:r>
              <w:rPr>
                <w:webHidden/>
                <w:rStyle w:val="IndexLink"/>
                <w:rtl w:val="true"/>
              </w:rPr>
              <w:t>هداية</w:t>
            </w:r>
            <w:r>
              <w:rPr>
                <w:rStyle w:val="IndexLink"/>
                <w:rtl w:val="true"/>
              </w:rPr>
              <w:tab/>
            </w:r>
            <w:r>
              <w:rPr>
                <w:rStyle w:val="IndexLink"/>
              </w:rPr>
              <w:t>107</w:t>
            </w:r>
          </w:hyperlink>
        </w:p>
        <w:p>
          <w:pPr>
            <w:pStyle w:val="Contents4"/>
            <w:tabs>
              <w:tab w:val="clear" w:pos="8176"/>
              <w:tab w:val="right" w:pos="9026" w:leader="dot"/>
            </w:tabs>
            <w:rPr/>
          </w:pPr>
          <w:hyperlink w:anchor="__RefHeading___Toc4418204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418206_1280447820">
            <w:r>
              <w:rPr>
                <w:webHidden/>
                <w:rStyle w:val="IndexLink"/>
                <w:rtl w:val="true"/>
              </w:rPr>
              <w:t xml:space="preserve">فائدتان </w:t>
            </w:r>
            <w:r>
              <w:rPr>
                <w:rStyle w:val="IndexLink"/>
                <w:rtl w:val="true"/>
              </w:rPr>
              <w:t>:</w:t>
              <w:tab/>
            </w:r>
            <w:r>
              <w:rPr>
                <w:rStyle w:val="IndexLink"/>
              </w:rPr>
              <w:t>109</w:t>
            </w:r>
          </w:hyperlink>
        </w:p>
        <w:p>
          <w:pPr>
            <w:pStyle w:val="Contents4"/>
            <w:tabs>
              <w:tab w:val="clear" w:pos="8176"/>
              <w:tab w:val="right" w:pos="9026" w:leader="dot"/>
            </w:tabs>
            <w:rPr/>
          </w:pPr>
          <w:hyperlink w:anchor="__RefHeading___Toc4418208_1280447820">
            <w:r>
              <w:rPr>
                <w:webHidden/>
                <w:rStyle w:val="IndexLink"/>
                <w:rtl w:val="true"/>
              </w:rPr>
              <w:t>تذنيب</w:t>
            </w:r>
            <w:r>
              <w:rPr>
                <w:rStyle w:val="IndexLink"/>
                <w:rtl w:val="true"/>
              </w:rPr>
              <w:tab/>
            </w:r>
            <w:r>
              <w:rPr>
                <w:rStyle w:val="IndexLink"/>
              </w:rPr>
              <w:t>111</w:t>
            </w:r>
          </w:hyperlink>
        </w:p>
        <w:p>
          <w:pPr>
            <w:pStyle w:val="Contents2"/>
            <w:tabs>
              <w:tab w:val="clear" w:pos="8743"/>
              <w:tab w:val="right" w:pos="9026" w:leader="dot"/>
            </w:tabs>
            <w:rPr/>
          </w:pPr>
          <w:hyperlink w:anchor="__RefHeading___Toc4418210_1280447820">
            <w:r>
              <w:rPr>
                <w:webHidden/>
                <w:rStyle w:val="IndexLink"/>
                <w:rtl w:val="true"/>
              </w:rPr>
              <w:t>الكلام في الإجزاء</w:t>
            </w:r>
            <w:r>
              <w:rPr>
                <w:rStyle w:val="IndexLink"/>
                <w:rtl w:val="true"/>
              </w:rPr>
              <w:tab/>
            </w:r>
            <w:r>
              <w:rPr>
                <w:rStyle w:val="IndexLink"/>
              </w:rPr>
              <w:t>113</w:t>
            </w:r>
          </w:hyperlink>
        </w:p>
        <w:p>
          <w:pPr>
            <w:pStyle w:val="Contents3"/>
            <w:tabs>
              <w:tab w:val="clear" w:pos="8459"/>
              <w:tab w:val="right" w:pos="9026" w:leader="dot"/>
            </w:tabs>
            <w:rPr/>
          </w:pPr>
          <w:hyperlink w:anchor="__RefHeading___Toc4418212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4418214_1280447820">
            <w:r>
              <w:rPr>
                <w:webHidden/>
                <w:rStyle w:val="IndexLink"/>
                <w:rtl w:val="true"/>
              </w:rPr>
              <w:t>هداية</w:t>
            </w:r>
            <w:r>
              <w:rPr>
                <w:rStyle w:val="IndexLink"/>
                <w:rtl w:val="true"/>
              </w:rPr>
              <w:tab/>
            </w:r>
            <w:r>
              <w:rPr>
                <w:rStyle w:val="IndexLink"/>
              </w:rPr>
              <w:t>125</w:t>
            </w:r>
          </w:hyperlink>
        </w:p>
        <w:p>
          <w:pPr>
            <w:pStyle w:val="Contents3"/>
            <w:tabs>
              <w:tab w:val="clear" w:pos="8459"/>
              <w:tab w:val="right" w:pos="9026" w:leader="dot"/>
            </w:tabs>
            <w:rPr/>
          </w:pPr>
          <w:hyperlink w:anchor="__RefHeading___Toc4418216_1280447820">
            <w:r>
              <w:rPr>
                <w:webHidden/>
                <w:rStyle w:val="IndexLink"/>
                <w:rtl w:val="true"/>
              </w:rPr>
              <w:t>هداية</w:t>
            </w:r>
            <w:r>
              <w:rPr>
                <w:rStyle w:val="IndexLink"/>
                <w:rtl w:val="true"/>
              </w:rPr>
              <w:tab/>
            </w:r>
            <w:r>
              <w:rPr>
                <w:rStyle w:val="IndexLink"/>
              </w:rPr>
              <w:t>133</w:t>
            </w:r>
          </w:hyperlink>
        </w:p>
        <w:p>
          <w:pPr>
            <w:pStyle w:val="Contents3"/>
            <w:tabs>
              <w:tab w:val="clear" w:pos="8459"/>
              <w:tab w:val="right" w:pos="9026" w:leader="dot"/>
            </w:tabs>
            <w:rPr/>
          </w:pPr>
          <w:hyperlink w:anchor="__RefHeading___Toc4418218_1280447820">
            <w:r>
              <w:rPr>
                <w:webHidden/>
                <w:rStyle w:val="IndexLink"/>
                <w:rtl w:val="true"/>
              </w:rPr>
              <w:t>هداية في الأمر الظاهريّ الشرعي</w:t>
            </w:r>
            <w:r>
              <w:rPr>
                <w:rStyle w:val="IndexLink"/>
                <w:rtl w:val="true"/>
              </w:rPr>
              <w:tab/>
            </w:r>
            <w:r>
              <w:rPr>
                <w:rStyle w:val="IndexLink"/>
              </w:rPr>
              <w:t>139</w:t>
            </w:r>
          </w:hyperlink>
        </w:p>
        <w:p>
          <w:pPr>
            <w:pStyle w:val="Contents3"/>
            <w:tabs>
              <w:tab w:val="clear" w:pos="8459"/>
              <w:tab w:val="right" w:pos="9026" w:leader="dot"/>
            </w:tabs>
            <w:rPr/>
          </w:pPr>
          <w:hyperlink w:anchor="__RefHeading___Toc4418220_1280447820">
            <w:r>
              <w:rPr>
                <w:webHidden/>
                <w:rStyle w:val="IndexLink"/>
                <w:rtl w:val="true"/>
              </w:rPr>
              <w:t>هداية</w:t>
            </w:r>
            <w:r>
              <w:rPr>
                <w:rStyle w:val="IndexLink"/>
                <w:rtl w:val="true"/>
              </w:rPr>
              <w:tab/>
            </w:r>
            <w:r>
              <w:rPr>
                <w:rStyle w:val="IndexLink"/>
              </w:rPr>
              <w:t>159</w:t>
            </w:r>
          </w:hyperlink>
        </w:p>
        <w:p>
          <w:pPr>
            <w:pStyle w:val="Contents3"/>
            <w:tabs>
              <w:tab w:val="clear" w:pos="8459"/>
              <w:tab w:val="right" w:pos="9026" w:leader="dot"/>
            </w:tabs>
            <w:rPr/>
          </w:pPr>
          <w:hyperlink w:anchor="__RefHeading___Toc4418222_1280447820">
            <w:r>
              <w:rPr>
                <w:webHidden/>
                <w:rStyle w:val="IndexLink"/>
                <w:rtl w:val="true"/>
              </w:rPr>
              <w:t>هداية</w:t>
            </w:r>
            <w:r>
              <w:rPr>
                <w:rStyle w:val="IndexLink"/>
                <w:rtl w:val="true"/>
              </w:rPr>
              <w:tab/>
            </w:r>
            <w:r>
              <w:rPr>
                <w:rStyle w:val="IndexLink"/>
              </w:rPr>
              <w:t>195</w:t>
            </w:r>
          </w:hyperlink>
        </w:p>
        <w:p>
          <w:pPr>
            <w:pStyle w:val="Contents3"/>
            <w:tabs>
              <w:tab w:val="clear" w:pos="8459"/>
              <w:tab w:val="right" w:pos="9026" w:leader="dot"/>
            </w:tabs>
            <w:rPr/>
          </w:pPr>
          <w:hyperlink w:anchor="__RefHeading___Toc4418224_1280447820">
            <w:r>
              <w:rPr>
                <w:webHidden/>
                <w:rStyle w:val="IndexLink"/>
                <w:rtl w:val="true"/>
              </w:rPr>
              <w:t>تذنيب</w:t>
            </w:r>
            <w:r>
              <w:rPr>
                <w:rStyle w:val="IndexLink"/>
                <w:rtl w:val="true"/>
              </w:rPr>
              <w:tab/>
            </w:r>
            <w:r>
              <w:rPr>
                <w:rStyle w:val="IndexLink"/>
              </w:rPr>
              <w:t>199</w:t>
            </w:r>
          </w:hyperlink>
        </w:p>
        <w:p>
          <w:pPr>
            <w:pStyle w:val="Contents2"/>
            <w:tabs>
              <w:tab w:val="clear" w:pos="8743"/>
              <w:tab w:val="right" w:pos="9026" w:leader="dot"/>
            </w:tabs>
            <w:rPr/>
          </w:pPr>
          <w:hyperlink w:anchor="__RefHeading___Toc4418226_1280447820">
            <w:r>
              <w:rPr>
                <w:webHidden/>
                <w:rStyle w:val="IndexLink"/>
                <w:rtl w:val="true"/>
              </w:rPr>
              <w:t>القول في وجوب مقدّمة الواجب</w:t>
            </w:r>
            <w:r>
              <w:rPr>
                <w:rStyle w:val="IndexLink"/>
                <w:rtl w:val="true"/>
              </w:rPr>
              <w:tab/>
            </w:r>
            <w:r>
              <w:rPr>
                <w:rStyle w:val="IndexLink"/>
              </w:rPr>
              <w:t>201</w:t>
            </w:r>
          </w:hyperlink>
        </w:p>
        <w:p>
          <w:pPr>
            <w:pStyle w:val="Contents3"/>
            <w:tabs>
              <w:tab w:val="clear" w:pos="8459"/>
              <w:tab w:val="right" w:pos="9026" w:leader="dot"/>
            </w:tabs>
            <w:rPr/>
          </w:pPr>
          <w:hyperlink w:anchor="__RefHeading___Toc4418228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418230_1280447820">
            <w:r>
              <w:rPr>
                <w:webHidden/>
                <w:rStyle w:val="IndexLink"/>
                <w:rtl w:val="true"/>
              </w:rPr>
              <w:t>هداية</w:t>
            </w:r>
            <w:r>
              <w:rPr>
                <w:rStyle w:val="IndexLink"/>
                <w:rtl w:val="true"/>
              </w:rPr>
              <w:tab/>
            </w:r>
            <w:r>
              <w:rPr>
                <w:rStyle w:val="IndexLink"/>
              </w:rPr>
              <w:t>203</w:t>
            </w:r>
          </w:hyperlink>
        </w:p>
        <w:p>
          <w:pPr>
            <w:pStyle w:val="Contents3"/>
            <w:tabs>
              <w:tab w:val="clear" w:pos="8459"/>
              <w:tab w:val="right" w:pos="9026" w:leader="dot"/>
            </w:tabs>
            <w:rPr/>
          </w:pPr>
          <w:hyperlink w:anchor="__RefHeading___Toc4418232_1280447820">
            <w:r>
              <w:rPr>
                <w:webHidden/>
                <w:rStyle w:val="IndexLink"/>
                <w:rtl w:val="true"/>
              </w:rPr>
              <w:t>هداية</w:t>
            </w:r>
            <w:r>
              <w:rPr>
                <w:rStyle w:val="IndexLink"/>
                <w:rtl w:val="true"/>
              </w:rPr>
              <w:tab/>
            </w:r>
            <w:r>
              <w:rPr>
                <w:rStyle w:val="IndexLink"/>
              </w:rPr>
              <w:t>209</w:t>
            </w:r>
          </w:hyperlink>
        </w:p>
        <w:p>
          <w:pPr>
            <w:pStyle w:val="Contents4"/>
            <w:tabs>
              <w:tab w:val="clear" w:pos="8176"/>
              <w:tab w:val="right" w:pos="9026" w:leader="dot"/>
            </w:tabs>
            <w:rPr/>
          </w:pPr>
          <w:hyperlink w:anchor="__RefHeading___Toc4418234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4418236_1280447820">
            <w:r>
              <w:rPr>
                <w:webHidden/>
                <w:rStyle w:val="IndexLink"/>
                <w:rtl w:val="true"/>
              </w:rPr>
              <w:t xml:space="preserve">منها </w:t>
            </w:r>
            <w:r>
              <w:rPr>
                <w:rStyle w:val="IndexLink"/>
                <w:rtl w:val="true"/>
              </w:rPr>
              <w:t xml:space="preserve">: </w:t>
            </w:r>
            <w:r>
              <w:rPr>
                <w:rStyle w:val="IndexLink"/>
                <w:rtl w:val="true"/>
              </w:rPr>
              <w:t>تقسيمها إلى الداخليّة والخارجيّة</w:t>
            </w:r>
            <w:r>
              <w:rPr>
                <w:rStyle w:val="IndexLink"/>
                <w:rtl w:val="true"/>
              </w:rPr>
              <w:t>.</w:t>
              <w:tab/>
            </w:r>
            <w:r>
              <w:rPr>
                <w:rStyle w:val="IndexLink"/>
              </w:rPr>
              <w:t>210</w:t>
            </w:r>
          </w:hyperlink>
        </w:p>
        <w:p>
          <w:pPr>
            <w:pStyle w:val="Contents4"/>
            <w:tabs>
              <w:tab w:val="clear" w:pos="8176"/>
              <w:tab w:val="right" w:pos="9026" w:leader="dot"/>
            </w:tabs>
            <w:rPr/>
          </w:pPr>
          <w:hyperlink w:anchor="__RefHeading___Toc4418238_1280447820">
            <w:r>
              <w:rPr>
                <w:webHidden/>
                <w:rStyle w:val="IndexLink"/>
                <w:rtl w:val="true"/>
              </w:rPr>
              <w:t xml:space="preserve">ومنها </w:t>
            </w:r>
            <w:r>
              <w:rPr>
                <w:rStyle w:val="IndexLink"/>
                <w:rtl w:val="true"/>
              </w:rPr>
              <w:t xml:space="preserve">: </w:t>
            </w:r>
            <w:r>
              <w:rPr>
                <w:rStyle w:val="IndexLink"/>
                <w:rtl w:val="true"/>
              </w:rPr>
              <w:t xml:space="preserve">تقسيم المقدّمة إلى العقليّة والشرعيّة والعاديّة </w:t>
            </w:r>
            <w:r>
              <w:rPr>
                <w:rStyle w:val="IndexLink"/>
                <w:rtl w:val="true"/>
              </w:rPr>
              <w:t>:</w:t>
              <w:tab/>
            </w:r>
            <w:r>
              <w:rPr>
                <w:rStyle w:val="IndexLink"/>
              </w:rPr>
              <w:t>220</w:t>
            </w:r>
          </w:hyperlink>
        </w:p>
        <w:p>
          <w:pPr>
            <w:pStyle w:val="Contents3"/>
            <w:tabs>
              <w:tab w:val="clear" w:pos="8459"/>
              <w:tab w:val="right" w:pos="9026" w:leader="dot"/>
            </w:tabs>
            <w:rPr/>
          </w:pPr>
          <w:hyperlink w:anchor="__RefHeading___Toc4418240_1280447820">
            <w:r>
              <w:rPr>
                <w:webHidden/>
                <w:rStyle w:val="IndexLink"/>
                <w:rtl w:val="true"/>
              </w:rPr>
              <w:t>هداية</w:t>
            </w:r>
            <w:r>
              <w:rPr>
                <w:rStyle w:val="IndexLink"/>
                <w:rtl w:val="true"/>
              </w:rPr>
              <w:tab/>
            </w:r>
            <w:r>
              <w:rPr>
                <w:rStyle w:val="IndexLink"/>
              </w:rPr>
              <w:t>229</w:t>
            </w:r>
          </w:hyperlink>
        </w:p>
        <w:p>
          <w:pPr>
            <w:pStyle w:val="Contents4"/>
            <w:tabs>
              <w:tab w:val="clear" w:pos="8176"/>
              <w:tab w:val="right" w:pos="9026" w:leader="dot"/>
            </w:tabs>
            <w:rPr/>
          </w:pPr>
          <w:hyperlink w:anchor="__RefHeading___Toc4418242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418244_1280447820">
            <w:r>
              <w:rPr>
                <w:webHidden/>
                <w:rStyle w:val="IndexLink"/>
                <w:rtl w:val="true"/>
              </w:rPr>
              <w:t>المطلق والمشروط</w:t>
            </w:r>
            <w:r>
              <w:rPr>
                <w:rStyle w:val="IndexLink"/>
                <w:rtl w:val="true"/>
              </w:rPr>
              <w:tab/>
            </w:r>
            <w:r>
              <w:rPr>
                <w:rStyle w:val="IndexLink"/>
              </w:rPr>
              <w:t>229</w:t>
            </w:r>
          </w:hyperlink>
        </w:p>
        <w:p>
          <w:pPr>
            <w:pStyle w:val="Contents3"/>
            <w:tabs>
              <w:tab w:val="clear" w:pos="8459"/>
              <w:tab w:val="right" w:pos="9026" w:leader="dot"/>
            </w:tabs>
            <w:rPr/>
          </w:pPr>
          <w:hyperlink w:anchor="__RefHeading___Toc4418246_1280447820">
            <w:r>
              <w:rPr>
                <w:webHidden/>
                <w:rStyle w:val="IndexLink"/>
                <w:rtl w:val="true"/>
              </w:rPr>
              <w:t>هداية</w:t>
            </w:r>
            <w:r>
              <w:rPr>
                <w:rStyle w:val="IndexLink"/>
                <w:rtl w:val="true"/>
              </w:rPr>
              <w:tab/>
            </w:r>
            <w:r>
              <w:rPr>
                <w:rStyle w:val="IndexLink"/>
              </w:rPr>
              <w:t>241</w:t>
            </w:r>
          </w:hyperlink>
        </w:p>
        <w:p>
          <w:pPr>
            <w:pStyle w:val="Contents3"/>
            <w:tabs>
              <w:tab w:val="clear" w:pos="8459"/>
              <w:tab w:val="right" w:pos="9026" w:leader="dot"/>
            </w:tabs>
            <w:rPr/>
          </w:pPr>
          <w:hyperlink w:anchor="__RefHeading___Toc4418248_1280447820">
            <w:r>
              <w:rPr>
                <w:webHidden/>
                <w:rStyle w:val="IndexLink"/>
                <w:rtl w:val="true"/>
              </w:rPr>
              <w:t>هداية</w:t>
            </w:r>
            <w:r>
              <w:rPr>
                <w:rStyle w:val="IndexLink"/>
                <w:rtl w:val="true"/>
              </w:rPr>
              <w:tab/>
            </w:r>
            <w:r>
              <w:rPr>
                <w:rStyle w:val="IndexLink"/>
              </w:rPr>
              <w:t>253</w:t>
            </w:r>
          </w:hyperlink>
        </w:p>
        <w:p>
          <w:pPr>
            <w:pStyle w:val="Contents4"/>
            <w:tabs>
              <w:tab w:val="clear" w:pos="8176"/>
              <w:tab w:val="right" w:pos="9026" w:leader="dot"/>
            </w:tabs>
            <w:rPr/>
          </w:pPr>
          <w:hyperlink w:anchor="__RefHeading___Toc4418250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4418252_1280447820">
            <w:r>
              <w:rPr>
                <w:webHidden/>
                <w:rStyle w:val="IndexLink"/>
                <w:rtl w:val="true"/>
              </w:rPr>
              <w:t>الأوّل</w:t>
            </w:r>
            <w:r>
              <w:rPr>
                <w:rStyle w:val="IndexLink"/>
                <w:rtl w:val="true"/>
              </w:rPr>
              <w:tab/>
            </w:r>
            <w:r>
              <w:rPr>
                <w:rStyle w:val="IndexLink"/>
              </w:rPr>
              <w:t>253</w:t>
            </w:r>
          </w:hyperlink>
        </w:p>
        <w:p>
          <w:pPr>
            <w:pStyle w:val="Contents4"/>
            <w:tabs>
              <w:tab w:val="clear" w:pos="8176"/>
              <w:tab w:val="right" w:pos="9026" w:leader="dot"/>
            </w:tabs>
            <w:rPr/>
          </w:pPr>
          <w:hyperlink w:anchor="__RefHeading___Toc4418254_1280447820">
            <w:r>
              <w:rPr>
                <w:webHidden/>
                <w:rStyle w:val="IndexLink"/>
                <w:rtl w:val="true"/>
              </w:rPr>
              <w:t>المورد الثاني</w:t>
            </w:r>
            <w:r>
              <w:rPr>
                <w:rStyle w:val="IndexLink"/>
                <w:rtl w:val="true"/>
              </w:rPr>
              <w:tab/>
            </w:r>
            <w:r>
              <w:rPr>
                <w:rStyle w:val="IndexLink"/>
              </w:rPr>
              <w:t>261</w:t>
            </w:r>
          </w:hyperlink>
        </w:p>
        <w:p>
          <w:pPr>
            <w:pStyle w:val="Contents3"/>
            <w:tabs>
              <w:tab w:val="clear" w:pos="8459"/>
              <w:tab w:val="right" w:pos="9026" w:leader="dot"/>
            </w:tabs>
            <w:rPr/>
          </w:pPr>
          <w:hyperlink w:anchor="__RefHeading___Toc4418256_1280447820">
            <w:r>
              <w:rPr>
                <w:webHidden/>
                <w:rStyle w:val="IndexLink"/>
                <w:rtl w:val="true"/>
              </w:rPr>
              <w:t>هداية</w:t>
            </w:r>
            <w:r>
              <w:rPr>
                <w:rStyle w:val="IndexLink"/>
                <w:rtl w:val="true"/>
              </w:rPr>
              <w:tab/>
            </w:r>
            <w:r>
              <w:rPr>
                <w:rStyle w:val="IndexLink"/>
              </w:rPr>
              <w:t>265</w:t>
            </w:r>
          </w:hyperlink>
        </w:p>
        <w:p>
          <w:pPr>
            <w:pStyle w:val="Contents4"/>
            <w:tabs>
              <w:tab w:val="clear" w:pos="8176"/>
              <w:tab w:val="right" w:pos="9026" w:leader="dot"/>
            </w:tabs>
            <w:rPr/>
          </w:pPr>
          <w:hyperlink w:anchor="__RefHeading___Toc4418258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4418260_1280447820">
            <w:r>
              <w:rPr>
                <w:webHidden/>
                <w:rStyle w:val="IndexLink"/>
                <w:rtl w:val="true"/>
              </w:rPr>
              <w:t xml:space="preserve">تتميم تحصيليّ </w:t>
            </w:r>
            <w:r>
              <w:rPr>
                <w:rStyle w:val="IndexLink"/>
                <w:rtl w:val="true"/>
              </w:rPr>
              <w:t>:</w:t>
              <w:tab/>
            </w:r>
            <w:r>
              <w:rPr>
                <w:rStyle w:val="IndexLink"/>
              </w:rPr>
              <w:t>284</w:t>
            </w:r>
          </w:hyperlink>
        </w:p>
        <w:p>
          <w:pPr>
            <w:pStyle w:val="Contents3"/>
            <w:tabs>
              <w:tab w:val="clear" w:pos="8459"/>
              <w:tab w:val="right" w:pos="9026" w:leader="dot"/>
            </w:tabs>
            <w:rPr/>
          </w:pPr>
          <w:hyperlink w:anchor="__RefHeading___Toc4418262_1280447820">
            <w:r>
              <w:rPr>
                <w:webHidden/>
                <w:rStyle w:val="IndexLink"/>
                <w:rtl w:val="true"/>
              </w:rPr>
              <w:t>هداية</w:t>
            </w:r>
            <w:r>
              <w:rPr>
                <w:rStyle w:val="IndexLink"/>
                <w:rtl w:val="true"/>
              </w:rPr>
              <w:tab/>
            </w:r>
            <w:r>
              <w:rPr>
                <w:rStyle w:val="IndexLink"/>
              </w:rPr>
              <w:t>289</w:t>
            </w:r>
          </w:hyperlink>
        </w:p>
        <w:p>
          <w:pPr>
            <w:pStyle w:val="Contents3"/>
            <w:tabs>
              <w:tab w:val="clear" w:pos="8459"/>
              <w:tab w:val="right" w:pos="9026" w:leader="dot"/>
            </w:tabs>
            <w:rPr/>
          </w:pPr>
          <w:hyperlink w:anchor="__RefHeading___Toc4418264_1280447820">
            <w:r>
              <w:rPr>
                <w:webHidden/>
                <w:rStyle w:val="IndexLink"/>
                <w:rtl w:val="true"/>
              </w:rPr>
              <w:t>هداية</w:t>
            </w:r>
            <w:r>
              <w:rPr>
                <w:rStyle w:val="IndexLink"/>
                <w:rtl w:val="true"/>
              </w:rPr>
              <w:tab/>
            </w:r>
            <w:r>
              <w:rPr>
                <w:rStyle w:val="IndexLink"/>
              </w:rPr>
              <w:t>303</w:t>
            </w:r>
          </w:hyperlink>
        </w:p>
        <w:p>
          <w:pPr>
            <w:pStyle w:val="Contents3"/>
            <w:tabs>
              <w:tab w:val="clear" w:pos="8459"/>
              <w:tab w:val="right" w:pos="9026" w:leader="dot"/>
            </w:tabs>
            <w:rPr/>
          </w:pPr>
          <w:hyperlink w:anchor="__RefHeading___Toc4418266_1280447820">
            <w:r>
              <w:rPr>
                <w:webHidden/>
                <w:rStyle w:val="IndexLink"/>
                <w:rtl w:val="true"/>
              </w:rPr>
              <w:t>هداية</w:t>
            </w:r>
            <w:r>
              <w:rPr>
                <w:rStyle w:val="IndexLink"/>
                <w:rtl w:val="true"/>
              </w:rPr>
              <w:tab/>
            </w:r>
            <w:r>
              <w:rPr>
                <w:rStyle w:val="IndexLink"/>
              </w:rPr>
              <w:t>313</w:t>
            </w:r>
          </w:hyperlink>
        </w:p>
        <w:p>
          <w:pPr>
            <w:pStyle w:val="Contents3"/>
            <w:tabs>
              <w:tab w:val="clear" w:pos="8459"/>
              <w:tab w:val="right" w:pos="9026" w:leader="dot"/>
            </w:tabs>
            <w:rPr/>
          </w:pPr>
          <w:hyperlink w:anchor="__RefHeading___Toc4418268_1280447820">
            <w:r>
              <w:rPr>
                <w:webHidden/>
                <w:rStyle w:val="IndexLink"/>
                <w:rtl w:val="true"/>
              </w:rPr>
              <w:t>هداية</w:t>
            </w:r>
            <w:r>
              <w:rPr>
                <w:rStyle w:val="IndexLink"/>
                <w:rtl w:val="true"/>
              </w:rPr>
              <w:tab/>
            </w:r>
            <w:r>
              <w:rPr>
                <w:rStyle w:val="IndexLink"/>
              </w:rPr>
              <w:t>325</w:t>
            </w:r>
          </w:hyperlink>
        </w:p>
        <w:p>
          <w:pPr>
            <w:pStyle w:val="Contents4"/>
            <w:tabs>
              <w:tab w:val="clear" w:pos="8176"/>
              <w:tab w:val="right" w:pos="9026" w:leader="dot"/>
            </w:tabs>
            <w:rPr/>
          </w:pPr>
          <w:hyperlink w:anchor="__RefHeading___Toc4418270_12804478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418272_1280447820">
            <w:r>
              <w:rPr>
                <w:webHidden/>
                <w:rStyle w:val="IndexLink"/>
                <w:rtl w:val="true"/>
              </w:rPr>
              <w:t xml:space="preserve">تذنيب </w:t>
            </w:r>
            <w:r>
              <w:rPr>
                <w:rStyle w:val="IndexLink"/>
                <w:rtl w:val="true"/>
              </w:rPr>
              <w:t>:</w:t>
              <w:tab/>
            </w:r>
            <w:r>
              <w:rPr>
                <w:rStyle w:val="IndexLink"/>
              </w:rPr>
              <w:t>332</w:t>
            </w:r>
          </w:hyperlink>
        </w:p>
        <w:p>
          <w:pPr>
            <w:pStyle w:val="Contents3"/>
            <w:tabs>
              <w:tab w:val="clear" w:pos="8459"/>
              <w:tab w:val="right" w:pos="9026" w:leader="dot"/>
            </w:tabs>
            <w:rPr/>
          </w:pPr>
          <w:hyperlink w:anchor="__RefHeading___Toc4418274_1280447820">
            <w:r>
              <w:rPr>
                <w:webHidden/>
                <w:rStyle w:val="IndexLink"/>
                <w:rtl w:val="true"/>
              </w:rPr>
              <w:t>هداية</w:t>
            </w:r>
            <w:r>
              <w:rPr>
                <w:rStyle w:val="IndexLink"/>
                <w:rtl w:val="true"/>
              </w:rPr>
              <w:tab/>
            </w:r>
            <w:r>
              <w:rPr>
                <w:rStyle w:val="IndexLink"/>
              </w:rPr>
              <w:t>335</w:t>
            </w:r>
          </w:hyperlink>
        </w:p>
        <w:p>
          <w:pPr>
            <w:pStyle w:val="Contents4"/>
            <w:tabs>
              <w:tab w:val="clear" w:pos="8176"/>
              <w:tab w:val="right" w:pos="9026" w:leader="dot"/>
            </w:tabs>
            <w:rPr/>
          </w:pPr>
          <w:hyperlink w:anchor="__RefHeading___Toc4418276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418278_1280447820">
            <w:r>
              <w:rPr>
                <w:webHidden/>
                <w:rStyle w:val="IndexLink"/>
                <w:rtl w:val="true"/>
              </w:rPr>
              <w:t xml:space="preserve">وتحقيق الكلام في مقامين </w:t>
            </w:r>
            <w:r>
              <w:rPr>
                <w:rStyle w:val="IndexLink"/>
                <w:rtl w:val="true"/>
              </w:rPr>
              <w:t>:</w:t>
              <w:tab/>
            </w:r>
            <w:r>
              <w:rPr>
                <w:rStyle w:val="IndexLink"/>
              </w:rPr>
              <w:t>338</w:t>
            </w:r>
          </w:hyperlink>
        </w:p>
        <w:p>
          <w:pPr>
            <w:pStyle w:val="Contents4"/>
            <w:tabs>
              <w:tab w:val="clear" w:pos="8176"/>
              <w:tab w:val="right" w:pos="9026" w:leader="dot"/>
            </w:tabs>
            <w:rPr/>
          </w:pPr>
          <w:hyperlink w:anchor="__RefHeading___Toc4418280_1280447820">
            <w:r>
              <w:rPr>
                <w:webHidden/>
                <w:rStyle w:val="IndexLink"/>
                <w:rtl w:val="true"/>
              </w:rPr>
              <w:t xml:space="preserve">تنبيه </w:t>
            </w:r>
            <w:r>
              <w:rPr>
                <w:rStyle w:val="IndexLink"/>
                <w:rtl w:val="true"/>
              </w:rPr>
              <w:t>:</w:t>
              <w:tab/>
            </w:r>
            <w:r>
              <w:rPr>
                <w:rStyle w:val="IndexLink"/>
              </w:rPr>
              <w:t>342</w:t>
            </w:r>
          </w:hyperlink>
        </w:p>
        <w:p>
          <w:pPr>
            <w:pStyle w:val="Contents3"/>
            <w:tabs>
              <w:tab w:val="clear" w:pos="8459"/>
              <w:tab w:val="right" w:pos="9026" w:leader="dot"/>
            </w:tabs>
            <w:rPr/>
          </w:pPr>
          <w:hyperlink w:anchor="__RefHeading___Toc4418282_1280447820">
            <w:r>
              <w:rPr>
                <w:webHidden/>
                <w:rStyle w:val="IndexLink"/>
                <w:rtl w:val="true"/>
              </w:rPr>
              <w:t>هداية</w:t>
            </w:r>
            <w:r>
              <w:rPr>
                <w:rStyle w:val="IndexLink"/>
                <w:rtl w:val="true"/>
              </w:rPr>
              <w:tab/>
            </w:r>
            <w:r>
              <w:rPr>
                <w:rStyle w:val="IndexLink"/>
              </w:rPr>
              <w:t>343</w:t>
            </w:r>
          </w:hyperlink>
        </w:p>
        <w:p>
          <w:pPr>
            <w:pStyle w:val="Contents4"/>
            <w:tabs>
              <w:tab w:val="clear" w:pos="8176"/>
              <w:tab w:val="right" w:pos="9026" w:leader="dot"/>
            </w:tabs>
            <w:rPr/>
          </w:pPr>
          <w:hyperlink w:anchor="__RefHeading___Toc4418284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4418286_1280447820">
            <w:r>
              <w:rPr>
                <w:webHidden/>
                <w:rStyle w:val="IndexLink"/>
                <w:rtl w:val="true"/>
              </w:rPr>
              <w:t xml:space="preserve">وينبغي التنبيه على أمرين </w:t>
            </w:r>
            <w:r>
              <w:rPr>
                <w:rStyle w:val="IndexLink"/>
                <w:rtl w:val="true"/>
              </w:rPr>
              <w:t>:</w:t>
              <w:tab/>
            </w:r>
            <w:r>
              <w:rPr>
                <w:rStyle w:val="IndexLink"/>
              </w:rPr>
              <w:t>353</w:t>
            </w:r>
          </w:hyperlink>
        </w:p>
        <w:p>
          <w:pPr>
            <w:pStyle w:val="Contents3"/>
            <w:tabs>
              <w:tab w:val="clear" w:pos="8459"/>
              <w:tab w:val="right" w:pos="9026" w:leader="dot"/>
            </w:tabs>
            <w:rPr/>
          </w:pPr>
          <w:hyperlink w:anchor="__RefHeading___Toc4418288_1280447820">
            <w:r>
              <w:rPr>
                <w:webHidden/>
                <w:rStyle w:val="IndexLink"/>
                <w:rtl w:val="true"/>
              </w:rPr>
              <w:t>هداية</w:t>
            </w:r>
            <w:r>
              <w:rPr>
                <w:rStyle w:val="IndexLink"/>
                <w:rtl w:val="true"/>
              </w:rPr>
              <w:tab/>
            </w:r>
            <w:r>
              <w:rPr>
                <w:rStyle w:val="IndexLink"/>
              </w:rPr>
              <w:t>359</w:t>
            </w:r>
          </w:hyperlink>
        </w:p>
        <w:p>
          <w:pPr>
            <w:pStyle w:val="Contents3"/>
            <w:tabs>
              <w:tab w:val="clear" w:pos="8459"/>
              <w:tab w:val="right" w:pos="9026" w:leader="dot"/>
            </w:tabs>
            <w:rPr/>
          </w:pPr>
          <w:hyperlink w:anchor="__RefHeading___Toc4418290_1280447820">
            <w:r>
              <w:rPr>
                <w:webHidden/>
                <w:rStyle w:val="IndexLink"/>
                <w:rtl w:val="true"/>
              </w:rPr>
              <w:t>هداية</w:t>
            </w:r>
            <w:r>
              <w:rPr>
                <w:rStyle w:val="IndexLink"/>
                <w:rtl w:val="true"/>
              </w:rPr>
              <w:tab/>
            </w:r>
            <w:r>
              <w:rPr>
                <w:rStyle w:val="IndexLink"/>
              </w:rPr>
              <w:t>371</w:t>
            </w:r>
          </w:hyperlink>
        </w:p>
        <w:p>
          <w:pPr>
            <w:pStyle w:val="Contents4"/>
            <w:tabs>
              <w:tab w:val="clear" w:pos="8176"/>
              <w:tab w:val="right" w:pos="9026" w:leader="dot"/>
            </w:tabs>
            <w:rPr/>
          </w:pPr>
          <w:hyperlink w:anchor="__RefHeading___Toc4418292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4418294_1280447820">
            <w:r>
              <w:rPr>
                <w:webHidden/>
                <w:rStyle w:val="IndexLink"/>
                <w:rtl w:val="true"/>
              </w:rPr>
              <w:t xml:space="preserve">تذنيب </w:t>
            </w:r>
            <w:r>
              <w:rPr>
                <w:rStyle w:val="IndexLink"/>
                <w:rtl w:val="true"/>
              </w:rPr>
              <w:t>:</w:t>
              <w:tab/>
            </w:r>
            <w:r>
              <w:rPr>
                <w:rStyle w:val="IndexLink"/>
              </w:rPr>
              <w:t>383</w:t>
            </w:r>
          </w:hyperlink>
        </w:p>
        <w:p>
          <w:pPr>
            <w:pStyle w:val="Contents3"/>
            <w:tabs>
              <w:tab w:val="clear" w:pos="8459"/>
              <w:tab w:val="right" w:pos="9026" w:leader="dot"/>
            </w:tabs>
            <w:rPr/>
          </w:pPr>
          <w:hyperlink w:anchor="__RefHeading___Toc4418296_1280447820">
            <w:r>
              <w:rPr>
                <w:webHidden/>
                <w:rStyle w:val="IndexLink"/>
                <w:rtl w:val="true"/>
              </w:rPr>
              <w:t>هداية</w:t>
            </w:r>
            <w:r>
              <w:rPr>
                <w:rStyle w:val="IndexLink"/>
                <w:rtl w:val="true"/>
              </w:rPr>
              <w:tab/>
            </w:r>
            <w:r>
              <w:rPr>
                <w:rStyle w:val="IndexLink"/>
              </w:rPr>
              <w:t>387</w:t>
            </w:r>
          </w:hyperlink>
        </w:p>
        <w:p>
          <w:pPr>
            <w:pStyle w:val="Contents3"/>
            <w:tabs>
              <w:tab w:val="clear" w:pos="8459"/>
              <w:tab w:val="right" w:pos="9026" w:leader="dot"/>
            </w:tabs>
            <w:rPr/>
          </w:pPr>
          <w:hyperlink w:anchor="__RefHeading___Toc4418298_1280447820">
            <w:r>
              <w:rPr>
                <w:webHidden/>
                <w:rStyle w:val="IndexLink"/>
                <w:rtl w:val="true"/>
              </w:rPr>
              <w:t>هداية</w:t>
            </w:r>
            <w:r>
              <w:rPr>
                <w:rStyle w:val="IndexLink"/>
                <w:rtl w:val="true"/>
              </w:rPr>
              <w:tab/>
            </w:r>
            <w:r>
              <w:rPr>
                <w:rStyle w:val="IndexLink"/>
              </w:rPr>
              <w:t>391</w:t>
            </w:r>
          </w:hyperlink>
        </w:p>
        <w:p>
          <w:pPr>
            <w:pStyle w:val="Contents3"/>
            <w:tabs>
              <w:tab w:val="clear" w:pos="8459"/>
              <w:tab w:val="right" w:pos="9026" w:leader="dot"/>
            </w:tabs>
            <w:rPr/>
          </w:pPr>
          <w:hyperlink w:anchor="__RefHeading___Toc4418300_1280447820">
            <w:r>
              <w:rPr>
                <w:webHidden/>
                <w:rStyle w:val="IndexLink"/>
                <w:rtl w:val="true"/>
              </w:rPr>
              <w:t>هداية</w:t>
            </w:r>
            <w:r>
              <w:rPr>
                <w:rStyle w:val="IndexLink"/>
                <w:rtl w:val="true"/>
              </w:rPr>
              <w:tab/>
            </w:r>
            <w:r>
              <w:rPr>
                <w:rStyle w:val="IndexLink"/>
              </w:rPr>
              <w:t>397</w:t>
            </w:r>
          </w:hyperlink>
        </w:p>
        <w:p>
          <w:pPr>
            <w:pStyle w:val="Contents3"/>
            <w:tabs>
              <w:tab w:val="clear" w:pos="8459"/>
              <w:tab w:val="right" w:pos="9026" w:leader="dot"/>
            </w:tabs>
            <w:rPr/>
          </w:pPr>
          <w:hyperlink w:anchor="__RefHeading___Toc4418302_1280447820">
            <w:r>
              <w:rPr>
                <w:webHidden/>
                <w:rStyle w:val="IndexLink"/>
                <w:rtl w:val="true"/>
              </w:rPr>
              <w:t>هداية</w:t>
            </w:r>
            <w:r>
              <w:rPr>
                <w:rStyle w:val="IndexLink"/>
                <w:rtl w:val="true"/>
              </w:rPr>
              <w:tab/>
            </w:r>
            <w:r>
              <w:rPr>
                <w:rStyle w:val="IndexLink"/>
              </w:rPr>
              <w:t>407</w:t>
            </w:r>
          </w:hyperlink>
        </w:p>
        <w:p>
          <w:pPr>
            <w:pStyle w:val="Contents3"/>
            <w:tabs>
              <w:tab w:val="clear" w:pos="8459"/>
              <w:tab w:val="right" w:pos="9026" w:leader="dot"/>
            </w:tabs>
            <w:rPr/>
          </w:pPr>
          <w:hyperlink w:anchor="__RefHeading___Toc4418304_1280447820">
            <w:r>
              <w:rPr>
                <w:webHidden/>
                <w:rStyle w:val="IndexLink"/>
                <w:rtl w:val="true"/>
              </w:rPr>
              <w:t>هداية</w:t>
            </w:r>
            <w:r>
              <w:rPr>
                <w:rStyle w:val="IndexLink"/>
                <w:rtl w:val="true"/>
              </w:rPr>
              <w:tab/>
            </w:r>
            <w:r>
              <w:rPr>
                <w:rStyle w:val="IndexLink"/>
              </w:rPr>
              <w:t>411</w:t>
            </w:r>
          </w:hyperlink>
        </w:p>
        <w:p>
          <w:pPr>
            <w:pStyle w:val="Contents3"/>
            <w:tabs>
              <w:tab w:val="clear" w:pos="8459"/>
              <w:tab w:val="right" w:pos="9026" w:leader="dot"/>
            </w:tabs>
            <w:rPr/>
          </w:pPr>
          <w:hyperlink w:anchor="__RefHeading___Toc4418306_1280447820">
            <w:r>
              <w:rPr>
                <w:webHidden/>
                <w:rStyle w:val="IndexLink"/>
                <w:rtl w:val="true"/>
              </w:rPr>
              <w:t>هداية</w:t>
            </w:r>
            <w:r>
              <w:rPr>
                <w:rStyle w:val="IndexLink"/>
                <w:rtl w:val="true"/>
              </w:rPr>
              <w:tab/>
            </w:r>
            <w:r>
              <w:rPr>
                <w:rStyle w:val="IndexLink"/>
              </w:rPr>
              <w:t>447</w:t>
            </w:r>
          </w:hyperlink>
        </w:p>
        <w:p>
          <w:pPr>
            <w:pStyle w:val="Contents3"/>
            <w:tabs>
              <w:tab w:val="clear" w:pos="8459"/>
              <w:tab w:val="right" w:pos="9026" w:leader="dot"/>
            </w:tabs>
            <w:rPr/>
          </w:pPr>
          <w:hyperlink w:anchor="__RefHeading___Toc4418308_1280447820">
            <w:r>
              <w:rPr>
                <w:webHidden/>
                <w:rStyle w:val="IndexLink"/>
                <w:rtl w:val="true"/>
              </w:rPr>
              <w:t>هداية</w:t>
            </w:r>
            <w:r>
              <w:rPr>
                <w:rStyle w:val="IndexLink"/>
                <w:rtl w:val="true"/>
              </w:rPr>
              <w:tab/>
            </w:r>
            <w:r>
              <w:rPr>
                <w:rStyle w:val="IndexLink"/>
              </w:rPr>
              <w:t>453</w:t>
            </w:r>
          </w:hyperlink>
        </w:p>
        <w:p>
          <w:pPr>
            <w:pStyle w:val="Contents3"/>
            <w:tabs>
              <w:tab w:val="clear" w:pos="8459"/>
              <w:tab w:val="right" w:pos="9026" w:leader="dot"/>
            </w:tabs>
            <w:rPr/>
          </w:pPr>
          <w:hyperlink w:anchor="__RefHeading___Toc4418310_1280447820">
            <w:r>
              <w:rPr>
                <w:webHidden/>
                <w:rStyle w:val="IndexLink"/>
                <w:rtl w:val="true"/>
              </w:rPr>
              <w:t>هداية</w:t>
            </w:r>
            <w:r>
              <w:rPr>
                <w:rStyle w:val="IndexLink"/>
                <w:rtl w:val="true"/>
              </w:rPr>
              <w:tab/>
            </w:r>
            <w:r>
              <w:rPr>
                <w:rStyle w:val="IndexLink"/>
              </w:rPr>
              <w:t>457</w:t>
            </w:r>
          </w:hyperlink>
        </w:p>
        <w:p>
          <w:pPr>
            <w:pStyle w:val="Contents3"/>
            <w:tabs>
              <w:tab w:val="clear" w:pos="8459"/>
              <w:tab w:val="right" w:pos="9026" w:leader="dot"/>
            </w:tabs>
            <w:rPr/>
          </w:pPr>
          <w:hyperlink w:anchor="__RefHeading___Toc4418312_1280447820">
            <w:r>
              <w:rPr>
                <w:webHidden/>
                <w:rStyle w:val="IndexLink"/>
                <w:rtl w:val="true"/>
              </w:rPr>
              <w:t>هداية</w:t>
            </w:r>
            <w:r>
              <w:rPr>
                <w:rStyle w:val="IndexLink"/>
                <w:rtl w:val="true"/>
              </w:rPr>
              <w:tab/>
            </w:r>
            <w:r>
              <w:rPr>
                <w:rStyle w:val="IndexLink"/>
              </w:rPr>
              <w:t>463</w:t>
            </w:r>
          </w:hyperlink>
        </w:p>
        <w:p>
          <w:pPr>
            <w:pStyle w:val="Contents3"/>
            <w:tabs>
              <w:tab w:val="clear" w:pos="8459"/>
              <w:tab w:val="right" w:pos="9026" w:leader="dot"/>
            </w:tabs>
            <w:rPr/>
          </w:pPr>
          <w:hyperlink w:anchor="__RefHeading___Toc4418314_1280447820">
            <w:r>
              <w:rPr>
                <w:webHidden/>
                <w:rStyle w:val="IndexLink"/>
                <w:rtl w:val="true"/>
              </w:rPr>
              <w:t>هداية</w:t>
            </w:r>
            <w:r>
              <w:rPr>
                <w:rStyle w:val="IndexLink"/>
                <w:rtl w:val="true"/>
              </w:rPr>
              <w:tab/>
            </w:r>
            <w:r>
              <w:rPr>
                <w:rStyle w:val="IndexLink"/>
              </w:rPr>
              <w:t>479</w:t>
            </w:r>
          </w:hyperlink>
        </w:p>
        <w:p>
          <w:pPr>
            <w:pStyle w:val="Contents3"/>
            <w:tabs>
              <w:tab w:val="clear" w:pos="8459"/>
              <w:tab w:val="right" w:pos="9026" w:leader="dot"/>
            </w:tabs>
            <w:rPr/>
          </w:pPr>
          <w:hyperlink w:anchor="__RefHeading___Toc4418316_1280447820">
            <w:r>
              <w:rPr>
                <w:webHidden/>
                <w:rStyle w:val="IndexLink"/>
                <w:rtl w:val="true"/>
              </w:rPr>
              <w:t>هداية</w:t>
            </w:r>
            <w:r>
              <w:rPr>
                <w:rStyle w:val="IndexLink"/>
                <w:rtl w:val="true"/>
              </w:rPr>
              <w:tab/>
            </w:r>
            <w:r>
              <w:rPr>
                <w:rStyle w:val="IndexLink"/>
              </w:rPr>
              <w:t>481</w:t>
            </w:r>
          </w:hyperlink>
        </w:p>
        <w:p>
          <w:pPr>
            <w:pStyle w:val="Contents3"/>
            <w:tabs>
              <w:tab w:val="clear" w:pos="8459"/>
              <w:tab w:val="right" w:pos="9026" w:leader="dot"/>
            </w:tabs>
            <w:rPr/>
          </w:pPr>
          <w:hyperlink w:anchor="__RefHeading___Toc4418318_1280447820">
            <w:r>
              <w:rPr>
                <w:webHidden/>
                <w:rStyle w:val="IndexLink"/>
                <w:rtl w:val="true"/>
              </w:rPr>
              <w:t>هداية</w:t>
            </w:r>
            <w:r>
              <w:rPr>
                <w:rStyle w:val="IndexLink"/>
                <w:rtl w:val="true"/>
              </w:rPr>
              <w:tab/>
            </w:r>
            <w:r>
              <w:rPr>
                <w:rStyle w:val="IndexLink"/>
              </w:rPr>
              <w:t>489</w:t>
            </w:r>
          </w:hyperlink>
        </w:p>
        <w:p>
          <w:pPr>
            <w:pStyle w:val="Contents4"/>
            <w:tabs>
              <w:tab w:val="clear" w:pos="8176"/>
              <w:tab w:val="right" w:pos="9026" w:leader="dot"/>
            </w:tabs>
            <w:rPr/>
          </w:pPr>
          <w:hyperlink w:anchor="__RefHeading___Toc4418320_1280447820">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4418322_1280447820">
            <w:r>
              <w:rPr>
                <w:webHidden/>
                <w:rStyle w:val="IndexLink"/>
                <w:rtl w:val="true"/>
              </w:rPr>
              <w:t xml:space="preserve">وتنقيح البحث في موارد </w:t>
            </w:r>
            <w:r>
              <w:rPr>
                <w:rStyle w:val="IndexLink"/>
                <w:rtl w:val="true"/>
              </w:rPr>
              <w:t>:</w:t>
              <w:tab/>
            </w:r>
            <w:r>
              <w:rPr>
                <w:rStyle w:val="IndexLink"/>
              </w:rPr>
              <w:t>491</w:t>
            </w:r>
          </w:hyperlink>
        </w:p>
        <w:p>
          <w:pPr>
            <w:pStyle w:val="Contents2"/>
            <w:tabs>
              <w:tab w:val="clear" w:pos="8743"/>
              <w:tab w:val="right" w:pos="9026" w:leader="dot"/>
            </w:tabs>
            <w:rPr/>
          </w:pPr>
          <w:hyperlink w:anchor="__RefHeading___Toc4418324_1280447820">
            <w:r>
              <w:rPr>
                <w:webHidden/>
                <w:rStyle w:val="IndexLink"/>
                <w:rtl w:val="true"/>
              </w:rPr>
              <w:t>القول في أنّ الأمر بالشيء هل يقتضي النهي عن ضدّه أو لا؟</w:t>
            </w:r>
            <w:r>
              <w:rPr>
                <w:rStyle w:val="IndexLink"/>
                <w:rtl w:val="true"/>
              </w:rPr>
              <w:tab/>
            </w:r>
            <w:r>
              <w:rPr>
                <w:rStyle w:val="IndexLink"/>
              </w:rPr>
              <w:t>501</w:t>
            </w:r>
          </w:hyperlink>
        </w:p>
        <w:p>
          <w:pPr>
            <w:pStyle w:val="Contents3"/>
            <w:tabs>
              <w:tab w:val="clear" w:pos="8459"/>
              <w:tab w:val="right" w:pos="9026" w:leader="dot"/>
            </w:tabs>
            <w:rPr/>
          </w:pPr>
          <w:hyperlink w:anchor="__RefHeading___Toc4418326_1280447820">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4418328_1280447820">
            <w:r>
              <w:rPr>
                <w:webHidden/>
                <w:rStyle w:val="IndexLink"/>
                <w:rtl w:val="true"/>
              </w:rPr>
              <w:t>هداية</w:t>
            </w:r>
            <w:r>
              <w:rPr>
                <w:rStyle w:val="IndexLink"/>
                <w:rtl w:val="true"/>
              </w:rPr>
              <w:tab/>
            </w:r>
            <w:r>
              <w:rPr>
                <w:rStyle w:val="IndexLink"/>
              </w:rPr>
              <w:t>503</w:t>
            </w:r>
          </w:hyperlink>
        </w:p>
        <w:p>
          <w:pPr>
            <w:pStyle w:val="Contents3"/>
            <w:tabs>
              <w:tab w:val="clear" w:pos="8459"/>
              <w:tab w:val="right" w:pos="9026" w:leader="dot"/>
            </w:tabs>
            <w:rPr/>
          </w:pPr>
          <w:hyperlink w:anchor="__RefHeading___Toc4418330_1280447820">
            <w:r>
              <w:rPr>
                <w:webHidden/>
                <w:rStyle w:val="IndexLink"/>
                <w:rtl w:val="true"/>
              </w:rPr>
              <w:t>هداية في تحقيق مقدميّة ترك أحد الضدّين لوجود الآخر</w:t>
            </w:r>
            <w:r>
              <w:rPr>
                <w:rStyle w:val="IndexLink"/>
                <w:rtl w:val="true"/>
              </w:rPr>
              <w:tab/>
            </w:r>
            <w:r>
              <w:rPr>
                <w:rStyle w:val="IndexLink"/>
              </w:rPr>
              <w:t>505</w:t>
            </w:r>
          </w:hyperlink>
        </w:p>
        <w:p>
          <w:pPr>
            <w:pStyle w:val="Contents3"/>
            <w:tabs>
              <w:tab w:val="clear" w:pos="8459"/>
              <w:tab w:val="right" w:pos="9026" w:leader="dot"/>
            </w:tabs>
            <w:rPr/>
          </w:pPr>
          <w:hyperlink w:anchor="__RefHeading___Toc4418332_1280447820">
            <w:r>
              <w:rPr>
                <w:webHidden/>
                <w:rStyle w:val="IndexLink"/>
                <w:rtl w:val="true"/>
              </w:rPr>
              <w:t xml:space="preserve">وتنقيح الكلام فيه يستدعي رسم مقدّمات </w:t>
            </w:r>
            <w:r>
              <w:rPr>
                <w:rStyle w:val="IndexLink"/>
                <w:rtl w:val="true"/>
              </w:rPr>
              <w:t>:</w:t>
              <w:tab/>
            </w:r>
            <w:r>
              <w:rPr>
                <w:rStyle w:val="IndexLink"/>
              </w:rPr>
              <w:t>521</w:t>
            </w:r>
          </w:hyperlink>
        </w:p>
        <w:p>
          <w:pPr>
            <w:pStyle w:val="Contents4"/>
            <w:tabs>
              <w:tab w:val="clear" w:pos="8176"/>
              <w:tab w:val="right" w:pos="9026" w:leader="dot"/>
            </w:tabs>
            <w:rPr/>
          </w:pPr>
          <w:hyperlink w:anchor="__RefHeading___Toc4418334_1280447820">
            <w:r>
              <w:rPr>
                <w:webHidden/>
                <w:rStyle w:val="IndexLink"/>
                <w:rtl w:val="true"/>
              </w:rPr>
              <w:t>الاولى</w:t>
            </w:r>
            <w:r>
              <w:rPr>
                <w:rStyle w:val="IndexLink"/>
                <w:rtl w:val="true"/>
              </w:rPr>
              <w:tab/>
            </w:r>
            <w:r>
              <w:rPr>
                <w:rStyle w:val="IndexLink"/>
              </w:rPr>
              <w:t>521</w:t>
            </w:r>
          </w:hyperlink>
        </w:p>
        <w:p>
          <w:pPr>
            <w:pStyle w:val="Contents4"/>
            <w:tabs>
              <w:tab w:val="clear" w:pos="8176"/>
              <w:tab w:val="right" w:pos="9026" w:leader="dot"/>
            </w:tabs>
            <w:rPr/>
          </w:pPr>
          <w:hyperlink w:anchor="__RefHeading___Toc4418336_1280447820">
            <w:r>
              <w:rPr>
                <w:webHidden/>
                <w:rStyle w:val="IndexLink"/>
                <w:rtl w:val="true"/>
              </w:rPr>
              <w:t xml:space="preserve">المقدّمة الثانية </w:t>
            </w:r>
            <w:r>
              <w:rPr>
                <w:rStyle w:val="IndexLink"/>
                <w:rtl w:val="true"/>
              </w:rPr>
              <w:t xml:space="preserve">: </w:t>
            </w:r>
            <w:r>
              <w:rPr>
                <w:rStyle w:val="IndexLink"/>
                <w:rtl w:val="true"/>
              </w:rPr>
              <w:t>في تحرير محلّ النزاع</w:t>
            </w:r>
            <w:r>
              <w:rPr>
                <w:rStyle w:val="IndexLink"/>
                <w:rtl w:val="true"/>
              </w:rPr>
              <w:tab/>
            </w:r>
            <w:r>
              <w:rPr>
                <w:rStyle w:val="IndexLink"/>
              </w:rPr>
              <w:t>543</w:t>
            </w:r>
          </w:hyperlink>
        </w:p>
        <w:p>
          <w:pPr>
            <w:pStyle w:val="Contents4"/>
            <w:tabs>
              <w:tab w:val="clear" w:pos="8176"/>
              <w:tab w:val="right" w:pos="9026" w:leader="dot"/>
            </w:tabs>
            <w:rPr/>
          </w:pPr>
          <w:hyperlink w:anchor="__RefHeading___Toc4418338_1280447820">
            <w:r>
              <w:rPr>
                <w:webHidden/>
                <w:rStyle w:val="IndexLink"/>
                <w:rtl w:val="true"/>
              </w:rPr>
              <w:t xml:space="preserve">المقدّمة الثالثة </w:t>
            </w:r>
            <w:r>
              <w:rPr>
                <w:rStyle w:val="IndexLink"/>
                <w:rtl w:val="true"/>
              </w:rPr>
              <w:t xml:space="preserve">: </w:t>
            </w:r>
            <w:r>
              <w:rPr>
                <w:rStyle w:val="IndexLink"/>
                <w:rtl w:val="true"/>
              </w:rPr>
              <w:t xml:space="preserve">في معرفة المراد من </w:t>
            </w:r>
            <w:r>
              <w:rPr>
                <w:rStyle w:val="IndexLink"/>
                <w:rtl w:val="true"/>
              </w:rPr>
              <w:t xml:space="preserve">« </w:t>
            </w:r>
            <w:r>
              <w:rPr>
                <w:rStyle w:val="IndexLink"/>
                <w:rtl w:val="true"/>
              </w:rPr>
              <w:t xml:space="preserve">الشيء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النهي </w:t>
            </w:r>
            <w:r>
              <w:rPr>
                <w:rStyle w:val="IndexLink"/>
                <w:rtl w:val="true"/>
              </w:rPr>
              <w:t xml:space="preserve">» </w:t>
            </w:r>
            <w:r>
              <w:rPr>
                <w:rStyle w:val="IndexLink"/>
                <w:rtl w:val="true"/>
              </w:rPr>
              <w:t>المشتمل عليهما عنوان البحث</w:t>
            </w:r>
            <w:r>
              <w:rPr>
                <w:rStyle w:val="IndexLink"/>
                <w:rtl w:val="true"/>
              </w:rPr>
              <w:tab/>
            </w:r>
            <w:r>
              <w:rPr>
                <w:rStyle w:val="IndexLink"/>
              </w:rPr>
              <w:t>552</w:t>
            </w:r>
          </w:hyperlink>
        </w:p>
        <w:p>
          <w:pPr>
            <w:pStyle w:val="Contents4"/>
            <w:tabs>
              <w:tab w:val="clear" w:pos="8176"/>
              <w:tab w:val="right" w:pos="9026" w:leader="dot"/>
            </w:tabs>
            <w:rPr/>
          </w:pPr>
          <w:hyperlink w:anchor="__RefHeading___Toc4418340_1280447820">
            <w:r>
              <w:rPr>
                <w:webHidden/>
                <w:rStyle w:val="IndexLink"/>
                <w:rtl w:val="true"/>
              </w:rPr>
              <w:t xml:space="preserve">المقدّمة الرابعة </w:t>
            </w:r>
            <w:r>
              <w:rPr>
                <w:rStyle w:val="IndexLink"/>
                <w:rtl w:val="true"/>
              </w:rPr>
              <w:t xml:space="preserve">: </w:t>
            </w:r>
            <w:r>
              <w:rPr>
                <w:rStyle w:val="IndexLink"/>
                <w:rtl w:val="true"/>
              </w:rPr>
              <w:t>في الضدّ</w:t>
            </w:r>
            <w:r>
              <w:rPr>
                <w:rStyle w:val="IndexLink"/>
                <w:rtl w:val="true"/>
              </w:rPr>
              <w:tab/>
            </w:r>
            <w:r>
              <w:rPr>
                <w:rStyle w:val="IndexLink"/>
              </w:rPr>
              <w:t>554</w:t>
            </w:r>
          </w:hyperlink>
        </w:p>
        <w:p>
          <w:pPr>
            <w:pStyle w:val="Contents4"/>
            <w:tabs>
              <w:tab w:val="clear" w:pos="8176"/>
              <w:tab w:val="right" w:pos="9026" w:leader="dot"/>
            </w:tabs>
            <w:rPr/>
          </w:pPr>
          <w:hyperlink w:anchor="__RefHeading___Toc4418342_1280447820">
            <w:r>
              <w:rPr>
                <w:webHidden/>
                <w:rStyle w:val="IndexLink"/>
                <w:rtl w:val="true"/>
              </w:rPr>
              <w:t xml:space="preserve">المقدّمة الخامسة </w:t>
            </w:r>
            <w:r>
              <w:rPr>
                <w:rStyle w:val="IndexLink"/>
                <w:rtl w:val="true"/>
              </w:rPr>
              <w:t xml:space="preserve">: </w:t>
            </w:r>
            <w:r>
              <w:rPr>
                <w:rStyle w:val="IndexLink"/>
                <w:rtl w:val="true"/>
              </w:rPr>
              <w:t xml:space="preserve">في بيان المراد من </w:t>
            </w:r>
            <w:r>
              <w:rPr>
                <w:rStyle w:val="IndexLink"/>
                <w:rtl w:val="true"/>
              </w:rPr>
              <w:t xml:space="preserve">« </w:t>
            </w:r>
            <w:r>
              <w:rPr>
                <w:rStyle w:val="IndexLink"/>
                <w:rtl w:val="true"/>
              </w:rPr>
              <w:t xml:space="preserve">الاقتضاء </w:t>
            </w:r>
            <w:r>
              <w:rPr>
                <w:rStyle w:val="IndexLink"/>
                <w:rtl w:val="true"/>
              </w:rPr>
              <w:t xml:space="preserve">» </w:t>
            </w:r>
            <w:r>
              <w:rPr>
                <w:rStyle w:val="IndexLink"/>
                <w:rtl w:val="true"/>
              </w:rPr>
              <w:t>المتنازع فيه</w:t>
            </w:r>
            <w:r>
              <w:rPr>
                <w:rStyle w:val="IndexLink"/>
                <w:rtl w:val="true"/>
              </w:rPr>
              <w:tab/>
            </w:r>
            <w:r>
              <w:rPr>
                <w:rStyle w:val="IndexLink"/>
              </w:rPr>
              <w:t>559</w:t>
            </w:r>
          </w:hyperlink>
        </w:p>
        <w:p>
          <w:pPr>
            <w:pStyle w:val="Contents3"/>
            <w:tabs>
              <w:tab w:val="clear" w:pos="8459"/>
              <w:tab w:val="right" w:pos="9026" w:leader="dot"/>
            </w:tabs>
            <w:rPr/>
          </w:pPr>
          <w:hyperlink w:anchor="__RefHeading___Toc4418344_1280447820">
            <w:r>
              <w:rPr>
                <w:webHidden/>
                <w:rStyle w:val="IndexLink"/>
                <w:rtl w:val="true"/>
              </w:rPr>
              <w:t xml:space="preserve">[ </w:t>
            </w:r>
            <w:r>
              <w:rPr>
                <w:rStyle w:val="IndexLink"/>
                <w:rtl w:val="true"/>
              </w:rPr>
              <w:t xml:space="preserve">الأقوال في المسألة </w:t>
            </w:r>
            <w:r>
              <w:rPr>
                <w:rStyle w:val="IndexLink"/>
                <w:rtl w:val="true"/>
              </w:rPr>
              <w:t>]</w:t>
              <w:tab/>
            </w:r>
            <w:r>
              <w:rPr>
                <w:rStyle w:val="IndexLink"/>
              </w:rPr>
              <w:t>560</w:t>
            </w:r>
          </w:hyperlink>
        </w:p>
        <w:p>
          <w:pPr>
            <w:pStyle w:val="Contents4"/>
            <w:tabs>
              <w:tab w:val="clear" w:pos="8176"/>
              <w:tab w:val="right" w:pos="9026" w:leader="dot"/>
            </w:tabs>
            <w:rPr/>
          </w:pPr>
          <w:hyperlink w:anchor="__RefHeading___Toc4418346_1280447820">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4418348_1280447820">
            <w:r>
              <w:rPr>
                <w:webHidden/>
                <w:rStyle w:val="IndexLink"/>
                <w:rtl w:val="true"/>
              </w:rPr>
              <w:t xml:space="preserve">إذا تمهّدت المقدّمات ، فالأقوال في الضدّ العام خمسة </w:t>
            </w:r>
            <w:r>
              <w:rPr>
                <w:rStyle w:val="IndexLink"/>
                <w:rtl w:val="true"/>
              </w:rPr>
              <w:t>:</w:t>
              <w:tab/>
            </w:r>
            <w:r>
              <w:rPr>
                <w:rStyle w:val="IndexLink"/>
              </w:rPr>
              <w:t>560</w:t>
            </w:r>
          </w:hyperlink>
        </w:p>
        <w:p>
          <w:pPr>
            <w:pStyle w:val="Contents4"/>
            <w:tabs>
              <w:tab w:val="clear" w:pos="8176"/>
              <w:tab w:val="right" w:pos="9026" w:leader="dot"/>
            </w:tabs>
            <w:rPr/>
          </w:pPr>
          <w:hyperlink w:anchor="__RefHeading___Toc4418350_1280447820">
            <w:r>
              <w:rPr>
                <w:webHidden/>
                <w:rStyle w:val="IndexLink"/>
                <w:rtl w:val="true"/>
              </w:rPr>
              <w:t xml:space="preserve">هذا أوان الشروع في ذكر أدلّة الأقوال </w:t>
            </w:r>
            <w:r>
              <w:rPr>
                <w:rStyle w:val="IndexLink"/>
                <w:rtl w:val="true"/>
              </w:rPr>
              <w:t>:</w:t>
              <w:tab/>
            </w:r>
            <w:r>
              <w:rPr>
                <w:rStyle w:val="IndexLink"/>
              </w:rPr>
              <w:t>571</w:t>
            </w:r>
          </w:hyperlink>
        </w:p>
        <w:p>
          <w:pPr>
            <w:pStyle w:val="Contents5"/>
            <w:tabs>
              <w:tab w:val="clear" w:pos="7892"/>
              <w:tab w:val="right" w:pos="9026" w:leader="dot"/>
            </w:tabs>
            <w:rPr/>
          </w:pPr>
          <w:hyperlink w:anchor="__RefHeading___Toc4418352_1280447820">
            <w:r>
              <w:rPr>
                <w:webHidden/>
                <w:rStyle w:val="IndexLink"/>
                <w:rtl w:val="true"/>
              </w:rPr>
              <w:t>حجّة القول بنفي الاقتضاء رأسا في الضدّ العامّ</w:t>
            </w:r>
            <w:r>
              <w:rPr>
                <w:rStyle w:val="IndexLink"/>
                <w:rtl w:val="true"/>
              </w:rPr>
              <w:tab/>
            </w:r>
            <w:r>
              <w:rPr>
                <w:rStyle w:val="IndexLink"/>
              </w:rPr>
              <w:t>571</w:t>
            </w:r>
          </w:hyperlink>
        </w:p>
        <w:p>
          <w:pPr>
            <w:pStyle w:val="Contents5"/>
            <w:tabs>
              <w:tab w:val="clear" w:pos="7892"/>
              <w:tab w:val="right" w:pos="9026" w:leader="dot"/>
            </w:tabs>
            <w:rPr/>
          </w:pPr>
          <w:hyperlink w:anchor="__RefHeading___Toc4418354_1280447820">
            <w:r>
              <w:rPr>
                <w:webHidden/>
                <w:rStyle w:val="IndexLink"/>
                <w:rtl w:val="true"/>
              </w:rPr>
              <w:t>حجّة القول بالعينيّة في الضدّ العام</w:t>
            </w:r>
            <w:r>
              <w:rPr>
                <w:rStyle w:val="IndexLink"/>
                <w:rtl w:val="true"/>
              </w:rPr>
              <w:tab/>
            </w:r>
            <w:r>
              <w:rPr>
                <w:rStyle w:val="IndexLink"/>
              </w:rPr>
              <w:t>573</w:t>
            </w:r>
          </w:hyperlink>
        </w:p>
        <w:p>
          <w:pPr>
            <w:pStyle w:val="Contents5"/>
            <w:tabs>
              <w:tab w:val="clear" w:pos="7892"/>
              <w:tab w:val="right" w:pos="9026" w:leader="dot"/>
            </w:tabs>
            <w:rPr/>
          </w:pPr>
          <w:hyperlink w:anchor="__RefHeading___Toc4418356_1280447820">
            <w:r>
              <w:rPr>
                <w:webHidden/>
                <w:rStyle w:val="IndexLink"/>
                <w:rtl w:val="true"/>
              </w:rPr>
              <w:t>حجّة القول بالتضمّن في الضدّ العامّ</w:t>
            </w:r>
            <w:r>
              <w:rPr>
                <w:rStyle w:val="IndexLink"/>
                <w:rtl w:val="true"/>
              </w:rPr>
              <w:tab/>
            </w:r>
            <w:r>
              <w:rPr>
                <w:rStyle w:val="IndexLink"/>
              </w:rPr>
              <w:t>574</w:t>
            </w:r>
          </w:hyperlink>
        </w:p>
        <w:p>
          <w:pPr>
            <w:pStyle w:val="Contents5"/>
            <w:tabs>
              <w:tab w:val="clear" w:pos="7892"/>
              <w:tab w:val="right" w:pos="9026" w:leader="dot"/>
            </w:tabs>
            <w:rPr/>
          </w:pPr>
          <w:hyperlink w:anchor="__RefHeading___Toc4418358_1280447820">
            <w:r>
              <w:rPr>
                <w:webHidden/>
                <w:rStyle w:val="IndexLink"/>
                <w:rtl w:val="true"/>
              </w:rPr>
              <w:t>حجّة القول بالعينيّة في الضدّ الخاصّ</w:t>
            </w:r>
            <w:r>
              <w:rPr>
                <w:rStyle w:val="IndexLink"/>
                <w:rtl w:val="true"/>
              </w:rPr>
              <w:tab/>
            </w:r>
            <w:r>
              <w:rPr>
                <w:rStyle w:val="IndexLink"/>
              </w:rPr>
              <w:t>576</w:t>
            </w:r>
          </w:hyperlink>
        </w:p>
        <w:p>
          <w:pPr>
            <w:pStyle w:val="Contents5"/>
            <w:tabs>
              <w:tab w:val="clear" w:pos="7892"/>
              <w:tab w:val="right" w:pos="9026" w:leader="dot"/>
            </w:tabs>
            <w:rPr/>
          </w:pPr>
          <w:hyperlink w:anchor="__RefHeading___Toc4418360_1280447820">
            <w:r>
              <w:rPr>
                <w:webHidden/>
                <w:rStyle w:val="IndexLink"/>
                <w:rtl w:val="true"/>
              </w:rPr>
              <w:t>وأمّا حجّة القول بالتضمّن</w:t>
            </w:r>
            <w:r>
              <w:rPr>
                <w:rStyle w:val="IndexLink"/>
                <w:rtl w:val="true"/>
              </w:rPr>
              <w:tab/>
            </w:r>
            <w:r>
              <w:rPr>
                <w:rStyle w:val="IndexLink"/>
              </w:rPr>
              <w:t>577</w:t>
            </w:r>
          </w:hyperlink>
        </w:p>
        <w:p>
          <w:pPr>
            <w:pStyle w:val="Contents5"/>
            <w:tabs>
              <w:tab w:val="clear" w:pos="7892"/>
              <w:tab w:val="right" w:pos="9026" w:leader="dot"/>
            </w:tabs>
            <w:rPr/>
          </w:pPr>
          <w:hyperlink w:anchor="__RefHeading___Toc4418362_1280447820">
            <w:r>
              <w:rPr>
                <w:webHidden/>
                <w:rStyle w:val="IndexLink"/>
                <w:rtl w:val="true"/>
              </w:rPr>
              <w:t>حجّة القول بالاستلزام الوضعي</w:t>
            </w:r>
            <w:r>
              <w:rPr>
                <w:rStyle w:val="IndexLink"/>
                <w:rtl w:val="true"/>
              </w:rPr>
              <w:tab/>
            </w:r>
            <w:r>
              <w:rPr>
                <w:rStyle w:val="IndexLink"/>
              </w:rPr>
              <w:t>577</w:t>
            </w:r>
          </w:hyperlink>
        </w:p>
        <w:p>
          <w:pPr>
            <w:pStyle w:val="Contents5"/>
            <w:tabs>
              <w:tab w:val="clear" w:pos="7892"/>
              <w:tab w:val="right" w:pos="9026" w:leader="dot"/>
            </w:tabs>
            <w:rPr/>
          </w:pPr>
          <w:hyperlink w:anchor="__RefHeading___Toc4418364_1280447820">
            <w:r>
              <w:rPr>
                <w:webHidden/>
                <w:rStyle w:val="IndexLink"/>
                <w:rtl w:val="true"/>
              </w:rPr>
              <w:t xml:space="preserve">حجّة القول بالاستلزام المعنوي وجهان </w:t>
            </w:r>
            <w:r>
              <w:rPr>
                <w:rStyle w:val="IndexLink"/>
                <w:rtl w:val="true"/>
              </w:rPr>
              <w:t>:</w:t>
              <w:tab/>
            </w:r>
            <w:r>
              <w:rPr>
                <w:rStyle w:val="IndexLink"/>
              </w:rPr>
              <w:t>577</w:t>
            </w:r>
          </w:hyperlink>
        </w:p>
        <w:p>
          <w:pPr>
            <w:pStyle w:val="Contents5"/>
            <w:tabs>
              <w:tab w:val="clear" w:pos="7892"/>
              <w:tab w:val="right" w:pos="9026" w:leader="dot"/>
            </w:tabs>
            <w:rPr/>
          </w:pPr>
          <w:hyperlink w:anchor="__RefHeading___Toc4418366_1280447820">
            <w:r>
              <w:rPr>
                <w:webHidden/>
                <w:rStyle w:val="IndexLink"/>
                <w:rtl w:val="true"/>
              </w:rPr>
              <w:t xml:space="preserve">بقي الكلام في قولين آخرين </w:t>
            </w:r>
            <w:r>
              <w:rPr>
                <w:rStyle w:val="IndexLink"/>
                <w:rtl w:val="true"/>
              </w:rPr>
              <w:t>:</w:t>
              <w:tab/>
            </w:r>
            <w:r>
              <w:rPr>
                <w:rStyle w:val="IndexLink"/>
              </w:rPr>
              <w:t>586</w:t>
            </w:r>
          </w:hyperlink>
        </w:p>
        <w:p>
          <w:pPr>
            <w:pStyle w:val="Contents5"/>
            <w:tabs>
              <w:tab w:val="clear" w:pos="7892"/>
              <w:tab w:val="right" w:pos="9026" w:leader="dot"/>
            </w:tabs>
            <w:rPr/>
          </w:pPr>
          <w:hyperlink w:anchor="__RefHeading___Toc4418368_1280447820">
            <w:r>
              <w:rPr>
                <w:webHidden/>
                <w:rStyle w:val="IndexLink"/>
                <w:rtl w:val="true"/>
              </w:rPr>
              <w:t>تذنيب</w:t>
            </w:r>
            <w:r>
              <w:rPr>
                <w:rStyle w:val="IndexLink"/>
                <w:rtl w:val="true"/>
              </w:rPr>
              <w:tab/>
            </w:r>
            <w:r>
              <w:rPr>
                <w:rStyle w:val="IndexLink"/>
              </w:rPr>
              <w:t>594</w:t>
            </w:r>
          </w:hyperlink>
        </w:p>
        <w:p>
          <w:pPr>
            <w:pStyle w:val="Contents2"/>
            <w:tabs>
              <w:tab w:val="clear" w:pos="8743"/>
              <w:tab w:val="right" w:pos="9026" w:leader="dot"/>
            </w:tabs>
            <w:rPr/>
          </w:pPr>
          <w:hyperlink w:anchor="__RefHeading___Toc4418370_1280447820">
            <w:r>
              <w:rPr>
                <w:webHidden/>
                <w:rStyle w:val="IndexLink"/>
                <w:rtl w:val="true"/>
              </w:rPr>
              <w:t>القول في جواز اجتماع الأمر والنهي في شيء واحد</w:t>
            </w:r>
            <w:r>
              <w:rPr>
                <w:rStyle w:val="IndexLink"/>
                <w:rtl w:val="true"/>
              </w:rPr>
              <w:tab/>
            </w:r>
            <w:r>
              <w:rPr>
                <w:rStyle w:val="IndexLink"/>
              </w:rPr>
              <w:t>597</w:t>
            </w:r>
          </w:hyperlink>
        </w:p>
        <w:p>
          <w:pPr>
            <w:pStyle w:val="Contents3"/>
            <w:tabs>
              <w:tab w:val="clear" w:pos="8459"/>
              <w:tab w:val="right" w:pos="9026" w:leader="dot"/>
            </w:tabs>
            <w:rPr/>
          </w:pPr>
          <w:hyperlink w:anchor="__RefHeading___Toc4418372_1280447820">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4418374_1280447820">
            <w:r>
              <w:rPr>
                <w:webHidden/>
                <w:rStyle w:val="IndexLink"/>
                <w:rtl w:val="true"/>
              </w:rPr>
              <w:t xml:space="preserve">وتوضيح المرام في طيّ مقدّمة وهدايات </w:t>
            </w:r>
            <w:r>
              <w:rPr>
                <w:rStyle w:val="IndexLink"/>
                <w:rtl w:val="true"/>
              </w:rPr>
              <w:t>:</w:t>
              <w:tab/>
            </w:r>
            <w:r>
              <w:rPr>
                <w:rStyle w:val="IndexLink"/>
              </w:rPr>
              <w:t>599</w:t>
            </w:r>
          </w:hyperlink>
        </w:p>
        <w:p>
          <w:pPr>
            <w:pStyle w:val="Contents3"/>
            <w:tabs>
              <w:tab w:val="clear" w:pos="8459"/>
              <w:tab w:val="right" w:pos="9026" w:leader="dot"/>
            </w:tabs>
            <w:rPr/>
          </w:pPr>
          <w:hyperlink w:anchor="__RefHeading___Toc4418376_1280447820">
            <w:r>
              <w:rPr>
                <w:webHidden/>
                <w:rStyle w:val="IndexLink"/>
                <w:rtl w:val="true"/>
              </w:rPr>
              <w:t xml:space="preserve">هداية </w:t>
            </w:r>
            <w:r>
              <w:rPr>
                <w:rStyle w:val="IndexLink"/>
                <w:rtl w:val="true"/>
              </w:rPr>
              <w:t xml:space="preserve">: </w:t>
            </w:r>
            <w:r>
              <w:rPr>
                <w:rStyle w:val="IndexLink"/>
                <w:rtl w:val="true"/>
              </w:rPr>
              <w:t>في بيان المراد من الألفاظ المأخوذة في العنوان</w:t>
            </w:r>
            <w:r>
              <w:rPr>
                <w:rStyle w:val="IndexLink"/>
                <w:rtl w:val="true"/>
              </w:rPr>
              <w:tab/>
            </w:r>
            <w:r>
              <w:rPr>
                <w:rStyle w:val="IndexLink"/>
              </w:rPr>
              <w:t>603</w:t>
            </w:r>
          </w:hyperlink>
        </w:p>
        <w:p>
          <w:pPr>
            <w:pStyle w:val="Contents3"/>
            <w:tabs>
              <w:tab w:val="clear" w:pos="8459"/>
              <w:tab w:val="right" w:pos="9026" w:leader="dot"/>
            </w:tabs>
            <w:rPr/>
          </w:pPr>
          <w:hyperlink w:anchor="__RefHeading___Toc4418378_1280447820">
            <w:r>
              <w:rPr>
                <w:webHidden/>
                <w:rStyle w:val="IndexLink"/>
                <w:rtl w:val="true"/>
              </w:rPr>
              <w:t>هداية</w:t>
            </w:r>
            <w:r>
              <w:rPr>
                <w:rStyle w:val="IndexLink"/>
                <w:rtl w:val="true"/>
              </w:rPr>
              <w:tab/>
            </w:r>
            <w:r>
              <w:rPr>
                <w:rStyle w:val="IndexLink"/>
              </w:rPr>
              <w:t>611</w:t>
            </w:r>
          </w:hyperlink>
        </w:p>
        <w:p>
          <w:pPr>
            <w:pStyle w:val="Contents4"/>
            <w:tabs>
              <w:tab w:val="clear" w:pos="8176"/>
              <w:tab w:val="right" w:pos="9026" w:leader="dot"/>
            </w:tabs>
            <w:rPr/>
          </w:pPr>
          <w:hyperlink w:anchor="__RefHeading___Toc4418380_1280447820">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4418382_1280447820">
            <w:r>
              <w:rPr>
                <w:webHidden/>
                <w:rStyle w:val="IndexLink"/>
                <w:rtl w:val="true"/>
              </w:rPr>
              <w:t>الأوّل</w:t>
            </w:r>
            <w:r>
              <w:rPr>
                <w:rStyle w:val="IndexLink"/>
                <w:rtl w:val="true"/>
              </w:rPr>
              <w:tab/>
            </w:r>
            <w:r>
              <w:rPr>
                <w:rStyle w:val="IndexLink"/>
              </w:rPr>
              <w:t>611</w:t>
            </w:r>
          </w:hyperlink>
        </w:p>
        <w:p>
          <w:pPr>
            <w:pStyle w:val="Contents4"/>
            <w:tabs>
              <w:tab w:val="clear" w:pos="8176"/>
              <w:tab w:val="right" w:pos="9026" w:leader="dot"/>
            </w:tabs>
            <w:rPr/>
          </w:pPr>
          <w:hyperlink w:anchor="__RefHeading___Toc4418384_1280447820">
            <w:r>
              <w:rPr>
                <w:webHidden/>
                <w:rStyle w:val="IndexLink"/>
                <w:rtl w:val="true"/>
              </w:rPr>
              <w:t xml:space="preserve">الثاني </w:t>
            </w:r>
            <w:r>
              <w:rPr>
                <w:rStyle w:val="IndexLink"/>
                <w:rtl w:val="true"/>
              </w:rPr>
              <w:t xml:space="preserve">: </w:t>
            </w:r>
            <w:r>
              <w:rPr>
                <w:rStyle w:val="IndexLink"/>
                <w:rtl w:val="true"/>
              </w:rPr>
              <w:t>في بيان الأقوال في هذه المسألة</w:t>
            </w:r>
            <w:r>
              <w:rPr>
                <w:rStyle w:val="IndexLink"/>
                <w:rtl w:val="true"/>
              </w:rPr>
              <w:tab/>
            </w:r>
            <w:r>
              <w:rPr>
                <w:rStyle w:val="IndexLink"/>
              </w:rPr>
              <w:t>614</w:t>
            </w:r>
          </w:hyperlink>
        </w:p>
        <w:p>
          <w:pPr>
            <w:pStyle w:val="Contents4"/>
            <w:tabs>
              <w:tab w:val="clear" w:pos="8176"/>
              <w:tab w:val="right" w:pos="9026" w:leader="dot"/>
            </w:tabs>
            <w:rPr/>
          </w:pPr>
          <w:hyperlink w:anchor="__RefHeading___Toc4418386_1280447820">
            <w:r>
              <w:rPr>
                <w:webHidden/>
                <w:rStyle w:val="IndexLink"/>
                <w:rtl w:val="true"/>
              </w:rPr>
              <w:t xml:space="preserve">الثالث </w:t>
            </w:r>
            <w:r>
              <w:rPr>
                <w:rStyle w:val="IndexLink"/>
                <w:rtl w:val="true"/>
              </w:rPr>
              <w:t xml:space="preserve">: </w:t>
            </w:r>
            <w:r>
              <w:rPr>
                <w:rStyle w:val="IndexLink"/>
                <w:rtl w:val="true"/>
              </w:rPr>
              <w:t>في بيان ثمرة النزاع</w:t>
            </w:r>
            <w:r>
              <w:rPr>
                <w:rStyle w:val="IndexLink"/>
                <w:rtl w:val="true"/>
              </w:rPr>
              <w:tab/>
            </w:r>
            <w:r>
              <w:rPr>
                <w:rStyle w:val="IndexLink"/>
              </w:rPr>
              <w:t>620</w:t>
            </w:r>
          </w:hyperlink>
        </w:p>
        <w:p>
          <w:pPr>
            <w:pStyle w:val="Contents3"/>
            <w:tabs>
              <w:tab w:val="clear" w:pos="8459"/>
              <w:tab w:val="right" w:pos="9026" w:leader="dot"/>
            </w:tabs>
            <w:rPr/>
          </w:pPr>
          <w:hyperlink w:anchor="__RefHeading___Toc4418388_1280447820">
            <w:r>
              <w:rPr>
                <w:webHidden/>
                <w:rStyle w:val="IndexLink"/>
                <w:rtl w:val="true"/>
              </w:rPr>
              <w:t xml:space="preserve">هداية </w:t>
            </w:r>
            <w:r>
              <w:rPr>
                <w:rStyle w:val="IndexLink"/>
                <w:rtl w:val="true"/>
              </w:rPr>
              <w:t xml:space="preserve">: </w:t>
            </w:r>
            <w:r>
              <w:rPr>
                <w:rStyle w:val="IndexLink"/>
                <w:rtl w:val="true"/>
              </w:rPr>
              <w:t>في حجج المجوّزين</w:t>
            </w:r>
            <w:r>
              <w:rPr>
                <w:rStyle w:val="IndexLink"/>
                <w:rtl w:val="true"/>
              </w:rPr>
              <w:tab/>
            </w:r>
            <w:r>
              <w:rPr>
                <w:rStyle w:val="IndexLink"/>
              </w:rPr>
              <w:t>623</w:t>
            </w:r>
          </w:hyperlink>
        </w:p>
        <w:p>
          <w:pPr>
            <w:pStyle w:val="Contents4"/>
            <w:tabs>
              <w:tab w:val="clear" w:pos="8176"/>
              <w:tab w:val="right" w:pos="9026" w:leader="dot"/>
            </w:tabs>
            <w:rPr/>
          </w:pPr>
          <w:hyperlink w:anchor="__RefHeading___Toc4418390_1280447820">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4418392_1280447820">
            <w:r>
              <w:rPr>
                <w:webHidden/>
                <w:rStyle w:val="IndexLink"/>
                <w:rtl w:val="true"/>
              </w:rPr>
              <w:t xml:space="preserve">أمّا الكلام فيما إذا كانت النسبة عموما وخصوصا مطلقا فمن وجوه </w:t>
            </w:r>
            <w:r>
              <w:rPr>
                <w:rStyle w:val="IndexLink"/>
                <w:rtl w:val="true"/>
              </w:rPr>
              <w:t>:</w:t>
              <w:tab/>
            </w:r>
            <w:r>
              <w:rPr>
                <w:rStyle w:val="IndexLink"/>
              </w:rPr>
              <w:t>624</w:t>
            </w:r>
          </w:hyperlink>
        </w:p>
        <w:p>
          <w:pPr>
            <w:pStyle w:val="Contents4"/>
            <w:tabs>
              <w:tab w:val="clear" w:pos="8176"/>
              <w:tab w:val="right" w:pos="9026" w:leader="dot"/>
            </w:tabs>
            <w:rPr/>
          </w:pPr>
          <w:hyperlink w:anchor="__RefHeading___Toc4418394_1280447820">
            <w:r>
              <w:rPr>
                <w:webHidden/>
                <w:rStyle w:val="IndexLink"/>
                <w:rtl w:val="true"/>
              </w:rPr>
              <w:t>المقام الأوّل</w:t>
            </w:r>
            <w:r>
              <w:rPr>
                <w:rStyle w:val="IndexLink"/>
                <w:rtl w:val="true"/>
              </w:rPr>
              <w:tab/>
            </w:r>
            <w:r>
              <w:rPr>
                <w:rStyle w:val="IndexLink"/>
              </w:rPr>
              <w:t>641</w:t>
            </w:r>
          </w:hyperlink>
        </w:p>
        <w:p>
          <w:pPr>
            <w:pStyle w:val="Contents4"/>
            <w:tabs>
              <w:tab w:val="clear" w:pos="8176"/>
              <w:tab w:val="right" w:pos="9026" w:leader="dot"/>
            </w:tabs>
            <w:rPr/>
          </w:pPr>
          <w:hyperlink w:anchor="__RefHeading___Toc4418396_1280447820">
            <w:r>
              <w:rPr>
                <w:webHidden/>
                <w:rStyle w:val="IndexLink"/>
                <w:rtl w:val="true"/>
              </w:rPr>
              <w:t>المقام الثاني</w:t>
            </w:r>
            <w:r>
              <w:rPr>
                <w:rStyle w:val="IndexLink"/>
                <w:rtl w:val="true"/>
              </w:rPr>
              <w:tab/>
            </w:r>
            <w:r>
              <w:rPr>
                <w:rStyle w:val="IndexLink"/>
              </w:rPr>
              <w:t>645</w:t>
            </w:r>
          </w:hyperlink>
        </w:p>
        <w:p>
          <w:pPr>
            <w:pStyle w:val="Contents4"/>
            <w:tabs>
              <w:tab w:val="clear" w:pos="8176"/>
              <w:tab w:val="right" w:pos="9026" w:leader="dot"/>
            </w:tabs>
            <w:rPr/>
          </w:pPr>
          <w:hyperlink w:anchor="__RefHeading___Toc4418398_1280447820">
            <w:r>
              <w:rPr>
                <w:webHidden/>
                <w:rStyle w:val="IndexLink"/>
                <w:rtl w:val="true"/>
              </w:rPr>
              <w:t>المقام الثالث</w:t>
            </w:r>
            <w:r>
              <w:rPr>
                <w:rStyle w:val="IndexLink"/>
                <w:rtl w:val="true"/>
              </w:rPr>
              <w:tab/>
            </w:r>
            <w:r>
              <w:rPr>
                <w:rStyle w:val="IndexLink"/>
              </w:rPr>
              <w:t>655</w:t>
            </w:r>
          </w:hyperlink>
        </w:p>
        <w:p>
          <w:pPr>
            <w:pStyle w:val="Contents4"/>
            <w:tabs>
              <w:tab w:val="clear" w:pos="8176"/>
              <w:tab w:val="right" w:pos="9026" w:leader="dot"/>
            </w:tabs>
            <w:rPr/>
          </w:pPr>
          <w:hyperlink w:anchor="__RefHeading___Toc4418400_1280447820">
            <w:r>
              <w:rPr>
                <w:webHidden/>
                <w:rStyle w:val="IndexLink"/>
                <w:rtl w:val="true"/>
              </w:rPr>
              <w:t xml:space="preserve">الثاني </w:t>
            </w:r>
            <w:r>
              <w:rPr>
                <w:rStyle w:val="IndexLink"/>
                <w:rtl w:val="true"/>
              </w:rPr>
              <w:t xml:space="preserve">: </w:t>
            </w:r>
            <w:r>
              <w:rPr>
                <w:rStyle w:val="IndexLink"/>
                <w:rtl w:val="true"/>
              </w:rPr>
              <w:t>من وجوه احتجاجهم على الجواز</w:t>
            </w:r>
            <w:r>
              <w:rPr>
                <w:rStyle w:val="IndexLink"/>
                <w:rtl w:val="true"/>
              </w:rPr>
              <w:tab/>
            </w:r>
            <w:r>
              <w:rPr>
                <w:rStyle w:val="IndexLink"/>
              </w:rPr>
              <w:t>682</w:t>
            </w:r>
          </w:hyperlink>
        </w:p>
        <w:p>
          <w:pPr>
            <w:pStyle w:val="Contents4"/>
            <w:tabs>
              <w:tab w:val="clear" w:pos="8176"/>
              <w:tab w:val="right" w:pos="9026" w:leader="dot"/>
            </w:tabs>
            <w:rPr/>
          </w:pPr>
          <w:hyperlink w:anchor="__RefHeading___Toc4418402_1280447820">
            <w:r>
              <w:rPr>
                <w:webHidden/>
                <w:rStyle w:val="IndexLink"/>
                <w:rtl w:val="true"/>
              </w:rPr>
              <w:t xml:space="preserve">الثالث </w:t>
            </w:r>
            <w:r>
              <w:rPr>
                <w:rStyle w:val="IndexLink"/>
                <w:rtl w:val="true"/>
              </w:rPr>
              <w:t xml:space="preserve">: </w:t>
            </w:r>
            <w:r>
              <w:rPr>
                <w:rStyle w:val="IndexLink"/>
                <w:rtl w:val="true"/>
              </w:rPr>
              <w:t>من وجوه احتجاجهم على الجواز</w:t>
            </w:r>
            <w:r>
              <w:rPr>
                <w:rStyle w:val="IndexLink"/>
                <w:rtl w:val="true"/>
              </w:rPr>
              <w:tab/>
            </w:r>
            <w:r>
              <w:rPr>
                <w:rStyle w:val="IndexLink"/>
              </w:rPr>
              <w:t>693</w:t>
            </w:r>
          </w:hyperlink>
        </w:p>
        <w:p>
          <w:pPr>
            <w:pStyle w:val="Contents3"/>
            <w:tabs>
              <w:tab w:val="clear" w:pos="8459"/>
              <w:tab w:val="right" w:pos="9026" w:leader="dot"/>
            </w:tabs>
            <w:rPr/>
          </w:pPr>
          <w:hyperlink w:anchor="__RefHeading___Toc4418404_1280447820">
            <w:r>
              <w:rPr>
                <w:webHidden/>
                <w:rStyle w:val="IndexLink"/>
                <w:rtl w:val="true"/>
              </w:rPr>
              <w:t xml:space="preserve">هداية </w:t>
            </w:r>
            <w:r>
              <w:rPr>
                <w:rStyle w:val="IndexLink"/>
                <w:rtl w:val="true"/>
              </w:rPr>
              <w:t xml:space="preserve">: </w:t>
            </w:r>
            <w:r>
              <w:rPr>
                <w:rStyle w:val="IndexLink"/>
                <w:rtl w:val="true"/>
              </w:rPr>
              <w:t>في ذكر احتجاج المفصّل بين العرف والعقل</w:t>
            </w:r>
            <w:r>
              <w:rPr>
                <w:rStyle w:val="IndexLink"/>
                <w:rtl w:val="true"/>
              </w:rPr>
              <w:tab/>
            </w:r>
            <w:r>
              <w:rPr>
                <w:rStyle w:val="IndexLink"/>
              </w:rPr>
              <w:t>701</w:t>
            </w:r>
          </w:hyperlink>
        </w:p>
        <w:p>
          <w:pPr>
            <w:pStyle w:val="Contents3"/>
            <w:tabs>
              <w:tab w:val="clear" w:pos="8459"/>
              <w:tab w:val="right" w:pos="9026" w:leader="dot"/>
            </w:tabs>
            <w:rPr/>
          </w:pPr>
          <w:hyperlink w:anchor="__RefHeading___Toc4418406_1280447820">
            <w:r>
              <w:rPr>
                <w:webHidden/>
                <w:rStyle w:val="IndexLink"/>
                <w:rtl w:val="true"/>
              </w:rPr>
              <w:t>هداية</w:t>
            </w:r>
            <w:r>
              <w:rPr>
                <w:rStyle w:val="IndexLink"/>
                <w:rtl w:val="true"/>
              </w:rPr>
              <w:tab/>
            </w:r>
            <w:r>
              <w:rPr>
                <w:rStyle w:val="IndexLink"/>
              </w:rPr>
              <w:t>707</w:t>
            </w:r>
          </w:hyperlink>
        </w:p>
        <w:p>
          <w:pPr>
            <w:pStyle w:val="Contents3"/>
            <w:tabs>
              <w:tab w:val="clear" w:pos="8459"/>
              <w:tab w:val="right" w:pos="9026" w:leader="dot"/>
            </w:tabs>
            <w:rPr/>
          </w:pPr>
          <w:hyperlink w:anchor="__RefHeading___Toc4418408_1280447820">
            <w:r>
              <w:rPr>
                <w:webHidden/>
                <w:rStyle w:val="IndexLink"/>
                <w:rtl w:val="true"/>
              </w:rPr>
              <w:t>هداية</w:t>
            </w:r>
            <w:r>
              <w:rPr>
                <w:rStyle w:val="IndexLink"/>
                <w:rtl w:val="true"/>
              </w:rPr>
              <w:tab/>
            </w:r>
            <w:r>
              <w:rPr>
                <w:rStyle w:val="IndexLink"/>
              </w:rPr>
              <w:t>713</w:t>
            </w:r>
          </w:hyperlink>
        </w:p>
        <w:p>
          <w:pPr>
            <w:pStyle w:val="Contents4"/>
            <w:tabs>
              <w:tab w:val="clear" w:pos="8176"/>
              <w:tab w:val="right" w:pos="9026" w:leader="dot"/>
            </w:tabs>
            <w:rPr/>
          </w:pPr>
          <w:hyperlink w:anchor="__RefHeading___Toc4418410_1280447820">
            <w:r>
              <w:rPr>
                <w:webHidden/>
                <w:rStyle w:val="IndexLink"/>
                <w:rtl w:val="true"/>
              </w:rPr>
              <w:t>اشارة</w:t>
            </w:r>
            <w:r>
              <w:rPr>
                <w:rStyle w:val="IndexLink"/>
                <w:rtl w:val="true"/>
              </w:rPr>
              <w:tab/>
            </w:r>
            <w:r>
              <w:rPr>
                <w:rStyle w:val="IndexLink"/>
              </w:rPr>
              <w:t>713</w:t>
            </w:r>
          </w:hyperlink>
        </w:p>
        <w:p>
          <w:pPr>
            <w:pStyle w:val="Contents4"/>
            <w:tabs>
              <w:tab w:val="clear" w:pos="8176"/>
              <w:tab w:val="right" w:pos="9026" w:leader="dot"/>
            </w:tabs>
            <w:rPr/>
          </w:pPr>
          <w:hyperlink w:anchor="__RefHeading___Toc4418412_1280447820">
            <w:r>
              <w:rPr>
                <w:webHidden/>
                <w:rStyle w:val="IndexLink"/>
                <w:rtl w:val="true"/>
              </w:rPr>
              <w:t xml:space="preserve">حجّة القول بكونه مأمورا به ومنهيّا عنه </w:t>
            </w:r>
            <w:r>
              <w:rPr>
                <w:rStyle w:val="IndexLink"/>
                <w:rtl w:val="true"/>
              </w:rPr>
              <w:t>:</w:t>
              <w:tab/>
            </w:r>
            <w:r>
              <w:rPr>
                <w:rStyle w:val="IndexLink"/>
              </w:rPr>
              <w:t>715</w:t>
            </w:r>
          </w:hyperlink>
        </w:p>
        <w:p>
          <w:pPr>
            <w:pStyle w:val="Contents4"/>
            <w:tabs>
              <w:tab w:val="clear" w:pos="8176"/>
              <w:tab w:val="right" w:pos="9026" w:leader="dot"/>
            </w:tabs>
            <w:rPr/>
          </w:pPr>
          <w:hyperlink w:anchor="__RefHeading___Toc4418414_1280447820">
            <w:r>
              <w:rPr>
                <w:webHidden/>
                <w:rStyle w:val="IndexLink"/>
                <w:rtl w:val="true"/>
              </w:rPr>
              <w:t xml:space="preserve">حجّة القول بكونه منهيّا عنه غير مأمور به </w:t>
            </w:r>
            <w:r>
              <w:rPr>
                <w:rStyle w:val="IndexLink"/>
                <w:rtl w:val="true"/>
              </w:rPr>
              <w:t>:</w:t>
              <w:tab/>
            </w:r>
            <w:r>
              <w:rPr>
                <w:rStyle w:val="IndexLink"/>
              </w:rPr>
              <w:t>719</w:t>
            </w:r>
          </w:hyperlink>
        </w:p>
        <w:p>
          <w:pPr>
            <w:pStyle w:val="Contents3"/>
            <w:tabs>
              <w:tab w:val="clear" w:pos="8459"/>
              <w:tab w:val="right" w:pos="9026" w:leader="dot"/>
            </w:tabs>
            <w:rPr/>
          </w:pPr>
          <w:hyperlink w:anchor="__RefHeading___Toc4418416_1280447820">
            <w:r>
              <w:rPr>
                <w:webHidden/>
                <w:rStyle w:val="IndexLink"/>
                <w:rtl w:val="true"/>
              </w:rPr>
              <w:t>خاتمة</w:t>
            </w:r>
            <w:r>
              <w:rPr>
                <w:rStyle w:val="IndexLink"/>
                <w:rtl w:val="true"/>
              </w:rPr>
              <w:tab/>
            </w:r>
            <w:r>
              <w:rPr>
                <w:rStyle w:val="IndexLink"/>
              </w:rPr>
              <w:t>728</w:t>
            </w:r>
          </w:hyperlink>
        </w:p>
        <w:p>
          <w:pPr>
            <w:pStyle w:val="Contents2"/>
            <w:tabs>
              <w:tab w:val="clear" w:pos="8743"/>
              <w:tab w:val="right" w:pos="9026" w:leader="dot"/>
            </w:tabs>
            <w:rPr/>
          </w:pPr>
          <w:hyperlink w:anchor="__RefHeading___Toc4418418_1280447820">
            <w:r>
              <w:rPr>
                <w:webHidden/>
                <w:rStyle w:val="IndexLink"/>
                <w:rtl w:val="true"/>
              </w:rPr>
              <w:t>القول في اقتضاء النهي للفساد فيما إذا تعلّق بشيء</w:t>
            </w:r>
            <w:r>
              <w:rPr>
                <w:rStyle w:val="IndexLink"/>
                <w:rtl w:val="true"/>
              </w:rPr>
              <w:tab/>
            </w:r>
            <w:r>
              <w:rPr>
                <w:rStyle w:val="IndexLink"/>
              </w:rPr>
              <w:t>731</w:t>
            </w:r>
          </w:hyperlink>
        </w:p>
        <w:p>
          <w:pPr>
            <w:pStyle w:val="Contents3"/>
            <w:tabs>
              <w:tab w:val="clear" w:pos="8459"/>
              <w:tab w:val="right" w:pos="9026" w:leader="dot"/>
            </w:tabs>
            <w:rPr/>
          </w:pPr>
          <w:hyperlink w:anchor="__RefHeading___Toc4418420_1280447820">
            <w:r>
              <w:rPr>
                <w:webHidden/>
                <w:rStyle w:val="IndexLink"/>
                <w:rtl w:val="true"/>
              </w:rPr>
              <w:t>اشارة</w:t>
            </w:r>
            <w:r>
              <w:rPr>
                <w:rStyle w:val="IndexLink"/>
                <w:rtl w:val="true"/>
              </w:rPr>
              <w:tab/>
            </w:r>
            <w:r>
              <w:rPr>
                <w:rStyle w:val="IndexLink"/>
              </w:rPr>
              <w:t>731</w:t>
            </w:r>
          </w:hyperlink>
        </w:p>
        <w:p>
          <w:pPr>
            <w:pStyle w:val="Contents3"/>
            <w:tabs>
              <w:tab w:val="clear" w:pos="8459"/>
              <w:tab w:val="right" w:pos="9026" w:leader="dot"/>
            </w:tabs>
            <w:rPr/>
          </w:pPr>
          <w:hyperlink w:anchor="__RefHeading___Toc4418422_1280447820">
            <w:r>
              <w:rPr>
                <w:webHidden/>
                <w:rStyle w:val="IndexLink"/>
                <w:rtl w:val="true"/>
              </w:rPr>
              <w:t>هداية</w:t>
            </w:r>
            <w:r>
              <w:rPr>
                <w:rStyle w:val="IndexLink"/>
                <w:rtl w:val="true"/>
              </w:rPr>
              <w:tab/>
            </w:r>
            <w:r>
              <w:rPr>
                <w:rStyle w:val="IndexLink"/>
              </w:rPr>
              <w:t>733</w:t>
            </w:r>
          </w:hyperlink>
        </w:p>
        <w:p>
          <w:pPr>
            <w:pStyle w:val="Contents4"/>
            <w:tabs>
              <w:tab w:val="clear" w:pos="8176"/>
              <w:tab w:val="right" w:pos="9026" w:leader="dot"/>
            </w:tabs>
            <w:rPr/>
          </w:pPr>
          <w:hyperlink w:anchor="__RefHeading___Toc4418424_1280447820">
            <w:r>
              <w:rPr>
                <w:webHidden/>
                <w:rStyle w:val="IndexLink"/>
                <w:rtl w:val="true"/>
              </w:rPr>
              <w:t xml:space="preserve">في تقديم امور لعلّها تنفع في توضيح المطلوب </w:t>
            </w:r>
            <w:r>
              <w:rPr>
                <w:rStyle w:val="IndexLink"/>
                <w:rtl w:val="true"/>
              </w:rPr>
              <w:t>:</w:t>
              <w:tab/>
            </w:r>
            <w:r>
              <w:rPr>
                <w:rStyle w:val="IndexLink"/>
              </w:rPr>
              <w:t>733</w:t>
            </w:r>
          </w:hyperlink>
        </w:p>
        <w:p>
          <w:pPr>
            <w:pStyle w:val="Contents4"/>
            <w:tabs>
              <w:tab w:val="clear" w:pos="8176"/>
              <w:tab w:val="right" w:pos="9026" w:leader="dot"/>
            </w:tabs>
            <w:rPr/>
          </w:pPr>
          <w:hyperlink w:anchor="__RefHeading___Toc4418426_1280447820">
            <w:r>
              <w:rPr>
                <w:webHidden/>
                <w:rStyle w:val="IndexLink"/>
                <w:rtl w:val="true"/>
              </w:rPr>
              <w:t xml:space="preserve">تذنيب </w:t>
            </w:r>
            <w:r>
              <w:rPr>
                <w:rStyle w:val="IndexLink"/>
                <w:rtl w:val="true"/>
              </w:rPr>
              <w:t>:</w:t>
              <w:tab/>
            </w:r>
            <w:r>
              <w:rPr>
                <w:rStyle w:val="IndexLink"/>
              </w:rPr>
              <w:t>743</w:t>
            </w:r>
          </w:hyperlink>
        </w:p>
        <w:p>
          <w:pPr>
            <w:pStyle w:val="Contents3"/>
            <w:tabs>
              <w:tab w:val="clear" w:pos="8459"/>
              <w:tab w:val="right" w:pos="9026" w:leader="dot"/>
            </w:tabs>
            <w:rPr/>
          </w:pPr>
          <w:hyperlink w:anchor="__RefHeading___Toc4418428_1280447820">
            <w:r>
              <w:rPr>
                <w:webHidden/>
                <w:rStyle w:val="IndexLink"/>
                <w:rtl w:val="true"/>
              </w:rPr>
              <w:t>هداية</w:t>
            </w:r>
            <w:r>
              <w:rPr>
                <w:rStyle w:val="IndexLink"/>
                <w:rtl w:val="true"/>
              </w:rPr>
              <w:tab/>
            </w:r>
            <w:r>
              <w:rPr>
                <w:rStyle w:val="IndexLink"/>
              </w:rPr>
              <w:t>755</w:t>
            </w:r>
          </w:hyperlink>
        </w:p>
        <w:p>
          <w:pPr>
            <w:pStyle w:val="Contents4"/>
            <w:tabs>
              <w:tab w:val="clear" w:pos="8176"/>
              <w:tab w:val="right" w:pos="9026" w:leader="dot"/>
            </w:tabs>
            <w:rPr/>
          </w:pPr>
          <w:hyperlink w:anchor="__RefHeading___Toc4418430_1280447820">
            <w:r>
              <w:rPr>
                <w:webHidden/>
                <w:rStyle w:val="IndexLink"/>
                <w:rtl w:val="true"/>
              </w:rPr>
              <w:t>اشارة</w:t>
            </w:r>
            <w:r>
              <w:rPr>
                <w:rStyle w:val="IndexLink"/>
                <w:rtl w:val="true"/>
              </w:rPr>
              <w:tab/>
            </w:r>
            <w:r>
              <w:rPr>
                <w:rStyle w:val="IndexLink"/>
              </w:rPr>
              <w:t>755</w:t>
            </w:r>
          </w:hyperlink>
        </w:p>
        <w:p>
          <w:pPr>
            <w:pStyle w:val="Contents4"/>
            <w:tabs>
              <w:tab w:val="clear" w:pos="8176"/>
              <w:tab w:val="right" w:pos="9026" w:leader="dot"/>
            </w:tabs>
            <w:rPr/>
          </w:pPr>
          <w:hyperlink w:anchor="__RefHeading___Toc4418432_1280447820">
            <w:r>
              <w:rPr>
                <w:webHidden/>
                <w:rStyle w:val="IndexLink"/>
                <w:rtl w:val="true"/>
              </w:rPr>
              <w:t>الأوّل في بيان التحقيق في العبادات</w:t>
            </w:r>
            <w:r>
              <w:rPr>
                <w:rStyle w:val="IndexLink"/>
                <w:rtl w:val="true"/>
              </w:rPr>
              <w:tab/>
            </w:r>
            <w:r>
              <w:rPr>
                <w:rStyle w:val="IndexLink"/>
              </w:rPr>
              <w:t>756</w:t>
            </w:r>
          </w:hyperlink>
        </w:p>
        <w:p>
          <w:pPr>
            <w:pStyle w:val="Contents4"/>
            <w:tabs>
              <w:tab w:val="clear" w:pos="8176"/>
              <w:tab w:val="right" w:pos="9026" w:leader="dot"/>
            </w:tabs>
            <w:rPr/>
          </w:pPr>
          <w:hyperlink w:anchor="__RefHeading___Toc4418434_1280447820">
            <w:r>
              <w:rPr>
                <w:webHidden/>
                <w:rStyle w:val="IndexLink"/>
                <w:rtl w:val="true"/>
              </w:rPr>
              <w:t>المورد الثاني في المعاملات</w:t>
            </w:r>
            <w:r>
              <w:rPr>
                <w:rStyle w:val="IndexLink"/>
                <w:rtl w:val="true"/>
              </w:rPr>
              <w:tab/>
            </w:r>
            <w:r>
              <w:rPr>
                <w:rStyle w:val="IndexLink"/>
              </w:rPr>
              <w:t>757</w:t>
            </w:r>
          </w:hyperlink>
        </w:p>
        <w:p>
          <w:pPr>
            <w:pStyle w:val="Contents3"/>
            <w:tabs>
              <w:tab w:val="clear" w:pos="8459"/>
              <w:tab w:val="right" w:pos="9026" w:leader="dot"/>
            </w:tabs>
            <w:rPr/>
          </w:pPr>
          <w:hyperlink w:anchor="__RefHeading___Toc4418436_1280447820">
            <w:r>
              <w:rPr>
                <w:webHidden/>
                <w:rStyle w:val="IndexLink"/>
                <w:rtl w:val="true"/>
              </w:rPr>
              <w:t>هداية</w:t>
            </w:r>
            <w:r>
              <w:rPr>
                <w:rStyle w:val="IndexLink"/>
                <w:rtl w:val="true"/>
              </w:rPr>
              <w:tab/>
            </w:r>
            <w:r>
              <w:rPr>
                <w:rStyle w:val="IndexLink"/>
              </w:rPr>
              <w:t>769</w:t>
            </w:r>
          </w:hyperlink>
        </w:p>
        <w:p>
          <w:pPr>
            <w:pStyle w:val="Contents4"/>
            <w:tabs>
              <w:tab w:val="clear" w:pos="8176"/>
              <w:tab w:val="right" w:pos="9026" w:leader="dot"/>
            </w:tabs>
            <w:rPr/>
          </w:pPr>
          <w:hyperlink w:anchor="__RefHeading___Toc4418438_1280447820">
            <w:r>
              <w:rPr>
                <w:webHidden/>
                <w:rStyle w:val="IndexLink"/>
                <w:rtl w:val="true"/>
              </w:rPr>
              <w:t>اشارة</w:t>
            </w:r>
            <w:r>
              <w:rPr>
                <w:rStyle w:val="IndexLink"/>
                <w:rtl w:val="true"/>
              </w:rPr>
              <w:tab/>
            </w:r>
            <w:r>
              <w:rPr>
                <w:rStyle w:val="IndexLink"/>
              </w:rPr>
              <w:t>769</w:t>
            </w:r>
          </w:hyperlink>
        </w:p>
        <w:p>
          <w:pPr>
            <w:pStyle w:val="Contents4"/>
            <w:tabs>
              <w:tab w:val="clear" w:pos="8176"/>
              <w:tab w:val="right" w:pos="9026" w:leader="dot"/>
            </w:tabs>
            <w:rPr/>
          </w:pPr>
          <w:hyperlink w:anchor="__RefHeading___Toc4418440_1280447820">
            <w:r>
              <w:rPr>
                <w:webHidden/>
                <w:rStyle w:val="IndexLink"/>
                <w:rtl w:val="true"/>
              </w:rPr>
              <w:t xml:space="preserve">تذييل </w:t>
            </w:r>
            <w:r>
              <w:rPr>
                <w:rStyle w:val="IndexLink"/>
                <w:rtl w:val="true"/>
              </w:rPr>
              <w:t xml:space="preserve">: </w:t>
            </w:r>
            <w:r>
              <w:rPr>
                <w:rStyle w:val="IndexLink"/>
                <w:rtl w:val="true"/>
              </w:rPr>
              <w:t>فيه تنبيه على فائدة مهمّة</w:t>
            </w:r>
            <w:r>
              <w:rPr>
                <w:rStyle w:val="IndexLink"/>
                <w:rtl w:val="true"/>
              </w:rPr>
              <w:tab/>
            </w:r>
            <w:r>
              <w:rPr>
                <w:rStyle w:val="IndexLink"/>
              </w:rPr>
              <w:t>771</w:t>
            </w:r>
          </w:hyperlink>
        </w:p>
        <w:p>
          <w:pPr>
            <w:pStyle w:val="Contents2"/>
            <w:tabs>
              <w:tab w:val="clear" w:pos="8743"/>
              <w:tab w:val="right" w:pos="9026" w:leader="dot"/>
            </w:tabs>
            <w:rPr/>
          </w:pPr>
          <w:hyperlink w:anchor="__RefHeading___Toc4418442_1280447820">
            <w:r>
              <w:rPr>
                <w:webHidden/>
                <w:rStyle w:val="IndexLink"/>
                <w:rtl w:val="true"/>
              </w:rPr>
              <w:t>الفهرس</w:t>
            </w:r>
            <w:r>
              <w:rPr>
                <w:rStyle w:val="IndexLink"/>
                <w:rtl w:val="true"/>
              </w:rPr>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4_218259"/>
      <w:bookmarkStart w:id="1" w:name="pg16254_218259"/>
      <w:bookmarkEnd w:id="1"/>
    </w:p>
    <w:p>
      <w:pPr>
        <w:pStyle w:val="Heading2"/>
        <w:numPr>
          <w:ilvl w:val="1"/>
          <w:numId w:val="1"/>
        </w:numPr>
        <w:rPr/>
      </w:pPr>
      <w:bookmarkStart w:id="2" w:name="pg16254_218259"/>
      <w:bookmarkStart w:id="3" w:name="__RefHeading___Toc441812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الكلانتري الطهراني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الاسلامي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تقريرات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الميرزا أبوالقاسم الكلانتري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813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تقريرات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الميرزا أبوالقاسم الكلانتري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كلانتری نوری ، ابوالقاسم بن محمد علی</w:t>
      </w:r>
    </w:p>
    <w:p>
      <w:pPr>
        <w:pStyle w:val="BookText"/>
        <w:rPr/>
      </w:pPr>
      <w:r>
        <w:rPr>
          <w:rFonts w:ascii="IRNazanin" w:hAnsi="IRNazanin" w:eastAsia="IRNazanin"/>
          <w:color w:val="111111"/>
          <w:sz w:val="28"/>
          <w:sz w:val="28"/>
          <w:szCs w:val="28"/>
          <w:rtl w:val="true"/>
          <w:lang w:bidi="fa-IR"/>
        </w:rPr>
        <w:t xml:space="preserve">محل نكهداری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مركز نگهدارنده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بازیابی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یادداشت 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الاستصحاب و تحقیق المقصود فیه فی طی هدایات انجام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بالتصویب و یظهر من بعضهم بالتبعیض مطلقاً و لاوجه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ظن تاریخ تالیف</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نستعلیق</w:t>
      </w:r>
    </w:p>
    <w:p>
      <w:pPr>
        <w:pStyle w:val="BookText"/>
        <w:rPr/>
      </w:pPr>
      <w:r>
        <w:rPr>
          <w:rFonts w:ascii="IRNazanin" w:hAnsi="IRNazanin" w:eastAsia="IRNazanin"/>
          <w:color w:val="111111"/>
          <w:sz w:val="28"/>
          <w:sz w:val="28"/>
          <w:szCs w:val="28"/>
          <w:rtl w:val="true"/>
          <w:lang w:bidi="fa-IR"/>
        </w:rPr>
        <w:t xml:space="preserve">خصوصیات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با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كتابخانه 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w:t>
      </w:r>
    </w:p>
    <w:p>
      <w:pPr>
        <w:pStyle w:val="BookText"/>
        <w:rPr/>
      </w:pPr>
      <w:r>
        <w:rPr>
          <w:rFonts w:ascii="IRNazanin" w:hAnsi="IRNazanin" w:eastAsia="IRNazanin"/>
          <w:color w:val="111111"/>
          <w:sz w:val="28"/>
          <w:sz w:val="28"/>
          <w:szCs w:val="28"/>
          <w:rtl w:val="true"/>
          <w:lang w:bidi="fa-IR"/>
        </w:rPr>
        <w:t xml:space="preserve">منابع اثر، نمایه ها، چكیده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424/25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مشارعربی</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436/16</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العربی 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زنجانی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عكسی مركز احیاء میراث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آخوند ص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w:t>
      </w:r>
      <w:r>
        <w:rPr>
          <w:rFonts w:eastAsia="IRNazanin" w:cs="IRNazanin"/>
          <w:color w:val="111111"/>
          <w:sz w:val="28"/>
          <w:szCs w:val="28"/>
          <w:lang w:bidi="fa-IR"/>
        </w:rPr>
        <w:t>564/23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امیرالمؤمنین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150/24/2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طباطبائی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چند نسخه خطی</w:t>
      </w:r>
    </w:p>
    <w:p>
      <w:pPr>
        <w:pStyle w:val="BookText"/>
        <w:rPr/>
      </w:pPr>
      <w:r>
        <w:rPr>
          <w:rFonts w:ascii="IRNazanin" w:hAnsi="IRNazanin" w:eastAsia="IRNazanin"/>
          <w:color w:val="111111"/>
          <w:sz w:val="28"/>
          <w:sz w:val="28"/>
          <w:szCs w:val="28"/>
          <w:rtl w:val="true"/>
          <w:lang w:bidi="fa-IR"/>
        </w:rPr>
        <w:t xml:space="preserve">یادداشت باز تكثیر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العربی؛ مشار عربی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دارالخلافه طهران ، سنگی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رحلی ، بدون شماره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تقلید المیت و الاعلم حبیب اللّه رشتی چاپ سنگی شده و اخیرا به تحقیق علی قاضلی در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تقریراتی است كه مرحوم كلانتر از درس اساتید خود تحریر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از دروس شیخ انصاری و میرزا حبیب اللّه رشتی تحریر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تنظیم شده و پس از مؤلف فرزندش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میرزا ابوالفضل كلانترتهرانی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آنها را جمع آوری و بدین نام موسوم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 درتهران به صورت چاپ سنگی در</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درسال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رسیده ، ولی ناشر تصرفاتی در اصل كتاب داده ، و بخش قطع و ظن و برائت و استصحاب را به استناد آنكه نظرات شیخ انصاری دراین مسائل دركتاب رسائل بیان گردیده ، چاپ نكرده و از مسئله اجتهاد و تقلید بحث تقلید میت و اعلم راچاپ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پنج بخش از مطارح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اول همان است كه در مطارح الانظار چاپی به چاپ رسیده و از تقریرات درس شیخ انصاری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پنجم و چهارم چاپ نشده ومؤلف د رپایان بخش چهارم ، تصریح نموده كه این بخش از تقریرات درس میرزا حبیب اللّه رشتی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نیز گویا از تقریرات درس رشتی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عنوان بخشهای كتاب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الاجزاء بسمله هدایة اختلفوا فی ان الاتیان بالمامور به علی وجهه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القول فی وجوب مقدمة الواجب وتحقیق الكلام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 بسمله القول فی ان الامر بالشی هل یقتضی النهی عن ضده اولا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شیخ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حمدله وبعد اختلف بعد اتفاقهم علی جواز التقلید عند تعذر العلم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القول فی الاستصحاب وتحقیق المقصود فیه فی طی هدایات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عنوان افزوده توسط فهرستنو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Times New Roman" w:cs="Times New Roman" w:ascii="Times New Roman" w:hAnsi="Times New Roman"/>
          <w:color w:val="111111"/>
          <w:sz w:val="28"/>
          <w:szCs w:val="28"/>
          <w:lang w:val="en-US" w:bidi="en-US"/>
        </w:rPr>
        <w:t>attaqrīrāt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های كنترل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54_218265"/>
      <w:bookmarkStart w:id="8" w:name="pg16254_218265"/>
      <w:bookmarkEnd w:id="8"/>
    </w:p>
    <w:p>
      <w:pPr>
        <w:pStyle w:val="Heading2"/>
        <w:numPr>
          <w:ilvl w:val="1"/>
          <w:numId w:val="1"/>
        </w:numPr>
        <w:rPr/>
      </w:pPr>
      <w:bookmarkStart w:id="9" w:name="pg16254_218265"/>
      <w:bookmarkStart w:id="10" w:name="__RefHeading___Toc4418132_1280447820"/>
      <w:bookmarkStart w:id="11" w:name="_Toc3"/>
      <w:bookmarkEnd w:id="9"/>
      <w:bookmarkEnd w:id="10"/>
      <w:r>
        <w:rPr>
          <w:rtl w:val="true"/>
        </w:rPr>
        <w:t xml:space="preserve">كلمة المجمع </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أطبقت كلمة المحقّقين في علم الاصول على أنّ الشيخ الأعظم الأنصاري قدس‌سره هو الرائد لأرقى مرحلة من مراحل تطوّر هذا العلم التي مرّ بها ، وهي مرحلة الرقيّ والكمال العلمي التي ظهرت في أواخر القرن الثاني عشر على يد الاستاذ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فاستفاد الشيخ الأعظم من جميع الجهود التي بذلت قبله ، وقرأها ووعاها ثمّ استخدم مواهبه الفكرية ورؤيته الثاقبة في النقد والتجديد والبناء في المحتوى والمنهج ، فأصبحت مدرسته هي الممثّلة للفكر الاصولي منذ قرنين تقريبا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كتابه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محورا من المحاور المهمّة للتدريس في قسم الدراسات العليا في حوزاتنا العلمية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مصنّفه هذا لم يحتو إلاّ على نصف المباحث الاصولية ، وهي مباحث الحجج والاصول العملية ، ويفتقد المباحث اللفظية التي تشكّل النصف الآخر لمباحث علم الاصول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درّس الشيخ الأعظم رحمه‌اللّه تلكم المباحث المذكورة وتبلورت في تقريرات تلامذته ، وكان الأبرز في هذا المجال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لمقرّر بحثه الميرزا أبي القاسم الكلانتري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المصنّف تعبيرا واضحا وأمينا عن آراء الشيخ الأعظم في مباحث الألفاظ ، وكذا في مباحث الأدلة العقلية التي لم يتطرّق لها الشيخ في فرائده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بادرت لجنة إحياء تراث الشيخ الأعظم رحمه‌اللّه في مجمع الفكر الإسلامي إلى طبع تراث الشيخ قدس‌سره بما فيه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محقّقة أنيقة والحمد لله ، ونظرا لضرورة عرض الفكر الاصولي للشيخ الأعظم الأنصاري في سائر مجالات علم الاصول ، قامت اللجنة بتحقيق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في ثوبه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نقدّم هذا السفر القيّم لعلمائنا الأعلام وحوزاتنا العلمية الكريمة ، راجين لهم من اللّه سبحانه التوفيق والسداد لخدمة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الفكر الإسلامي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6254_218267"/>
    </w:p>
    <w:p>
      <w:pPr>
        <w:pStyle w:val="Heading2"/>
        <w:numPr>
          <w:ilvl w:val="1"/>
          <w:numId w:val="1"/>
        </w:numPr>
        <w:rPr/>
      </w:pPr>
      <w:bookmarkStart w:id="13" w:name="__RefHeading___Toc4418134_1280447820"/>
      <w:bookmarkStart w:id="14" w:name="_Toc4"/>
      <w:bookmarkEnd w:id="12"/>
      <w:bookmarkEnd w:id="13"/>
      <w:r>
        <w:rPr>
          <w:rtl w:val="true"/>
        </w:rPr>
        <w:t xml:space="preserve">مقدّمة التحقيق </w:t>
      </w:r>
      <w:r>
        <w:rPr>
          <w:rtl w:val="true"/>
        </w:rPr>
        <w:t>:</w:t>
      </w:r>
      <w:bookmarkEnd w:id="14"/>
    </w:p>
    <w:p>
      <w:pPr>
        <w:pStyle w:val="Heading3"/>
        <w:numPr>
          <w:ilvl w:val="2"/>
          <w:numId w:val="1"/>
        </w:numPr>
        <w:rPr/>
      </w:pPr>
      <w:bookmarkStart w:id="15" w:name="__RefHeading___Toc4418136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سنتطرّق في هذه المقدّمة أوّلا إلى نبذة من حياة المؤلّف قدس‌سره ثمّ نبحث عن الكتاب ومسيرته التحقيقيّة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418138_1280447820"/>
      <w:bookmarkStart w:id="18" w:name="_Toc6"/>
      <w:bookmarkEnd w:id="17"/>
      <w:r>
        <w:rPr>
          <w:rtl w:val="true"/>
        </w:rPr>
        <w:t>نبذة من حياة المؤلف</w:t>
      </w:r>
      <w:bookmarkEnd w:id="18"/>
    </w:p>
    <w:p>
      <w:pPr>
        <w:pStyle w:val="Heading4"/>
        <w:numPr>
          <w:ilvl w:val="3"/>
          <w:numId w:val="1"/>
        </w:numPr>
        <w:rPr/>
      </w:pPr>
      <w:bookmarkStart w:id="19" w:name="__RefHeading___Toc4418140_12804478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هو الميرزا أبو القاسم بن محمد علي بن هادي النوري الكلانتري الطهراني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مدينة نور بمحافظة مازندران في شمال إيران ، حيث كانت موطن أجداده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الكلانتري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نسبة إلى خاله محمود خان النوري الذي تولّى في طهران منصب كلانتر ، وهو رئيس الأصناف التجارية في عهد ناصر الدين شاه القاجاري</w:t>
      </w:r>
      <w:r>
        <w:rPr>
          <w:rFonts w:eastAsia="Amiri" w:cs="Amiri" w:ascii="Amiri" w:hAnsi="Amiri"/>
          <w:color w:val="111111"/>
          <w:sz w:val="28"/>
          <w:szCs w:val="28"/>
          <w:rtl w:val="true"/>
          <w:lang w:bidi="ar-SA"/>
        </w:rPr>
        <w:t xml:space="preserve">. </w:t>
      </w:r>
      <w:bookmarkStart w:id="21" w:name="pg16254_218268"/>
    </w:p>
    <w:p>
      <w:pPr>
        <w:pStyle w:val="Heading4"/>
        <w:numPr>
          <w:ilvl w:val="3"/>
          <w:numId w:val="1"/>
        </w:numPr>
        <w:rPr/>
      </w:pPr>
      <w:bookmarkStart w:id="22" w:name="__RefHeading___Toc4418142_1280447820"/>
      <w:bookmarkStart w:id="23" w:name="_Toc8"/>
      <w:bookmarkEnd w:id="21"/>
      <w:bookmarkEnd w:id="22"/>
      <w:r>
        <w:rPr>
          <w:rtl w:val="true"/>
        </w:rPr>
        <w:t xml:space="preserve">ولادته </w:t>
      </w:r>
      <w:r>
        <w:rPr>
          <w:rtl w:val="true"/>
        </w:rPr>
        <w:t>:</w:t>
      </w:r>
      <w:bookmarkEnd w:id="23"/>
    </w:p>
    <w:p>
      <w:pPr>
        <w:pStyle w:val="BookText"/>
        <w:rPr/>
      </w:pPr>
      <w:r>
        <w:rPr>
          <w:rFonts w:ascii="Amiri" w:hAnsi="Amiri" w:eastAsia="Amiri" w:cs="Amiri"/>
          <w:color w:val="111111"/>
          <w:sz w:val="28"/>
          <w:sz w:val="28"/>
          <w:szCs w:val="28"/>
          <w:rtl w:val="true"/>
          <w:lang w:bidi="ar-SA"/>
        </w:rPr>
        <w:t xml:space="preserve">ولد قدس‌سره بطهران في الثالث من ربيع الثاني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الملك فتحعلي شاه القاجاري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418144_1280447820"/>
      <w:bookmarkStart w:id="25" w:name="_Toc9"/>
      <w:bookmarkEnd w:id="24"/>
      <w:r>
        <w:rPr>
          <w:rtl w:val="true"/>
        </w:rPr>
        <w:t xml:space="preserve">أسرته </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جدّه الحاج هادي النوري ، وكان من التجار الأخيار المعروفين في مدينة نور بمازندران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منها مع أهله إلى طهران وسكن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أبوه الحاج محمد علي النوري ، وكان مع ثلّة التجار المشتغلين بطلب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 وهي اخت الميرزا محمود خان النوري ، من بيت شرف وتقوى بطهران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خلّف أولادا لا نعرف منهم إلاّ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نجله الأكبر الميرزا محمد علي الطهراني ، وهو عالم فاضل عاش في طهران ، وتوفّي بعد أبيه بقليل ودفن بجواره في مرقد السيد عبد العظيم الحسني بالري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الأصغر الميرزا أبو الفضل الطهراني ، وكان فقيها حكيما شاعرا وأديبا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والده وجماعة من الأعلام أمثال السيد المجدد الشيرازي والميرزا حبيب اللّه الرشتي والشيخ محمد رضا القمشئي والميرزا أبي الحسن جلوه الفقه والاصول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على أبيات كثيرة في مدح المعصومين ومدح استاذه السيد محمد محسن الشيرازي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صدح الحمامة في أحوال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 حياة والده ، توفي بطهران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والده بجوار السيد عبد العظيم الحسني</w:t>
      </w:r>
      <w:r>
        <w:rPr>
          <w:rFonts w:eastAsia="Amiri" w:cs="Amiri" w:ascii="Amiri" w:hAnsi="Amiri"/>
          <w:color w:val="111111"/>
          <w:sz w:val="28"/>
          <w:szCs w:val="28"/>
          <w:rtl w:val="true"/>
          <w:lang w:bidi="ar-SA"/>
        </w:rPr>
        <w:t xml:space="preserve">. </w:t>
      </w:r>
      <w:bookmarkStart w:id="26" w:name="pg16254_218269"/>
    </w:p>
    <w:p>
      <w:pPr>
        <w:pStyle w:val="BookText"/>
        <w:rPr/>
      </w:pPr>
      <w:bookmarkEnd w:id="2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حفيده الميرزا محمد بن أبي الفضل الثقفي الطهراني مؤلف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جاويد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ودرس على آقا ميرزا كوچك الساوجي وآقا شيخ بزرگ الساوجي ، ثم هاجر إلى قم المقدسة وتلمّذ في المعقول على السيد أبي الحسن الرفيعي القزويني وقرأ الفقه والاصول على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الكريم الحائري اليزدي ومنحه إجازة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تأليفات كثيرة ،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الفوائد في الحاشية على 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لاستاذه الشيخ عبد الكريم الحائري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مبحث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لاستاذه الحائري ، وغيرهما</w:t>
      </w:r>
      <w:r>
        <w:rPr>
          <w:rFonts w:eastAsia="IRNazanin" w:cs="IRNazanin"/>
          <w:color w:val="111111"/>
          <w:sz w:val="28"/>
          <w:szCs w:val="28"/>
          <w:rtl w:val="true"/>
          <w:lang w:bidi="fa-IR"/>
        </w:rPr>
        <w:t>.</w:t>
      </w:r>
    </w:p>
    <w:p>
      <w:pPr>
        <w:pStyle w:val="Heading4"/>
        <w:numPr>
          <w:ilvl w:val="3"/>
          <w:numId w:val="1"/>
        </w:numPr>
        <w:rPr/>
      </w:pPr>
      <w:bookmarkStart w:id="27" w:name="__RefHeading___Toc4418146_1280447820"/>
      <w:bookmarkStart w:id="28" w:name="_Toc10"/>
      <w:bookmarkEnd w:id="27"/>
      <w:r>
        <w:rPr>
          <w:rtl w:val="true"/>
        </w:rPr>
        <w:t xml:space="preserve">وفاته </w:t>
      </w:r>
      <w:r>
        <w:rPr>
          <w:rtl w:val="true"/>
        </w:rPr>
        <w:t>:</w:t>
      </w:r>
      <w:bookmarkEnd w:id="28"/>
    </w:p>
    <w:p>
      <w:pPr>
        <w:pStyle w:val="BookText"/>
        <w:rPr/>
      </w:pPr>
      <w:r>
        <w:rPr>
          <w:rFonts w:ascii="Amiri" w:hAnsi="Amiri" w:eastAsia="Amiri" w:cs="Amiri"/>
          <w:color w:val="111111"/>
          <w:sz w:val="28"/>
          <w:sz w:val="28"/>
          <w:szCs w:val="28"/>
          <w:rtl w:val="true"/>
          <w:lang w:bidi="ar-SA"/>
        </w:rPr>
        <w:t xml:space="preserve">نظرا لكثرة مطالعته وتأليفه الكتب المتعدّدة لذا فقد لحقه مرض الرمد ، وعلى أثره اصيب بالعمى في أواخر عمره ، فلزم بيته طوال فترة حتى دنا أجله والتحق بالرفيق الأعلى ، وذلك في مدينة طهران في الثالث من ربيع الثاني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في مدينة الري بجوار مرقد السيد عبد العظيم الحسني بمقبرة أبي الفتوح الرازي بظهر مرقد حمزة بن 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أنّه توفّي في نفس التاريخ الذي ولد فيه ، وقد بلغ 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دون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رثاه نجله الأديب الشاعر الميرزا أبو الفضل الطهراني بقصيدة يائية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العيش والآمال واطو الأمانيا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طول الدهر واللّه باقيا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رمى الدهر من سهم النوائب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كريما طاهر الأصل زاكيا </w:t>
      </w:r>
      <w:bookmarkStart w:id="29" w:name="pg16254_218270"/>
    </w:p>
    <w:p>
      <w:pPr>
        <w:pStyle w:val="BookText"/>
        <w:rPr/>
      </w:pPr>
      <w:bookmarkEnd w:id="29"/>
      <w:r>
        <w:rPr>
          <w:rFonts w:ascii="Amiri" w:hAnsi="Amiri" w:eastAsia="Amiri" w:cs="Amiri"/>
          <w:color w:val="111111"/>
          <w:sz w:val="28"/>
          <w:sz w:val="28"/>
          <w:szCs w:val="28"/>
          <w:rtl w:val="true"/>
          <w:lang w:bidi="ar-SA"/>
        </w:rPr>
        <w:t xml:space="preserve">هماما من العلياء في عقر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ويوم الفخر فاق الأعاليا</w:t>
      </w:r>
    </w:p>
    <w:p>
      <w:pPr>
        <w:pStyle w:val="BookText"/>
        <w:rPr/>
      </w:pPr>
      <w:r>
        <w:rPr>
          <w:rFonts w:ascii="Amiri" w:hAnsi="Amiri" w:eastAsia="Amiri" w:cs="Amiri"/>
          <w:color w:val="111111"/>
          <w:sz w:val="28"/>
          <w:sz w:val="28"/>
          <w:szCs w:val="28"/>
          <w:rtl w:val="true"/>
          <w:lang w:bidi="ar-SA"/>
        </w:rPr>
        <w:t xml:space="preserve">وعلاّمة الدنيا وأوحد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عن سرب العلوم محاميا </w:t>
      </w:r>
      <w:r>
        <w:rPr>
          <w:rStyle w:val="FootnoteAnchor"/>
          <w:rtl w:val="true"/>
        </w:rPr>
        <w:footnoteReference w:id="3"/>
      </w:r>
    </w:p>
    <w:p>
      <w:pPr>
        <w:pStyle w:val="Heading4"/>
        <w:numPr>
          <w:ilvl w:val="3"/>
          <w:numId w:val="1"/>
        </w:numPr>
        <w:rPr/>
      </w:pPr>
      <w:bookmarkStart w:id="30" w:name="__RefHeading___Toc4418148_1280447820"/>
      <w:bookmarkStart w:id="31" w:name="_Toc11"/>
      <w:bookmarkEnd w:id="30"/>
      <w:r>
        <w:rPr>
          <w:rtl w:val="true"/>
        </w:rPr>
        <w:t xml:space="preserve">حياته العلمية </w:t>
      </w:r>
      <w:r>
        <w:rPr>
          <w:rtl w:val="true"/>
        </w:rPr>
        <w:t>:</w:t>
      </w:r>
      <w:bookmarkEnd w:id="31"/>
    </w:p>
    <w:p>
      <w:pPr>
        <w:pStyle w:val="BookText"/>
        <w:rPr/>
      </w:pPr>
      <w:r>
        <w:rPr>
          <w:rFonts w:ascii="Amiri" w:hAnsi="Amiri" w:eastAsia="Amiri" w:cs="Amiri"/>
          <w:color w:val="111111"/>
          <w:sz w:val="28"/>
          <w:sz w:val="28"/>
          <w:szCs w:val="28"/>
          <w:rtl w:val="true"/>
          <w:lang w:bidi="ar-SA"/>
        </w:rPr>
        <w:t>تعلّم القراءة والكتابة وبعض مقدّمات العلوم الدينية لدى علماء مدينته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يمتاز بذكاء مفرط ونبوغ كبير في تلقّي الدروس العلمية ، والإحاطة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مع عمّه 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حوزة أصفهان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المراكز العلمية المهمّة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ثلاث سنين ، وأتقن خلالها مقدمات العلوم ، ثم عاد إلى طهران فمكث فيها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العراق في نحو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بسنّ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لإكمال دراسته ، فمكث في العتبات المقدسة بعض سنين ، ولكن لمّا لم يتيسّر له المكوث هناك بسبب ضنك العيش رجع إلى طهران ثانية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استوعب علوم الأدب التحق بمدرسة المروي وأخذ العلوم العقلية فيها عن الملاّ عبد اللّه الزنوزي ، والفقه والاصول عن عدد من أساتذتها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محمد الكرمانشاهي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بالفضل والعلم عند علماء زمانه فأشاروا عليه بالعودة إلى العراق ، فهاجر إليه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آنذاك ابن عشرين سنة ، فقرأ في مدينة كربلاء على الفقيه الكبير السيد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بصاحب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في درسي الفقه والاصول</w:t>
      </w:r>
      <w:r>
        <w:rPr>
          <w:rFonts w:eastAsia="Amiri" w:cs="Amiri" w:ascii="Amiri" w:hAnsi="Amiri"/>
          <w:color w:val="111111"/>
          <w:sz w:val="28"/>
          <w:szCs w:val="28"/>
          <w:rtl w:val="true"/>
          <w:lang w:bidi="ar-SA"/>
        </w:rPr>
        <w:t xml:space="preserve">. </w:t>
      </w:r>
      <w:bookmarkStart w:id="32" w:name="pg16254_218271"/>
    </w:p>
    <w:p>
      <w:pPr>
        <w:pStyle w:val="BookText"/>
        <w:rPr/>
      </w:pPr>
      <w:bookmarkEnd w:id="32"/>
      <w:r>
        <w:rPr>
          <w:rFonts w:ascii="Amiri" w:hAnsi="Amiri" w:eastAsia="Amiri" w:cs="Amiri"/>
          <w:color w:val="111111"/>
          <w:sz w:val="28"/>
          <w:sz w:val="28"/>
          <w:szCs w:val="28"/>
          <w:rtl w:val="true"/>
          <w:lang w:bidi="ar-SA"/>
        </w:rPr>
        <w:t xml:space="preserve">وقد حدثت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هجوم محمد نجيب باشا العثماني على كربلاء وأدّت إلى قتل سكّانها ، فاضطرّ قدس‌سره إلى الخروج منها ، فهاجر إلى أصفهان حتى هدأت الفتنة ، فعاد بعدها إلى محلّ هجرته واستقرّ به المقام في النجف الأشرف ملتحقا بحوزتها العلمية التي كانت تعتبر أكبر الحوزات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درس خاتم المجتهدين الشيخ مرتضى الأنصاري قدس‌سره ما يقرب من عشرين سنة ، وأصبح يتعاظم منزلة يوما فيوما حتى ذاع صيته ونبغ في الوسط العلمي من بين أقرانه وصار أحد أركان حوزته ومعتمد استاذه ومقرّر أبحاثه ، وفي حينها صرّح استاذه باجتهاده في مواقع من مجالسه ، واشتهرت علميّته وفضله ، فكان بعد فراغ استاذه من الدرس يقرّر ما أخذه في الفقه والاصول لجماعة من أقرانه وجلسائه في حلقة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على الرجوع إلى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فالتقى استاذه الشيخ الأنصاري فطلب منه الشيخ الأعظم القيام بوظيفته الشرعية أينما حلّ وارتحل ، وبذلك أصبح قدس‌سره من زعماء الدين الذين يشار إليهم بالبنان ، فعاد مرجعا في الفتيا والتدريس ونشر العلم وسائر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يحضر دروسه جمع غفير من العلماء والفضلاء ، فدرّس الفقه والاصول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 مدرسة المروي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418150_1280447820"/>
      <w:bookmarkStart w:id="34" w:name="_Toc12"/>
      <w:bookmarkEnd w:id="33"/>
      <w:r>
        <w:rPr>
          <w:rtl w:val="true"/>
        </w:rPr>
        <w:t xml:space="preserve">تلامذته </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نجله الميرزا أبو الفضل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بطريقه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صادق الطهراني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بن فتح اللّه النهاوندي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أكبر بن محمد مهدي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5" w:name="pg16254_218272"/>
    </w:p>
    <w:p>
      <w:pPr>
        <w:pStyle w:val="BookText"/>
        <w:rPr/>
      </w:pPr>
      <w:bookmarkEnd w:id="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علي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الشيخ فضل اللّه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صدر الحفّاظ القمّي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حبيب اللّه الشريف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تلمذ عليه شطرا من 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النبي النبوي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418152_1280447820"/>
      <w:bookmarkStart w:id="37" w:name="_Toc13"/>
      <w:bookmarkEnd w:id="36"/>
      <w:r>
        <w:rPr>
          <w:rtl w:val="true"/>
        </w:rPr>
        <w:t xml:space="preserve">مؤلّفاته </w:t>
      </w:r>
      <w:r>
        <w:rPr>
          <w:rtl w:val="true"/>
        </w:rPr>
        <w:t>:</w:t>
      </w:r>
      <w:bookmarkEnd w:id="37"/>
    </w:p>
    <w:p>
      <w:pPr>
        <w:pStyle w:val="Heading5"/>
        <w:numPr>
          <w:ilvl w:val="4"/>
          <w:numId w:val="1"/>
        </w:numPr>
        <w:rPr/>
      </w:pPr>
      <w:bookmarkStart w:id="38" w:name="__RefHeading___Toc4418154_1280447820"/>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إضافة إلى مهارته واضطلاعه في أغلب العلوم فإنّه رحمه‌اللّه يعتبر أحد جهابذة العلماء في الفقه والاصول ، وقد ترك أسفارا جمّة أغنى المكتبة الإسلامية بها ، وإليك عناوين ما وقفنا عليه من تراثه القيّم </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418156_1280447820"/>
      <w:bookmarkStart w:id="41" w:name="_Toc15"/>
      <w:bookmarkEnd w:id="40"/>
      <w:r>
        <w:rPr/>
        <w:t>1</w:t>
      </w:r>
      <w:r>
        <w:rPr>
          <w:rtl w:val="true"/>
        </w:rPr>
        <w:t xml:space="preserve"> - </w:t>
      </w:r>
      <w:r>
        <w:rPr>
          <w:rtl w:val="true"/>
        </w:rPr>
        <w:t xml:space="preserve">التقريرات في الفقه </w:t>
      </w:r>
      <w:r>
        <w:rPr>
          <w:rtl w:val="true"/>
        </w:rPr>
        <w:t>:</w:t>
      </w:r>
      <w:bookmarkEnd w:id="41"/>
    </w:p>
    <w:p>
      <w:pPr>
        <w:pStyle w:val="BookText"/>
        <w:rPr/>
      </w:pPr>
      <w:r>
        <w:rPr>
          <w:rFonts w:ascii="Amiri" w:hAnsi="Amiri" w:eastAsia="Amiri" w:cs="Amiri"/>
          <w:color w:val="111111"/>
          <w:sz w:val="28"/>
          <w:sz w:val="28"/>
          <w:szCs w:val="28"/>
          <w:rtl w:val="true"/>
          <w:lang w:bidi="ar-SA"/>
        </w:rPr>
        <w:t xml:space="preserve">أطلق عليه الشيخ الطهراني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احتوى على محاضرات استاذه الشيخ الأنصاري في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وصلاة المسافر والزكاة والغصب والوقف واللقطة والرهن والإجارة وإحياء الموات والقضاء والشهادات ، ولكن لم نعثر على مخطوطته إلاّ على بحث القضاء والشهادات منها في مكتبة كلّية الإلهيات بمدينة مشهد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فهرستها ، فهرست الكلية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Heading5"/>
        <w:numPr>
          <w:ilvl w:val="4"/>
          <w:numId w:val="1"/>
        </w:numPr>
        <w:rPr/>
      </w:pPr>
      <w:bookmarkStart w:id="42" w:name="__RefHeading___Toc4418158_1280447820"/>
      <w:bookmarkStart w:id="43" w:name="_Toc16"/>
      <w:bookmarkEnd w:id="42"/>
      <w:r>
        <w:rPr/>
        <w:t>2</w:t>
      </w:r>
      <w:r>
        <w:rPr>
          <w:rtl w:val="true"/>
        </w:rPr>
        <w:t xml:space="preserve"> - </w:t>
      </w:r>
      <w:r>
        <w:rPr>
          <w:rtl w:val="true"/>
        </w:rPr>
        <w:t xml:space="preserve">التقريرات في اصول الفقه </w:t>
      </w:r>
      <w:r>
        <w:rPr>
          <w:rtl w:val="true"/>
        </w:rPr>
        <w:t>:</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محاضرات استاذه الشيخ جعفر بن محمد الكرمانشاهي الطهراني التي ألقاها بطهران ، وهو جزءان ، ألّفه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الشيخ آقا بزرك الطهراني </w:t>
      </w:r>
      <w:bookmarkStart w:id="44" w:name="pg16254_218273"/>
    </w:p>
    <w:p>
      <w:pPr>
        <w:pStyle w:val="BookText"/>
        <w:rPr/>
      </w:pPr>
      <w:bookmarkEnd w:id="44"/>
      <w:r>
        <w:rPr>
          <w:rFonts w:ascii="Amiri" w:hAnsi="Amiri" w:eastAsia="Amiri" w:cs="Amiri"/>
          <w:color w:val="111111"/>
          <w:sz w:val="28"/>
          <w:sz w:val="28"/>
          <w:szCs w:val="28"/>
          <w:rtl w:val="true"/>
          <w:lang w:bidi="ar-SA"/>
        </w:rPr>
        <w:t>مخطوطته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Heading5"/>
        <w:numPr>
          <w:ilvl w:val="4"/>
          <w:numId w:val="1"/>
        </w:numPr>
        <w:rPr/>
      </w:pPr>
      <w:bookmarkStart w:id="45" w:name="__RefHeading___Toc4418160_1280447820"/>
      <w:bookmarkStart w:id="46" w:name="_Toc17"/>
      <w:bookmarkEnd w:id="45"/>
      <w:r>
        <w:rPr/>
        <w:t>3</w:t>
      </w:r>
      <w:r>
        <w:rPr>
          <w:rtl w:val="true"/>
        </w:rPr>
        <w:t xml:space="preserve"> - </w:t>
      </w:r>
      <w:r>
        <w:rPr>
          <w:rtl w:val="true"/>
        </w:rPr>
        <w:t xml:space="preserve">رسالة في بعض فروع الإرث </w:t>
      </w:r>
      <w:r>
        <w:rPr>
          <w:rtl w:val="true"/>
        </w:rPr>
        <w:t>:</w:t>
      </w:r>
      <w:bookmarkEnd w:id="46"/>
    </w:p>
    <w:p>
      <w:pPr>
        <w:pStyle w:val="BookText"/>
        <w:rPr/>
      </w:pPr>
      <w:r>
        <w:rPr>
          <w:rFonts w:ascii="Amiri" w:hAnsi="Amiri" w:eastAsia="Amiri" w:cs="Amiri"/>
          <w:color w:val="111111"/>
          <w:sz w:val="28"/>
          <w:sz w:val="28"/>
          <w:szCs w:val="28"/>
          <w:rtl w:val="true"/>
          <w:lang w:bidi="ar-SA"/>
        </w:rPr>
        <w:t xml:space="preserve">وهي رسالة في 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الإرثية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لمعاصره السيد إسماعيل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طهران ، كان قد حكم فيها بإثبات وارثية رجل اسمه رجب ولد من جارية 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بن أحمد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باللغة العربية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ترجمها إلى الفارسية لاستفادة العموم ، مخطوطتها في مكتبة معهد الشهيد مطهّري العالي في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مكتبة مدرسة الشهيد المطهري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Heading5"/>
        <w:numPr>
          <w:ilvl w:val="4"/>
          <w:numId w:val="1"/>
        </w:numPr>
        <w:rPr/>
      </w:pPr>
      <w:bookmarkStart w:id="47" w:name="__RefHeading___Toc4418162_1280447820"/>
      <w:bookmarkStart w:id="48" w:name="_Toc18"/>
      <w:bookmarkEnd w:id="47"/>
      <w:r>
        <w:rPr/>
        <w:t>4</w:t>
      </w:r>
      <w:r>
        <w:rPr>
          <w:rtl w:val="true"/>
        </w:rPr>
        <w:t xml:space="preserve"> - </w:t>
      </w:r>
      <w:r>
        <w:rPr>
          <w:rtl w:val="true"/>
        </w:rPr>
        <w:t xml:space="preserve">رسالة في المشتقّ </w:t>
      </w:r>
      <w:r>
        <w:rPr>
          <w:rtl w:val="true"/>
        </w:rPr>
        <w:t>:</w:t>
      </w:r>
      <w:bookmarkEnd w:id="48"/>
    </w:p>
    <w:p>
      <w:pPr>
        <w:pStyle w:val="BookText"/>
        <w:rPr/>
      </w:pPr>
      <w:r>
        <w:rPr>
          <w:rFonts w:ascii="Amiri" w:hAnsi="Amiri" w:eastAsia="Amiri" w:cs="Amiri"/>
          <w:color w:val="111111"/>
          <w:sz w:val="28"/>
          <w:sz w:val="28"/>
          <w:szCs w:val="28"/>
          <w:rtl w:val="true"/>
          <w:lang w:bidi="ar-SA"/>
        </w:rPr>
        <w:t>وهي بحث في تحرير محلّ نزاع الاصوليّين بشأن الامور السبعة للمشتقّ ، وذكر الأقوال في المسألة ، وفي خاتمتها تنبيهات أربعة وتذنيبان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مضامينها قد درجت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نجدها في المطبوع منه ، ولم يعثر على مخطوطتها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الرسالة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رسائل الشيخ الأنصاري ، والثانية بقم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فقهية واصولية </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4418164_1280447820"/>
      <w:bookmarkStart w:id="50" w:name="_Toc19"/>
      <w:bookmarkEnd w:id="49"/>
      <w:r>
        <w:rPr/>
        <w:t>5</w:t>
      </w:r>
      <w:r>
        <w:rPr>
          <w:rtl w:val="true"/>
        </w:rPr>
        <w:t xml:space="preserve"> - </w:t>
      </w:r>
      <w:r>
        <w:rPr>
          <w:rtl w:val="true"/>
        </w:rPr>
        <w:t xml:space="preserve">مطارح الأنظار </w:t>
      </w:r>
      <w:r>
        <w:rPr>
          <w:rtl w:val="true"/>
        </w:rPr>
        <w:t>:</w:t>
      </w:r>
      <w:bookmarkEnd w:id="50"/>
    </w:p>
    <w:p>
      <w:pPr>
        <w:pStyle w:val="BookText"/>
        <w:rPr/>
      </w:pPr>
      <w:r>
        <w:rPr>
          <w:rFonts w:ascii="Amiri" w:hAnsi="Amiri" w:eastAsia="Amiri" w:cs="Amiri"/>
          <w:color w:val="111111"/>
          <w:sz w:val="28"/>
          <w:sz w:val="28"/>
          <w:szCs w:val="28"/>
          <w:rtl w:val="true"/>
          <w:lang w:bidi="ar-SA"/>
        </w:rPr>
        <w:t>وهو هذا السفر الذي بين يديك ، وسيأتي الكلام عنه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418166_1280447820"/>
      <w:bookmarkStart w:id="52" w:name="_Toc20"/>
      <w:bookmarkEnd w:id="51"/>
      <w:r>
        <w:rPr>
          <w:rtl w:val="true"/>
        </w:rPr>
        <w:t xml:space="preserve">قالوا فيه </w:t>
      </w:r>
      <w:r>
        <w:rPr>
          <w:rtl w:val="true"/>
        </w:rPr>
        <w:t>:</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أرباب المعاجم وأهل التراجم الرجالية آراءهم فيه ، وما قاله العلماء والأفاضل من أساتذته ومعاصريه وتلامذته من مدحهم وإطرائهم له وجزيل </w:t>
      </w:r>
    </w:p>
    <w:p>
      <w:pPr>
        <w:pStyle w:val="BookText"/>
        <w:rPr/>
      </w:pPr>
      <w:r>
        <w:rPr>
          <w:rFonts w:ascii="Amiri" w:hAnsi="Amiri" w:eastAsia="Amiri" w:cs="Amiri"/>
          <w:color w:val="111111"/>
          <w:sz w:val="28"/>
          <w:sz w:val="28"/>
          <w:szCs w:val="28"/>
          <w:rtl w:val="true"/>
          <w:lang w:bidi="ar-SA"/>
        </w:rPr>
        <w:t xml:space="preserve">الثناء عليه ، نسرد هنا بعضا ممّا جاء في إجلالهم وتكريمهم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ابنه الفاضل الميرزا أبو الفضل رحمه‌اللّه في شأن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الفقهاء الربّانيين ، وفقيه الحكماء الإلهيّين ، وحيد عصره وزمانه ، وفريد دهره وأوانه ، علاّمة العلماء والمجتهدين ، وكشّاف حقائق العلوم بالبراهين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الخطيب الشهير الملاّ محمد باقر الواعظ وهو أحد معاصريه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العلماء العاملين ، وفحل الفضلاء المحقّقين ، مقرّر الفروع والاصول ، جامع المعقول والمنقول ، الأديب الأريب ، المحقّق المدقّق الورع العالم ، واستاذ أساتيذ الأعاظم ، الحاج ميرزا أبو القاسم الرازي الطهراني ، أفاض اللّه عليه شآبيب الغفران ، وأسكنه في أعلى مساكن الجنان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تلميذه الملاّ حبيب اللّه شريف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أكابر تلامذة الشيخ المرتضى ، فاضلا كاملا ، ومجتهدا فقيها اصوليا ، حكيما عارفا ، ذا سليقة مستقيمة وفطانة قويمة ، وكان حاذقا ماهرا في الفقه والاصول ، مسلّما عند الفحول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 عنه معاصره الشيخ الآخوند محمد كاظم الخراساني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الأفاضل المقرّر لبحثه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الأجلّة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الميرزا محمد مهدي الكهنوئي الكشميري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أعاظم المجتهدين ، وأكابر العلماء العاملين ، المقدّس المتورّع ، وصاحب المراتب الجليلة والمناقب الفخيمة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عنه المحدّث الشيخ عباس القمّي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فاضل محقّق مدقّق فقيه اصولي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بشأنه السيد محسن الأمين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المترجم له من عباد اللّه الصالحين ، وفي أيام قراءته على الشيخ مرتضى كان من وجوه تلاميذه ، وكان بعد فراغ استاذه من الدرس في علمي الاصول والفقه يعيده ويقرّره لجماعة من حاضري الدرس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آقا بزرك الطهراني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الصلحاء الأتقياء المتورّعين ، لم يأل جهدا في إعلاء كلمة الحقّ وتأييد المذهب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أحد أركان حوزة الأنصاري ومن عمد ذلك المعهد الشريف ، وصار معتمد أستاذه ومقرّر بحثه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حفيده الشيخ محمد الثقفي الطهراني في وصف جدّه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جنابه معروفا بين أهل العلم بأنّ من تلمذ عنده بلغ رتبة الاجتهاد ، بل الإفتاء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53" w:name="pg16254_218276"/>
    </w:p>
    <w:p>
      <w:pPr>
        <w:pStyle w:val="Heading3"/>
        <w:numPr>
          <w:ilvl w:val="2"/>
          <w:numId w:val="1"/>
        </w:numPr>
        <w:rPr/>
      </w:pPr>
      <w:bookmarkStart w:id="54" w:name="__RefHeading___Toc4418168_1280447820"/>
      <w:bookmarkStart w:id="55" w:name="_Toc21"/>
      <w:bookmarkEnd w:id="53"/>
      <w:bookmarkEnd w:id="54"/>
      <w:r>
        <w:rPr>
          <w:rtl w:val="true"/>
        </w:rPr>
        <w:t>مطارح الأنظار ومسيرة تحقيقه</w:t>
      </w:r>
      <w:bookmarkEnd w:id="55"/>
    </w:p>
    <w:p>
      <w:pPr>
        <w:pStyle w:val="Heading4"/>
        <w:numPr>
          <w:ilvl w:val="3"/>
          <w:numId w:val="1"/>
        </w:numPr>
        <w:rPr/>
      </w:pPr>
      <w:bookmarkStart w:id="56" w:name="__RefHeading___Toc4418170_1280447820"/>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وهو تقريرات لمحاضرات استاذه الشيخ الأعظم مرتضى الأنصاري في علم اصول الفقه ، ألّفه بعناوين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وضمّنه العناوين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والأعمّ ، اجتماع الأمر والنهي ، الإجزاء ، مقدمة الواجب ، مسألة الضدّ ، العام والخاصّ ، المجمل والمبيّن ، المطلق والمقيّد ، المفهوم والمنطوق ، المشتقّ ، الاستصحاب ، أصالة البراءة ، حجيّة القطع ، حجيّة الظنّ ، الحسن والقبح العقليين والشرعيين ، الاجتهاد والتقليد ،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الكتاب يحتوي على أغلب مباحث الاصول ، ولما تصدّى ابن المؤلف الميرزا أبو الفضل الطهراني لترتيب الكتاب وطبعه اكتفى بالمباحث التي لم يذكرها الشيخ الأنصاري في فرائده فاختار من تقريرات والده مباحث الألفاظ والأدلة العقلية والاجتهاد والتقليد 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ورتّبه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والأعمّ ، الإجزاء ، مقدمة الواجب ، التجرّي ، مسألة الضدّ ، اجتماع الأمر والنهي ، اقتضاء النهي الفساد ، المفاهيم ، العام والخاصّ ، المطلق والمقيّد ، المجمل والمبيّن ، الأدلّة العقلية ، الاجتهاد والتقليد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 الكتاب انتشارا واسعا في الأوساط العلمية المختصّة ؛ لأنّه مثّل الحلقة المفقودة لآراء الشيخ الأنصاري في مباحث الألفاظ والأدلّة العقلية ؛ ولأنّ مقرّره يتمتّع بمنزلة علمية سامية زكّاها الشيخ الأنصاري نفسه وصرّح باجتهاده وفضله مرارا ، ولشخصية جامعه والمشرف على طباعته حيث عرف بفضله ودقّته ووفائه للعلم ولدور والده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واستقطب اهتمام العلماء وحرصهم على الاستفادة منه أو جعله محورا لبحوثهم أو تعليقاتهم ، فمثلا نقل عنه كثيرا الآخوند محمد كاظم الخراساني في كتابه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بعض الأفاضل المقرّر لبحثه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 شيخنا الاستاذ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ذكره في كتابه من آراء الشيخ الأنصاري في مباحث الألفاظ 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نقل عنه كثير من أعلام علم الاصول فيما يخصّ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كلّ من الشيخ مهدي الحكمي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والسيد شهاب الدين المرعشي النجفي 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مسارح الأفكار في توضيح مطارح الأنظار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حازه من تقاريظ وثناء الكتّاب عليه ، فذكره السيد محسن الأمين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 مطارح الأنظار ، ولاقى رواجا عظيما ؛ لأنّه من أحسن ما قرّر فيه مطالب الشيخ مرتضى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وأطراه السيد مير جلال الدين الحسيني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الارموي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أمعن النظر في كتابه مطارح الأنظار علم أنّ ما ذكره ابنه في حقّه ليس بجزاف ، فكيف لا وقد سمعت من بعض جهابذة فن الاصول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في اصول الفقه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شاهد صدق ودليل متين وبينة </w:t>
      </w:r>
      <w:bookmarkStart w:id="58" w:name="pg16254_218278"/>
    </w:p>
    <w:p>
      <w:pPr>
        <w:pStyle w:val="BookText"/>
        <w:rPr/>
      </w:pPr>
      <w:bookmarkEnd w:id="58"/>
      <w:r>
        <w:rPr>
          <w:rFonts w:ascii="Amiri" w:hAnsi="Amiri" w:eastAsia="Amiri" w:cs="Amiri"/>
          <w:color w:val="111111"/>
          <w:sz w:val="28"/>
          <w:sz w:val="28"/>
          <w:szCs w:val="28"/>
          <w:rtl w:val="true"/>
          <w:lang w:bidi="ar-SA"/>
        </w:rPr>
        <w:t xml:space="preserve">واضحة على كونه في غالب العلوم ، ولا سيما فن الاصول ، في أعلى درجة الكمال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418172_1280447820"/>
      <w:bookmarkStart w:id="60" w:name="_Toc23"/>
      <w:bookmarkEnd w:id="59"/>
      <w:r>
        <w:rPr>
          <w:rtl w:val="true"/>
        </w:rPr>
        <w:t xml:space="preserve">نسخ التحقيق </w:t>
      </w:r>
      <w:r>
        <w:rPr>
          <w:rtl w:val="true"/>
        </w:rPr>
        <w:t>:</w:t>
      </w:r>
      <w:bookmarkEnd w:id="60"/>
    </w:p>
    <w:p>
      <w:pPr>
        <w:pStyle w:val="BookText"/>
        <w:rPr/>
      </w:pPr>
      <w:r>
        <w:rPr>
          <w:rFonts w:ascii="Amiri" w:hAnsi="Amiri" w:eastAsia="Amiri" w:cs="Amiri"/>
          <w:color w:val="111111"/>
          <w:sz w:val="28"/>
          <w:sz w:val="28"/>
          <w:szCs w:val="28"/>
          <w:rtl w:val="true"/>
          <w:lang w:bidi="ar-SA"/>
        </w:rPr>
        <w:t xml:space="preserve">استندنا في تحقيق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النسخ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مؤسسة آل البيت عليهم‌السلام المطبوعة في قم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عن النسخة الحجرية التي جمعها نجل المؤلّف ورتّبها وأشرف على طبعها في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الرحلي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عن مخطوطة مكتبة مجلس الشورى الإسلامي في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عن مخطوطة مكتبة المرعشي النجفي في قم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418174_1280447820"/>
      <w:bookmarkStart w:id="62" w:name="_Toc24"/>
      <w:bookmarkEnd w:id="61"/>
      <w:r>
        <w:rPr>
          <w:rtl w:val="true"/>
        </w:rPr>
        <w:t xml:space="preserve">مراحل التحقيق والمشاركون فيها </w:t>
      </w:r>
      <w:r>
        <w:rPr>
          <w:rtl w:val="true"/>
        </w:rPr>
        <w:t>:</w:t>
      </w:r>
      <w:bookmarkEnd w:id="62"/>
    </w:p>
    <w:p>
      <w:pPr>
        <w:pStyle w:val="BookText"/>
        <w:rPr/>
      </w:pPr>
      <w:r>
        <w:rPr>
          <w:rFonts w:ascii="Amiri" w:hAnsi="Amiri" w:eastAsia="Amiri" w:cs="Amiri"/>
          <w:color w:val="111111"/>
          <w:sz w:val="28"/>
          <w:sz w:val="28"/>
          <w:szCs w:val="28"/>
          <w:rtl w:val="true"/>
          <w:lang w:bidi="ar-SA"/>
        </w:rPr>
        <w:t xml:space="preserve">مرّ هذا الكتاب بعدّة مراحل خلال تحقيقه نذكرها بالنحو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النسخ ، تصدّى عدد من الإخوة إلى مقابلتها على النسخ المعتمدة وأثبتوا الاختلافات فيما بينها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جواد شفيعي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صادق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رعد المظفّر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مضر فرج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مصادر النصوص ، وعهد به إلى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يحيى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جواد شفيعي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الإسلام والمسلمين الشيخ محمد باقر حسن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صادق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محمد حسين أحمدي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حافظ موسى زاده الخلخالي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السيد محمد رضي الحسيني الاشكوري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النصّ ، وتولّى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رحمة اللّه الرحمتي الأراكي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محمّد علي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الإسلام والمسلمين الشيخ محمد حسين أحمدي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العامة للكتاب ، وانبرى لها حجّة الإسلام والمسلمين الشيخ محمد حسين الأحمدي الشاهرودي وحجّة الإسلام والمسلمين الشيخ صادق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نشكر حجّة الإسلام والمسلمين الشيخ أمر اللّه الشجاعي لإعداده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تظافرت جهود هذه المجموعة من العلماء والفضلاء أصحاب الخبرة لتحقيق الكتاب بدقّة علمية عالية ، ومع كلّ ذلك ننوّه إلى اعتزازنا بالملاحظات البنّاءة التي ترفع من مستوى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 اللّه تعالى أن يتقبّله منّا بقبول حسن ، إنه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254_218281"/>
      <w:bookmarkStart w:id="64" w:name="pg16254_218281"/>
      <w:bookmarkEnd w:id="64"/>
    </w:p>
    <w:p>
      <w:pPr>
        <w:pStyle w:val="Heading2"/>
        <w:numPr>
          <w:ilvl w:val="1"/>
          <w:numId w:val="1"/>
        </w:numPr>
        <w:rPr/>
      </w:pPr>
      <w:bookmarkStart w:id="65" w:name="pg16254_218281"/>
      <w:bookmarkStart w:id="66" w:name="__RefHeading___Toc4418176_1280447820"/>
      <w:bookmarkStart w:id="67" w:name="_Toc25"/>
      <w:bookmarkEnd w:id="65"/>
      <w:bookmarkEnd w:id="66"/>
      <w:r>
        <w:rPr>
          <w:rtl w:val="true"/>
        </w:rPr>
        <w:t>خطبة الكتاب</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أحمدك اللّهمّ على ما طهّرتنا من دنس الإشراك ، وفضّلتنا بعبادتك على ملأ الأفلاك ، مسترشدا إليك عمّا أضلّت العقول ، ومستهديا منك في تفريع الاصول ، لنحتذي حذو ما أمرت ، وننتحي نحو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واصلّي واسلّم على من أحيا موات القلوب بحكمه </w:t>
      </w:r>
      <w:r>
        <w:rPr>
          <w:rStyle w:val="FootnoteAnchor"/>
          <w:rtl w:val="true"/>
        </w:rPr>
        <w:footnoteReference w:id="18"/>
      </w:r>
      <w:r>
        <w:rPr>
          <w:rFonts w:ascii="Amiri" w:hAnsi="Amiri" w:eastAsia="Amiri" w:cs="Amiri"/>
          <w:color w:val="111111"/>
          <w:sz w:val="28"/>
          <w:sz w:val="28"/>
          <w:szCs w:val="28"/>
          <w:rtl w:val="true"/>
          <w:lang w:bidi="ar-SA"/>
        </w:rPr>
        <w:t>الشافية ، ونقّاها عن صفات العيوب بكلمة الوافية ، ورفع عن فطرتها الرذائل وألبسها العافية ، ودفع عن نيّتها الزلازل بوقايته الكافية ، فلم يزل صلى‌اللّه‌عليه‌وآله في تفجير صلودها ، ومبالغا في تخضير عودها ، حتّى اعشوشبت قفارها بالخشوع ، واحلولت ثمارها بالخضوع ، واستولت على أرجائها القنوع ، واشتكلت بهيئة الإيمان ، واشتملت على الحكمة والبرهان ، وامتثلت ما اقتضاه القرآن ، واختزل عن جنانها الشيطان ، وصار الملك يومئذ لله الواحد المنّان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آله الذين أفصحوا عن مراده ، ودلّوا على صراطه ، خلفائه على الامّة ، وامنائه على الملّة والسنّة ، مناهج الحقّ ومسالك اليقين ، ومالكي الدين ، أئمّة </w:t>
      </w:r>
    </w:p>
    <w:p>
      <w:pPr>
        <w:pStyle w:val="BookText"/>
        <w:rPr/>
      </w:pPr>
      <w:r>
        <w:rPr>
          <w:rFonts w:ascii="Amiri" w:hAnsi="Amiri" w:eastAsia="Amiri" w:cs="Amiri"/>
          <w:color w:val="111111"/>
          <w:sz w:val="28"/>
          <w:sz w:val="28"/>
          <w:szCs w:val="28"/>
          <w:rtl w:val="true"/>
          <w:lang w:bidi="ar-SA"/>
        </w:rPr>
        <w:t>الخلائق ، وكلّ شيء أحصيناه في إمام مبين ، صلاة كثيرة لا يحصيها العادّون ، ولا يبلغ غايتها المجتهدون ، ما اختلف الليل والنهار واعترف الربيع بالأزهار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نور أشرقت له السماوات ، وانكشفت به الظلمات ، وصلح عليه أمر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المنهج الأشمّ ، والاسم الأعظم ، والترياق الأكبر ، والكبريت الأحمر ، والذروة العليا ، والجنّة المأوى ، والمدينة التي أنفت بالعلاء أركانها ، والحظيرة التي شرّفت بالسناء جدرانها ، وكلمة اللّه التي لو كان البحر مدادا لنفد البحر قبل ما يعتريها النفاد ، وحكمة اللّه التي أوتي خيرا كثيرا من اوتيها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السراج الوهّاج ، والماء الثجّاج ، وفضل اللّه ورحمته ، وصراط الحقّ وعصمته ، والمدّة في الحياة ، والعدّة بعد الممات ، والمنهاج الواضح المسالك ، والدليل إذا عميت المهالك ، وبه يقترب القاصي ، وينتدب العاصي ، وتملك النواصي ، وتستخلص الصياصي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إنّه الفضل الذي لا يجحد ، والشرف الذي لا يحدّ ، والرتبة التي لا ينالها إلاّ من اختاره اللّه وقدّمه ، أو الذي اصطفاه وولاّه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به من أسماء علّمها آدم عليه‌السلام ، وأعظم به من أسرار جرت في ولده إلى خاتم ، خصّ بالتحيّة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فاستودعها صلى‌اللّه‌عليه‌وآله أطائب عترته ، واستأمن عليها أكارم أرومته ، تشييدا لقواعد الدين ، وتمهيدا لأساس اليقين ، وحفظا لحوزة المؤمنين ، وردعا لبادرة الكافرين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تداركه فضل من الرحمن اغترف من فضالتهم ، ومن أدركه عون من الديّان اقتبس جذوة من نبالتهم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فإذن ، العلماء معادن الحكمة وتراجمة الأوحاء </w:t>
      </w:r>
      <w:r>
        <w:rPr>
          <w:rStyle w:val="FootnoteAnchor"/>
          <w:rtl w:val="true"/>
        </w:rPr>
        <w:footnoteReference w:id="19"/>
      </w:r>
      <w:r>
        <w:rPr>
          <w:rFonts w:ascii="Amiri" w:hAnsi="Amiri" w:eastAsia="Amiri" w:cs="Amiri"/>
          <w:color w:val="111111"/>
          <w:sz w:val="28"/>
          <w:sz w:val="28"/>
          <w:szCs w:val="28"/>
          <w:rtl w:val="true"/>
          <w:lang w:bidi="ar-SA"/>
        </w:rPr>
        <w:t>وأسفاط الفضيلة ومستودع الأنباء ، احتجّ اللّه بهم على العباد في دار الدنيا ويوم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بما استحفظوا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القيام ، وقعدوا في 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طيب المأكل والمنام ، وصبروا في نشره على الأذى والآلام ، وحسروا عن ذراع الهمّة لتمكين الخلائق في الحلال والحرام ، فتناولوه يدا عن يد ، وتداولوه واحدا بعد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ذلك دأبهم من قديم الزمان وديدنهم في كلّ وقت وآن ، حتّى انتهى الفضل إلى خاتمة المجتهدين ، وانحصر العلم في رأس الملّة والدين ، مرجع العلماء المحقّقين ، وفخر الفقهاء المتبحّرين ، معقل الأنام وكهف المسلمين والإسلام ، الكاشف بسنا أنواره غياهب الظلام عن وجوه الأحكام ، طود التقى ، بحر النهى ، ملاذ الورى ، علم الهدى ، مرتضى المصطفى ، مصطفى المرتضى ، مولى العصابة وعبد الباري ، المهاجر إلى الحقّ مرتضى الأنصاري ، أجزل اللّه في الدارين مثوبته ، ورفع في العلّيين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درجته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فارتقى في العلم مرتقى لم يسبقه الأوّلون ، واحتوى في الفضل رتبة ما أدركه الآخرون ، وفاز بمقام يغبطه العالمون ، فشخصت إليه الأبصار ، ورنت لديه الأنظار ، ومدّت نحوه الأعناق ، وألمت عنده الآفاق ، وانيخت بفنائه الركاب ، وأحدقوا به من كلّ باب ، روما للاغتراف من لجج بحاره ، وميلا للالتقاط من درر نثاره ، وطمعا في الاستنارة بتألّق أنواره ، وحرصا على اقتناء </w:t>
      </w:r>
      <w:r>
        <w:rPr>
          <w:rStyle w:val="FootnoteAnchor"/>
          <w:rtl w:val="true"/>
        </w:rPr>
        <w:footnoteReference w:id="21"/>
      </w:r>
      <w:r>
        <w:rPr>
          <w:rFonts w:ascii="Amiri" w:hAnsi="Amiri" w:eastAsia="Amiri" w:cs="Amiri"/>
          <w:color w:val="111111"/>
          <w:sz w:val="28"/>
          <w:sz w:val="28"/>
          <w:szCs w:val="28"/>
          <w:rtl w:val="true"/>
          <w:lang w:bidi="ar-SA"/>
        </w:rPr>
        <w:t>آثاره ، فامتلى كلّ إناء قدر ما وعاه ، وحكى كلّ زجاجة ما حاذاه ، ربّيون كثير ما وهنوا عن تناوش جداه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حكيم الفقهاء الربّانيّين ، وفقيه الحكماء الإلهيّين ، وحيد عصره وزمانه ، وفريد دهره وأوانه ، علاّمة العلماء والمجتهدين ، وكشّاف حقائق العلوم بالبراهين ، صاحب المفاخر والمكارم ، الحاج ميرزا أبو القاسم النوري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وأعلى في الجنان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اقتطفه من تلك الشجرة أحلاها ، وما التقطه من تلك الثمرة أزكاها ، وما استظهره من الحقائق أجلاها ، وما استنبطه من الدقائق أنقاها ، مشتملا على فوائد نفعها أعم ، ومحتويا لزوائد فيضها أتمّ ، تاقت نفوس الطالبين إلى مناله ، وراقت عيون المشتغلين رؤية مثاله ، فذهبت عليه نفسهم حسرات ، وطلبت نسخته من كلّ حاجز وآت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فاعتنى لطبع هذا الكتاب المستطاب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على البرّ واكتسابا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وفّقه اللّه لمراضيه ، وجعل مستقبل أيّامه خيرا من ماضيه ، عمدة الأخيار وزبدة التجّار ، المبرّأ من كلّ شين ، الآقا ميرزا محمّد حسين النوري ، أدام اللّه عزّه وإقباله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فبحمد اللّه والمنّة خرج كتابا يسير في الأيدي مسير الصبا في الأمصار ، وصلّى اللّه على محمّد وآله الأطهار </w:t>
      </w:r>
      <w:r>
        <w:rPr>
          <w:rStyle w:val="FootnoteAnchor"/>
          <w:rtl w:val="true"/>
        </w:rPr>
        <w:footnoteReference w:id="22"/>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8" w:name="pg16254_218285"/>
    </w:p>
    <w:p>
      <w:pPr>
        <w:pStyle w:val="BookText"/>
        <w:rPr/>
      </w:pPr>
      <w:bookmarkEnd w:id="6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2"/>
        <w:numPr>
          <w:ilvl w:val="1"/>
          <w:numId w:val="1"/>
        </w:numPr>
        <w:rPr/>
      </w:pPr>
      <w:bookmarkStart w:id="69" w:name="__RefHeading___Toc4418178_1280447820"/>
      <w:bookmarkStart w:id="70" w:name="_Toc26"/>
      <w:bookmarkEnd w:id="69"/>
      <w:r>
        <w:rPr>
          <w:rtl w:val="true"/>
        </w:rPr>
        <w:t>القول في الصحيح والأعم</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418180_1280447820"/>
      <w:bookmarkStart w:id="72" w:name="_Toc27"/>
      <w:bookmarkEnd w:id="71"/>
      <w:r>
        <w:rPr>
          <w:rtl w:val="true"/>
        </w:rPr>
        <w:t>اشارة</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اختلف أنظار أهل النظر في أنّ ألفاظ العبادات هل هي أسام </w:t>
      </w:r>
      <w:r>
        <w:rPr>
          <w:rStyle w:val="FootnoteAnchor"/>
          <w:rtl w:val="true"/>
        </w:rPr>
        <w:footnoteReference w:id="24"/>
      </w:r>
      <w:r>
        <w:rPr>
          <w:rFonts w:ascii="Amiri" w:hAnsi="Amiri" w:eastAsia="Amiri" w:cs="Amiri"/>
          <w:color w:val="111111"/>
          <w:sz w:val="28"/>
          <w:sz w:val="28"/>
          <w:szCs w:val="28"/>
          <w:rtl w:val="true"/>
          <w:lang w:bidi="ar-SA"/>
        </w:rPr>
        <w:t xml:space="preserve">للصحيح </w:t>
      </w:r>
      <w:r>
        <w:rPr>
          <w:rStyle w:val="FootnoteAnchor"/>
          <w:rtl w:val="true"/>
        </w:rPr>
        <w:footnoteReference w:id="25"/>
      </w:r>
      <w:r>
        <w:rPr>
          <w:rFonts w:ascii="IRNazanin" w:hAnsi="IRNazanin" w:eastAsia="IRNazanin"/>
          <w:color w:val="111111"/>
          <w:sz w:val="28"/>
          <w:sz w:val="28"/>
          <w:szCs w:val="28"/>
          <w:rtl w:val="true"/>
          <w:lang w:bidi="fa-IR"/>
        </w:rPr>
        <w:t xml:space="preserve">أو الأعم منه ومن الفاسد؟ </w:t>
      </w:r>
      <w:r>
        <w:rPr>
          <w:rStyle w:val="FootnoteAnchor"/>
          <w:rtl w:val="true"/>
        </w:rPr>
        <w:footnoteReference w:id="26"/>
      </w:r>
      <w:r>
        <w:rPr>
          <w:rFonts w:ascii="IRNazanin" w:hAnsi="IRNazanin" w:eastAsia="IRNazanin"/>
          <w:color w:val="111111"/>
          <w:sz w:val="28"/>
          <w:sz w:val="28"/>
          <w:szCs w:val="28"/>
          <w:rtl w:val="true"/>
          <w:lang w:bidi="fa-IR"/>
        </w:rPr>
        <w:t xml:space="preserve">على أقوال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الأجزاء والشرائط </w:t>
      </w:r>
      <w:r>
        <w:rPr>
          <w:rStyle w:val="FootnoteAnchor"/>
          <w:rtl w:val="true"/>
        </w:rPr>
        <w:footnoteReference w:id="28"/>
      </w:r>
      <w:r>
        <w:rPr>
          <w:rFonts w:ascii="Amiri" w:hAnsi="Amiri" w:eastAsia="Amiri" w:cs="Amiri"/>
          <w:color w:val="111111"/>
          <w:sz w:val="28"/>
          <w:sz w:val="28"/>
          <w:szCs w:val="28"/>
          <w:rtl w:val="true"/>
          <w:lang w:bidi="ar-SA"/>
        </w:rPr>
        <w:t>، بالمصير إلى الأوّل في الأوّل وإلى الثاني في الثاني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يعدّ من الأقوال في المقام ، ما أفاده الشهيد في قواعده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w:t>
      </w:r>
    </w:p>
    <w:p>
      <w:pPr>
        <w:pStyle w:val="BookText"/>
        <w:rPr/>
      </w:pPr>
      <w:r>
        <w:rPr>
          <w:rFonts w:ascii="Amiri" w:hAnsi="Amiri" w:eastAsia="Amiri" w:cs="Amiri"/>
          <w:color w:val="111111"/>
          <w:sz w:val="28"/>
          <w:sz w:val="28"/>
          <w:szCs w:val="28"/>
          <w:rtl w:val="true"/>
          <w:lang w:bidi="ar-SA"/>
        </w:rPr>
        <w:t xml:space="preserve">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الفاسدة إلاّ الحجّ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الكلام فيه إن شاء اللّه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تحقيق المقام على وجه يرتفع غواشي الأوهام في طيّ هدايات </w:t>
      </w:r>
      <w:r>
        <w:rPr>
          <w:rFonts w:eastAsia="Amiri" w:cs="Amiri" w:ascii="Amiri" w:hAnsi="Amiri"/>
          <w:color w:val="111111"/>
          <w:sz w:val="28"/>
          <w:szCs w:val="28"/>
          <w:rtl w:val="true"/>
          <w:lang w:bidi="ar-SA"/>
        </w:rPr>
        <w:t xml:space="preserve">: </w:t>
      </w:r>
      <w:bookmarkStart w:id="73" w:name="pg16254_218289"/>
    </w:p>
    <w:p>
      <w:pPr>
        <w:pStyle w:val="Heading3"/>
        <w:numPr>
          <w:ilvl w:val="2"/>
          <w:numId w:val="1"/>
        </w:numPr>
        <w:rPr/>
      </w:pPr>
      <w:bookmarkStart w:id="74" w:name="__RefHeading___Toc4418182_1280447820"/>
      <w:bookmarkStart w:id="75" w:name="_Toc28"/>
      <w:bookmarkEnd w:id="73"/>
      <w:bookmarkEnd w:id="74"/>
      <w:r>
        <w:rPr>
          <w:rtl w:val="true"/>
        </w:rPr>
        <w:t>هداية</w:t>
      </w:r>
      <w:bookmarkEnd w:id="75"/>
    </w:p>
    <w:p>
      <w:pPr>
        <w:pStyle w:val="BookText"/>
        <w:rPr/>
      </w:pPr>
      <w:r>
        <w:rPr>
          <w:rFonts w:ascii="Amiri" w:hAnsi="Amiri" w:eastAsia="Amiri" w:cs="Amiri"/>
          <w:color w:val="111111"/>
          <w:sz w:val="28"/>
          <w:sz w:val="28"/>
          <w:szCs w:val="28"/>
          <w:rtl w:val="true"/>
          <w:lang w:bidi="ar-SA"/>
        </w:rPr>
        <w:t>لا إشكال في جريان النزاع على القول بثبوت الحقيقة الشرعيّة ، وهل جريانه موقوف عليه فلا يجري على تقدير عدمه أو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بعض الأفاضل </w:t>
      </w:r>
      <w:r>
        <w:rPr>
          <w:rStyle w:val="FootnoteAnchor"/>
          <w:rtl w:val="true"/>
        </w:rPr>
        <w:footnoteReference w:id="31"/>
      </w:r>
      <w:r>
        <w:rPr>
          <w:rFonts w:ascii="Amiri" w:hAnsi="Amiri" w:eastAsia="Amiri" w:cs="Amiri"/>
          <w:color w:val="111111"/>
          <w:sz w:val="28"/>
          <w:sz w:val="28"/>
          <w:szCs w:val="28"/>
          <w:rtl w:val="true"/>
          <w:lang w:bidi="ar-SA"/>
        </w:rPr>
        <w:t xml:space="preserve">هو الأوّل ، وهو المحكيّ عن بعض الأجلّة </w:t>
      </w:r>
      <w:r>
        <w:rPr>
          <w:rStyle w:val="FootnoteAnchor"/>
          <w:rtl w:val="true"/>
        </w:rPr>
        <w:footnoteReference w:id="32"/>
      </w:r>
      <w:r>
        <w:rPr>
          <w:rFonts w:ascii="Amiri" w:hAnsi="Amiri" w:eastAsia="Amiri" w:cs="Amiri"/>
          <w:color w:val="111111"/>
          <w:sz w:val="28"/>
          <w:sz w:val="28"/>
          <w:szCs w:val="28"/>
          <w:rtl w:val="true"/>
          <w:lang w:bidi="ar-SA"/>
        </w:rPr>
        <w:t xml:space="preserve">، تبعا لبعض أفاضل سادات المتأخّرين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لصريح جماعة من المحقّقين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 الأوّل من ملاحظة العناوين ؛ فإنّ في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تلويحا بل تصريحا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أدلّة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التبادر وغيره من خواصّ الحقيقة والمجاز ، مضافا إلى عدم تعقّل النزاع على تقدير عدم الوضع ؛ لأنّ القائل بالأعم حينئذ إن أراد صحّة استعمال اللفظ في الأعم أو وقوعه مجازا ، فهو ممّا لا سبيل لإنكاره ؛ فإنّ القائل بالصحيح يعترف في الجواب عن أدلّة الأعميّ بوقوعه وصحّته ، كما أنّه لا سبيل لإنكار استعمال اللفظ في الصحيح إذا </w:t>
      </w:r>
      <w:r>
        <w:rPr>
          <w:rStyle w:val="FootnoteAnchor"/>
          <w:rtl w:val="true"/>
        </w:rPr>
        <w:footnoteReference w:id="35"/>
      </w:r>
      <w:r>
        <w:rPr>
          <w:rFonts w:ascii="Amiri" w:hAnsi="Amiri" w:eastAsia="Amiri" w:cs="Amiri"/>
          <w:color w:val="111111"/>
          <w:sz w:val="28"/>
          <w:sz w:val="28"/>
          <w:szCs w:val="28"/>
          <w:rtl w:val="true"/>
          <w:lang w:bidi="ar-SA"/>
        </w:rPr>
        <w:t>لم يدّع القائل به أنّه على وجه الحقيقة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اختصاص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دلالة الاسم على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عنوان النزاع إنّما هو من القائلين بثبوت الحقيقة الشرعيّة ، وإنّما تبعهم في العنوان من لا يقول بها جريا على ما هو المعنون في كلامهم ، محافظة لما قد يتطرّق إليه من الاختلال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الوجه في اختصاص الأدلّة ؛ فإنّها تابعة لما هو الواقع في العنوان ، ولم يظهر من النافي للحقيقة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ذهابه في المقام إلى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ينافي ما اختاره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w:t>
      </w:r>
      <w:r>
        <w:rPr>
          <w:rStyle w:val="FootnoteAnchor"/>
          <w:rtl w:val="true"/>
        </w:rPr>
        <w:footnoteReference w:id="37"/>
      </w:r>
      <w:r>
        <w:rPr>
          <w:rFonts w:ascii="Amiri" w:hAnsi="Amiri" w:eastAsia="Amiri" w:cs="Amiri"/>
          <w:color w:val="111111"/>
          <w:sz w:val="28"/>
          <w:sz w:val="28"/>
          <w:szCs w:val="28"/>
          <w:rtl w:val="true"/>
          <w:lang w:bidi="ar-SA"/>
        </w:rPr>
        <w:t>في الإضافة ، فلا ينافي جريان النزاع على تقدير العدم ؛ لجواز اختلاف مراتب المجازات ، فيمكن أن ينازع في أنّ المجاز الغالب في لسان الشارع هل هو الصحيح على وجه يحمل عليه اللفظ عند وجود الصارف عن المعنى الحقيقي أو الأعم؟</w:t>
      </w:r>
    </w:p>
    <w:p>
      <w:pPr>
        <w:pStyle w:val="BookText"/>
        <w:rPr/>
      </w:pPr>
      <w:r>
        <w:rPr>
          <w:rFonts w:ascii="Amiri" w:hAnsi="Amiri" w:eastAsia="Amiri" w:cs="Amiri"/>
          <w:color w:val="111111"/>
          <w:sz w:val="28"/>
          <w:sz w:val="28"/>
          <w:szCs w:val="28"/>
          <w:rtl w:val="true"/>
          <w:lang w:bidi="ar-SA"/>
        </w:rPr>
        <w:t xml:space="preserve">وأمّا 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الغلبة ممّا لا وجه لادّعائها على القول بالصحيح ؛ ضرورة كثرة الاستعمال في الأعم على وجه لا يكاد ينكر غلبته على الصحيح أو مساواته له ، فهو على تقدير صحّته ينهض حجّة للقول بالأعم أو القول بالتوقّف حينئذ ، ولا يمنع من جريان النزاع على تقدير العدم ، كما لا يخفى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في تصوير النزاع على تقدير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بالصحيح يدّعي أنّ الاستعمال في الفاسدة ليس مجازا غير اللازم من الاستعمال في الصحيحة ، بل إنّما الاستعمال في الفاسدة من وجوه الاستعمال في الصحيحة ، تنزيلا لها منزلتها بوجه من وجوه صحّة التنزيل ، من </w:t>
      </w:r>
      <w:r>
        <w:rPr>
          <w:rStyle w:val="FootnoteAnchor"/>
          <w:rtl w:val="true"/>
        </w:rPr>
        <w:footnoteReference w:id="38"/>
      </w:r>
      <w:r>
        <w:rPr>
          <w:rFonts w:ascii="Amiri" w:hAnsi="Amiri" w:eastAsia="Amiri" w:cs="Amiri"/>
          <w:color w:val="111111"/>
          <w:sz w:val="28"/>
          <w:sz w:val="28"/>
          <w:szCs w:val="28"/>
          <w:rtl w:val="true"/>
          <w:lang w:bidi="ar-SA"/>
        </w:rPr>
        <w:t xml:space="preserve">تنزيل ما هو المعدوم من الأجزاء والشرائط </w:t>
      </w:r>
    </w:p>
    <w:p>
      <w:pPr>
        <w:pStyle w:val="BookText"/>
        <w:rPr/>
      </w:pPr>
      <w:r>
        <w:rPr>
          <w:rFonts w:ascii="Amiri" w:hAnsi="Amiri" w:eastAsia="Amiri" w:cs="Amiri"/>
          <w:color w:val="111111"/>
          <w:sz w:val="28"/>
          <w:sz w:val="28"/>
          <w:szCs w:val="28"/>
          <w:rtl w:val="true"/>
          <w:lang w:bidi="ar-SA"/>
        </w:rPr>
        <w:t>منزلة الموجود ، والقائل بالأعم يدّعي مساواتهما في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ليس بذلك البعيد ، كما ستطّلع على تفصيله في توجيه </w:t>
      </w:r>
      <w:r>
        <w:rPr>
          <w:rStyle w:val="FootnoteAnchor"/>
          <w:rtl w:val="true"/>
        </w:rPr>
        <w:footnoteReference w:id="39"/>
      </w:r>
      <w:r>
        <w:rPr>
          <w:rFonts w:ascii="IRNazanin" w:hAnsi="IRNazanin" w:eastAsia="IRNazanin"/>
          <w:color w:val="111111"/>
          <w:sz w:val="28"/>
          <w:sz w:val="28"/>
          <w:szCs w:val="28"/>
          <w:rtl w:val="true"/>
          <w:lang w:bidi="fa-IR"/>
        </w:rPr>
        <w:t xml:space="preserve">المختار </w:t>
      </w:r>
      <w:r>
        <w:rPr>
          <w:rStyle w:val="FootnoteAnchor"/>
          <w:rtl w:val="true"/>
        </w:rPr>
        <w:footnoteReference w:id="40"/>
      </w:r>
      <w:r>
        <w:rPr>
          <w:rFonts w:ascii="Amiri" w:hAnsi="Amiri" w:eastAsia="Amiri" w:cs="Amiri"/>
          <w:color w:val="111111"/>
          <w:sz w:val="28"/>
          <w:sz w:val="28"/>
          <w:szCs w:val="28"/>
          <w:rtl w:val="true"/>
          <w:lang w:bidi="ar-SA"/>
        </w:rPr>
        <w:t>، وهو المعهود في أنواع المركّبات الكمّية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فساد ما قد يتخيّل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سبك المجاز عن مثله على تقدير جريان النزاع بناء على القول بعدم ثبوت الحقيقة الشرعيّة ، ولا ريب في كونه نادرا على تقدير صحّته ووقوعه ، فلا ينبغي حمل هذا النزاع المعروف على ما لم نجد له شاهدا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الملازمة ، فلأنّ استعمال اللفظ في الصحيحة حينئذ </w:t>
      </w:r>
      <w:r>
        <w:rPr>
          <w:rStyle w:val="FootnoteAnchor"/>
          <w:rtl w:val="true"/>
        </w:rPr>
        <w:footnoteReference w:id="41"/>
      </w:r>
      <w:r>
        <w:rPr>
          <w:rFonts w:ascii="Amiri" w:hAnsi="Amiri" w:eastAsia="Amiri" w:cs="Amiri"/>
          <w:color w:val="111111"/>
          <w:sz w:val="28"/>
          <w:sz w:val="28"/>
          <w:szCs w:val="28"/>
          <w:rtl w:val="true"/>
          <w:lang w:bidi="ar-SA"/>
        </w:rPr>
        <w:t xml:space="preserve">إنّما هو لعلاقة بينها وبين المعنى اللغوي ، من علاقة الإطلاق والتقييد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على ما قيل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في الأعم لا بدّ وأن يكون بواسطة مشابهة ومشاكلة بينه وبين الصحيحة في الصورة ، فاستعماله فيه إنّما هو بواسطة علاقة بينه وبين المعنى المجازي ، وهو المراد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 من أنّ ذلك ليس مجازا لفظيّا آخر غير ما هو اللازم من الاستعمال في الصحيحة ، ولا نرى بعدا في وقوع مثل هذا التصرّف العقلي على تقدير المجازيّة ، كما لا يخفى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حال النزاع على تقدير ثبوت الحقيقة المتشرّعة </w:t>
      </w:r>
      <w:r>
        <w:rPr>
          <w:rStyle w:val="FootnoteAnchor"/>
          <w:rtl w:val="true"/>
        </w:rPr>
        <w:footnoteReference w:id="43"/>
      </w:r>
      <w:r>
        <w:rPr>
          <w:rFonts w:ascii="Amiri" w:hAnsi="Amiri" w:eastAsia="Amiri" w:cs="Amiri"/>
          <w:color w:val="111111"/>
          <w:sz w:val="28"/>
          <w:sz w:val="28"/>
          <w:szCs w:val="28"/>
          <w:rtl w:val="true"/>
          <w:lang w:bidi="ar-SA"/>
        </w:rPr>
        <w:t xml:space="preserve">، فإنّه جار عليها بوجه أولى ؛ فإنّ النقل فيها لا بدّ وأن يكون تعيّنيّا ، وهو مسبوق بكثرة الاستعمال على وجه الغلبة بل الأغلبيّة ، فالقائل بالصحيح يدّعي أنّ ما هو الآن </w:t>
      </w:r>
    </w:p>
    <w:p>
      <w:pPr>
        <w:pStyle w:val="BookText"/>
        <w:rPr/>
      </w:pPr>
      <w:r>
        <w:rPr>
          <w:rFonts w:ascii="Amiri" w:hAnsi="Amiri" w:eastAsia="Amiri" w:cs="Amiri"/>
          <w:color w:val="111111"/>
          <w:sz w:val="28"/>
          <w:sz w:val="28"/>
          <w:szCs w:val="28"/>
          <w:rtl w:val="true"/>
          <w:lang w:bidi="ar-SA"/>
        </w:rPr>
        <w:t>حقيقة هو المستعمل فيه في عرف الشارع ؛ لأنّ عرف المتشرّعة ميزان لعرفه ومرآة له ، والقائل بالأعم يدّعي خلافه في عرف الشارع ، نظرا إلى ادّعائه خلافه في عرف المتشرّعة الكاشف عن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موقوف على ثبوت تصرّف من الشارع في المعنى ، فلا وجه للنزاع بناء على ما نسب إلى الباقلاني </w:t>
      </w:r>
      <w:r>
        <w:rPr>
          <w:rStyle w:val="FootnoteAnchor"/>
          <w:rtl w:val="true"/>
        </w:rPr>
        <w:footnoteReference w:id="44"/>
      </w:r>
      <w:r>
        <w:rPr>
          <w:rFonts w:ascii="Amiri" w:hAnsi="Amiri" w:eastAsia="Amiri" w:cs="Amiri"/>
          <w:color w:val="111111"/>
          <w:sz w:val="28"/>
          <w:sz w:val="28"/>
          <w:szCs w:val="28"/>
          <w:rtl w:val="true"/>
          <w:lang w:bidi="ar-SA"/>
        </w:rPr>
        <w:t>، أو لا ، فيجري على مقالته أيضا؟ الظاهر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إمّا أن يكون بسيطا غير مربوط بشيء شطرا أو شرطا ، وإمّا أن يكون مركّبا ولو بملاحظة تقييده بأمر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قابل لأن يحرّر فيه النزاع ؛ لعدم قابليّة اتّصافه بالصحّة والفساد ، فإنّ الفاسد إمّا أن يراد به الناقص جزءا أو شرطا ، أو ما لا يترتّب عليه الأثر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خلاف المفروض من كونه بسيطا ، والثاني ممّا لا سبيل إليه ؛ إذ على تقدير وجوده واقعا فما هو المقصود منه واقعا لا يعقل عدم ترتّبه عليه ، وعلى تقدير عدمه لا يعقل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صحيح على الوجهين دائما وإمّا ليس بشيء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إمّا أن يكون التركيب فيه بواسطة التقييد ويكون القيد خارجا ، وإمّا أن يكون القيد داخلا على وجه الجزئيّة كما في أنواع المركّبات ، وعلى التقديرين لا إشكال في صحّة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ومقابله على ذلك المركّب ؛ فإنّ المعنى الملحوظ باعتبار دخول شيء فيه قابل لأن يتّصف بالصحّة والتماميّة التي يعبّر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على تقدير وجوده مع ما اعتبر فيه ، وبالفساد على تقدير وجوده خاليا عمّا اعتبر فيه وإن اتّصف بالصحّة بالنسبة إلى نفسه ؛ إذ اتّصافه بالفساد من حيث التركيب لا ينافي صحّته من حيث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عرفت جريان النزاع على تقدير أن يكون المعنى مركّبا على القولين على الوجه الثاني ، من غير فرق في ذلك بين أن يكون ذلك المعنى المركّب مباينا للمعنى اللغوي باعتبار مناسبة بينهما ،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لغة للقصد المنقول منه شرعا إلى المناسك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المعنى اللغوي جزءا من الأجزاء المعتبرة في ذلك المعنى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لغة للدعاء ، المنقول إلى الأركان المخصوصة والماهيّة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الاختلاف بين المعنى اللغوي والمعنى الشرعي بالإطلاق والتقييد ، فإمّا أن نلتزم بالوضع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نلتزم ، فعلى الأوّل يجري النزاع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القائل بالصحيح يدّعي أنّ اللفظ إنّما هو منقول لخصوص المطلق الذي يحصل في ضمن القيد الخاصّ ، والقائل بالأعم يدّعي الوضع للمعنى الأعم من ذلك المطلق الذي هو فاسد شرعا ومن خصوص المقيّد ، فاستعمال اللفظ في خصوص المقيّد إنّما هو على وجه الحقيقة على القولين ، بخلاف ما إذا لم نقل بالحقيقة الشرعيّة ؛ فإنّ الاستعمال المذكور مجاز لابتنائه على إرادة الخصوصيّة من لفظ المطلق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بالأعم لا بدّ وأن يكون استعماله في خصوص المقيّد مجازا ؛ لأنّه يكون كسائر الألفاظ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Style w:val="FootnoteAnchor"/>
          <w:rtl w:val="true"/>
        </w:rPr>
        <w:footnoteReference w:id="46"/>
      </w:r>
      <w:r>
        <w:rPr>
          <w:rFonts w:ascii="Amiri" w:hAnsi="Amiri" w:eastAsia="Amiri" w:cs="Amiri"/>
          <w:color w:val="111111"/>
          <w:sz w:val="28"/>
          <w:sz w:val="28"/>
          <w:szCs w:val="28"/>
          <w:rtl w:val="true"/>
          <w:lang w:bidi="ar-SA"/>
        </w:rPr>
        <w:t>بالأعم لا بدّ وأن لا يلتزم بالوضع في هذا القسم ؛ إذ المعنى المنقول إليه هو المعنى المنقول منه حينئذ بعينه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القائل بالأعم عدم التزامه بأنّ الصحيحة ليست موضوعا لها اللفظ على وجه الخصوصيّة ، نظير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وجهه إن شاء اللّه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التسليم فلا يمنع ذلك ما نحن بصدده من جريان النزاع ، غاية الأمر أنّ القائل حينئذ لا يلتزم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القائل بالصحيح 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موضوع للمعنى الملحوظ على وجه التقييد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المستعمل فيه على وجه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خلاف الفرض ؛ لأنّ الوضع للمطلق هو المسلّم عندهم ، وهو بعينه القول بالصدق عند عدم القيد اللازم للأعم ، فلا يعقل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إثباته ؛ لكفاية التقييد عن استعمال المطلق في المقيّد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 فإنّ جواز استعمال المطلق في المقيّد على وجه المجاز ممّا لا سبيل إلى إنكاره لأحد ، فالفريقان فيه على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يجوز لكلّ واحد منهما التمسّك بإطلاق اللفظ في دفع ما شكّ في اعتباره قيدا لتلك المطلقات ، وهو المصرّح به في كلام جماعة من المحقّقين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اللازم من التقييد لا ينافي التمسّك بالإطلاق ؛ لما هو المقرّر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بمنزلة التخصيص في العام المخصّص لو كان مجازا ، فإنّه لا ينافي ظهوره في الباقي ، بل الأمر في التقييد أظهر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المجاز اللازم على تقدير عدم ثبوت الحقيقة الشرعيّة مع تصرّف الشارع في المعنى ، كأن يكون المعنى اللغوي جزءا من المعنى الشرعي أو مباينا </w:t>
      </w:r>
    </w:p>
    <w:p>
      <w:pPr>
        <w:pStyle w:val="BookText"/>
        <w:rPr/>
      </w:pPr>
      <w:r>
        <w:rPr>
          <w:rFonts w:ascii="IRNazanin" w:hAnsi="IRNazanin" w:eastAsia="IRNazanin"/>
          <w:color w:val="111111"/>
          <w:sz w:val="28"/>
          <w:sz w:val="28"/>
          <w:szCs w:val="28"/>
          <w:rtl w:val="true"/>
          <w:lang w:bidi="fa-IR"/>
        </w:rPr>
        <w:t xml:space="preserve">له ، فإنّه على القول بعدم </w:t>
      </w:r>
      <w:r>
        <w:rPr>
          <w:rStyle w:val="FootnoteAnchor"/>
          <w:rtl w:val="true"/>
        </w:rPr>
        <w:footnoteReference w:id="50"/>
      </w:r>
      <w:r>
        <w:rPr>
          <w:rFonts w:ascii="Amiri" w:hAnsi="Amiri" w:eastAsia="Amiri" w:cs="Amiri"/>
          <w:color w:val="111111"/>
          <w:sz w:val="28"/>
          <w:sz w:val="28"/>
          <w:szCs w:val="28"/>
          <w:rtl w:val="true"/>
          <w:lang w:bidi="ar-SA"/>
        </w:rPr>
        <w:t>ثبوت الحقيقة الشرعيّة لا وجه للتمسّك بالإطلاق في هذا النحو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زعمه بعضهم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مقالة الباقلاني لا ينبغي أن تعدّ ثالث الأقوال في تلك المسألة ؛ لأنّها بعينها مقالة النافين للحقيقة الشرعيّة ، سيّما على ما ذهب إليه المشهور من أنّ التقييد بالمنفصل يوجب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الفرق بين المجازين ؛ فإنّه على مقالة القاضي لا مانع من التمسّك بالإطلاق ؛ لأنّ علاقة الإطلاق والتقييد لا ينافي الإطلاق من جهة اخرى ، وعلى مقالة النافي علاقة الكلّ والجزء أو علاقة اخرى ، ولا يبقى ظهور للمطلق بعد القول بالمجازيّة على هذا الوجه حتّى يعوّل عليه عند الشكّ ، مضافا إلى إمكان منع المجازيّة على مقالة القاضي ؛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التقييد لا يوجب مجازا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تلخّص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النزاع على أحد أمرين ، إمّا التصرّف في المعنى على وجه يكون المعنى اللغوي مغايرا للمعنى الشرعي غير </w:t>
      </w:r>
      <w:r>
        <w:rPr>
          <w:rStyle w:val="FootnoteAnchor"/>
          <w:rtl w:val="true"/>
        </w:rPr>
        <w:footnoteReference w:id="52"/>
      </w:r>
      <w:r>
        <w:rPr>
          <w:rFonts w:ascii="Amiri" w:hAnsi="Amiri" w:eastAsia="Amiri" w:cs="Amiri"/>
          <w:color w:val="111111"/>
          <w:sz w:val="28"/>
          <w:sz w:val="28"/>
          <w:szCs w:val="28"/>
          <w:rtl w:val="true"/>
          <w:lang w:bidi="ar-SA"/>
        </w:rPr>
        <w:t>المغايرة الحاصلة بين المطلق والمقيّد كما عرفت ، وإمّا التصرّف في اللفظ على وجه النقل من الكلّي والمطلق إلى الفرد والمقيّد ، كما تقدّم تفصيلا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النزاع مخصوص بألفاظ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المأخوذ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 ألفاظ المعاملات؟ </w:t>
      </w:r>
    </w:p>
    <w:p>
      <w:pPr>
        <w:pStyle w:val="BookText"/>
        <w:rPr/>
      </w:pPr>
      <w:r>
        <w:rPr>
          <w:rFonts w:ascii="Amiri" w:hAnsi="Amiri" w:eastAsia="Amiri" w:cs="Amiri"/>
          <w:color w:val="111111"/>
          <w:sz w:val="28"/>
          <w:sz w:val="28"/>
          <w:szCs w:val="28"/>
          <w:rtl w:val="true"/>
          <w:lang w:bidi="ar-SA"/>
        </w:rPr>
        <w:t xml:space="preserve">ظاهر جماعة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الشهيدان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وارتضاه </w:t>
      </w:r>
      <w:r>
        <w:rPr>
          <w:rStyle w:val="FootnoteAnchor"/>
          <w:rtl w:val="true"/>
        </w:rPr>
        <w:footnoteReference w:id="55"/>
      </w:r>
      <w:r>
        <w:rPr>
          <w:rFonts w:ascii="Amiri" w:hAnsi="Amiri" w:eastAsia="Amiri" w:cs="Amiri"/>
          <w:color w:val="111111"/>
          <w:sz w:val="28"/>
          <w:sz w:val="28"/>
          <w:szCs w:val="28"/>
          <w:rtl w:val="true"/>
          <w:lang w:bidi="ar-SA"/>
        </w:rPr>
        <w:t xml:space="preserve">بعض الأجلّة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 على الفاسدة إلاّ الحجّ ؛ لوجوب المضيّ فيه ، فلو حلف على ترك الصلاة أو الصوم اكتفى بمسمّى الصحّة ، وهو الدخول فيهما </w:t>
      </w:r>
      <w:r>
        <w:rPr>
          <w:rStyle w:val="FootnoteAnchor"/>
          <w:rtl w:val="true"/>
        </w:rPr>
        <w:footnoteReference w:id="57"/>
      </w:r>
      <w:r>
        <w:rPr>
          <w:rFonts w:ascii="Amiri" w:hAnsi="Amiri" w:eastAsia="Amiri" w:cs="Amiri"/>
          <w:color w:val="111111"/>
          <w:sz w:val="28"/>
          <w:sz w:val="28"/>
          <w:szCs w:val="28"/>
          <w:rtl w:val="true"/>
          <w:lang w:bidi="ar-SA"/>
        </w:rPr>
        <w:t>، فلو أفسدهما بعد ذلك لم يزل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عدمه ؛ لأنّه لا يسمّى </w:t>
      </w:r>
      <w:r>
        <w:rPr>
          <w:rStyle w:val="FootnoteAnchor"/>
          <w:rtl w:val="true"/>
        </w:rPr>
        <w:footnoteReference w:id="58"/>
      </w:r>
      <w:r>
        <w:rPr>
          <w:rFonts w:ascii="Amiri" w:hAnsi="Amiri" w:eastAsia="Amiri" w:cs="Amiri"/>
          <w:color w:val="111111"/>
          <w:sz w:val="28"/>
          <w:sz w:val="28"/>
          <w:szCs w:val="28"/>
          <w:rtl w:val="true"/>
          <w:lang w:bidi="ar-SA"/>
        </w:rPr>
        <w:t>صلاة شرعا ولا صوما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تحرّم في الصلاة أو دخل في الصوم مع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لم يحنث </w:t>
      </w:r>
      <w:r>
        <w:rPr>
          <w:rStyle w:val="FootnoteAnchor"/>
          <w:rtl w:val="true"/>
        </w:rPr>
        <w:footnoteReference w:id="60"/>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عدم الإطلاق مطلقا ، إلاّ أنّ بداهة إطلاقها على الفاسدة مانع عن الحمل المذكور ،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يطلق على وجه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الأجلّة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الاستثناء المذكور في كلامه لا يلائم ذلك ؛ فإنّ التعليل بوجوب المضيّ فيه لا بدّ وأن يكون علّة للوضع حينئذ ، وهو ممّا لا يرتبط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الاستثناء 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الفاسد في الشريعة غير مأمور به إلاّ في الحجّ ، فإنّ المضيّ في فاسده واجب ومأمور به ، كما يشير إليه المحقّق القمّي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واعترض عليه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فاسدا على تقدير عدم الأمر به ، فلا ريب أنّ جميع العبادات فاسدة بهذا المعنى ، وإن اعتبر الصحّة بحسب الواقع ، فلمانع أن يمنع لزوم تقدّمها على الأمر لجواز إنشائها به ، وإن أراد ما يكون فاسدا بالقياس إلى أمر آخر ، فهذا ـ مع بعده عن مساق كلامه ـ لا يساعد عليه تفريع مسألة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الناقص جزءا أو شرطا بالنسبة إلى ما هو المأمور به في الشريعة مع قطع النظر عن طروّ الفساد ، ولا بعد لذلك عن مساق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في وجه لا بدّ أن تكون متأخّرة عن الأمر وفي وجه لا بدّ أن تكون متقدّمة ؛ لأنّها إمّا عبارة عن الصفة المشرعة عن المأتيّ به باعتبار موافقته للمأمور به فهي موقوفة على الأمر ووجود المأمور به في الخارج أو ملاحظة وجودهما ، ولا معنى لإنشائها بالأمر ، وإمّا عبارة عن كمال الموضوع الذي يتعلّق به الأمر وتماميّته فهي من الصفات المشرعة عن متعلّق الأمر المتقدّم على الأمر قطعا فلا يعقل إنشاؤها بالأمر ، مع أنّها أيضا غير محتاجة إلى الإنشاء على الوجهين كما تقرّر في محلّه ، مع أنّ هذه الترديدات لو تمّت فإنّما هو إشكال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له بكلام الشهيد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فساد ما تنظّر في كلام الشهيد ـ بعد النقض بفاسد الصوم ـ بأنّه لا ملازمة بين وجوب الإمضاء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كلام الشهيد يمكن حمله على الإطلاق في الأوامر الشرعيّة ، فلا وجه للإيراد بما ذكره المتنظّر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النقض بفاسد الصوم 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الإمساك عن المفطرات واجب في شهر رمضان وإن لم يسمّ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تفريع مسألة الحنث في كلامه فلا نعرف وجهه إلاّ إذا كان مراد الحالف والناذر مجرّد الشروع في العمل لا نفس العمل ؛ إذ على الثاني لا يفرق بين الأمرين على المذهبين ، وعلى الأوّل فعلى القول بالصحيح اكتفي بمسمّى الصحّة ، ولو أفسدها بعد ذلك لم يزل الحنث ، وعلى القول بالأعم لو دخل في العبادة على وجه الفساد يحصل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التفريع المذكور يلائم ما ذكره بعض الأجلّة في تفسير كلامه قدس‌سره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أنّه لم يظهر لنا من كلامه شيء يمكن التعويل عليه ، فتدبّر لعلّك تطّلع على أمر لم نقف عليه ، ومن هنا يمكن التأمّل في إسناد التفصيل المتقدّم في صدر المبحث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يكون مراده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ألفاظ العبادات والمعاملات لا ينصرف إلى ما هو معلوم الفساد ، كما أفاده المحقّق في الشرائع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ينصرف إلى الصحيح </w:t>
      </w:r>
      <w:r>
        <w:rPr>
          <w:rStyle w:val="FootnoteAnchor"/>
          <w:rtl w:val="true"/>
        </w:rPr>
        <w:footnoteReference w:id="64"/>
      </w:r>
      <w:r>
        <w:rPr>
          <w:rFonts w:ascii="Amiri" w:hAnsi="Amiri" w:eastAsia="Amiri" w:cs="Amiri"/>
          <w:color w:val="111111"/>
          <w:sz w:val="28"/>
          <w:sz w:val="28"/>
          <w:szCs w:val="28"/>
          <w:rtl w:val="true"/>
          <w:lang w:bidi="ar-SA"/>
        </w:rPr>
        <w:t xml:space="preserve">، وعن العلاّمة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في العقد ، وإطلاقه ينصرف إلى الصحيح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كلامه على الوضع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الشهيد الثاني في شرح ما عرفت من الشرائع ما هو صريح في إرادة الوضع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البيع وغيره من العقود حقيقة في الصحيح مجاز في الفاسد ؛ لوجود خواصّ الحقيقة والمجاز فيهما ، كمبادرة المعنى إلى ذهن السامع عند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باع داره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حمل الإقرار به عليه ، حتّى لو ادّعى إرادة الفاسد لم تسمع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السلب وغير ذلك من خواصّه ، ولو كان مشتركا بين الصحيح والفاسد يقبل تفسيره بأحدهما كغيره من الألفاظ المشتركة ، وانقسامه إلى الصحيح والفاسد أعم من الحقيقة </w:t>
      </w:r>
      <w:r>
        <w:rPr>
          <w:rStyle w:val="FootnoteAnchor"/>
          <w:rtl w:val="true"/>
        </w:rPr>
        <w:footnoteReference w:id="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وضع ألفاظ المعاملات لخصوص ما أمضاه الشارع والحكم </w:t>
      </w:r>
    </w:p>
    <w:p>
      <w:pPr>
        <w:pStyle w:val="BookText"/>
        <w:rPr/>
      </w:pPr>
      <w:r>
        <w:rPr>
          <w:rFonts w:ascii="Amiri" w:hAnsi="Amiri" w:eastAsia="Amiri" w:cs="Amiri"/>
          <w:color w:val="111111"/>
          <w:sz w:val="28"/>
          <w:sz w:val="28"/>
          <w:szCs w:val="28"/>
          <w:rtl w:val="true"/>
          <w:lang w:bidi="ar-SA"/>
        </w:rPr>
        <w:t xml:space="preserve">بترتيب الأثر المقصود منها عليها ينافي ما استقرّ عليه ديدن أهل العلم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بعموم ما دلّ على مشروعيّة المعاملة عند الشكّ فيها أو في اعتبار أمر لا دليل على اعتباره فيها ، حتّى أنّ الشهيد قد ملأ الأساطير من ذلك ، بل ولولاه لما دار رحى الفقه ، كما لا يكاد يخفى على المستأنس بكلامه ، وقد ادّعى الفاضل </w:t>
      </w:r>
      <w:r>
        <w:rPr>
          <w:rStyle w:val="FootnoteAnchor"/>
          <w:rtl w:val="true"/>
        </w:rPr>
        <w:footnoteReference w:id="67"/>
      </w:r>
      <w:r>
        <w:rPr>
          <w:rFonts w:ascii="Amiri" w:hAnsi="Amiri" w:eastAsia="Amiri" w:cs="Amiri"/>
          <w:color w:val="111111"/>
          <w:sz w:val="28"/>
          <w:sz w:val="28"/>
          <w:szCs w:val="28"/>
          <w:rtl w:val="true"/>
          <w:lang w:bidi="ar-SA"/>
        </w:rPr>
        <w:t xml:space="preserve">الإجماع على جواز التمسّك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استند إليه من التبادر ، فربما يكون 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الانصراف ، فلا بدّ أن يكون مستندا إلى غير اللفظ ، إمّا بواسطة الارتكاز في أذهان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الفعل الصادر عن الفاعل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هو الوجه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أن لا يبيع الخمر فباعه لا يعقل دعوى تبادر الصحيح منه مع حصول الحنث معه ، فتأمّل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بعض المحقّقين </w:t>
      </w:r>
      <w:r>
        <w:rPr>
          <w:rStyle w:val="FootnoteAnchor"/>
          <w:rtl w:val="true"/>
        </w:rPr>
        <w:footnoteReference w:id="69"/>
      </w:r>
      <w:r>
        <w:rPr>
          <w:rFonts w:ascii="Amiri" w:hAnsi="Amiri" w:eastAsia="Amiri" w:cs="Amiri"/>
          <w:color w:val="111111"/>
          <w:sz w:val="28"/>
          <w:sz w:val="28"/>
          <w:szCs w:val="28"/>
          <w:rtl w:val="true"/>
          <w:lang w:bidi="ar-SA"/>
        </w:rPr>
        <w:t xml:space="preserve">في تعليقاته على المعالم لدفع التنافي ، وأطال في بيانه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كون أسامي المعاملات موضوعة للصحيحة ، أنّ المعنى العرفي أيضا هو الصحيح ، لا أنّها أسام </w:t>
      </w:r>
      <w:r>
        <w:rPr>
          <w:rStyle w:val="FootnoteAnchor"/>
          <w:rtl w:val="true"/>
        </w:rPr>
        <w:footnoteReference w:id="70"/>
      </w:r>
      <w:r>
        <w:rPr>
          <w:rFonts w:ascii="Amiri" w:hAnsi="Amiri" w:eastAsia="Amiri" w:cs="Amiri"/>
          <w:color w:val="111111"/>
          <w:sz w:val="28"/>
          <w:sz w:val="28"/>
          <w:szCs w:val="28"/>
          <w:rtl w:val="true"/>
          <w:lang w:bidi="ar-SA"/>
        </w:rPr>
        <w:t xml:space="preserve">للصحيح الشرعي الذي لازمه الإجمال ويكون موقوفا على بيان الشارع ، وإنّما يكون إطلاقها على الفاسدة من باب المشاكلة ونحوها </w:t>
      </w:r>
      <w:r>
        <w:rPr>
          <w:rStyle w:val="FootnoteAnchor"/>
          <w:rtl w:val="true"/>
        </w:rPr>
        <w:footnoteReference w:id="71"/>
      </w:r>
      <w:r>
        <w:rPr>
          <w:rFonts w:ascii="Amiri" w:hAnsi="Amiri" w:eastAsia="Amiri" w:cs="Amiri"/>
          <w:color w:val="111111"/>
          <w:sz w:val="28"/>
          <w:sz w:val="28"/>
          <w:szCs w:val="28"/>
          <w:rtl w:val="true"/>
          <w:lang w:bidi="ar-SA"/>
        </w:rPr>
        <w:t xml:space="preserve">من المجاز ، فلا اختلاف بين الشرع والعرف في أصل المفهوم </w:t>
      </w:r>
    </w:p>
    <w:p>
      <w:pPr>
        <w:pStyle w:val="BookText"/>
        <w:rPr/>
      </w:pPr>
      <w:r>
        <w:rPr>
          <w:rFonts w:ascii="Amiri" w:hAnsi="Amiri" w:eastAsia="Amiri" w:cs="Amiri"/>
          <w:color w:val="111111"/>
          <w:sz w:val="28"/>
          <w:sz w:val="28"/>
          <w:szCs w:val="28"/>
          <w:rtl w:val="true"/>
          <w:lang w:bidi="ar-SA"/>
        </w:rPr>
        <w:t>والمعنى ، غاية الأمر أنّ العرف ربما يزعمون صدق ذلك المعنى والمفهوم على أمر ليس ذلك مصداقا له في الواقع يكشف عنه الشارع ، فالاختلاف إنّما هو في المصداق الشرعي والعرفي بعد الاتّفاق على نفس المعنى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ورد من الشارع أمر بإمضاء معاملة من تلك المعاملات على وجه الإطلاق من دون ملاحظة قيد من القيود يحكم بالمشروعيّة عند الشكّ على وجه الإطلاق ، من دون حزازة ولا محذور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مخالف لصريح كلام الشهيد </w:t>
      </w:r>
      <w:r>
        <w:rPr>
          <w:rStyle w:val="FootnoteAnchor"/>
          <w:rtl w:val="true"/>
        </w:rPr>
        <w:footnoteReference w:id="73"/>
      </w:r>
      <w:r>
        <w:rPr>
          <w:rFonts w:ascii="Amiri" w:hAnsi="Amiri" w:eastAsia="Amiri" w:cs="Amiri"/>
          <w:color w:val="111111"/>
          <w:sz w:val="28"/>
          <w:sz w:val="28"/>
          <w:szCs w:val="28"/>
          <w:rtl w:val="true"/>
          <w:lang w:bidi="ar-SA"/>
        </w:rPr>
        <w:t>، كما لا يخفى على الناظر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الفاسد العرفي هو ما يصحّ عنه سلب الإسم حقيقة ، كبيع الهازل ، فإنّه ليس بيعا عندهم ، وإنّما إطلاقه عليه بنحو من المشابهة الصوريّة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الفاسد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الخمر وبيع المنابذة والحصاة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عند أهل العرف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والفاسد في كلام الشهيد إنّما يراد به الفاسد الشرعي دون الفاسد العرفي ، وهو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المذكور لا ينهض بدفع الإشكال بوجه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الرجوع إلى متفاهم العرف عند إطلاق الألفاظ الواردة في المحاورات ، إمّا لتشخيص المفاهيم العرفيّة واللغويّة ؛ من حيث إنّ أنظارهم تكشف عن حقيقة المسمّى وواقع المعنى والمفهوم عند طروّ ما يوجب نحوا من الإجمال في المفهوم ، وإمّا لتشخيص موارد تلك المفاهيم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والاشتباه في </w:t>
      </w:r>
    </w:p>
    <w:p>
      <w:pPr>
        <w:pStyle w:val="BookText"/>
        <w:rPr/>
      </w:pPr>
      <w:r>
        <w:rPr>
          <w:rFonts w:ascii="Amiri" w:hAnsi="Amiri" w:eastAsia="Amiri" w:cs="Amiri"/>
          <w:color w:val="111111"/>
          <w:sz w:val="28"/>
          <w:sz w:val="28"/>
          <w:szCs w:val="28"/>
          <w:rtl w:val="true"/>
          <w:lang w:bidi="ar-SA"/>
        </w:rPr>
        <w:t xml:space="preserve">المصاديق قد يكون تابعا للاشتباه في المفهوم ، من حيث إنّ المفهوم قد عرضه نحو من الإجمال على وجه يمكن استعلامه بعد تلطيف النظر وتدقيقه ، وقد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بحقائق تلك المفاهيم على ما هي عليها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المجهول وجود ذلك المفهوم المعلوم في المورد الخاصّ ، وذلك ينحصر فيما إذا اشتبه المورد بغيره بواسطة عروض حالة خاصّة ، كما إذا اشتبه الرجل بالمرأة لعارض الظلمة ونحوها ، ولا نعقل وجها آخر للاشتباه في المصاديق غير ذلك بعد العلم بالمفهوم على ما هو عليه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فالموجّه إمّا يعترف بعدم الإجمال في المفهوم بوجه من الوجوه ، أو يلتزم بالإجمال على وجه لا يرتفع إجماله بالرجوع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لا وجه لعدم الرجوع إلى العرف في تشخيص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إنّما يحكم بخطإ العرف في الحكم بوجود ذلك المفهوم المعلوم عندهم في ذلك المورد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يجدي فيما إذا تبدّل حكم العرف بعد كشف الشارع عن الخطأ ، مثل حكمه بخطإ العرف في اعتقادهم طهارة الكافر ونظافته ؛ لاحتمال أن يكون هناك قذارة معنويّة يطّلع عليها الشارع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يتبدّل الاعتقاد وكان حكمهم بوجود المصداق بعد الكشف مثل حكمهم به قبل الكشف ، كما في البيع بالفارسيّة ؛ إذ لا فرق قطعا في صدق البيع بدون الشرائط المقرّرة بعد العلم بحكم الشارع باعتبارها وقبله ، وليس الفاقد الشرعي كبيع الهازل في نظر العرف قطعا ، فلا وجه لما ذكره ، بل لا بدّ من الالتزام بأنّ الفاقد للشرائط الشرعيّة من حقيقة البيع ، لكن وجوب الوفاء بالعقد يختصّ بواجدها ، فيكون ذلك خروجا حكميّا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 فلا وجه للرجوع إلى العرف أصلا ، بل المعنى حينئذ ملحق بالمفاهيم المجملة التي لا مسرح للعرف فيها ، وقد فرّ الموجّه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إمكان وقوع الاشتباه في المصاديق بعد العلم بالمفهوم من غير الجهة التي فرضناها ، ومع ذلك فلا ينهض قول الموجّه دافعا للإشكال ؛ إذ بعد فرض اختلاف نظر الشارع والعرف في تشخيص المصداق ، لا وجه للتمسّك بالإطلاق ؛ إذ غاية ما هناك حكم العرف بوجود ذلك المفهوم في المورد المشكوك على ما وصل إليه أنظارهم ، وهو لا يجدي ، بل لا بدّ أن يكون ذلك مصداقا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أنّ ما هو المصداق العرفي هو المصداق الشرعي كما هو المفروض ، فاللازم تحصيل معيار شرعيّ لا مدخل للعرف فيه لأجل التشخيص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الإطلاق إنّما هو لأجل تحصيل ما هو المصداق واقعا ، وحيث إنّه لا يمكن الوصول إلى الواقع من دون أن يكون اعتقاد المكلّف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بملاحظة ما لو جعل الشارع أيضا معيارا لتشخيص المصداق ، فإنّ وجود ذلك المعيار الشرعي أيضا منوط بنظر العرف دفعا للتسلسل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لاعتقاده مدخل فيه ، فما لم يعلم من الشارع الحكم بخطإ العرف ، فهم يعتقدون أنّه هو المصداق الشرعي ، ويجب عليهم إجراء أحكامه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يتمّ فيما إذا اتّحد نظر العرف والشرع في التشخيص ، وأمّا إذا اختلفا فلا وجه لذلك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لزوم التسلسل ، فهو إنّما يكون بواسطة التزام </w:t>
      </w:r>
      <w:r>
        <w:rPr>
          <w:rStyle w:val="FootnoteAnchor"/>
          <w:rtl w:val="true"/>
        </w:rPr>
        <w:footnoteReference w:id="75"/>
      </w:r>
      <w:r>
        <w:rPr>
          <w:rFonts w:ascii="Amiri" w:hAnsi="Amiri" w:eastAsia="Amiri" w:cs="Amiri"/>
          <w:color w:val="111111"/>
          <w:sz w:val="28"/>
          <w:sz w:val="28"/>
          <w:szCs w:val="28"/>
          <w:rtl w:val="true"/>
          <w:lang w:bidi="ar-SA"/>
        </w:rPr>
        <w:t>اختلاف الأنظار العرفيّة والشرعيّة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بالخطإ فقد عرفت أنّه لا يجدي فيما لا فرق في الصدق بعده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وجها لتصحيح ما أفاده الشهيد رحمه‌اللّه ، ولعلّ اللّه يحدث بعد ذلك أمرا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 النزاع لا يجري في ألفاظ المعاملات ، واللّه الهادي إلى سواء السبيل والموفّق</w:t>
      </w:r>
      <w:r>
        <w:rPr>
          <w:rFonts w:eastAsia="Amiri" w:cs="Amiri" w:ascii="Amiri" w:hAnsi="Amiri"/>
          <w:color w:val="111111"/>
          <w:sz w:val="28"/>
          <w:szCs w:val="28"/>
          <w:rtl w:val="true"/>
          <w:lang w:bidi="ar-SA"/>
        </w:rPr>
        <w:t xml:space="preserve">. </w:t>
      </w:r>
      <w:bookmarkStart w:id="76" w:name="pg16254_218303"/>
    </w:p>
    <w:p>
      <w:pPr>
        <w:pStyle w:val="Heading3"/>
        <w:numPr>
          <w:ilvl w:val="2"/>
          <w:numId w:val="1"/>
        </w:numPr>
        <w:rPr/>
      </w:pPr>
      <w:bookmarkStart w:id="77" w:name="__RefHeading___Toc4418184_1280447820"/>
      <w:bookmarkStart w:id="78" w:name="_Toc29"/>
      <w:bookmarkEnd w:id="76"/>
      <w:bookmarkEnd w:id="77"/>
      <w:r>
        <w:rPr>
          <w:rtl w:val="true"/>
        </w:rPr>
        <w:t>هداية</w:t>
      </w:r>
      <w:bookmarkEnd w:id="78"/>
    </w:p>
    <w:p>
      <w:pPr>
        <w:pStyle w:val="BookText"/>
        <w:rPr/>
      </w:pPr>
      <w:r>
        <w:rPr>
          <w:rFonts w:ascii="Amiri" w:hAnsi="Amiri" w:eastAsia="Amiri" w:cs="Amiri"/>
          <w:color w:val="111111"/>
          <w:sz w:val="28"/>
          <w:sz w:val="28"/>
          <w:szCs w:val="28"/>
          <w:rtl w:val="true"/>
          <w:lang w:bidi="ar-SA"/>
        </w:rPr>
        <w:t xml:space="preserve">قد تقدّم منّا </w:t>
      </w:r>
      <w:r>
        <w:rPr>
          <w:rStyle w:val="FootnoteAnchor"/>
          <w:rtl w:val="true"/>
        </w:rPr>
        <w:footnoteReference w:id="76"/>
      </w:r>
      <w:r>
        <w:rPr>
          <w:rFonts w:ascii="Amiri" w:hAnsi="Amiri" w:eastAsia="Amiri" w:cs="Amiri"/>
          <w:color w:val="111111"/>
          <w:sz w:val="28"/>
          <w:sz w:val="28"/>
          <w:szCs w:val="28"/>
          <w:rtl w:val="true"/>
          <w:lang w:bidi="ar-SA"/>
        </w:rPr>
        <w:t xml:space="preserve">الإشارة إلى ما هو المراد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توضيحا في المقام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به ما هو المنسوب إلى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الصحيح ما أسقط القضاء </w:t>
      </w:r>
      <w:r>
        <w:rPr>
          <w:rStyle w:val="FootnoteAnchor"/>
          <w:rtl w:val="true"/>
        </w:rPr>
        <w:footnoteReference w:id="77"/>
      </w:r>
      <w:r>
        <w:rPr>
          <w:rFonts w:ascii="Amiri" w:hAnsi="Amiri" w:eastAsia="Amiri" w:cs="Amiri"/>
          <w:color w:val="111111"/>
          <w:sz w:val="28"/>
          <w:sz w:val="28"/>
          <w:szCs w:val="28"/>
          <w:rtl w:val="true"/>
          <w:lang w:bidi="ar-SA"/>
        </w:rPr>
        <w:t xml:space="preserve">، أو إلى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ما وافق الشريعة </w:t>
      </w:r>
      <w:r>
        <w:rPr>
          <w:rStyle w:val="FootnoteAnchor"/>
          <w:rtl w:val="true"/>
        </w:rPr>
        <w:footnoteReference w:id="78"/>
      </w:r>
      <w:r>
        <w:rPr>
          <w:rFonts w:ascii="Amiri" w:hAnsi="Amiri" w:eastAsia="Amiri" w:cs="Amiri"/>
          <w:color w:val="111111"/>
          <w:sz w:val="28"/>
          <w:sz w:val="28"/>
          <w:szCs w:val="28"/>
          <w:rtl w:val="true"/>
          <w:lang w:bidi="ar-SA"/>
        </w:rPr>
        <w:t>؛ إذ الصحّة على الوجهين من الصفات الاعتباريّة المنتزعة عن محالّها بعد تعلّق الأمر بها ، ولا يعقل أن يكون داخلا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 الماهيّة الجعليّة الجامعة للأجزاء والشرائط التي لها مدخل في ترتّب ما هو الباعث على الأمر بها عليها ، ويعبّر عنه 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أنّ الفقهاء والمتكلّمين أيضا لم يصطلحوا على إبداع معنى جديد غير ما هو المعهود منه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الوحيد البهبهاني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القوم أنّهم غير قائلين بدخول الشرائط ، فهم أعمّيون بالنسبة إلى الشرائط</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ثابت ، مضافا إلى ما هو المعروف بينهم </w:t>
      </w:r>
      <w:r>
        <w:rPr>
          <w:rStyle w:val="FootnoteAnchor"/>
          <w:rtl w:val="true"/>
        </w:rPr>
        <w:footnoteReference w:id="80"/>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w:t>
      </w:r>
    </w:p>
    <w:p>
      <w:pPr>
        <w:pStyle w:val="BookText"/>
        <w:rPr/>
      </w:pPr>
      <w:r>
        <w:rPr>
          <w:rFonts w:ascii="Amiri" w:hAnsi="Amiri" w:eastAsia="Amiri" w:cs="Amiri"/>
          <w:color w:val="111111"/>
          <w:sz w:val="28"/>
          <w:sz w:val="28"/>
          <w:szCs w:val="28"/>
          <w:rtl w:val="true"/>
          <w:lang w:bidi="ar-SA"/>
        </w:rPr>
        <w:t xml:space="preserve">إلاّ بطهور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لا إجمال فيه على القول بالصحيح ؛ فإنّ الطهور من جملة الشرائط ، واعتباره جزءا يوجب سقوط التفصيل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الأجزاء والشرائط هل هي الشخصيّة أو النوعيّة؟ يعني أنّ المراد منها ما هي ثابتة في حقّ القادر المختار العامد العالم ، أو ما هي واجبة على المكلّفين المختلفين حسب اختلاف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والنسيان والاضطرار والاختيار والعلم والعمد ونحوها؟ وجهان غير خاليين عن محذور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 ، يلزم أن لا يكون غيره من الأفعال الواقعة من المكلّفين في هذه الموضوعات صلاة على وجه الحقيقة ، وتكون أبدالا عنها مسقطا لها ، والتزامه وإن كان لا يستلزم محالا إلاّ أنّه بعد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فإمّا أن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بالاشتراك اللفظي على تلك الماهيّات المختلفة ، أو بالاشتراك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فساده ظاهر ، والثاني غير معقول في وجه ومستلزم لمحذور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الجامع بين تلك الماهيّات لا بدّ وأن يكون بحيث يوجد في كلّ منها إذا وقعت صحيحة ومنتفية </w:t>
      </w:r>
      <w:r>
        <w:rPr>
          <w:rStyle w:val="FootnoteAnchor"/>
          <w:rtl w:val="true"/>
        </w:rPr>
        <w:footnoteReference w:id="82"/>
      </w:r>
      <w:r>
        <w:rPr>
          <w:rFonts w:ascii="Amiri" w:hAnsi="Amiri" w:eastAsia="Amiri" w:cs="Amiri"/>
          <w:color w:val="111111"/>
          <w:sz w:val="28"/>
          <w:sz w:val="28"/>
          <w:szCs w:val="28"/>
          <w:rtl w:val="true"/>
          <w:lang w:bidi="ar-SA"/>
        </w:rPr>
        <w:t xml:space="preserve">إذا وقعت فاسدة ، وقد تكون الصحيحة من مكلّف بعينها فاسدة من آخر ، فصلاة المريض تصحّ بدون القيام وهي فاسدة من الصحيح ، وصلاة ناسي القراءة </w:t>
      </w:r>
      <w:r>
        <w:rPr>
          <w:rStyle w:val="FootnoteAnchor"/>
          <w:rtl w:val="true"/>
        </w:rPr>
        <w:footnoteReference w:id="83"/>
      </w:r>
      <w:r>
        <w:rPr>
          <w:rFonts w:ascii="Amiri" w:hAnsi="Amiri" w:eastAsia="Amiri" w:cs="Amiri"/>
          <w:color w:val="111111"/>
          <w:sz w:val="28"/>
          <w:sz w:val="28"/>
          <w:szCs w:val="28"/>
          <w:rtl w:val="true"/>
          <w:lang w:bidi="ar-SA"/>
        </w:rPr>
        <w:t>كذلك ، كصلاة الغريق والمطاردة والمسايفة ونحوها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القدر الجامع لا يعقل أن يكون أمرا مركّبا موجودا في تلك الماهيّات ؛ لما عرفت من أنّه كلّ ما يتصوّر جامعا فيحتمل أن يكون ذلك المركّب فاسدا </w:t>
      </w:r>
    </w:p>
    <w:p>
      <w:pPr>
        <w:pStyle w:val="BookText"/>
        <w:rPr/>
      </w:pPr>
      <w:r>
        <w:rPr>
          <w:rFonts w:ascii="Amiri" w:hAnsi="Amiri" w:eastAsia="Amiri" w:cs="Amiri"/>
          <w:color w:val="111111"/>
          <w:sz w:val="28"/>
          <w:sz w:val="28"/>
          <w:szCs w:val="28"/>
          <w:rtl w:val="true"/>
          <w:lang w:bidi="ar-SA"/>
        </w:rPr>
        <w:t xml:space="preserve">وصحيحا بالنسبة إلى موضوعين ، فلا محالة لا بدّ من أن يكون ذلك القدر الجامع أمرا بسيطا يحصل في الواقع بواسطة تلك الأفعال المركّبة الخارجيّة </w:t>
      </w:r>
      <w:r>
        <w:rPr>
          <w:rStyle w:val="FootnoteAnchor"/>
          <w:rtl w:val="true"/>
        </w:rPr>
        <w:footnoteReference w:id="84"/>
      </w:r>
      <w:r>
        <w:rPr>
          <w:rFonts w:ascii="Amiri" w:hAnsi="Amiri" w:eastAsia="Amiri" w:cs="Amiri"/>
          <w:color w:val="111111"/>
          <w:sz w:val="28"/>
          <w:sz w:val="28"/>
          <w:szCs w:val="28"/>
          <w:rtl w:val="true"/>
          <w:lang w:bidi="ar-SA"/>
        </w:rPr>
        <w:t>، وتكون هذه المركّبات محقّقة له إذا وقعت صحيحة دون ما إذا وقعت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هو المطلوب أو ما هو في مرتبته ، وإمّا أن يكون ملزوما مساويا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غير معقول ؛ ضرورة توقّفه على الموضوع ، ولا يعقل أن يؤخذ في الموضوع ما هو موقوف عليه ، مضافا إلى استلزامه ترادف الصلاة والمطلوب ، وهو بديهيّ الفساد ، ومع كلّ </w:t>
      </w:r>
      <w:r>
        <w:rPr>
          <w:rStyle w:val="FootnoteAnchor"/>
          <w:rtl w:val="true"/>
        </w:rPr>
        <w:footnoteReference w:id="85"/>
      </w:r>
      <w:r>
        <w:rPr>
          <w:rFonts w:ascii="Amiri" w:hAnsi="Amiri" w:eastAsia="Amiri" w:cs="Amiri"/>
          <w:color w:val="111111"/>
          <w:sz w:val="28"/>
          <w:sz w:val="28"/>
          <w:szCs w:val="28"/>
          <w:rtl w:val="true"/>
          <w:lang w:bidi="ar-SA"/>
        </w:rPr>
        <w:t>ذلك فيرد عليه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مناف لذهاب المشهور القائلين بالوضع للصحيح </w:t>
      </w:r>
      <w:r>
        <w:rPr>
          <w:rStyle w:val="FootnoteAnchor"/>
          <w:rtl w:val="true"/>
        </w:rPr>
        <w:footnoteReference w:id="86"/>
      </w:r>
      <w:r>
        <w:rPr>
          <w:rFonts w:ascii="Amiri" w:hAnsi="Amiri" w:eastAsia="Amiri" w:cs="Amiri"/>
          <w:color w:val="111111"/>
          <w:sz w:val="28"/>
          <w:sz w:val="28"/>
          <w:szCs w:val="28"/>
          <w:rtl w:val="true"/>
          <w:lang w:bidi="ar-SA"/>
        </w:rPr>
        <w:t xml:space="preserve">إلى جواز التمسّك بأصالة البراءة ، بل وقد ادّعي الإجماع على جوازه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الأمر بين الأقلّ والأكثر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عنوان المكلّف به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معلوما ، وإنّما الشكّ في حصول ذلك العنوان في ضمن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 فاللازم هو الاحتياط ؛ للقطع بالمكلّف به مع الشكّ في حصوله في الخارج ، مضافا إلى أصالة عدم حصول ذلك المفهوم المعيّن بهذه الأفعال في </w:t>
      </w:r>
    </w:p>
    <w:p>
      <w:pPr>
        <w:pStyle w:val="BookText"/>
        <w:rPr/>
      </w:pPr>
      <w:r>
        <w:rPr>
          <w:rFonts w:ascii="Amiri" w:hAnsi="Amiri" w:eastAsia="Amiri" w:cs="Amiri"/>
          <w:color w:val="111111"/>
          <w:sz w:val="28"/>
          <w:sz w:val="28"/>
          <w:szCs w:val="28"/>
          <w:rtl w:val="true"/>
          <w:lang w:bidi="ar-SA"/>
        </w:rPr>
        <w:t>الخارج ، كما في الطهارة على القول بعدم إجمالها ، فإنّه إذا شكّ في حصولها بالغسل مرّة أو مرّتين يجب الاحتياط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نجد مخالفا فيه بعد تسليم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إثبات الأخذ بالبراءة عند الشكّ في الشرطيّة والجزئيّة هو ملاحظة هذه المقدّمة ، فإنّ نظر القائل بالاشتغال إلى أنّ الصلاة إنّما هو عنوان للمكلّف به فيجب العلم بحصولها في الخارج ، ونظر القائل بالبراءة أنّ الصلاة إذا كانت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المعنى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عنوانا ، بل إنّما الواجب هو امور خاصّة كالتكبير والركوع والقراءة ونحوها ، والتعبير عنها بالصلاة إنّما يجدي إذا كانت تلك الأجزاء هي الصلاة ، وبعد ما فرض عدم العلم بها وإجمالها ، إنّما يكون تعبيرا صوريّا ، كما أوضحنا سبيله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بوجود قدر مشترك بسيط بين تلك الماهيّات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كالماهيّة المبرئة للذمّة ، أو التركيب الذي ينهى عن الفحشاء والمنكر بالخاصّية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إنّما هي موضوعة له في الواقع ، يوجب المصير إلى الاشتغال عند الشكّ في الشرطيّة أو الجزئيّة ؛ لأنّ مرجع الشكّ إلى أنّ تلك الأفعال الواقعة في الخارج هل أوجب حصول ذلك الأمر البسيط وسقوط الاشتغال أو لا؟ بعد القطع بوجوب تحصيل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بعينه مورد الاشتغال والاحتياط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العلم بوجود قدر مشترك بسيط لا يوجب ذلك ، بل لو كان معلوما على وجه التفصيل ، والمفروض إجمال اللفظ وعدم العلم بالموضوع له ، وكلّ ما يتصوّر 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كالمبرئ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أمر يحتمل أن يكون هو الموضوع له ، لا أنّه هو</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العلم الإجمالي والتفصيلي ، فمتى علم بوجوب أمر واشتغال الذمّة به وجب تفريغ الذمّة عنه قطعا ، وهذا هو المراد بالمحذور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 في المقام هو الالتزام بأنّ المراد من الأجزاء والشرائط الشخصيّة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عرفت من الإشكال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استعمال اللفظ في غير المركّب الجامع للشرائط الواقعيّة الاختياريّة مجازا ، فيمكن دفعه بأنّ المتشرّعة توسّعوا في تسميتهم إيّاها صلاة ، فصارت حقيقة عندهم لا عند الشارع ، من حيث حصول ما هو المقصود من المركّب التام من غيره أيضا ، كما سمّوا كلّ ما هو مسكر خمرا وإن لم يكن مأخوذا من العنب ، مع أنّ الخمر هو المأخوذ منه ، وليس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مصطلح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تحديداتهم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اتّفاق الكلّ ، ثمّ إنّهم لمّا وقفوا على حصول ما هو المقصود من اتّفاق الكلّ في اتّفاق البعض الكاشف ، توسّعوا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الاتّفاق ، وصار من موارد استعمال لفظه على وجه الحقيقة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مناط التسمية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عندهم في غير ذلك المركّب الجامع ، فالوضع فيها نظير الوضع العام والموضوع له الخاص ، دون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إذا ورد كون شيء شرطا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لاشتراط غير ذلك الجامع بالشرط المذكور ؛ إذ المفروض أنّ الصلاة عند الشارع هو ذلك المركّب ، فثبوت ذلك الشرط لغيرها موقوف على دلالة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ثبوت الاشتراط لذلك الجامع كاف في ثبوته لغيره ؛ للإجماع على عدم اختلاف تلك الأبدال في جميع الامور المعتبرة في المبدل منه إلاّ ما تعذّر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الشرط بغيره بواسطة كونه صلاة ، ولا يلتفت إلى ذلك الإجماع </w:t>
      </w:r>
      <w:r>
        <w:rPr>
          <w:rStyle w:val="FootnoteAnchor"/>
          <w:rtl w:val="true"/>
        </w:rPr>
        <w:footnoteReference w:id="89"/>
      </w:r>
      <w:r>
        <w:rPr>
          <w:rFonts w:ascii="Amiri" w:hAnsi="Amiri" w:eastAsia="Amiri" w:cs="Amiri"/>
          <w:color w:val="111111"/>
          <w:sz w:val="28"/>
          <w:sz w:val="28"/>
          <w:szCs w:val="28"/>
          <w:rtl w:val="true"/>
          <w:lang w:bidi="ar-SA"/>
        </w:rPr>
        <w:t>، بل لو ثبت الإجماع فإنّما هو أيضا بواسطة كونه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ممنوع عند التأمّل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يتراءى في الأنظار من ثبوت ذلك بواسطة صدق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إنّما يكون من حيث عدم التأمّل وحسبان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الألفاظ المعلومة الغير المجملة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الصلاة شرعا هو المركّب التام ، وباقي الأفعال إنّما سمّيت صلاة توسّعا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نظيره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بعيدا ، بل الظاهر والمظنون بالظنّ القوي أنّه كذلك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ما تقدّم من المحذور ، وهو عدم جواز الرجوع إلى البراءة ؛ فإنّ الصلاة حينئذ تكون اسما لذلك المركّب الغير المعلومة الأجزاء المردّدة بين الأقلّ والأكثر ، وحصول الإبراء أو النهي عن الفحشاء إنّما هو من لوازم المأمور به ،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في مورده جريان البراءة إذا كان نفس المكلّف به دائرا بين الأقلّ والأكثر ، لا ما به يتحقّق </w:t>
      </w:r>
      <w:r>
        <w:rPr>
          <w:rStyle w:val="FootnoteAnchor"/>
          <w:rtl w:val="true"/>
        </w:rPr>
        <w:footnoteReference w:id="90"/>
      </w:r>
      <w:r>
        <w:rPr>
          <w:rFonts w:ascii="Amiri" w:hAnsi="Amiri" w:eastAsia="Amiri" w:cs="Amiri"/>
          <w:color w:val="111111"/>
          <w:sz w:val="28"/>
          <w:sz w:val="28"/>
          <w:szCs w:val="28"/>
          <w:rtl w:val="true"/>
          <w:lang w:bidi="ar-SA"/>
        </w:rPr>
        <w:t>المكلّف به ، كما عرفت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bookmarkStart w:id="79" w:name="pg16254_218309"/>
    </w:p>
    <w:p>
      <w:pPr>
        <w:pStyle w:val="Heading3"/>
        <w:numPr>
          <w:ilvl w:val="2"/>
          <w:numId w:val="1"/>
        </w:numPr>
        <w:rPr/>
      </w:pPr>
      <w:bookmarkStart w:id="80" w:name="__RefHeading___Toc4418186_1280447820"/>
      <w:bookmarkStart w:id="81" w:name="_Toc30"/>
      <w:bookmarkEnd w:id="79"/>
      <w:bookmarkEnd w:id="80"/>
      <w:r>
        <w:rPr>
          <w:rtl w:val="true"/>
        </w:rPr>
        <w:t>هداية في بيان المراد من القول بالأعم</w:t>
      </w:r>
      <w:bookmarkEnd w:id="81"/>
    </w:p>
    <w:p>
      <w:pPr>
        <w:pStyle w:val="Heading4"/>
        <w:numPr>
          <w:ilvl w:val="3"/>
          <w:numId w:val="1"/>
        </w:numPr>
        <w:rPr/>
      </w:pPr>
      <w:bookmarkStart w:id="82" w:name="__RefHeading___Toc4418188_1280447820"/>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فاعلم أنّ الظاهر من كلماتهم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القمّي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ألفاظ العبادات أسماء للقدر المشترك بين أجزاء معلومة ، كالأركان الأربعة في الصلاة ، وبين ما هو أزيد من ذلك ، وإن لم يقع شيء من تلك الأركان أو ما هو زائد عليها صحيحة في الخارج ، فجميع هذه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الصحيحة المشتملة على الأركان والزائدة عليها والفاسدة المقتصرة عليها والزائدة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حقيقة الصلاة ، ويطلق </w:t>
      </w:r>
      <w:r>
        <w:rPr>
          <w:rStyle w:val="FootnoteAnchor"/>
          <w:rtl w:val="true"/>
        </w:rPr>
        <w:footnoteReference w:id="92"/>
      </w:r>
      <w:r>
        <w:rPr>
          <w:rFonts w:ascii="Amiri" w:hAnsi="Amiri" w:eastAsia="Amiri" w:cs="Amiri"/>
          <w:color w:val="111111"/>
          <w:sz w:val="28"/>
          <w:sz w:val="28"/>
          <w:szCs w:val="28"/>
          <w:rtl w:val="true"/>
          <w:lang w:bidi="ar-SA"/>
        </w:rPr>
        <w:t xml:space="preserve">على جميعها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الاشتراك المعنوي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ذهب إليه من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بإجزاء الصلاة المشتملة على الأركان وإن لم يشتمل على جزء غيرها إذا وقعت سهوا أو نسيانا ، فجعل الأركان مدار صدق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انتفاء الصدق بانتفاء أحد </w:t>
      </w:r>
      <w:r>
        <w:rPr>
          <w:rStyle w:val="FootnoteAnchor"/>
          <w:rtl w:val="true"/>
        </w:rPr>
        <w:footnoteReference w:id="93"/>
      </w:r>
      <w:r>
        <w:rPr>
          <w:rFonts w:ascii="Amiri" w:hAnsi="Amiri" w:eastAsia="Amiri" w:cs="Amiri"/>
          <w:color w:val="111111"/>
          <w:sz w:val="28"/>
          <w:sz w:val="28"/>
          <w:szCs w:val="28"/>
          <w:rtl w:val="true"/>
          <w:lang w:bidi="ar-SA"/>
        </w:rPr>
        <w:t>الأركان وإن اشتملت على بقيّة الأجزاء ، والصدق مع وجودها وإن لم يشتمل على شيء من الأجزاء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ممّا ينبغي القطع بفساده ؛ لأنّه منقوض طردا وعكسا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أمر غير معقول ؛ إذ لا يعقل القدر المشترك بين الزائد والناقص على وجه يكون الزائد أيضا من حقيقة ذلك القدر المشترك ولا يكون الزيادة من أجزاء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المشترك بين الزائد والناقص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 يكون الزيادة في الفرد الزائد داخلا في حقيقة الفرد خارجا عن حقيقة القدر المشترك ، ويكون الزيادة معتبرة بالنسبة إلى نفس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بإمكان وجوده مع قطع النظر عن لحوق شيء مخصّص له من الفصول أو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الفرد الآخر الزائد على القدر المشترك أيضا ، لو قلنا بامتناع وجود القدر المشترك </w:t>
      </w:r>
      <w:r>
        <w:rPr>
          <w:rStyle w:val="FootnoteAnchor"/>
          <w:rtl w:val="true"/>
        </w:rPr>
        <w:footnoteReference w:id="94"/>
      </w:r>
      <w:r>
        <w:rPr>
          <w:rFonts w:ascii="IRNazanin" w:hAnsi="IRNazanin" w:eastAsia="IRNazanin"/>
          <w:color w:val="111111"/>
          <w:sz w:val="28"/>
          <w:sz w:val="28"/>
          <w:szCs w:val="28"/>
          <w:rtl w:val="true"/>
          <w:lang w:bidi="fa-IR"/>
        </w:rPr>
        <w:t>من دون لحوق 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 يكون الزيادة داخلة في حقيقة القدر المشترك ، فيكون ماهيّة واحدة تارة زائدة واخرى </w:t>
      </w:r>
      <w:r>
        <w:rPr>
          <w:rStyle w:val="FootnoteAnchor"/>
          <w:rtl w:val="true"/>
        </w:rPr>
        <w:footnoteReference w:id="95"/>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بإمكانه ومعقوليّته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يلتزم به القائل المذكور ؛ لظهور كلماته طرّا في أنّ الصحيحة من حقيقة الصلاة كالفاسدة ، فإطلاق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واحدة من الصحيحة والفاسدة ليس من باب استعمال اللفظ الموضوع للكلّي في الفرد ، ليكون حقيقة في وجه ومجازا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غير معقول ؛ ضرورة امتناع اختلاف معنى واحد بالزيادة والنقصان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مبنيّ على امتناع التشكيك في الذاتيّات ، ولم يثبت ذلك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جماعة من أرباب المعقول إلى إمكانه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Style w:val="FootnoteAnchor"/>
          <w:rtl w:val="true"/>
        </w:rPr>
        <w:footnoteReference w:id="97"/>
      </w:r>
      <w:r>
        <w:rPr>
          <w:rFonts w:ascii="Amiri" w:hAnsi="Amiri" w:eastAsia="Amiri" w:cs="Amiri"/>
          <w:color w:val="111111"/>
          <w:sz w:val="28"/>
          <w:sz w:val="28"/>
          <w:szCs w:val="28"/>
          <w:rtl w:val="true"/>
          <w:lang w:bidi="ar-SA"/>
        </w:rPr>
        <w:t>باطل وإن قلنا بإمكان التشكيك ؛ ضرورة وجود الفرق بين المقامين ، فإنّ القائل بإمكانه إنّما يقول به فيما كان الزائد بعينه من جنس الناقص ، ويكون ما به الامتياز فيه عين ما به الاشتراك ومن سنخه ، بخلاف المقام ؛ فإنّ الزائد مباين للناقص ، وهو مستحيل بالضرورة لا يحتاج إلى تجشّم الاستدلال وتطويل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نقول بأنّ تلك الأركان المخصوصة قدر مشترك بين الزائد والناقص ليلزم ما ذكر من المحذور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للأركان المخصوصة ، وباقي الأجزاء خارجة عنها وعن المسمّى ، لكن مقارنتها لغيرها لا يمنع من صدق اللفظ على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ممّا لا يلتزم به القائل المذكور ؛ إذ بناء على ذلك يصير استعمال اللفظ في الصحيحة المستجمعة للشرائط والأجزاء من قبيل استعمال اللفظ الموضوع للجزء في الكلّ ، وهو مجاز قطعا ، والظاهر من كلامه كونه حقيقة ، بل واستعماله في الفاسدة مع الزيادة على الأركان أيضا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يكون الاستعمال المذكور حقيقة ، من قبيل استعمال الحيوان الموضوع للجزء في الإنسان ؛ لأنّ استعماله في الحيوان الناطق مجاز ولو بملاحظة علاقة الكلّي والفرد ، فكيف بملاحظة علاقة الكلّ والجزء ، وهو في غاية الظهور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بالأعم على هذا الوجه ، 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موضوع للقدر الجامع بين الأقلّ والأكثر والناقص والزائد على وجه تكون الزيادة من حقيقة القدر المشترك ، وإمّا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موضوع للأجزاء المعيّنة </w:t>
      </w:r>
    </w:p>
    <w:p>
      <w:pPr>
        <w:pStyle w:val="BookText"/>
        <w:rPr/>
      </w:pPr>
      <w:r>
        <w:rPr>
          <w:rFonts w:ascii="Amiri" w:hAnsi="Amiri" w:eastAsia="Amiri" w:cs="Amiri"/>
          <w:color w:val="111111"/>
          <w:sz w:val="28"/>
          <w:sz w:val="28"/>
          <w:szCs w:val="28"/>
          <w:rtl w:val="true"/>
          <w:lang w:bidi="ar-SA"/>
        </w:rPr>
        <w:t>والأركان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غير معقول ، مضافا إلى استلزامه أن يكون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الناقص 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أو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إطلاق الكلّي على الفرد ، والظاهر أنّهم لا يلتزمون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يستلزم أن يكون إطلاقها على الصحيحة الزائدة والزائدة الفاسدة </w:t>
      </w:r>
      <w:r>
        <w:rPr>
          <w:rStyle w:val="FootnoteAnchor"/>
          <w:rtl w:val="true"/>
        </w:rPr>
        <w:footnoteReference w:id="98"/>
      </w:r>
      <w:r>
        <w:rPr>
          <w:rFonts w:ascii="Amiri" w:hAnsi="Amiri" w:eastAsia="Amiri" w:cs="Amiri"/>
          <w:color w:val="111111"/>
          <w:sz w:val="28"/>
          <w:sz w:val="28"/>
          <w:szCs w:val="28"/>
          <w:rtl w:val="true"/>
          <w:lang w:bidi="ar-SA"/>
        </w:rPr>
        <w:t>إطلاقا مجازيّا ، وهو ممّا لا يلتزم به القائل المذكور قطعا ، كما يظهر بملاحظة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البعض </w:t>
      </w:r>
      <w:r>
        <w:rPr>
          <w:rStyle w:val="FootnoteAnchor"/>
          <w:rtl w:val="true"/>
        </w:rPr>
        <w:footnoteReference w:id="99"/>
      </w:r>
      <w:r>
        <w:rPr>
          <w:rFonts w:ascii="Amiri" w:hAnsi="Amiri" w:eastAsia="Amiri" w:cs="Amiri"/>
          <w:color w:val="111111"/>
          <w:sz w:val="28"/>
          <w:sz w:val="28"/>
          <w:szCs w:val="28"/>
          <w:rtl w:val="true"/>
          <w:lang w:bidi="ar-SA"/>
        </w:rPr>
        <w:t xml:space="preserve">إلى جماعة من القائلين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Style w:val="FootnoteAnchor"/>
          <w:rtl w:val="true"/>
        </w:rPr>
        <w:footnoteReference w:id="100"/>
      </w:r>
      <w:r>
        <w:rPr>
          <w:rFonts w:ascii="Amiri" w:hAnsi="Amiri" w:eastAsia="Amiri" w:cs="Amiri"/>
          <w:color w:val="111111"/>
          <w:sz w:val="28"/>
          <w:sz w:val="28"/>
          <w:szCs w:val="28"/>
          <w:rtl w:val="true"/>
          <w:lang w:bidi="ar-SA"/>
        </w:rPr>
        <w:t xml:space="preserve">وهو المعروف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لمعظم الأجزاء ، وهو ما يقوم به الماهيّة </w:t>
      </w:r>
      <w:r>
        <w:rPr>
          <w:rStyle w:val="FootnoteAnchor"/>
          <w:rtl w:val="true"/>
        </w:rPr>
        <w:footnoteReference w:id="101"/>
      </w:r>
      <w:r>
        <w:rPr>
          <w:rFonts w:ascii="Amiri" w:hAnsi="Amiri" w:eastAsia="Amiri" w:cs="Amiri"/>
          <w:color w:val="111111"/>
          <w:sz w:val="28"/>
          <w:sz w:val="28"/>
          <w:szCs w:val="28"/>
          <w:rtl w:val="true"/>
          <w:lang w:bidi="ar-SA"/>
        </w:rPr>
        <w:t>العرفيّة ، ومعها لا يصحّ سلب الاسم عنها ، فكلّما حصل صدق الاسم عرفا يستكشف به عن وجود المسمّى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عكسه وطرده سليمان عن الانتقاض ؛ إذ متى ما تحقّق معظم الأجزاء صدق الاسم من دون نقص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أنّ اللفظ موضوع لمفهوم معظم الأجزاء الذي لا يختلف ذلك المفهوم باختلاف مصاديقه ، ففساده غنيّ عن البيان ؛ بداهة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ترادف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اريد أنّه موضوع لمصداقه ، فلا ريب في اختلاف تلك المصاديق بواسطة تبادل الأجزاء وجودا وعدما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موضوع لمصداق واحد من تلك المصاديق المختلفة بالتبادل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للقدر المشترك بين تلك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موضوع لكلّ واحد منها على وجه الاشتراك اللفظي ، أو على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سؤال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لا يكون حقيقة في غيره ، صحيحة كانت أو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غير معقول ؛ ضرورة بطلان تبادل أجزاء ماهيّة واحدة بذهاب جزء وقيام آخر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والرابع ممّا لا يلتزم به القائل بالأعم ، مضافا إلى استلزامه أن يكون استعمال اللفظ فيما زاد عن معظم الأجزاء مجازا ، صحيحة كانت أو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بكونه حقيقة فيما زاد يلازم الاشتراك اللفظي ، وهو ممّا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المعنوي بين المعظم والتمام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موضوعا للمركّب من جميع الأجزاء ، لكن لا من حيث هو ، بل من حيث كونه جامعا لجملة أجزاء هي ملاك التسمية ومناطها ، فإذا فقد بعض الأجزاء وصدق الاسم عرفا يعلم منه أنّ مناط التسمية باق ، نظير الأعلام الشخصيّة التي توضع للأشخاص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بهذا الاسم في حال صغره كان الموضوع له هذه الهيئة الخاصّة ، لكن لا من حيث إنّها تلك الهيئة الخاصّة ، ولذا لا يفترق في التسمية مع طريان حالات عديدة وهيئات غير متناهية بين الرضاع والشيخوخيّة ، وليس ذلك بأوضاع جديدة ، بل تلك الاستعمالات في تلك المراتب من توابع وضع الأوّل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الأعلام الشخصيّة ليست موضوعة للمركّبات ، بل إنّما هي موضوعة للنفوس الناطقة المتعلّقة بالأبدان ، فإنّ من المعلوم </w:t>
      </w:r>
    </w:p>
    <w:p>
      <w:pPr>
        <w:pStyle w:val="BookText"/>
        <w:rPr/>
      </w:pPr>
      <w:r>
        <w:rPr>
          <w:rFonts w:ascii="Amiri" w:hAnsi="Amiri" w:eastAsia="Amiri" w:cs="Amiri"/>
          <w:color w:val="111111"/>
          <w:sz w:val="28"/>
          <w:sz w:val="28"/>
          <w:szCs w:val="28"/>
          <w:rtl w:val="true"/>
          <w:lang w:bidi="ar-SA"/>
        </w:rPr>
        <w:t xml:space="preserve">كون زيد حيوانا ناطقا </w:t>
      </w:r>
      <w:r>
        <w:rPr>
          <w:rStyle w:val="FootnoteAnchor"/>
          <w:rtl w:val="true"/>
        </w:rPr>
        <w:footnoteReference w:id="103"/>
      </w:r>
      <w:r>
        <w:rPr>
          <w:rFonts w:ascii="Amiri" w:hAnsi="Amiri" w:eastAsia="Amiri" w:cs="Amiri"/>
          <w:color w:val="111111"/>
          <w:sz w:val="28"/>
          <w:sz w:val="28"/>
          <w:szCs w:val="28"/>
          <w:rtl w:val="true"/>
          <w:lang w:bidi="ar-SA"/>
        </w:rPr>
        <w:t>، ولازمه أن يكون جسما ، وليس زيد من المجرّدات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الوضع في جميع المركّبات الكمّية الخارجيّة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فالتزام ذلك في الأعلام الشخصيّة لا يجدي في دفع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يكفي في المحذور مجرّد ارتباط بالبدن ، كما هو ظاهر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المسمّى شرعيّ والتسمية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بالوضع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حيث إنّه ذلك المعنى ، بل من حيث كونه جامعا لملاك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الحقيقة إلى القول بكون المسمّى هو القدر المشترك بين الزائد والناقص ؛ إذ لا يعقل أن يكون شيء مورد الوضع ولا يكون هو الموضوع له بالخصوص على وجه لا يكون له شريك في ذلك من حيث تعلّق ذلك الوضع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بأنّه من باب الوضع الخاص والموضوع له العام ، على عكس ما هو المعروف من الوضع في المبهمات ، إلاّ أنّ ذلك أيضا غير خارج عن الاشتراك المعنوي إذا كان الموضوع له هو نفس العام ، وعن الوضع العام والموضوع له الخاص إذا كان الموضوع له مصاديق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 والثاني ممّا لا يلتزم به القائل بالأعم ، ولا يساعده شيء من كلماتهم في الأدلّة والأجوبة ،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وجه آخر في تصوير مذهب القائل بالأعم ، وهو أن يكون الموضوع له هو المركّب من جميع الأجزاء من حيث هو ، لكنّ العرف تسامحوا في إطلاق اللفظ على فاقد بعض الأجزاء ؛ لما هو المودع في سجاياهم والمركوز في طبائعهم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ملاحظتهم في إطلاق الألفاظ الموضوعة للمركّبات أن يكون المستعمل فيه جامعا لجميع ما يعتبر فيه شطرا أو شرطا ، بل يطلقون على الناقص اسم الكامل مسامحة ، لكن لا على سبيل المجاز ، بل على سبيل الحقيقة بأحد من الوجهين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ما هو المعدوم منزلة الموجود ، ثمّ إطلاق اسم الكامل على الناقص ، فإنّ ذلك لا يستلزم مجازا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الاستعارة على ما يراه السكّاكي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التصرّف إنّما هو في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حصول الوضع للناقص على وجه التعيّن دون التعيين ، إلاّ أنّه ليس كسائر الأوضاع التي يتوقّف على كثرة الاستعمال وامتداد مدّة طويلة ، بل يكفي فيه عدّة استعمالات من حيث المشابهة الصوريّة والانس ، وذلك ممّا لا ينبغي أن يستبعد عند الملاحظ المتأمّل في طريقة المحاورات العرفيّة ، فإنّ من اخترع معجونا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المفرّح الياقوتي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يتسامح في إطلاقه على الناقص جزءا </w:t>
      </w:r>
      <w:r>
        <w:rPr>
          <w:rStyle w:val="FootnoteAnchor"/>
          <w:rtl w:val="true"/>
        </w:rPr>
        <w:footnoteReference w:id="105"/>
      </w:r>
      <w:r>
        <w:rPr>
          <w:rFonts w:ascii="Amiri" w:hAnsi="Amiri" w:eastAsia="Amiri" w:cs="Amiri"/>
          <w:color w:val="111111"/>
          <w:sz w:val="28"/>
          <w:sz w:val="28"/>
          <w:szCs w:val="28"/>
          <w:rtl w:val="true"/>
          <w:lang w:bidi="ar-SA"/>
        </w:rPr>
        <w:t>، تنزيلا له منزلة الموجود ، بل ولا يبعد دعوى حصول الوضع له سيّما إذا كانت عمدة التأثير الحاصل بالمركّب التام حاصلا به أيضا ، كما أومأنا إليه في تصوير مذهب القائل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الفرق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توافقهما في أنّ الصلاة بحسب الوضع الشرعيّ مخصوص بذلك المعجون التامّ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القائل بالأعم يدّعي حصول الحقيقة في الأفراد الفاسدة أيضا ، والقائل بالصحيح يقصر في دعوى ذلك على الأفراد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مشكل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بالأعم أيضا لا يتأتّى منه الأخذ بالإطلاق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 الناقص جزءا قد تكون صحيحة من أحد وفاسدة من آخر ، ولا يعقل كون اللفظ حقيقة في الناقص من حيث كونه صحيحا ومجازا من حيث كونه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 فإنّه من مزالّ الأقدام</w:t>
      </w:r>
      <w:r>
        <w:rPr>
          <w:rFonts w:eastAsia="Amiri" w:cs="Amiri" w:ascii="Amiri" w:hAnsi="Amiri"/>
          <w:color w:val="111111"/>
          <w:sz w:val="28"/>
          <w:szCs w:val="28"/>
          <w:rtl w:val="true"/>
          <w:lang w:bidi="ar-SA"/>
        </w:rPr>
        <w:t xml:space="preserve">. </w:t>
      </w:r>
      <w:bookmarkStart w:id="84" w:name="pg16254_218316"/>
    </w:p>
    <w:p>
      <w:pPr>
        <w:pStyle w:val="Heading4"/>
        <w:numPr>
          <w:ilvl w:val="3"/>
          <w:numId w:val="1"/>
        </w:numPr>
        <w:rPr/>
      </w:pPr>
      <w:bookmarkStart w:id="85" w:name="__RefHeading___Toc4418190_1280447820"/>
      <w:bookmarkStart w:id="86" w:name="_Toc32"/>
      <w:bookmarkEnd w:id="84"/>
      <w:bookmarkEnd w:id="85"/>
      <w:r>
        <w:rPr>
          <w:rtl w:val="true"/>
        </w:rPr>
        <w:t xml:space="preserve">تذنيب </w:t>
      </w:r>
      <w:r>
        <w:rPr>
          <w:rtl w:val="true"/>
        </w:rPr>
        <w:t>:</w:t>
      </w:r>
      <w:bookmarkEnd w:id="86"/>
    </w:p>
    <w:p>
      <w:pPr>
        <w:pStyle w:val="BookText"/>
        <w:rPr/>
      </w:pPr>
      <w:r>
        <w:rPr>
          <w:rFonts w:ascii="Amiri" w:hAnsi="Amiri" w:eastAsia="Amiri" w:cs="Amiri"/>
          <w:color w:val="111111"/>
          <w:sz w:val="28"/>
          <w:sz w:val="28"/>
          <w:szCs w:val="28"/>
          <w:rtl w:val="true"/>
          <w:lang w:bidi="ar-SA"/>
        </w:rPr>
        <w:t xml:space="preserve">إذا كانت العبادة مشتملة على أجزاء مسنونة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جزءا لأفضل أفراد العبادة ، بحيث يكون العبادة الجامعة لها مستحبّة ، ويكون هذا الجزء مقدّمة لحصولها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استحباب الجزء على وجه الغيريّة ؛ لكونه مقدّمة للوصول إلى ذلك المستحبّ النفسي ، ولا ينافي ذلك وجوبه تخييرا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الجزء مطلوبا نفسيّا في أثناء تلك العبادة ، فهو في الحقيقة خارج عنها ، وإنّما يتوصّل بالعبادة إليه لأنّه ممّا ينبغي إيجاده فيها ، فيترشّح منه إليها استحباب تبعيّ مقدّميّ على العكس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يصير من جملة أفعال تلك العبادة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تلبّسه بالشروط المقرّرة لأفعالها ، فلو خلا عنها فسدت الصلاة ، كأن يكون في الإتيان به مرائيا ، وعلى الثاني يفسد الجزء من دون سراية إلى تلك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فرق بين القسمين فيما إذا كانت الشروط شروطا لأكوان العبادة ، لكنّ الوجه فيه بطلان نفس العبادة بواسطة فقد الشرط ، ولا مدخل لفساد الجزء فيه ، كما لا يخفى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باستحباب التسليم ، فلو شكّ فيه </w:t>
      </w:r>
      <w:r>
        <w:rPr>
          <w:rStyle w:val="FootnoteAnchor"/>
          <w:rtl w:val="true"/>
        </w:rPr>
        <w:footnoteReference w:id="106"/>
      </w:r>
      <w:r>
        <w:rPr>
          <w:rFonts w:ascii="Amiri" w:hAnsi="Amiri" w:eastAsia="Amiri" w:cs="Amiri"/>
          <w:color w:val="111111"/>
          <w:sz w:val="28"/>
          <w:sz w:val="28"/>
          <w:szCs w:val="28"/>
          <w:rtl w:val="true"/>
          <w:lang w:bidi="ar-SA"/>
        </w:rPr>
        <w:t>قبله وبعد التشهّد لم يكن شكّا بعد الفراغ ، وعلى الثاني يكون شكّا بعد الفراغ ، فإنّه حينئذ خارج عن الصلاة ، واستحبابه عقيب التشهّد إنّما هو من قبيل استحباب عمل مشروط بلحوقه بعمل آخر ، وذلك لا يقضي كونه محسوبا من أجزائه ليحكم عليه بأحكامها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رحمه‌اللّه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فائتة ، هل يستحبّ له الإتمام في مواطن التخيير؟ الأقرب نعم ؛ عملا بالعموم ، وكان والدي رحمه‌اللّه يمنع ذلك ؛ 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عليه فريضة لا يجوز له فعل النافلة </w:t>
      </w:r>
      <w:r>
        <w:rPr>
          <w:rFonts w:eastAsia="Amiri" w:cs="Amiri" w:ascii="Amiri" w:hAnsi="Amiri"/>
          <w:color w:val="111111"/>
          <w:sz w:val="28"/>
          <w:szCs w:val="28"/>
          <w:rtl w:val="true"/>
          <w:lang w:bidi="ar-SA"/>
        </w:rPr>
        <w:t xml:space="preserve">» </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الوجه فيه كون الركعتين الأخيرتين من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بعدم كون نيّة الإتمام ملزما ، ويكون المصلّي بعد التشهّد مخيّرا بين القصر والإتمام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الوجه فيه كون الركعتين الأخيرتين من الأجزاء المستحبّة ومن عليه فائتة لا يجوز له الإتيان بها ، فلازمه منع القنوت والتكبيرات المستحبّة وغيرها ، ولم نقف على ملتزم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وهو الهادي</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254_218319"/>
      <w:bookmarkStart w:id="88" w:name="pg16254_218319"/>
      <w:bookmarkEnd w:id="88"/>
    </w:p>
    <w:p>
      <w:pPr>
        <w:pStyle w:val="Heading3"/>
        <w:numPr>
          <w:ilvl w:val="2"/>
          <w:numId w:val="1"/>
        </w:numPr>
        <w:rPr/>
      </w:pPr>
      <w:bookmarkStart w:id="89" w:name="pg16254_218319"/>
      <w:bookmarkStart w:id="90" w:name="__RefHeading___Toc4418192_1280447820"/>
      <w:bookmarkStart w:id="91" w:name="_Toc33"/>
      <w:bookmarkEnd w:id="89"/>
      <w:bookmarkEnd w:id="90"/>
      <w:r>
        <w:rPr>
          <w:rtl w:val="true"/>
        </w:rPr>
        <w:t>هداية</w:t>
      </w:r>
      <w:bookmarkEnd w:id="91"/>
    </w:p>
    <w:p>
      <w:pPr>
        <w:pStyle w:val="Heading4"/>
        <w:numPr>
          <w:ilvl w:val="3"/>
          <w:numId w:val="1"/>
        </w:numPr>
        <w:rPr/>
      </w:pPr>
      <w:bookmarkStart w:id="92" w:name="__RefHeading___Toc4418194_1280447820"/>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قد ذكر بعضهم </w:t>
      </w:r>
      <w:r>
        <w:rPr>
          <w:rStyle w:val="FootnoteAnchor"/>
          <w:rtl w:val="true"/>
        </w:rPr>
        <w:footnoteReference w:id="109"/>
      </w:r>
      <w:r>
        <w:rPr>
          <w:rFonts w:ascii="Amiri" w:hAnsi="Amiri" w:eastAsia="Amiri" w:cs="Amiri"/>
          <w:color w:val="111111"/>
          <w:sz w:val="28"/>
          <w:sz w:val="28"/>
          <w:szCs w:val="28"/>
          <w:rtl w:val="true"/>
          <w:lang w:bidi="ar-SA"/>
        </w:rPr>
        <w:t xml:space="preserve">للنزاع المذكور </w:t>
      </w:r>
      <w:r>
        <w:rPr>
          <w:rStyle w:val="FootnoteAnchor"/>
          <w:rtl w:val="true"/>
        </w:rPr>
        <w:footnoteReference w:id="110"/>
      </w:r>
      <w:r>
        <w:rPr>
          <w:rFonts w:ascii="Amiri" w:hAnsi="Amiri" w:eastAsia="Amiri" w:cs="Amiri"/>
          <w:color w:val="111111"/>
          <w:sz w:val="28"/>
          <w:sz w:val="28"/>
          <w:szCs w:val="28"/>
          <w:rtl w:val="true"/>
          <w:lang w:bidi="ar-SA"/>
        </w:rPr>
        <w:t xml:space="preserve">ثمرات ، 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فيمكن التمسّك بالإطلاق عند الشكّ في اعتبار شيء في المسمّى شطرا أو شرطا على القول بالأعم ، والإجمال فلا إطلاق حتّى يتمسّك به على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المتعلّق بالأجزاء والشرائط قد يكون على وجه يشكّ معه في الصدق فلا إطلاق على القولين ، وقد يكون في اشتراط أمر خارج عمّا هو المسمّى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بالأعم يتوجّه في دفعه التمسّك بالإطلاق ، وعلى القول بالصحيح لا يكتفى بصدق المسمّى عرفا ، بل إنّما هو محمول عنده على أحد الوجوه التي قد عرفت بعضها وستعرف بعضا آخر ، فلا إطلاق عنده ، فيكون من موارد الرجوع إلى الاصول العمليّة ، كما هو قضيّة الإجمال ، فإمّا قولا بالبراءة كما هو المختار ، وإمّا قولا بالاحتياط كما عليه بعض الأواخر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تظهر في إجراء الأصل ، فعلى القول بالصحيح لا تجري أصالة البراءة عند الشكّ في اعتبار شيء في العبادة جزءا أو شرطا ، وعلى القول بالأعم 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واورد عليه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على البراءة مع ذهابهم إلى القول بالصحيح ، فلا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تفريع على ما اختاره من لزوم الاحتياط عند الإجمال ، لا أنّه تفريع على الصحيحة </w:t>
      </w:r>
      <w:r>
        <w:rPr>
          <w:rStyle w:val="FootnoteAnchor"/>
          <w:rtl w:val="true"/>
        </w:rPr>
        <w:footnoteReference w:id="113"/>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حكاية كلامه دعوى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ما عرفت في تصوير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الالتزام بوضع اللفظ لمعنى بسيط حاصل بذلك العمل المركّب ملازم للقول بالاشتغال ، فلعلّ القائل المذكور إنّما تخيّل القول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القضيّة في النقل </w:t>
      </w:r>
      <w:r>
        <w:rPr>
          <w:rStyle w:val="FootnoteAnchor"/>
          <w:rtl w:val="true"/>
        </w:rPr>
        <w:footnoteReference w:id="11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يظهر من بعضهم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إذا كان من مقولة اللفظ لا بدّ من الاحتياط وإن كان مجملا ، وجواز الرجوع إلى البراءة أيضا إنّما هو </w:t>
      </w:r>
      <w:r>
        <w:rPr>
          <w:rStyle w:val="FootnoteAnchor"/>
          <w:rtl w:val="true"/>
        </w:rPr>
        <w:footnoteReference w:id="117"/>
      </w:r>
      <w:r>
        <w:rPr>
          <w:rFonts w:ascii="Amiri" w:hAnsi="Amiri" w:eastAsia="Amiri" w:cs="Amiri"/>
          <w:color w:val="111111"/>
          <w:sz w:val="28"/>
          <w:sz w:val="28"/>
          <w:szCs w:val="28"/>
          <w:rtl w:val="true"/>
          <w:lang w:bidi="ar-SA"/>
        </w:rPr>
        <w:t>فيما إذا كان الدليل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إلى أنّ الدليل إذا كان لفظيّا فيستكشف منه وجوب إحراز مدلوله في الخارج ولا يعلم به إلاّ بعد الاحتياط</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المجمل ملحق بالدليل اللبّي ، وصحّة انتزاع المدلول والمسمّى غير مفيد بعد كونه مجملا ؛ لأنّه غير مأمور به ، لإمكان انتزاع نحوه فيما إذا علم بالدليل اللبّي أمرا مردّدا بين الأقلّ والأكثر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يعترض على ما ذكرنا من الثمرة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للقول بالإجمال على القول بالصحيح </w:t>
      </w:r>
      <w:r>
        <w:rPr>
          <w:rStyle w:val="FootnoteAnchor"/>
          <w:rtl w:val="true"/>
        </w:rPr>
        <w:footnoteReference w:id="118"/>
      </w:r>
      <w:r>
        <w:rPr>
          <w:rFonts w:ascii="Amiri" w:hAnsi="Amiri" w:eastAsia="Amiri" w:cs="Amiri"/>
          <w:color w:val="111111"/>
          <w:sz w:val="28"/>
          <w:sz w:val="28"/>
          <w:szCs w:val="28"/>
          <w:rtl w:val="true"/>
          <w:lang w:bidi="ar-SA"/>
        </w:rPr>
        <w:t xml:space="preserve">؛ إذ بعد تتبّع الأخبار الكافلة لبيان تلك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حمّاد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وتصفّح المدارك الشرعيّة من الإجماع المستفاد من فتاوى الأخيار ، يحكم بكون الصلاة هي الأجزاء المعهودة ، فإذا شكّ في اعتبار جزء فيها من غير دلالة تطمئنّ بها النفس ، دفعناه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العادة قاضية بأنّه لو كان للصلاة أجزاء أخر غير ما هو المتعارف المعهود منها لكانت معلومة ؛ لتوفّر الدواعي على نقلها وضبطها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البيانيّة بأنفسها معدودة في عداد المجملات ، ولا يكاد يتبيّن منها شيء ؛ فإنّ قوله عليه‌السلام في خبر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وضوء لا يقبل اللّه الصلاة إلاّ به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لا يعلم المشار إليه باسم الإشارة فيهما ؛ لدورانه بين وجوه مختلفة من الامور التي يحتمل مدخليّتها فيه ، مثل الحالات المكتنفة بالإمام عليه‌السلام زمانا ومكانا وغيرهما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علمنا المشار إليه فيهما ، فنعلم إجمالا بأنّ تلك الصلاة كانت مشتملة على أجزاء مسنونة غير متميّزة عن الواجبة عندنا ، فإذا وقع الشكّ في وجوب تلك الأجزاء لا وجه لاستكشاف وجوبها بالرواية ، للعلم بكونها غير باقية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 لكن لا نسلّم أنّ تلك الأخبار تجعل تلك الألفاظ مبيّنة على وجه يرجع إلى إطلاقها عند الشكّ في اعتبار شيء ؛ ولذا اعترف المعترض بالرجوع إلى </w:t>
      </w:r>
    </w:p>
    <w:p>
      <w:pPr>
        <w:pStyle w:val="BookText"/>
        <w:rPr/>
      </w:pPr>
      <w:r>
        <w:rPr>
          <w:rFonts w:ascii="Amiri" w:hAnsi="Amiri" w:eastAsia="Amiri" w:cs="Amiri"/>
          <w:color w:val="111111"/>
          <w:sz w:val="28"/>
          <w:sz w:val="28"/>
          <w:szCs w:val="28"/>
          <w:rtl w:val="true"/>
          <w:lang w:bidi="ar-SA"/>
        </w:rPr>
        <w:t>الأصل عند عدم دلالة تطمئنّ بها النفس ، اللّهمّ إلاّ أن يريد به أصالة الإطلاق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ظهور اختلاف كلمات العلماء في الأجزاء والشرائط فهو على وجه لا ينبغي إنكاره من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توفّر الدواعي فلا نعرف له في المقام مزيّة اختصاص بالنسبة إلى غيره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بالأعم لا وجه للتمسّك بالإطلاق في استكشاف المطلوب </w:t>
      </w:r>
      <w:r>
        <w:rPr>
          <w:rStyle w:val="FootnoteAnchor"/>
          <w:rtl w:val="true"/>
        </w:rPr>
        <w:footnoteReference w:id="121"/>
      </w:r>
      <w:r>
        <w:rPr>
          <w:rFonts w:ascii="Amiri" w:hAnsi="Amiri" w:eastAsia="Amiri" w:cs="Amiri"/>
          <w:color w:val="111111"/>
          <w:sz w:val="28"/>
          <w:sz w:val="28"/>
          <w:szCs w:val="28"/>
          <w:rtl w:val="true"/>
          <w:lang w:bidi="ar-SA"/>
        </w:rPr>
        <w:t>؛ لأنّ المطلوب لا بدّ وأن يكون صحيحا ، لامتناع تعلّق طلب الشارع بالفاسد ، فكلّ واحد من المذهبين في حدّ واحد من عدم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القول بالأعم لا يعقل وجه صحّة لذلك ؛ لأنّ الصحّة إذا صارت قيدا للمأمور به فلا بدّ من تحصيل هذا القيد ، فإذا شكّ في جزئيّة شيء فلا بدّ من الاحتياط ولا يجري البراءة ؛ إذ ليس هناك قدر متيقّن حينئذ ، بخلافه على القول بالصحيح ، فإنّ المكلّف به فيه نفس تلك الأجزاء المردّدة بين الأقلّ والأكثر من دون عنوان ، فيصير الأقلّ قدرا متيقّنا في المكلّف به ، كما قرّر في محلّه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مغالطة ناشئة عن عدم تعقّل معنى الصحّة في المقام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المعترض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المطلوب لا بدّ وأن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الصحّة المنتزعة من الماهيّة التي تعلّق بها الطلب والأمر قبل تعلّق الطلب بها </w:t>
      </w:r>
      <w:r>
        <w:rPr>
          <w:rStyle w:val="FootnoteAnchor"/>
          <w:rtl w:val="true"/>
        </w:rPr>
        <w:footnoteReference w:id="123"/>
      </w:r>
      <w:r>
        <w:rPr>
          <w:rFonts w:ascii="Amiri" w:hAnsi="Amiri" w:eastAsia="Amiri" w:cs="Amiri"/>
          <w:color w:val="111111"/>
          <w:sz w:val="28"/>
          <w:sz w:val="28"/>
          <w:szCs w:val="28"/>
          <w:rtl w:val="true"/>
          <w:lang w:bidi="ar-SA"/>
        </w:rPr>
        <w:t>فهذا ممّا يجب استكشافه بالإطلاق ، إذ لا سبيل إلى العلم بها بحسب الأسباب الظاهريّة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إذا حاول طلب أمر على وجه من الوجوه فلا بدّ له من إظهار مقصوده على وجه مفيد لمقصوده ، فإذا أمر بعتق رقبة </w:t>
      </w:r>
    </w:p>
    <w:p>
      <w:pPr>
        <w:pStyle w:val="BookText"/>
        <w:rPr/>
      </w:pPr>
      <w:r>
        <w:rPr>
          <w:rFonts w:ascii="Amiri" w:hAnsi="Amiri" w:eastAsia="Amiri" w:cs="Amiri"/>
          <w:color w:val="111111"/>
          <w:sz w:val="28"/>
          <w:sz w:val="28"/>
          <w:szCs w:val="28"/>
          <w:rtl w:val="true"/>
          <w:lang w:bidi="ar-SA"/>
        </w:rPr>
        <w:t>على وجه الإطلاق وكان في مقام بيان تمام المراد من مطلوبه كان تمام مراده ومطلوبه هو المطلق ، وإلاّ كان عليه بيان مطلوبه على وجه التقييد ، وهذا أمر لا يكاد يختلف فيه من له دراية بأدنى المطالب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المراد بالصحّة هو تماميّة الأجزاء وعدم اعتبار أمر آخر غير المطلق فيه ، واستكشاف ذلك من الإطلاق ممّا لا يدانيه شائبة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الصحّة المنتزعة من الماهيّة بعد تعلّق الطلب بها فهو محال أن يكون مأمورا به أو عنوانا له ؛ لأنّه من الامور الاعتباريّة المنتزعة من الفعل بواسطة مطابقته في الخارج لعنوان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المغالطة نظيرة لما غالط به بعض المحدّثين من أصحابنا </w:t>
      </w:r>
      <w:r>
        <w:rPr>
          <w:rStyle w:val="FootnoteAnchor"/>
          <w:rtl w:val="true"/>
        </w:rPr>
        <w:footnoteReference w:id="124"/>
      </w:r>
      <w:r>
        <w:rPr>
          <w:rFonts w:ascii="Amiri" w:hAnsi="Amiri" w:eastAsia="Amiri" w:cs="Amiri"/>
          <w:color w:val="111111"/>
          <w:sz w:val="28"/>
          <w:sz w:val="28"/>
          <w:szCs w:val="28"/>
          <w:rtl w:val="true"/>
          <w:lang w:bidi="ar-SA"/>
        </w:rPr>
        <w:t xml:space="preserve">في التمسّك بعمومات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بالعقود هي الصحيحة ، فالتمسّك بالعموم موقوف على العلم بكون العقد صحيحا ، فإذا اريد استكشاف الصحّة من العموم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العموم كاشف عن الصحّة بالمعنى المذكور ، بل لا سبيل إليها إلاّ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خارج عن العموم قطعا ، والفرد المشكوك يحتمل أن يكون فاسدا ويحتمل أن يكون صحيحا ، فلا وجه للتمسّك بالعام عند الشكّ في دخول الفرد في العنوان المخصّص أو في العام ، كما قرّر في محلّه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الفاسد خارجا عن العموم ، بل ليس الخارج إلاّ فاسدا ، وبعبارة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ليس عنوانا للأفراد الخارجة ، وإنّما هو وصف اعتباريّ منتزع من </w:t>
      </w:r>
    </w:p>
    <w:p>
      <w:pPr>
        <w:pStyle w:val="BookText"/>
        <w:rPr/>
      </w:pPr>
      <w:r>
        <w:rPr>
          <w:rFonts w:ascii="Amiri" w:hAnsi="Amiri" w:eastAsia="Amiri" w:cs="Amiri"/>
          <w:color w:val="111111"/>
          <w:sz w:val="28"/>
          <w:sz w:val="28"/>
          <w:szCs w:val="28"/>
          <w:rtl w:val="true"/>
          <w:lang w:bidi="ar-SA"/>
        </w:rPr>
        <w:t>الأفراد بعد اتّصافها بالخروج ، فكونها فاسدة موقوف على خروجها ، والعموم حاكم بدخولها ، فلا يتّصف بالفساد ، بل يجب اتّصافها بالصحّة ، إذ لا معنى للصحّة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قرّرنا في محلّه جواز الرجوع بل وجوبه إلى العموم فيما إذا امتنع الوصف جعله عنوانا للعام أو للمخصّص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وصفي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يستكشف بالعموم دخول ما يمكن أن يؤخذ عنوانا للمخصّص ، ولكنّه لم يؤخذ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لا يريد إكرام عدوّه ، فإنّه بالعموم يستكشف أنّه في جيرانه ليس من هو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المطلوب بالصحيحة فيحصل الشكّ في حصول المكلّف به في الخارج ، فيظهر النظر فيه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ناش عن عدم الفرق بين كون الصفة مأخوذة في موضوع الحكم وبين أن يكون لازما مساويا للموضوع ، فعلى الأوّل يجب إحرازه ، وعلى الثاني فما هو الموضوع بحكم اللفظ يلازم وجوده وجود لازمه ، وما ذكرنا بمكان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بالأعم لا إطلاق حتّى يتمسّك به ، ويقرّر ذلك بوجوه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الواردة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معلومة المراد حتّى عند المخاطب بها ، ومجرّد علم المخاطب بعدم إرادة المعنى اللغوي لا يوجب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خطاب بالمجمل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فيه بعد البيان في محلّ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فعل الصلاة منهم في كلّ يوم لا يلازم رفع الإبهام والإجمال من نفس الخطاب ؛ إذ من المعلوم عدم اطّلاعهم على تلك الماهيّة المخترعة قبل الخطاب ، وأمّا بعده في مقام الحاجة إلى العمل فلا يسلّم حصول البيان بالنسبة إلى المفهوم ، فهذه الإطلاقات على القول بالأعم أيضا من المجملات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غاية السخافة ؛ فإنّه إمّا أن يقال بعدم البيان ولو في محلّ الحاجة ، أو به عندها ، والأوّل باطل ، والثاني يلازم المطلوب ؛ إذ في محلّ الحاجة لا بدّ وأن يعلم المراد من الخطاب المجمل قبل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بالبيان مع عدم التفات المخاطب إلى أنّه بيان لذلك المجمل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المستبعد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جميع هذه الخطابات المتكثّرة الواردة في ألسنة امناء الشرع من لدن بعث النبيّ صلى‌اللّه‌عليه‌وآله إلى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الإطلاقات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يشذّ منها إلاّ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كلّ منهما مانع عن الأخذ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واردة في مقام الإهمال دون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واردة في مقام بيان الخواصّ المترتّبة على العبادة المدلول عليها بالإطلاق والآثار المنتهية إليها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ونحوها ، فإنّ الظاهر عدم ذهاب وهم إلى جواز التمسّك بهذه الإطلاقات الواردة في مقام الإهمال ، كأوامر الطبيب بشرب الدواء الموقوف بيانه على حضور زمان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موضوع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فإنّ هذه الإطلاقات نظيرة لما يتلهّج به الوعّاظ في مقام الإيعاد على ترك العبادة وبيان ما يترتّب عليها من الثواب ، فيكون المراد بها ما هو المفروغ كونه تلك العبادة بعد تشخيص مفاهيمها وتعيين أجزائها وشرائطها ، وأين ذلك من ورود المطلق في مقام يمكن التعويل عليه في دفع الشك في جزئية شيء أو شرطيّته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من ذلك ، بل يعدّ دعوى ورود هذه الإطلاقات المتكثّرة في غير مقام البيان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الاطمئنان بورودها في مقام البيان غير حاصل بعد العلم بعدم ورود جميعها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بورود البعض في مقام البيان كاف في الأخذ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فإنّما هو فيما إذا كان معلوما على وجه التفصيل ، وأمّا إذا علم إجمالا واختلف مفاد تلك الإطلاقات فلا بدّ من الاقتصار على ما هو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التقييدات الواردة على تلك المطلقات إنّما أوجبت وهنا في الرجوع إليها عند الشك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اطّراده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كثرة القيد لو كان كاشفا عن عدم ورود المطلق في مقام البيان فهو راجع إلى الوجه الثاني ، وإن لم يكن كاشفا </w:t>
      </w:r>
    </w:p>
    <w:p>
      <w:pPr>
        <w:pStyle w:val="BookText"/>
        <w:rPr/>
      </w:pPr>
      <w:r>
        <w:rPr>
          <w:rFonts w:ascii="Amiri" w:hAnsi="Amiri" w:eastAsia="Amiri" w:cs="Amiri"/>
          <w:color w:val="111111"/>
          <w:sz w:val="28"/>
          <w:sz w:val="28"/>
          <w:szCs w:val="28"/>
          <w:rtl w:val="true"/>
          <w:lang w:bidi="ar-SA"/>
        </w:rPr>
        <w:t>عن ذلك فلا مانع من الرجوع إلى الإطلاق وإن بلغ التقييد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ورود القيد كاشف عن عدم ورود المطلق في مقام البيان من جهة ذلك القيد خاصّة دفعا للتنافي ، ولا مدخل له بسائر الجهات التي يمكن الأخذ بإطلاق المطلق فيها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الإطلاقات إنّما تكون مقيّدة بالمجمل ، كما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كما رأيتموني اصلّي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فيما إذا كان التقييد بذلك الأمر المجمل معلوما ، وأمّا إذا شكّ في أنّه هل هو قيد له أولا؟ فأصالة الإطلاق مصونة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الثاني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فعلا ماضيا ليكون حكاية عن فعل الملائكة والأنبياء ليلة المعراج ، ويحتمل أن يكون أمرا ، وعلى الثاني يحتمل أن يكون واجبا ، وأن يكون مستحبّا ، فعلى الأوّل والثالث لا مدخل له بذلك المطلق ، فلا نعلم بكونه مقيّدا حتّى يؤخذ بقاعدة إجمال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الوجهين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هو الوجوب كما هو قضيّة أصالة الحقيقة ، وبعد ذلك لا بدّ أن يكون مقيّدا ، فيتمّ المطلوب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إنّما هو على سبيل التنزّل والمماشاة ، وإلاّ فمن المعلوم وجوب حمل تلك الأوامر على الاستحباب ؛ ضرورة اشتمال صلاة النبيّ صلى‌اللّه‌عليه‌وآله على الأجزاء المسنونة ، فيكون الأمر بها نظير الأمر بأفضل أفراد الواجب التخييري الموصوف بالاستحباب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يذكر للنزاع ثمرة أخرى </w:t>
      </w:r>
      <w:r>
        <w:rPr>
          <w:rStyle w:val="FootnoteAnchor"/>
          <w:rtl w:val="true"/>
        </w:rPr>
        <w:footnoteReference w:id="135"/>
      </w:r>
      <w:r>
        <w:rPr>
          <w:rFonts w:ascii="Amiri" w:hAnsi="Amiri" w:eastAsia="Amiri" w:cs="Amiri"/>
          <w:color w:val="111111"/>
          <w:sz w:val="28"/>
          <w:sz w:val="28"/>
          <w:szCs w:val="28"/>
          <w:rtl w:val="true"/>
          <w:lang w:bidi="ar-SA"/>
        </w:rPr>
        <w:t>، وهو برء النذر فيما لو نذر لمن صلّى إعطاء درهم وعدمه ، فعلى القول بالأعم لو شاهد مصلّيا وأعطاه درهما تبرأ ذمّته من غير حاجة إلى الفحص عن صحّة صلاته ، وعلى القول بالصحيح لا تبرأ ذمّته بدون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أنّ مجرّد صدق اسم الصلاة يوجب البرء من دون إحراز الصحّة بوجه شرعي ، فهو مبنيّ على أن يكون مراد الناذر إيجاد صورة الصلاة صحيحة كانت أو فاسدة ، وعلى تقديره فلا فرق فيه بين المذهبين ، غاية الأمر أنّه على الصحيح يكون استعمال اللفظ من عموم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بعد ما فرض من أنّ مراد الناذر هو إيجاد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أنّه مع الصدق لا بدّ من إحراز الصحّة بواسطة أصالة الصحّة المعمولة في الأفعال ، فلا فرق أيضا بين المذهبين ؛ فإنّ الصحيحي أيضا يحمل الأفعال المشكوك في صحّتها وفسادها على الصحيح الواقعي ، والقول بحملها على الصحّة عند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فساده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في المقام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الصحيحي وإن كان يقول بلزوم الحمل على الصحّة ، إلاّ أنّ مجرّد ذلك لا يكفي في البرء ، بل لا بدّ من صدق الصلاة أيضا ، والمفروض أنّ الصحّة الواقعيّة لا تلازم صدق العنوان بحسب الظاهر ، فإنّ حمل الكلام المردّد بين الشتم والسلام على الصحيح لا يوجب صدق عنوان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إنّما هو ناش من إجمال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بالصحيح ، فلا بدّ أن يراد به الأعمال المعهودة التي يعلم وجودها ووجوبها في الخارج ، وإلاّ كان باطلا ، لعدم تعقّل </w:t>
      </w:r>
      <w:r>
        <w:rPr>
          <w:rStyle w:val="FootnoteAnchor"/>
          <w:rtl w:val="true"/>
        </w:rPr>
        <w:footnoteReference w:id="136"/>
      </w:r>
      <w:r>
        <w:rPr>
          <w:rFonts w:ascii="Amiri" w:hAnsi="Amiri" w:eastAsia="Amiri" w:cs="Amiri"/>
          <w:color w:val="111111"/>
          <w:sz w:val="28"/>
          <w:sz w:val="28"/>
          <w:szCs w:val="28"/>
          <w:rtl w:val="true"/>
          <w:lang w:bidi="ar-SA"/>
        </w:rPr>
        <w:t xml:space="preserve">تعلّق النذر في قصد الناذر </w:t>
      </w:r>
      <w:bookmarkStart w:id="94" w:name="pg16254_218329"/>
    </w:p>
    <w:p>
      <w:pPr>
        <w:pStyle w:val="BookText"/>
        <w:rPr/>
      </w:pPr>
      <w:bookmarkEnd w:id="94"/>
      <w:r>
        <w:rPr>
          <w:rFonts w:ascii="Amiri" w:hAnsi="Amiri" w:eastAsia="Amiri" w:cs="Amiri"/>
          <w:color w:val="111111"/>
          <w:sz w:val="28"/>
          <w:sz w:val="28"/>
          <w:szCs w:val="28"/>
          <w:rtl w:val="true"/>
          <w:lang w:bidi="ar-SA"/>
        </w:rPr>
        <w:t>إلى أمر مجمل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الاحتياط لا يجدي في تصحيح إرادة الناذر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Style w:val="FootnoteAnchor"/>
          <w:rtl w:val="true"/>
        </w:rPr>
        <w:footnoteReference w:id="137"/>
      </w:r>
      <w:r>
        <w:rPr>
          <w:rFonts w:ascii="Amiri" w:hAnsi="Amiri" w:eastAsia="Amiri" w:cs="Amiri"/>
          <w:color w:val="111111"/>
          <w:sz w:val="28"/>
          <w:sz w:val="28"/>
          <w:szCs w:val="28"/>
          <w:rtl w:val="true"/>
          <w:lang w:bidi="ar-SA"/>
        </w:rPr>
        <w:t xml:space="preserve">فساد ثمرة اخرى للنزاع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الاقتداء بمن يراه يصلّي بعد العلم بعدالته من دون فحص عن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 من لا خبرة له زعم مثل ذلك دليلا على القول بالأعم ، من حيث استقرار السيرة على عدم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على القول بالصحيح</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418196_1280447820"/>
      <w:bookmarkStart w:id="96" w:name="_Toc35"/>
      <w:bookmarkEnd w:id="95"/>
      <w:r>
        <w:rPr>
          <w:rtl w:val="true"/>
        </w:rPr>
        <w:t xml:space="preserve">تذنيب </w:t>
      </w:r>
      <w:r>
        <w:rPr>
          <w:rtl w:val="true"/>
        </w:rPr>
        <w:t>:</w:t>
      </w:r>
      <w:bookmarkEnd w:id="96"/>
    </w:p>
    <w:p>
      <w:pPr>
        <w:pStyle w:val="BookText"/>
        <w:rPr/>
      </w:pPr>
      <w:r>
        <w:rPr>
          <w:rFonts w:ascii="Amiri" w:hAnsi="Amiri" w:eastAsia="Amiri" w:cs="Amiri"/>
          <w:color w:val="111111"/>
          <w:sz w:val="28"/>
          <w:sz w:val="28"/>
          <w:szCs w:val="28"/>
          <w:rtl w:val="true"/>
          <w:lang w:bidi="ar-SA"/>
        </w:rPr>
        <w:t xml:space="preserve">يختلف الأصل على حسب اختلاف وجوه القول بالصحيح والأعم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بكون المراد من الأعم كون الألفاظ موضوعة للقدر المشترك بين الصحيح والفاسد يدور الأمر بين الاشتراك المعنوي والحقيقة والمجاز ، فإن بني على ترجيح الأوّل تعويلا على الغلبة فهو ، وإلاّ فالواجب التوقّف ؛ لعدم ما يوجب التعيين من الاصول ، ولا متيقّن في البين ؛ لأنّ الصحيح كونه موردا للوضع بخصوصه أو من حيث كونه فردا للقدر المشترك محل تردّد ، فاللازم التوقّف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بأنّ مورد الوضع هو الصحيح لكن مناط التسمية موجود في الباقي باعتبار الاشتمال على معظم الأجزاء أو دعوى المسامحة في الإطلاق على الفاسدة ، فالأصل يوافق القول بالصحيح ؛ إذ المعلوم حينئذ تعلّق الوضع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المناط في التسمية هو أمر آخر غير معلوم منفيّ بالأصل ، كما أنّ ثبوت المسامحة موقوف على دليل ، وعند الشكّ فيه ينفى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6254_218331"/>
      <w:bookmarkStart w:id="98" w:name="pg16254_218331"/>
      <w:bookmarkEnd w:id="98"/>
    </w:p>
    <w:p>
      <w:pPr>
        <w:pStyle w:val="Heading3"/>
        <w:numPr>
          <w:ilvl w:val="2"/>
          <w:numId w:val="1"/>
        </w:numPr>
        <w:rPr/>
      </w:pPr>
      <w:bookmarkStart w:id="99" w:name="pg16254_218331"/>
      <w:bookmarkStart w:id="100" w:name="__RefHeading___Toc4418198_1280447820"/>
      <w:bookmarkStart w:id="101" w:name="_Toc36"/>
      <w:bookmarkEnd w:id="99"/>
      <w:bookmarkEnd w:id="100"/>
      <w:r>
        <w:rPr>
          <w:rtl w:val="true"/>
        </w:rPr>
        <w:t>هداية في ذكر احتجاج القول بالصحيح</w:t>
      </w:r>
      <w:bookmarkEnd w:id="101"/>
    </w:p>
    <w:p>
      <w:pPr>
        <w:pStyle w:val="BookText"/>
        <w:rPr/>
      </w:pPr>
      <w:r>
        <w:rPr>
          <w:rFonts w:ascii="IRNazanin" w:hAnsi="IRNazanin" w:eastAsia="IRNazanin"/>
          <w:color w:val="111111"/>
          <w:sz w:val="28"/>
          <w:sz w:val="28"/>
          <w:szCs w:val="28"/>
          <w:rtl w:val="true"/>
          <w:lang w:bidi="fa-IR"/>
        </w:rPr>
        <w:t xml:space="preserve">وهو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الوجدان الخالي عن شوائب الريب بذلك ؛ فإنّا إذا راجعنا وجداننا بعد تتبّع أوضاع المركّبات العرفيّة والعاديّة واستقرائها ، وفرضنا أنفسنا واضعين اللفظ لمعنى مخترع مركّب ، نجد من أنفسنا في مقام الوضع عدم التخطّي عن الوضع لما هو المركّب التام ، فإنّه هو الذي يقتضي 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مساس الحاجة إلى التعبير عنها كثيرا والحكم عليها بما هو من لوازمه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استعماله في الناقص فلا نجده إلاّ مسامحة ، تنزيلا للمعدوم منزلة الموجود ، فإنّ الحاجة ماسّة إلى التعبير عن المراتب الناقصة أيضا أحيانا ، وليس من دأبهم أن يضعوا لها بأجمعها أسماء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فتوسّعوا في إطلاق اللفظ الموضوع للتمام على تلك المراتب الناقصة من باب المسامحة والتنزيل ، فليس هناك إلاّ مجاز في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ويرشدك إلى ما ذكرنا ملاحظة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على الاتّفاق الكاشف عن قول الحجّة ، مع إطباقهم على أنّ المعنى المصطلح عليه عند الخاصّة والعامّة هو اتّفاق جميع الامّة من أرباب الحلّ والعقد ، وهو ظاهر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الناقص الذي يستعمل فيه اللفظ بعد المسامحة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الباقي ممّا يترتّب عليه ما يترتّب على التام ، ويوجد فيه الخاصيّة بدون الجزء الفاقد أيضا ، كما عرفت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خاصّية اتّفاق الكلّ موجودة في اتّفاق البعض الكاشف عن قول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 بل يزول الخاصّية بزوال الجزء الفاقد ، كما هو قضيّة الجزئيّة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في نظر العرف صار عين الموضوع له حقيقة ، بحيث لا يلتفتون إلى التسامح في إطلاقه عليه ، فلا حاجة إلى ملاحظة القرينة الصارفة في الاستعمال ؛ ولهذا يتراءى في الأنظار أنّ اللفظ موضوع للقدر المشترك بين القليل والكثير مع أنّه غير معقول ، أو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مرارا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شكّ في تعيين مراد المتكلّم إذا دار الأمر بين المعنى الأوّل والثاني لا وجه لتعيينه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الثاني ؛ فإنّ استعمال اللفظ الموضوع للتمام في الناقص لا يكون إلاّ بواسطة التسامح والالتفات إليه ، فهو مجاز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على تقدير التسليم لا يقضي بأن يكون وضع الشارع لتلك الأسماء مطابقا لما تجده من نفسك في أوضاعك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المنع المستفاد من أوّل الكلام فدفعه موكول إلى الرجوع إلى الوجدان ، وأمّا ما ذكره أخيرا فهو مدفوع بأنّا نقطع بأنّ الشارع لم يسلك في أوضاعه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 آخر غير ما هو المعهود من أنفسنا في أوضاعنا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ليس استدلالا بالاستحسان في إثبات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يتبادر إليه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أنفسنا مقتصرين عند إرادة الوضع لهذه </w:t>
      </w:r>
    </w:p>
    <w:p>
      <w:pPr>
        <w:pStyle w:val="BookText"/>
        <w:rPr/>
      </w:pPr>
      <w:r>
        <w:rPr>
          <w:rFonts w:ascii="Amiri" w:hAnsi="Amiri" w:eastAsia="Amiri" w:cs="Amiri"/>
          <w:color w:val="111111"/>
          <w:sz w:val="28"/>
          <w:sz w:val="28"/>
          <w:szCs w:val="28"/>
          <w:rtl w:val="true"/>
          <w:lang w:bidi="ar-SA"/>
        </w:rPr>
        <w:t>المعاني المختلفة المركّبة على ما هو التمام ، وليس فيه شائبة استحسان ، كما هو ظاهر لمن تدرّب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نجد من أنفسنا أنّ العلاقة المصحّحة لاستعمال اللفظ في الناقص هو التنزيل والمسامحة ، دون سائر الروابط والعلائق المجوّزة للتجوّز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الطريقة المألوفة في استعمال الألفاظ الموضوعة للمقادير والأوزان في مرتبة خاصّة على ما هو زائد عليها أو ناقص عنها بضرب من التنزيل والمسامحة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خصوص الصحيحة عند الإطلاق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التمسّك بأمثال ذلك من الأمارات ليس من وظيفة الصحيحي ؛ من جهة ما تقرّر عندهم وقد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امور توقيفيّة متلقّاة من صاحب الشريعة ، لا يصحّ الرجوع فيها إلى عرف ولا عادة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بعضهم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القول بالصحيح هو التوقّف في تعيين الأجزاء والشرائط تفصيلا ، وأمّا تشخيص مفهوم الصلاة إجمالا وبوجه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المعنى اللغوي بل المعنى الشرعي ، أو أنّ المراد منه ما جمع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غبار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المذهبين يصحّ الرجوع إلى العرف ، نظرا إلى أنّ عرف الشارع يستكشف من عرف المتشرّعة ؛ لأنّ الحاصل من عرفهم هو الموروث من الشارع المحفوظ في أيدي تابعيه الواصل من كلّ مرتبة سابقة إلى لاحقتها ، 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المتشرّعة ميزان لعرفه عليه‌السلام إن صحيحا فصحيحا وإن فاسدا ففاسدا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عرف المتشرّعة لا يوجب رفع اليد عنه وعدم الاعتداد به ، لجريانه في العرف العام بعينه ، كما ترى من الاستشكال في حقيقة الغسل </w:t>
      </w:r>
      <w:r>
        <w:rPr>
          <w:rStyle w:val="FootnoteAnchor"/>
          <w:rtl w:val="true"/>
        </w:rPr>
        <w:footnoteReference w:id="142"/>
      </w:r>
      <w:r>
        <w:rPr>
          <w:rFonts w:ascii="Amiri" w:hAnsi="Amiri" w:eastAsia="Amiri" w:cs="Amiri"/>
          <w:color w:val="111111"/>
          <w:sz w:val="28"/>
          <w:sz w:val="28"/>
          <w:szCs w:val="28"/>
          <w:rtl w:val="true"/>
          <w:lang w:bidi="ar-SA"/>
        </w:rPr>
        <w:t xml:space="preserve">، فقيل </w:t>
      </w:r>
    </w:p>
    <w:p>
      <w:pPr>
        <w:pStyle w:val="BookText"/>
        <w:rPr/>
      </w:pPr>
      <w:r>
        <w:rPr>
          <w:rFonts w:ascii="Amiri" w:hAnsi="Amiri" w:eastAsia="Amiri" w:cs="Amiri"/>
          <w:color w:val="111111"/>
          <w:sz w:val="28"/>
          <w:sz w:val="28"/>
          <w:szCs w:val="28"/>
          <w:rtl w:val="true"/>
          <w:lang w:bidi="ar-SA"/>
        </w:rPr>
        <w:t>بدخول العصر فيما يحتاج إليه كالثياب ، وقيل بدخول الخروج من الماء ، وقيل باشتراط الصبّ ، إلى غير ذلك من موارد اختلاف العرف بحسب اختلاف أنظار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عند القائل بالصحيح تعدّ في عداد الألفاظ المجملة التي لا مسرح للعرف فيها ولو كان عرف المتشرّعة ، فإنّ ذلك ينافي الإجمال المتّفق عليه عند القائلين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العلم بنقله من المعنى اللغوي إلى المعنى الشرعي ؛ فإنّ مجرّد ذلك لا يوجب رفع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المتبادر هو تمام الأجزاء فهو في غاية الفساد ؛ فإنّه إن اريد أنّ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مفهوم تمام الأجزاء وما يقاربه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عرفت فيما تقدّم من محذور لزوم الاشتغال ، مضافا إلى لزوم مرادفة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ووجوه فساده غير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 تمام الأجزاء ، فهو يلازم رفع الإجمال من اللفظ ، كما هو قضيّة دعوى التبادر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العلم بكون الموضوع له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هو المركّب التامّ الأجزاء بواسطة البرهان ، لا يرتبط بتصوّر ذلك المركّب التام بواسطة اللفظ كما هو قضيّة التبادر ، على ما يظهر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تقدر على دفع الجواب عن الاعتراض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في الزيادة فواضح الفساد ؛ لما عرفت من أنّ عرف المتشرّعة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عند القائل بالصحيح ، لأنّه من الألفاظ المجملة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موارد اختلاف العرف في تشخيص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موارد الإجمال ظاهر على الأنظار المستقيمة ؛ فلا وجه لقياس أحدهما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تقدّم الإشكال في رجوع القائل بالأعم أيضا إلى عرف المتشرّعة ؛ حيث إنّ غير النبي صلى‌اللّه‌عليه‌وآله ومن هو بمنزلته غير عارفين بالماهيّة المخترعة المباينة عن الماهيّة اللغويّة ، فالخطاب المشتمل على وجوب الصلاة إنّما يكون مجملا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الفعل منهم إنّما يوجب البيان لهم دفعا لتأخير البيان عن وقت الحاجة ، وأمّا البيان لنا فهو موقوف على عدم ثبوت تغيير فيه ، والمظنون بل المقطوع ثبوته ، وإلاّ لم يعقل الإجمال على القول بالصحيح ، كما هو المتّفق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يجاب عن التبادر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فيه على الوضع ؛ لأنّه ناش عن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ويستكشف ذلك من عدم صحّة السلب عن الفاسدة ؛ لجواز تكذيب من أخبر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زيدا 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صلاته فاسدة ، وذلك نظير تبادر الصحيح من المعاملات ، ومن أنّ المتبادر </w:t>
      </w:r>
      <w:r>
        <w:rPr>
          <w:rStyle w:val="FootnoteAnchor"/>
          <w:rtl w:val="true"/>
        </w:rPr>
        <w:footnoteReference w:id="144"/>
      </w:r>
      <w:r>
        <w:rPr>
          <w:rFonts w:ascii="Amiri" w:hAnsi="Amiri" w:eastAsia="Amiri" w:cs="Amiri"/>
          <w:color w:val="111111"/>
          <w:sz w:val="28"/>
          <w:sz w:val="28"/>
          <w:szCs w:val="28"/>
          <w:rtl w:val="true"/>
          <w:lang w:bidi="ar-SA"/>
        </w:rPr>
        <w:t>إنّما هو الفرد الكامل من الصلاة المشتملة على جميع الآداب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الإحاطة بما قرّرنا تعرف وجوه الفساد في هذه الكلمات ؛ فإنّ أكثرها غير واقعة </w:t>
      </w:r>
      <w:r>
        <w:rPr>
          <w:rStyle w:val="FootnoteAnchor"/>
          <w:rtl w:val="true"/>
        </w:rPr>
        <w:footnoteReference w:id="145"/>
      </w:r>
      <w:r>
        <w:rPr>
          <w:rFonts w:ascii="Amiri" w:hAnsi="Amiri" w:eastAsia="Amiri" w:cs="Amiri"/>
          <w:color w:val="111111"/>
          <w:sz w:val="28"/>
          <w:sz w:val="28"/>
          <w:szCs w:val="28"/>
          <w:rtl w:val="true"/>
          <w:lang w:bidi="ar-SA"/>
        </w:rPr>
        <w:t xml:space="preserve">في محلّها ، مضافا إلى أنّ تسليم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46"/>
      </w:r>
      <w:r>
        <w:rPr>
          <w:rFonts w:ascii="Amiri" w:hAnsi="Amiri" w:eastAsia="Amiri" w:cs="Amiri"/>
          <w:color w:val="111111"/>
          <w:sz w:val="28"/>
          <w:sz w:val="28"/>
          <w:szCs w:val="28"/>
          <w:rtl w:val="true"/>
          <w:lang w:bidi="ar-SA"/>
        </w:rPr>
        <w:t xml:space="preserve">لو لم يكن ناشئا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هدم ما أسّسه القائل بالأعم من التمسّك بالإطلاقات ، إذ على تقدير الانصراف لا إطلاق في البين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دعوى التبادر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الصحيح لما جاز لأحد أن يخبر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علمه باستجماعه </w:t>
      </w:r>
    </w:p>
    <w:p>
      <w:pPr>
        <w:pStyle w:val="BookText"/>
        <w:rPr/>
      </w:pPr>
      <w:r>
        <w:rPr>
          <w:rFonts w:ascii="Amiri" w:hAnsi="Amiri" w:eastAsia="Amiri" w:cs="Amiri"/>
          <w:color w:val="111111"/>
          <w:sz w:val="28"/>
          <w:sz w:val="28"/>
          <w:szCs w:val="28"/>
          <w:rtl w:val="true"/>
          <w:lang w:bidi="ar-SA"/>
        </w:rPr>
        <w:t xml:space="preserve">جميع الامور المعتبرة فيها ، كما لا يجوز أن يخبر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العلم بكونه زيدا ، والتالي باطل ؛ للاتّفاق على جواز الإخبار ولو مع عدم العلم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الإخبار في المفروض إنّما هو بواسطة إحراز الصحّة بطريق شرعي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المعمولة في جميع موارد اشتباه الصحيح بالفاسد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التعويل على الأصل المزبور يوجب صحّة الإخبار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زيد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ممنوعة ، مضافا إلى أنّ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التجوّز ، لأنّ الألفاظ موضوعة للمعاني الواقعيّة ، لا لما يعتقده المتكلّم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منع المقدّمة المفروض ثبوتها ؛ إذ لا يراد بالصحيحة المخبر عنها إلاّ ما هي حاصلة بواسطة الأصل المذكور المفروض ثبوته بالأدلّة المقرّرة في محلّها ، كما يصحّ الإخبار بطهارة ثوب محكوم بالطهارة بواسطة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عرفت أنّ الأصل المذكور لا يجدي في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إجمال لا دخل للأصل في ارتفاعه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لزوم التجوّز لو كان بناء الإخبار على ظاهر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منه أنّ الصحّة المعتبرة في المحمول إنّما هي صحّة اعتقاديّة لا واقعيّة ، بمعنى أن يكون لاعتقاد الفاعل أو الحامل مدخل في معنى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الألفاظ موضوعة للمعاني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استقامته ممّا لا يكاد يخفى ؛ إذ لم نقف على ملازمة بين دخول الاعتقاد في مفهوم الصحّة وبين حملها على الظاهريّة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منه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لما هو صحيح واقعا ، فاستعماله فيما هو صحيح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 كما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p>
    <w:p>
      <w:pPr>
        <w:pStyle w:val="BookText"/>
        <w:rPr/>
      </w:pPr>
      <w:r>
        <w:rPr>
          <w:rFonts w:ascii="Amiri" w:hAnsi="Amiri" w:eastAsia="Amiri" w:cs="Amiri"/>
          <w:color w:val="111111"/>
          <w:sz w:val="28"/>
          <w:sz w:val="28"/>
          <w:szCs w:val="28"/>
          <w:rtl w:val="true"/>
          <w:lang w:bidi="ar-SA"/>
        </w:rPr>
        <w:t>للجسم السيّال الرطب واقعا مثلا ، فلو شكّ في انقلابه حجرا يحكم بكونه ماء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في كونه ماء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إجراء أحكام الماء عليه بحسب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التجوّز ؛ فإنّ جريان أحكام الماء شرعا على أمر لا يوجب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Style w:val="FootnoteAnchor"/>
          <w:rtl w:val="true"/>
        </w:rPr>
        <w:footnoteReference w:id="149"/>
      </w:r>
      <w:r>
        <w:rPr>
          <w:rFonts w:ascii="Amiri" w:hAnsi="Amiri" w:eastAsia="Amiri" w:cs="Amiri"/>
          <w:color w:val="111111"/>
          <w:sz w:val="28"/>
          <w:sz w:val="28"/>
          <w:szCs w:val="28"/>
          <w:rtl w:val="true"/>
          <w:lang w:bidi="ar-SA"/>
        </w:rPr>
        <w:t xml:space="preserve">كون هذه الاستعمالات مجازيّة ، أمّا في صورة الحمل فظاهر ؛ لاحتمال أن يكون التصرّف في النسبة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طاهرا ورأيت ماء ، إذا كان مستصحب الطهارة والمائيّة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الحمل الضمني الملحوظ بين ذات الشيء والوصف العنواني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لا يبعد دعوى المجازيّة لو قلنا بأنّ الطهارة من الموضوعات الواقعيّة من دون ثبوت حقيقة شرعيّة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للتعليل المذكور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المجازيّة ، لكنّه لا ريب في أنّ المخبر عنه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زيد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هذا المعنى المجازي ، نظير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حكم بطهارته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التجوّز ممّا لا بدّ منه بعد العلم بعدم صلاحيّة إرادة المعنى الحقيقي ، كما هو ظاهر في المقام لمن تأمّل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الاسم عن الفاسدة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مساعدة العرف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الأخبار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w:t>
      </w:r>
    </w:p>
    <w:p>
      <w:pPr>
        <w:pStyle w:val="BookText"/>
        <w:rPr/>
      </w:pPr>
      <w:r>
        <w:rPr>
          <w:rFonts w:ascii="Amiri" w:hAnsi="Amiri" w:eastAsia="Amiri" w:cs="Amiri"/>
          <w:color w:val="111111"/>
          <w:sz w:val="28"/>
          <w:sz w:val="28"/>
          <w:szCs w:val="28"/>
          <w:rtl w:val="true"/>
          <w:lang w:bidi="ar-SA"/>
        </w:rPr>
        <w:t xml:space="preserve">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وغير ذلك ممّا يقف عليه المتتبّع ؛ لما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هذه التراكيب في نفي الحقيقة والماهيّة ، فالخبر </w:t>
      </w:r>
      <w:r>
        <w:rPr>
          <w:rStyle w:val="FootnoteAnchor"/>
          <w:rtl w:val="true"/>
        </w:rPr>
        <w:footnoteReference w:id="153"/>
      </w:r>
      <w:r>
        <w:rPr>
          <w:rFonts w:ascii="Amiri" w:hAnsi="Amiri" w:eastAsia="Amiri" w:cs="Amiri"/>
          <w:color w:val="111111"/>
          <w:sz w:val="28"/>
          <w:sz w:val="28"/>
          <w:szCs w:val="28"/>
          <w:rtl w:val="true"/>
          <w:lang w:bidi="ar-SA"/>
        </w:rPr>
        <w:t xml:space="preserve">المحذوف هو الوجود ، بل ربما نسب إلى المحقّقين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محتاجة إلى الخبر ، فيكون العدم المستفاد منه عدما محموليّا </w:t>
      </w:r>
      <w:r>
        <w:rPr>
          <w:rStyle w:val="FootnoteAnchor"/>
          <w:rtl w:val="true"/>
        </w:rPr>
        <w:footnoteReference w:id="155"/>
      </w:r>
      <w:r>
        <w:rPr>
          <w:rFonts w:ascii="Amiri" w:hAnsi="Amiri" w:eastAsia="Amiri" w:cs="Amiri"/>
          <w:color w:val="111111"/>
          <w:sz w:val="28"/>
          <w:sz w:val="28"/>
          <w:szCs w:val="28"/>
          <w:rtl w:val="true"/>
          <w:lang w:bidi="ar-SA"/>
        </w:rPr>
        <w:t>، وهو أقرب لتسميته بنفي الجنس ؛ حيث إنّ المنفي هو نفس الجنس لا وجوده وإن صحّ الثاني أيضا ، وأولى من حيث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فيه ما أوردنا على التبادر ؛ فإنّ الإجمال لا ينافي العلم بعدم صدقه على بعض الموارد ، فيعلم بذلك أنّ المورد المسلوب عنه الاسم ليس من حقيقة ذلك المسمّى ، وذلك لا يلازم تعيّنه المنافي لإجماله المفروض عند القائل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اندفاع ما اورد على الاحتجاج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التراكيب ظاهرة </w:t>
      </w:r>
      <w:r>
        <w:rPr>
          <w:rStyle w:val="FootnoteAnchor"/>
          <w:rtl w:val="true"/>
        </w:rPr>
        <w:footnoteReference w:id="157"/>
      </w:r>
      <w:r>
        <w:rPr>
          <w:rFonts w:ascii="Amiri" w:hAnsi="Amiri" w:eastAsia="Amiri" w:cs="Amiri"/>
          <w:color w:val="111111"/>
          <w:sz w:val="28"/>
          <w:sz w:val="28"/>
          <w:szCs w:val="28"/>
          <w:rtl w:val="true"/>
          <w:lang w:bidi="ar-SA"/>
        </w:rPr>
        <w:t xml:space="preserve">في نفي الكمال والصفات ، إمّا بدعوى الوضع الثانوي ، وإمّا بملاحظة النظائر والاستقراء في أخوات هذا التركيب ، وإمّا بلزوم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الحمل على نفي الذات موقوف على كون الصلاة اسما للصحيحة ، فإذا أردنا إثبات كونها اسما للصحيحة بالحمل على نفي الذات بمقتضى الحقيقة القديمة 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بلزوم التخصيص في أغلب الموارد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العرف بظهور التركيب في نفي الحقيقة ، فلا يصغى إلى دعوى الوضع الثانوي ، ولا إلى ملاحظة النظائر ؛ إذ بعد تسليم أنّ الحكم في النظائر </w:t>
      </w:r>
    </w:p>
    <w:p>
      <w:pPr>
        <w:pStyle w:val="BookText"/>
        <w:rPr/>
      </w:pPr>
      <w:r>
        <w:rPr>
          <w:rFonts w:ascii="Amiri" w:hAnsi="Amiri" w:eastAsia="Amiri" w:cs="Amiri"/>
          <w:color w:val="111111"/>
          <w:sz w:val="28"/>
          <w:sz w:val="28"/>
          <w:szCs w:val="28"/>
          <w:rtl w:val="true"/>
          <w:lang w:bidi="ar-SA"/>
        </w:rPr>
        <w:t>كما زعمه ، لا وجه للتعدية إلى ما ليس نظيرا له بحكم العرف ، فإنّ المجاز مع القرينة لا يوجب رفع اليد عن أصالة الحقيقة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ظهور التركيب في نفي الذات عرفا يصير دليلا على الصحيح من دون توقّف ،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ممّا لا ينكر في العمومات ونحوها ، فلا وجه لرفع اليد عنها بواسطة لزوم التخصيص ، مع أنّ التخصيص لازم على كلّ حال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جملة من الأخبار والآيات الواردة في مقام بيان خواصّ العبادات وآثارها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موضوع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ونحو ذلك ؛ فإنّ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ما لا تنهى ليس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أن يكون تلك الخطابات واردة في مقام بيان أحكام تلك العبادات على وجه الإطلاق ، وذلك وإن لم يكن منافيا للإجمال المفروض فيها عند المستدل ؛ إذ لا ينافي الإجمال مع كون الحكم ساريا في جميع أفراد المجمل ، إلاّ أنّه غير معلوم ، بل قد عرفت فيما تقدّم أنّها غير واردة في هذا المقام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يستكشف ورود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في مقام البيان عن كونه تعليلا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لذلك ؛ لاحتمال عدم وروده أيضا في مقام البيان ، فينطبق التعليل على مورده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اختلاف أمرين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ثابتا لأحدهما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الفرد الذي انتفى عنه الحكم ، هل هو من أفراد الأمر الذي ثبت له الحكم ، ليكون ذلك تقييدا لإطلاقه أو تخصيصا لعمومه؟ أو أنّه خارج عنه مباين له ليس من أفراده ، لئلاّ يكون ذلك تقييدا؟ فبأصالة عدم التقييد يستكشف كونه مباينا له وخارجا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بين أن يكون الفاسدة من حقيقة الصلاة ، ليكون عدم جريان حكم الصلاة عليها من الوجوب وغيرها تقييدا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جريان حكم البيع على البيع بالفارسيّة تقييد لإطلاقه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لا تكون من حقيقة الصلاة وتكون مباينة لها خارجة عنها ، ولذلك لم نشاركها في الحكم ، فبأصالة عدم التقييد يستكشف أنّ الصلاة ليست مطلقة شاملة للفاسدة الخارجة ولو لم يكن بهذا العنوان ؛ لما مرّ من أنّ الفاسدة ليست عنوانا للمقيّد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لو كانت موضوعة للصحيحة كان لها وجه ضبط في المعنى الموضوع له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المبرئة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المعاني التي يمكن تعقّلها والوضع بإزائها ، بخلافه على القول بالأعم ؛ لعدم انضباط الموضوع له على وجه يمكن تعقّله ثمّ وضع اللفظ</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إن كان مجرّد عدم الانضباط ، فيمكن دفعه 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المفاهيم العرفيّة ممّا لا يمكن ضبطها في الأغلب ، والأمر فيها محال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عدم المعقوليّة فما جعله وجه الضبط على القول بالصحيح أولى بعدم التعقّل ؛ لأنّ الصحّة وما يشابهها لا يعقل أن يكون داخلا في الموضوع له ، ومع ذلك فالأمر أيضا غير منضبط ؛ لاختلاف الصحّة باختلاف الموضوعات الطارئة على المكلّفين ، كما تقدّم في تصوير القول بالصحيح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له هو مصداق هذا المفهوم ، وهو المركّب المستجمع للأجزاء والشرائط ، وهذا أمر يعقل أن يكون موضوعا له ، بخلاف القول بالأعم ، إذ الموضوع له فيه غير معقول ؛ ضرورة بطلان القدر المشترك بين الناقص والزائد ، وهو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الأعمّي يلزم بقاء الكلّ مع انتفاء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الجزء تارة يكون جزءا في حالتي الوجود والعدم ، واخرى يكون جزءا ما دام موجودا ، فإنّ قضيّة ارتفاع الكل بارتفاع الجزء ضروريّة لا يعقل فيها الفرق بين الحالتين ، كما لا يخفى على المتدبّر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تلك الألفاظ موضوعة للأعم لكان الرجوع إلى عرف المتشرّعة كافيا في معرفة تفاصيل هذه المعاني المقرّرة في الشريعة ، مع أنّه ليس كذلك ، بل لا يعرف تلك التفاصيل إلاّ بالرجوع إلى الأدلّة التفصيليّة المقرّرة في الكتب الاستدلاليّة ، وهذا هو المراد من كون العبادات توقيفيّة موقوفة على بيان الشارع ، وبهذا يفرق مع المعاملات المحالة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الرجوع في المعاملات إلى العرف العام وفي العبادات إلى عرف المتشرّعة لا يصلح فارقا ؛ لما عرفت من عدم الكفاية ، للاحتياج إلى مراجعة الأدلّة بعد الرجوع إليهم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تشخيص الموضوع في العبادات راجع في الحقيقة إلى تشخيص الأحكام التي لا مسرح للعرف فيها ، فإنّ </w:t>
      </w:r>
      <w:r>
        <w:rPr>
          <w:rStyle w:val="FootnoteAnchor"/>
          <w:rtl w:val="true"/>
        </w:rPr>
        <w:footnoteReference w:id="163"/>
      </w:r>
      <w:r>
        <w:rPr>
          <w:rFonts w:ascii="Amiri" w:hAnsi="Amiri" w:eastAsia="Amiri" w:cs="Amiri"/>
          <w:color w:val="111111"/>
          <w:sz w:val="28"/>
          <w:sz w:val="28"/>
          <w:szCs w:val="28"/>
          <w:rtl w:val="true"/>
          <w:lang w:bidi="ar-SA"/>
        </w:rPr>
        <w:t xml:space="preserve">معنى جزئيّة السورة ليس إلاّ وجوب قراءتها والإتيان بها في عداد الأفعال المقرّرة في الأوقات </w:t>
      </w:r>
    </w:p>
    <w:p>
      <w:pPr>
        <w:pStyle w:val="BookText"/>
        <w:rPr/>
      </w:pPr>
      <w:r>
        <w:rPr>
          <w:rFonts w:ascii="Amiri" w:hAnsi="Amiri" w:eastAsia="Amiri" w:cs="Amiri"/>
          <w:color w:val="111111"/>
          <w:sz w:val="28"/>
          <w:sz w:val="28"/>
          <w:szCs w:val="28"/>
          <w:rtl w:val="true"/>
          <w:lang w:bidi="ar-SA"/>
        </w:rPr>
        <w:t xml:space="preserve">الخاصّة ، بناء على ما قرّرنا في محلّه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الجزئية واشباهها أحكام انتزاعيّة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Style w:val="FootnoteAnchor"/>
          <w:rtl w:val="true"/>
        </w:rPr>
        <w:footnoteReference w:id="165"/>
      </w:r>
      <w:r>
        <w:rPr>
          <w:rFonts w:ascii="Amiri" w:hAnsi="Amiri" w:eastAsia="Amiri" w:cs="Amiri"/>
          <w:color w:val="111111"/>
          <w:sz w:val="28"/>
          <w:sz w:val="28"/>
          <w:szCs w:val="28"/>
          <w:rtl w:val="true"/>
          <w:lang w:bidi="ar-SA"/>
        </w:rPr>
        <w:t xml:space="preserve">تارة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رجوع الصحيحي إلى العرف والتمسّك بالتبادر أيضا ينافي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التوقيفيّة هو أنّ المرجع فيها ليس العرف العام ، ولا ينافي ذلك استعلام الموضوع له من عرف المتشرّعة ، وهو يوجب الانتهاء إلى الأخذ من الشارع ولو بواسطة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Style w:val="FootnoteAnchor"/>
          <w:rtl w:val="true"/>
        </w:rPr>
        <w:footnoteReference w:id="166"/>
      </w:r>
      <w:r>
        <w:rPr>
          <w:rFonts w:ascii="IRNazanin" w:hAnsi="IRNazanin" w:eastAsia="IRNazanin"/>
          <w:color w:val="111111"/>
          <w:sz w:val="28"/>
          <w:sz w:val="28"/>
          <w:szCs w:val="28"/>
          <w:rtl w:val="true"/>
          <w:lang w:bidi="fa-IR"/>
        </w:rPr>
        <w:t xml:space="preserve">اندفاع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 فلأنّ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للتمسّك بالتبادر ، مع إمكان الفرق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تكلّفه بعض المحقّقين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الإجمال الحاصل بالعرف ، والتفصيل الحاصل بالرجوع إلى الأدلّة ،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انتهاء الرجوع إلى عرف المتشرّعة إلى الأخذ من الشارع لا يجدي في رفع المحذور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الاحتياج إلى الكتاب والسنّة وإعمال القوة النظريّة في استخراج الأجزاء والشرائط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 يظهر بأدنى التفات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يتصوّر على القول بالأعم أن يتحصّل له من الرجوع إلى العرف إطلاق ، ومن المقرّر عندهم عدم جواز الرجوع إلى الإطلاق إلاّ بعد </w:t>
      </w:r>
    </w:p>
    <w:p>
      <w:pPr>
        <w:pStyle w:val="BookText"/>
        <w:rPr/>
      </w:pPr>
      <w:r>
        <w:rPr>
          <w:rFonts w:ascii="Amiri" w:hAnsi="Amiri" w:eastAsia="Amiri" w:cs="Amiri"/>
          <w:color w:val="111111"/>
          <w:sz w:val="28"/>
          <w:sz w:val="28"/>
          <w:szCs w:val="28"/>
          <w:rtl w:val="true"/>
          <w:lang w:bidi="ar-SA"/>
        </w:rPr>
        <w:t>الفحص عن مقيّداته ، وذلك يوجب الرجوع إلى الكتاب والسنّة ، ولأجل ذلك لا يخرج العبادات عن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عند الأعمّي دخول القيد في مفهوم الصلاة أيضا ، والمفروض إمكان استكشاف المفهوم من عرف المتشرّعة ، فلا وجه للرجوع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لم يكن القيد داخلا في المفهوم بعد العلم الإجمالي بطروّ التقييد للإطلاق لا بدّ من الرجوع إلى الكتاب والسنّة ، ومع ذلك لا يكون ذلك المطلق من التوقيفيّات ، كما أنّ الحال في المعاملات كذلك ، وليست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مطلوبة للشارع ، ولا شيء من مطلوبه بفاسدة ، فلا شيء من العبادة بفاسدة ، فلا شيء من الصلاة بفاسدة ، لأنّها عبادة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الأعمّي لا يسلّم أنّ مسمّى الصلاة على وجه الإطلاق عبادة ، بل المسلّم عنده أنّ من الصلاة ما هي عبادة وهي ليست بفاسدة قطعا ، مع إمكان استكشاف كون مطلق الصلاة عبادة من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 إذ لا يراد بالعبادة إلاّ الفعل المأمور به مع النيّة ، والإطلاق على تقدير سلامته عن الموانع دليل على ذلك ، إلاّ أنّ الكلام في السلامة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 في المقام ، لكي يهتدى إلى المرام ، واللّه الهادي</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254_218345"/>
      <w:bookmarkStart w:id="103" w:name="pg16254_218345"/>
      <w:bookmarkEnd w:id="103"/>
    </w:p>
    <w:p>
      <w:pPr>
        <w:pStyle w:val="Heading3"/>
        <w:numPr>
          <w:ilvl w:val="2"/>
          <w:numId w:val="1"/>
        </w:numPr>
        <w:rPr/>
      </w:pPr>
      <w:bookmarkStart w:id="104" w:name="pg16254_218345"/>
      <w:bookmarkStart w:id="105" w:name="__RefHeading___Toc4418200_1280447820"/>
      <w:bookmarkStart w:id="106" w:name="_Toc37"/>
      <w:bookmarkEnd w:id="104"/>
      <w:bookmarkEnd w:id="105"/>
      <w:r>
        <w:rPr>
          <w:rtl w:val="true"/>
        </w:rPr>
        <w:t>هداية في ذكر احتجاج القائلين بالأعم</w:t>
      </w:r>
      <w:bookmarkEnd w:id="106"/>
    </w:p>
    <w:p>
      <w:pPr>
        <w:pStyle w:val="BookText"/>
        <w:rPr/>
      </w:pPr>
      <w:r>
        <w:rPr>
          <w:rFonts w:ascii="IRNazanin" w:hAnsi="IRNazanin" w:eastAsia="IRNazanin"/>
          <w:color w:val="111111"/>
          <w:sz w:val="28"/>
          <w:sz w:val="28"/>
          <w:szCs w:val="28"/>
          <w:rtl w:val="true"/>
          <w:lang w:bidi="fa-IR"/>
        </w:rPr>
        <w:t xml:space="preserve">وهو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وجود الأمارات الدالّة على 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التبادر ، وعدم صحّة السلب عن الفاسدة ، وصحّة التقسيم إليها وإلى الصحيحة الظاهرة في أنّ لفظ المقسم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في تقرير هذه الأدلّة بعض أرباب هذه المقالة </w:t>
      </w:r>
      <w:r>
        <w:rPr>
          <w:rStyle w:val="FootnoteAnchor"/>
          <w:rtl w:val="true"/>
        </w:rPr>
        <w:footnoteReference w:id="168"/>
      </w:r>
      <w:r>
        <w:rPr>
          <w:rFonts w:ascii="Amiri" w:hAnsi="Amiri" w:eastAsia="Amiri" w:cs="Amiri"/>
          <w:color w:val="111111"/>
          <w:sz w:val="28"/>
          <w:sz w:val="28"/>
          <w:szCs w:val="28"/>
          <w:rtl w:val="true"/>
          <w:lang w:bidi="ar-SA"/>
        </w:rPr>
        <w:t xml:space="preserve">، ولا حاجة إليه ، فلعلّه يبالغ في تعقّل المراد من الأعم ، وقد عرفت فيما تقدّم </w:t>
      </w:r>
      <w:r>
        <w:rPr>
          <w:rStyle w:val="FootnoteAnchor"/>
          <w:rtl w:val="true"/>
        </w:rPr>
        <w:footnoteReference w:id="169"/>
      </w:r>
      <w:r>
        <w:rPr>
          <w:rFonts w:ascii="Amiri" w:hAnsi="Amiri" w:eastAsia="Amiri" w:cs="Amiri"/>
          <w:color w:val="111111"/>
          <w:sz w:val="28"/>
          <w:sz w:val="28"/>
          <w:szCs w:val="28"/>
          <w:rtl w:val="true"/>
          <w:lang w:bidi="ar-SA"/>
        </w:rPr>
        <w:t xml:space="preserve">أنّه لم يعقل ذلك القول بوجه </w:t>
      </w:r>
      <w:r>
        <w:rPr>
          <w:rStyle w:val="FootnoteAnchor"/>
          <w:rtl w:val="true"/>
        </w:rPr>
        <w:footnoteReference w:id="170"/>
      </w:r>
      <w:r>
        <w:rPr>
          <w:rFonts w:ascii="Amiri" w:hAnsi="Amiri" w:eastAsia="Amiri" w:cs="Amiri"/>
          <w:color w:val="111111"/>
          <w:sz w:val="28"/>
          <w:sz w:val="28"/>
          <w:szCs w:val="28"/>
          <w:rtl w:val="true"/>
          <w:lang w:bidi="ar-SA"/>
        </w:rPr>
        <w:t xml:space="preserve">حتّى يدّعى عليه التبادر ، والوجه المعقول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مع القول بالصحيح في عدم صحّة التعويل على التبادر ، كما يظهر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على الفاسدة في العرف وكلمات الشارع والعلماء ممّا لا ينبغي إنكاره ، إلاّ أنّ تعقّل المراد منه بعد لم يثبت </w:t>
      </w:r>
      <w:r>
        <w:rPr>
          <w:rStyle w:val="FootnoteAnchor"/>
          <w:rtl w:val="true"/>
        </w:rPr>
        <w:footnoteReference w:id="171"/>
      </w:r>
      <w:r>
        <w:rPr>
          <w:rFonts w:ascii="Amiri" w:hAnsi="Amiri" w:eastAsia="Amiri" w:cs="Amiri"/>
          <w:color w:val="111111"/>
          <w:sz w:val="28"/>
          <w:sz w:val="28"/>
          <w:szCs w:val="28"/>
          <w:rtl w:val="true"/>
          <w:lang w:bidi="ar-SA"/>
        </w:rPr>
        <w:t>، فيا ليتنا كنّا نعقل المراد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هذه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المظنون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مبنية على المسامحة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التزام حصول الوضع فيما يترتّب </w:t>
      </w:r>
    </w:p>
    <w:p>
      <w:pPr>
        <w:pStyle w:val="BookText"/>
        <w:rPr/>
      </w:pPr>
      <w:r>
        <w:rPr>
          <w:rFonts w:ascii="Amiri" w:hAnsi="Amiri" w:eastAsia="Amiri" w:cs="Amiri"/>
          <w:color w:val="111111"/>
          <w:sz w:val="28"/>
          <w:sz w:val="28"/>
          <w:szCs w:val="28"/>
          <w:rtl w:val="true"/>
          <w:lang w:bidi="ar-SA"/>
        </w:rPr>
        <w:t xml:space="preserve">عليه الأثر بعد التنزيل المذكور وعدمه فيما لا يترتّب عليه الأثر فبعيد جدا ؛ لاستلزام كونه حقيقة من جهة ومجازا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منّا احتمال حصول الوضع في المركّبات الخارجيّة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المعاجين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لا يصحّ ذلك في استعمال واحد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كذلك مع قطع النظر عن ملاحظة حال الموضوع الذي يترتّب عليه الأثر والموضوع الذي لا يترتّب عليه الأثر ، كما لا يخفى على من أمعن النظر فيما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القول بالصحيح ألف ماهيّة للصلاة مثلا ، باعتبار الاختلافات المعهودة في الصلاة بواسطة الحالات الطارئة على المكلّف ، من الحضر والسفر والصحّة والمرض والأمن والخوف ونحوها ؛ لعدم القدر المشترك بين تلك الماهيّات المختلفة ، فلا بدّ من الالتزام بالاشتراك اللفظي ، وهو ممّا لم يلتزم به أحد فيما نعلم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بالأعم فلا يلزم ذلك ؛ لأنّها أحكام مختلفة تعتور على ماهيّة واحدة لوجود الجامع القريب بينها ، وهو ما يطلق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المعنى موجود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هو ما عرفت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مشترك الورود ؛ إذ لا يعقل وجود القدر المشترك بين الزائد والناقص ، ولا يعقل تبادل أجزاء ماهيّة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والاستناد في دفع ذلك إلى العرف وبعض الأمثلة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كالأعلام الشخصيّة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الإصغاء إليها بعد ضرورة بطلان ذلك بالعقل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معنى لما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العرف يغاير حكمه حكم العقل ؛ بل العرف هم العقلاء من حيث انسهم بالأوضاع اللغويّة واستفادة المعاني بواسطتها ، فما يستحيله العقل يستحيل عند العرف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عرفت أنّ العرف ربما يتسامحون في إطلاق اسم الكلّ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في وجه المسامحة بعد الاعتراف بعدم تحقّق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يحتاج إلى التفات تفصيلي ، بل الوجه في استعمالهم في الناقص إنّما هو مركوز في أذهانهم ، كما هو كذلك في الأغلب ، ولا ضير فيه ولا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العبادات في جملة من الأخبار على الأعم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والصوم ، والولاية ، ولم يناد بشيء كما نودي بالولاية ، فأخذ الناس بأربع وتركوا هذه </w:t>
      </w:r>
      <w:r>
        <w:rPr>
          <w:rStyle w:val="FootnoteAnchor"/>
          <w:rtl w:val="true"/>
        </w:rPr>
        <w:footnoteReference w:id="173"/>
      </w:r>
      <w:r>
        <w:rPr>
          <w:rFonts w:ascii="Amiri" w:hAnsi="Amiri" w:eastAsia="Amiri" w:cs="Amiri"/>
          <w:color w:val="111111"/>
          <w:sz w:val="28"/>
          <w:sz w:val="28"/>
          <w:szCs w:val="28"/>
          <w:rtl w:val="true"/>
          <w:lang w:bidi="ar-SA"/>
        </w:rPr>
        <w:t xml:space="preserve">، فلو أنّ أحدا صام نهاره وقام ليله ومات بغير ولاية ، لم يقبل له صوم ولا صلاة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الناس بالأربع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الأربعة المتقدّمة ، ولا شكّ أنّ عبادة هؤلاء فاسدة ، فلا بدّ أن يراد منها الأعم من الصحيحة والفاسدة ؛ إذ لو كان المراد هو الصحيحة لم يكن التارك للولاية آخذا بالأربع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مجرّد استعمال ، ولا دليل فيه على المطلوب ؛ إذ لا وجه لإنكار الاستعمال في الأعم ، كما أنّه لا نفع في إثباته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المستعمل فيه في الفقرة الاولى لا بدّ وأن يكون هو الصحيح ؛ إذ الإسلام غير مبنيّ على الفاسدة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الفقرة الثانية ، فالمراد من الأخذ بالأربع إن كان هو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مطلب الخصم ؛ فإنّ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اعتقدوه صلاة وزكاة وصوما وحجّا إطلاق على ما هو </w:t>
      </w:r>
    </w:p>
    <w:p>
      <w:pPr>
        <w:pStyle w:val="BookText"/>
        <w:rPr/>
      </w:pPr>
      <w:r>
        <w:rPr>
          <w:rFonts w:ascii="Amiri" w:hAnsi="Amiri" w:eastAsia="Amiri" w:cs="Amiri"/>
          <w:color w:val="111111"/>
          <w:sz w:val="28"/>
          <w:sz w:val="28"/>
          <w:szCs w:val="28"/>
          <w:rtl w:val="true"/>
          <w:lang w:bidi="ar-SA"/>
        </w:rPr>
        <w:t>الصحيح منها باعتقادهم وإن كان غير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تلك الأفعال فإطلاق الأربع عليها يكون إطلاقا من الإمام عليه‌السلام على الفاسدة ، ولا دليل فيه على الوضع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الاستدلال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فإنّه لا بدّ وأن يكون المراد بها الفاسدة ؛ إذ لو كان المراد بها الصحيحة لزم الأمر بترك ما لا يقدر عليه المكلّف ، لعدم تمكّنه من الصلاة المشروطة بالطهارة التي يمتنع حصولها بأقسامها في زمان حصول نقيضها ، وهو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أعم من الحقيقة والمجاز ، مع 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المستعمل فيه في الرواية هو خصوص الصحيحة ويكون النهي إرشادا إلى عدم وقوع العبادة المعهودة في أيّام الحيض ، وهل هذا إلاّ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جزء للصلاة ، أو التكفير مانع عنها ، ونحو ذلك؟ ولا ريب أنّ المراد بها في هذه العبارة هي الصحيحة ، فكذا فيما نحن فيه من غير فرق ، إلاّ أنّ التعبير عن ذلك المطلب إنّما وقع بعبارة النهي المفيد للإرشاد ، كما عرفت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الأفاضل في مناهجه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ذهابه إلى القول بالأعم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الاستقراء المفيد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أنّ كلّ من اخترع شيئا مركّبا من أجزاء أو مشروطا بشرائط ، ويضع له اسما ، لا يضعه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بجميع أجزائه وشرائطه ، بل نرى الناس أنّهم يطلقون الاسم عليه ولو انتفى بعض شرائطه أو نقص بعض أجزائه إطلاقا حقيقيّا غير مقترن بقرينة ؛ كما أنّ من وضع معجونا </w:t>
      </w:r>
    </w:p>
    <w:p>
      <w:pPr>
        <w:pStyle w:val="BookText"/>
        <w:rPr/>
      </w:pPr>
      <w:r>
        <w:rPr>
          <w:rFonts w:ascii="Amiri" w:hAnsi="Amiri" w:eastAsia="Amiri" w:cs="Amiri"/>
          <w:color w:val="111111"/>
          <w:sz w:val="28"/>
          <w:sz w:val="28"/>
          <w:szCs w:val="28"/>
          <w:rtl w:val="true"/>
          <w:lang w:bidi="ar-SA"/>
        </w:rPr>
        <w:t xml:space="preserve">مركّبا من أجزاء معيّنة بأوزان مقرّرة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أيارج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ولو نقص وزن جزء أو زاد أو نقص جزء منه يطلق الاسم عليه عرفا </w:t>
      </w:r>
      <w:r>
        <w:rPr>
          <w:rStyle w:val="FootnoteAnchor"/>
          <w:rtl w:val="true"/>
        </w:rPr>
        <w:footnoteReference w:id="178"/>
      </w:r>
      <w:r>
        <w:rPr>
          <w:rFonts w:ascii="Amiri" w:hAnsi="Amiri" w:eastAsia="Amiri" w:cs="Amiri"/>
          <w:color w:val="111111"/>
          <w:sz w:val="28"/>
          <w:sz w:val="28"/>
          <w:szCs w:val="28"/>
          <w:rtl w:val="true"/>
          <w:lang w:bidi="ar-SA"/>
        </w:rPr>
        <w:t>، ولا يجوز السلب عنه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صنّف كتابا وسمّاه باسم ونقص عنه ورقة أو ورقتان ، أو بنى بلدة أو دارا أو بستانا أو حفر قناة وسمّاه باسم ، أو وضع اسما لعبد ، ثمّ نقص عنها دار أو بيت أو شجر أو بئر أو إصبع أو أزيد ، فلا يشك أحد في صحّة الإطلاق الحقيقي للاسم على الناقص وعدم صحّة السلب ، بل لا يشكّ في الوضع للأعم مع عدم مشاهدته للواضع ولا علمه بكيفيّة الوضع ، وهذه عادة الناس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بقيت لك شبهة ، فتأمّل في أنّك لو سمعت وضعا لأحد المذكورات من غير مشاهدتك للواضع ولا إسماعك بكيفيّة الوضع ، تقطع بالوضع للأعم من غير تشكيك ، حتّى لو سلب أحد الاسم عن بعضها بنقص شيء يسير منه يستهزئ عليه ؛ فمن أيّ طريق حصل لك العلم بذلك فهو جار في المتنازع فيه ، من دون تفاوت </w:t>
      </w:r>
      <w:r>
        <w:rPr>
          <w:rStyle w:val="FootnoteAnchor"/>
          <w:rtl w:val="true"/>
        </w:rPr>
        <w:footnoteReference w:id="179"/>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بالاستعمالات الكثيرة الغير المحصورة التي يعلم بالتتبّع في الأخبار وكلمات علمائنا الأخيار في أبواب مبطلات الصلاة وخللها وأبواب العبادات والمحاورات العرفيّة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المخترع للمركّب لا يضع الاسم لجميع الأجزاء ، الظاهر أنّ مراده أنّ جميع الأجزاء لا يكون مورد الوضع بخصوصه على وجه يكون الاستعمال في غيره مجازا ، وإلاّ فاللازم أن يكون استعمال اللفظ في جميع الأجزاء مجازا ، ولا أظنّ أحدا يلتزم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إمّا خصوص المراتب المتفاوتة بالزيادة والنقصان ، أو القدر المشترك بين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يلزم الاشتراك اللفظي لو كان الأوضاع متعدّدة أو بمنزلتها </w:t>
      </w:r>
      <w:r>
        <w:rPr>
          <w:rStyle w:val="FootnoteAnchor"/>
          <w:rtl w:val="true"/>
        </w:rPr>
        <w:footnoteReference w:id="180"/>
      </w:r>
      <w:r>
        <w:rPr>
          <w:rFonts w:ascii="Amiri" w:hAnsi="Amiri" w:eastAsia="Amiri" w:cs="Amiri"/>
          <w:color w:val="111111"/>
          <w:sz w:val="28"/>
          <w:sz w:val="28"/>
          <w:szCs w:val="28"/>
          <w:rtl w:val="true"/>
          <w:lang w:bidi="ar-SA"/>
        </w:rPr>
        <w:t>، والوضع العامّ والموضوع له الخاصّ لو كان الوضع واحدا ، وكلّ منهما قطعيّ الفساد لمن أنصف ؛ يكفيك شاهدا ملاحظة الوجدان في أوضاعك لما تخترعه من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يلزم أن يكون الموضوع له هو القدر المشترك بين المراتب ؛ ونحن إلى الآن لم نقف على وجه يمكن معه التصوير للقدر المشترك بين الزائد والناقص على وجه تكون الزيادة داخلة في حقيقة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عدم صحّة السلب في تلك المراتب إنّما هو مبنيّ على ضرب من التأويل ونوع من التسامح ، وما ذكر من الاستهزاء إنّما هو في الامور التي مبناها على المسامحة على وجه لو استعمل فيه الدقّة من أيّ أنواعها يصير المستعمل للدقّة موردا للاستهزاء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يتفرّع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التأييد والتأكيد والتشديد في الاستعمالات العرفيّة وكلمات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ضيق من تصوير القول بالأعم ، فيا ليت هذا المستدلّ يبيّن المراد منه ، وما بالغ في بيان الحجّة ممّا لا حاجة إليه بعد بيان المراد ، كما لا يخفى على من 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أسامي للصحيحة لزم فيما إذا حلف أن لا يصلّي في مكان مكروه أو مباح ، من وجود الشيء عدمه ، وبطلان التالي قاض ببطلان المقدّم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بالصحيح يكون متعلّق الحلف في كلام الحالف </w:t>
      </w:r>
    </w:p>
    <w:p>
      <w:pPr>
        <w:pStyle w:val="BookText"/>
        <w:rPr/>
      </w:pPr>
      <w:r>
        <w:rPr>
          <w:rFonts w:ascii="Amiri" w:hAnsi="Amiri" w:eastAsia="Amiri" w:cs="Amiri"/>
          <w:color w:val="111111"/>
          <w:sz w:val="28"/>
          <w:sz w:val="28"/>
          <w:szCs w:val="28"/>
          <w:rtl w:val="true"/>
          <w:lang w:bidi="ar-SA"/>
        </w:rPr>
        <w:t>هو الصحيح ، فيصير منهيّا عنه لحصول الحنث بفعله ، والنهي يقتضي الفساد ، فيكون متعلّق الحلف فاسدا ، وذلك يوجب عدم تعلّق الحلف به ، فلزم من تعلّق الحلف به عدم تعلّق الحلف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النهي ؛ لعدم جواز الحنث ، والنهي يقتضي الفساد ، والفساد يقتضي عدم تعلّق اليمين ؛ لأنّ المفروض تعلّقه في كلام الحالف بالصحيح ، وهو يقتضي الصحّة لعدم تعلّق الحلف به ، وهو يقتضي الفساد ؛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إنّما يقتضي عدم تعلّق الحلف به فيما إذا كان متعلّقه مع قطع النظر عن تعلّق الحلف به فاسدا ، كما إذا كان المحلوف على تركه فعل الصلاة بدون الركوع مثلا ، وأمّا الفساد الذي جاء بواسطة تعلّق الحلف بتركه فهو لا يقتضي عدم تعلّق الحلف به ، بل هو من آثار تعلّق الحلف به ، فهو لا ينافي تعلّقه به بل يؤكّده ، كما لا يخفى على من أمعن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يحصل الحنث بفعل الصلاة في ذلك المكان أو لا؟ فلو قيل بالأوّل يلزم عدم اقتضاء النهي الفساد ؛ لأنّ الحنث لا يحصل إلاّ بفعل المحلوف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الصلاة صحيحة يقضي بعدم اقتضاء النهي الناشئ من حرمة الحنث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بالثاني يلزم عدم إمكان الحنث ، مع أنّ الفريقين لا يقولان به ، فلا بدّ من التزام إرادة الأعم ، ليحصل الحنث بفعله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القائل بالصحيح يلتزم بإمكان الحنث ، ولو سلّم فلا ينافي إرادة الصحيح ؛ لأنّ متعلّق الحلف لا يراد بصحّته إلاّ كونه تامّ الأجزاء والشرائط بحيث لو تعلّق به الأمر وقع صحيحا ، غاية الأمر أنّ قبل تعلّق الحلف به كان متعلّقا للأمر ، وبعد تعلّق الحلف ارتفع الأمر ؛ لورود نقيضه وهو النهي عليه ، فاقتضى الفساد ووقوع الحنث لو وقع تامّ الأجزاء والشرائط كما كان متعلّقا للأمر قبل تعلّق النهي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فرض أنّ متعلّق الحلف هو الصحيح بمعنى ما يكون متعلّقا للأمر بالفعل ، كان الوجه عدم إمكان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 بل قد مرّ فساده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ذلك بناء على ما تقرّر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نيّة القربة إمّا جزء للصلاة أو شرط فيها ، وإن كان دخول غاية الشيء في الشيء شرطا أو شطرا أيضا ممّا لا يعقل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يجدي نفعا في إثبات المطلوب ؛ إذ لا يزيد على مجرّد الاستعمال بعد الغضّ عمّا ذكرنا ، مع إمكان المعارضة بما لو صرّح الحالف بوصف الصحّة في متعلّق الحلف ، كما لا يخفى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وضع اللفظ للصحيح أن يكون المراد منه في موارد النهي هو الصحيح الجامع لجميع الأجزاء المعتبرة والشرائط المقرّرة ، ولا شكّ أنّ الإتيان بالماهيّة الجامعة للأجزاء والشرائط كاف في انتزاع وصف الصحّة ، فيلزم أن يكون المنهي عنها صحيحة ، وهو بعينه ما ذهب إليه أبو حنيفة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النهي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الصحّة المنتزعة استجماع الماهيّة للأجزاء والشرائط من دون أن يكون موافقة للأمر ، فالملازمة مسلّمة ، وبطلان اللازم ممنوع بحسب القواعد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 الصحّة موافقة الأمر فلا نسلّم أنّ الإتيان بالماهيّة الجامعة للأجزاء والشرائط كاف في انتزاع الصحّة بهذا المعنى ، بل هو موقوف على الأمر المضادّ للنهي المرفوع بواسطة ورود الضدّ على المحلّ القابل لهما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الواحدة من دون اختلاف فيها يمتنع أن يكون مأمورا بها تارة ومنهيّا عنها اخرى ، فالمأمور بها لا بدّ وأن يكون مغايرا للمنهيّ عنها ، إمّا </w:t>
      </w:r>
    </w:p>
    <w:p>
      <w:pPr>
        <w:pStyle w:val="BookText"/>
        <w:rPr/>
      </w:pPr>
      <w:r>
        <w:rPr>
          <w:rFonts w:ascii="Amiri" w:hAnsi="Amiri" w:eastAsia="Amiri" w:cs="Amiri"/>
          <w:color w:val="111111"/>
          <w:sz w:val="28"/>
          <w:sz w:val="28"/>
          <w:szCs w:val="28"/>
          <w:rtl w:val="true"/>
          <w:lang w:bidi="ar-SA"/>
        </w:rPr>
        <w:t>باعتبار زيادة جزء أو نقص شرط ونحوه ، فالمنهيّ عنها لا يعقل أن تكون صحيحة بمعنى استجماع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الصلاة في الدار المغصوبة إذا وقعت في حالة النسيان </w:t>
      </w:r>
      <w:r>
        <w:rPr>
          <w:rStyle w:val="FootnoteAnchor"/>
          <w:rtl w:val="true"/>
        </w:rPr>
        <w:footnoteReference w:id="182"/>
      </w:r>
      <w:r>
        <w:rPr>
          <w:rFonts w:ascii="Amiri" w:hAnsi="Amiri" w:eastAsia="Amiri" w:cs="Amiri"/>
          <w:color w:val="111111"/>
          <w:sz w:val="28"/>
          <w:sz w:val="28"/>
          <w:szCs w:val="28"/>
          <w:rtl w:val="true"/>
          <w:lang w:bidi="ar-SA"/>
        </w:rPr>
        <w:t xml:space="preserve">، فلا دليل فيه على تعلّق الأمر والنهي بطبيعة واحدة ، بل المنهي عنه يغاير المأمور به ، غاية الأمر أنّ الذي أوجب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يرتفع في حال النسيان ؛ لاختصاص وجوده واقعا بحالة الذكر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يرتفع الكراهة بمعنى قلّة الثواب في الصلاة في الحمّام إذا وقعت حال النسيان </w:t>
      </w:r>
      <w:r>
        <w:rPr>
          <w:rStyle w:val="FootnoteAnchor"/>
          <w:rtl w:val="true"/>
        </w:rPr>
        <w:footnoteReference w:id="183"/>
      </w:r>
      <w:r>
        <w:rPr>
          <w:rFonts w:ascii="Amiri" w:hAnsi="Amiri" w:eastAsia="Amiri" w:cs="Amiri"/>
          <w:color w:val="111111"/>
          <w:sz w:val="28"/>
          <w:sz w:val="28"/>
          <w:szCs w:val="28"/>
          <w:rtl w:val="true"/>
          <w:lang w:bidi="ar-SA"/>
        </w:rPr>
        <w:t xml:space="preserve">، كما يشعر بذلك تصريح بعضهم بثبوت الكراهة في التوضّؤ بالماء المشمّس إذا كان منحصرا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أمر يجب الالتزام به بواسطة دليل عقليّ خارج عن مفاد اللفظ بحسب الأوضاع اللغويّة ، وأمّا بملاحظة القواعد اللغويّة يجب المصير إلى ما ذهب إليه أبو حنيفة بالمعنى الذي ذكرنا ، كما ذهب إليه فخر الدين ، ونبّهنا عليه في مبحث اقتضاء النهي للفساد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ذلك ليس من مقتضيات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بواسطة وضع اللفظ للمعنى الجامع للأجزاء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القواعد اللفظيّة ، وأمّا بحسب الدليل العقلي فلا بدّ من الالتزام بأنّ المستعمل فيه هو الأعم ، ولا دليل فيه على الوضع لكونه أعم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تكن موضوعة للأعم لزم أن لا يكون فرق بين الجزء والشرط ، والتالي باطل ،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الملازمة ، فلأنّ معنى الوضع للصحيحة هو اعتبار الأجزاء والشرائط في الماهيّة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المحذور على تقدير لزومه وكونه محذورا ممّا لا دخل للوضع فيه ، بل لو فرض عدم اللفظ والوضع كان اللازم من اعتبار الشروط في الماهيّة عدم الفرق بينها وبين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لازم ؛ إذ وجه اعتبار الشرط في الماهيّة ليس وجه اعتبار الجزء فيها ؛ فإنّ المعتبر من الجزء نفسه ومن الشرط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نسلّم كونه محذورا ، بل التحقيق أنّ الفرق بين الشرط والجزء اعتباريّ ، يمكن أخذه جزءا أو شرطا في الواقع بحسب ما بأيدينا من الموارد ، وأمّا بحسب الأدلّة فالتميّز موكول إلى الرجوع إلى الأدلّة الشرعيّة وعناوينها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للصحيحة لزم تكرار الطلب في الأوامر المتعلّقة بها ؛ لرجوع الأمر إلى طلب المطلوب ، بل هو دور صريحا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المراد من الصحّة المعتبرة في المقام ، وعليه فلا تكرار ولا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يرد ذلك فيما إذا كان المراد من الصحّة هنا موافقة الأمر ، كما لا يخفى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بعضهم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التكرار ؛ نظرا إلى استفادة خصوص الوجوب أو الاستحباب من الأوامر ، واستفادة مطلق المطلوبيّة من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حقيقة في الطلب المطلق فيلزم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الجواب والإيراد وهم في خلط ، كما لا يخفى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بعض سادات مشايخنا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إطباق الفقهاء جلاّ على التمسّك بالإطلاقات الواردة في العبادات ، على حسب اختلاف المطالب المتعلّقة بها في إثبات مشروعيّتها أو رفع توهّم اعتبار شيء فيها شطرا أو شرطا ، وذلك دليل على اتّفاقهم على الوضع للأعم بحسب العمل وإن كانوا لا يعتقدون ذلك بحسب القول ، فالصحيحيّون أعمّيون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محتاجة إلى بيّنة عادلة من كلمات أرباب القول بالصحيح ، وإلاّ فبمجّرد الدعوى لا يتمّ المطلب </w:t>
      </w:r>
      <w:r>
        <w:rPr>
          <w:rStyle w:val="FootnoteAnchor"/>
          <w:rtl w:val="true"/>
        </w:rPr>
        <w:footnoteReference w:id="188"/>
      </w:r>
      <w:r>
        <w:rPr>
          <w:rFonts w:ascii="Amiri" w:hAnsi="Amiri" w:eastAsia="Amiri" w:cs="Amiri"/>
          <w:color w:val="111111"/>
          <w:sz w:val="28"/>
          <w:sz w:val="28"/>
          <w:szCs w:val="28"/>
          <w:rtl w:val="true"/>
          <w:lang w:bidi="ar-SA"/>
        </w:rPr>
        <w:t>، ونحن لم نقف إلى الآن على تمسّك أرباب القول بالصحيح بالإطلاق وإن لم يكن من أرباب التتبّع ، فلا بدّ من الرجوع إلى كلماتهم في تشخيص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تسليم ذلك فالمسألة ليست ممّا ينفع فيه الإجماع على تقدير تحقّقه ؛ إذ لا بدّ للمدّعي أوّلا من تصوير القول بالأعم وإمكانه ، ثمّ دعوى الإجماع والاستدلال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المركّبات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كالسرير والبيت والطبيخ والمعاجين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حقائقها مركّبة من أجناس وفصول لا نعرفها ، وهذه الأجزاء الخارجيّة ليست بأجزاء لتلك المركّبات ، بل إنّما هي أجزاء لما يحصل في ضمنها ذلك الجنس والفصل ، على وجه يكون ذلك الجنس والفصل محفوظا </w:t>
      </w:r>
      <w:r>
        <w:rPr>
          <w:rStyle w:val="FootnoteAnchor"/>
          <w:rtl w:val="true"/>
        </w:rPr>
        <w:footnoteReference w:id="189"/>
      </w:r>
      <w:r>
        <w:rPr>
          <w:rFonts w:ascii="Amiri" w:hAnsi="Amiri" w:eastAsia="Amiri" w:cs="Amiri"/>
          <w:color w:val="111111"/>
          <w:sz w:val="28"/>
          <w:sz w:val="28"/>
          <w:szCs w:val="28"/>
          <w:rtl w:val="true"/>
          <w:lang w:bidi="ar-SA"/>
        </w:rPr>
        <w:t xml:space="preserve">في تلك </w:t>
      </w:r>
    </w:p>
    <w:p>
      <w:pPr>
        <w:pStyle w:val="BookText"/>
        <w:rPr/>
      </w:pPr>
      <w:r>
        <w:rPr>
          <w:rFonts w:ascii="Amiri" w:hAnsi="Amiri" w:eastAsia="Amiri" w:cs="Amiri"/>
          <w:color w:val="111111"/>
          <w:sz w:val="28"/>
          <w:sz w:val="28"/>
          <w:szCs w:val="28"/>
          <w:rtl w:val="true"/>
          <w:lang w:bidi="ar-SA"/>
        </w:rPr>
        <w:t xml:space="preserve">الاختلافات الحاصلة بواسطة ارتفاع الأجزاء وتبادلها ، فالباب على هذا لا يكون جزءا لماهيّة الدار ، كما أنّ الأخشاب ليست أجزاء لماهيّة السرير المحفوظة في أنواع التقلّبات الحادثة عليه ، فالقائل بالأعم يدّعي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ألفاظ هذه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لماهيّة صادقة مع الكثير والقليل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اختلاف الماهيّة ؛ إذ لزومه موقوف على أن يكون الماهيّة هي تلك الأجزاء الخارجيّة ، وهو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تقدير صحّته في ما ذكره من المركّبات الخارجيّة ؛ إذ نجد من أنفسنا الوضع لتلك الأجزاء الخارجيّة </w:t>
      </w:r>
      <w:r>
        <w:rPr>
          <w:rStyle w:val="FootnoteAnchor"/>
          <w:rtl w:val="true"/>
        </w:rPr>
        <w:footnoteReference w:id="190"/>
      </w:r>
      <w:r>
        <w:rPr>
          <w:rFonts w:ascii="Amiri" w:hAnsi="Amiri" w:eastAsia="Amiri" w:cs="Amiri"/>
          <w:color w:val="111111"/>
          <w:sz w:val="28"/>
          <w:sz w:val="28"/>
          <w:szCs w:val="28"/>
          <w:rtl w:val="true"/>
          <w:lang w:bidi="ar-SA"/>
        </w:rPr>
        <w:t xml:space="preserve">بعينها ، فهو ممّا لا ينبغي القطع بفساده في خصوص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شاكلها من العبادات ؛ حيث إنّهم مطبقون على أنّ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الصلاة ومقوّمات ماهيّتها ، وليست من مقوّمات الفرد ، من غير فرق في ذلك بين القائل بالصحيح والقائل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فساد ذلك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ريب ممّا ذكرنا ، فعليك بالتتبّع في كلمات الأعميّين ، حيث تراهم مطبقين بحسب ظواهر كلماتهم على أنّ الأجزاء الزائدة في الصلاة الجامعة لجميعها من حقيقة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قد أطبقوا على بطلان الصلاة بزيادة أحد أركانها عمدا أو سهوا كالركوع مثلا ، ولا ريب في كونه منهيّا عنه ، مع أنّهم يعدّونه ركوعا ويطلقون عليه اسم الركوع ، وهو لا يتمّ إلاّ بكون الركوع حقيقة في الأعم ؛ إذ لا معنى لزيادته على القول بالصحيح ؛ لعدم تحقّقه من أصله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من الركوع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زيادة صورة الركوع لا توجب بطلان الصلاة ؛ ألا ترى أنّهم جوّزوا الانحناء لأخذ شيء من الأرض أو </w:t>
      </w:r>
      <w:r>
        <w:rPr>
          <w:rStyle w:val="FootnoteAnchor"/>
          <w:rtl w:val="true"/>
        </w:rPr>
        <w:footnoteReference w:id="191"/>
      </w:r>
      <w:r>
        <w:rPr>
          <w:rFonts w:ascii="Amiri" w:hAnsi="Amiri" w:eastAsia="Amiri" w:cs="Amiri"/>
          <w:color w:val="111111"/>
          <w:sz w:val="28"/>
          <w:sz w:val="28"/>
          <w:szCs w:val="28"/>
          <w:rtl w:val="true"/>
          <w:lang w:bidi="ar-SA"/>
        </w:rPr>
        <w:t>لقتل العقرب وإن كان بقدر المكث في الركوع ، بل ولو احتاج إلى وضع اليدين على الركبتين على وجه يظنّ كونه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تصرّف من الشارع فيه لفظا أو معنى </w:t>
      </w:r>
      <w:r>
        <w:rPr>
          <w:rStyle w:val="FootnoteAnchor"/>
          <w:rtl w:val="true"/>
        </w:rPr>
        <w:footnoteReference w:id="192"/>
      </w:r>
      <w:r>
        <w:rPr>
          <w:rFonts w:ascii="Amiri" w:hAnsi="Amiri" w:eastAsia="Amiri" w:cs="Amiri"/>
          <w:color w:val="111111"/>
          <w:sz w:val="28"/>
          <w:sz w:val="28"/>
          <w:szCs w:val="28"/>
          <w:rtl w:val="true"/>
          <w:lang w:bidi="ar-SA"/>
        </w:rPr>
        <w:t>، وقد عرفت عدم جريان النزاع على تقدير إمضاء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الركوع صورته لكن بقصد أنّه ركوع </w:t>
      </w:r>
      <w:r>
        <w:rPr>
          <w:rStyle w:val="FootnoteAnchor"/>
          <w:rtl w:val="true"/>
        </w:rPr>
        <w:footnoteReference w:id="193"/>
      </w:r>
      <w:r>
        <w:rPr>
          <w:rFonts w:ascii="Amiri" w:hAnsi="Amiri" w:eastAsia="Amiri" w:cs="Amiri"/>
          <w:color w:val="111111"/>
          <w:sz w:val="28"/>
          <w:sz w:val="28"/>
          <w:szCs w:val="28"/>
          <w:rtl w:val="true"/>
          <w:lang w:bidi="ar-SA"/>
        </w:rPr>
        <w:t>، وبذلك يفترق مع الانحناء لأجل قتل العقرب أو لأخذ شيء من الأرض ، فعلى تقدير جريان النزاع فيه لا يثبت منه إلاّ الاستعمال ، وهو أعمّ من الوضع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هذه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إثبات المطلوب على وجه الكلّية ، ولا سبيل إلى دعوى الإجماع المركّب في هذه المسائل ، كما لا يخفى على من 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الهادي</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254_218359"/>
      <w:bookmarkStart w:id="108" w:name="pg16254_218359"/>
      <w:bookmarkEnd w:id="108"/>
    </w:p>
    <w:p>
      <w:pPr>
        <w:pStyle w:val="Heading3"/>
        <w:numPr>
          <w:ilvl w:val="2"/>
          <w:numId w:val="1"/>
        </w:numPr>
        <w:rPr/>
      </w:pPr>
      <w:bookmarkStart w:id="109" w:name="pg16254_218359"/>
      <w:bookmarkStart w:id="110" w:name="__RefHeading___Toc4418202_1280447820"/>
      <w:bookmarkStart w:id="111" w:name="_Toc38"/>
      <w:bookmarkEnd w:id="109"/>
      <w:bookmarkEnd w:id="110"/>
      <w:r>
        <w:rPr>
          <w:rtl w:val="true"/>
        </w:rPr>
        <w:t>هداية</w:t>
      </w:r>
      <w:bookmarkEnd w:id="111"/>
    </w:p>
    <w:p>
      <w:pPr>
        <w:pStyle w:val="Heading4"/>
        <w:numPr>
          <w:ilvl w:val="3"/>
          <w:numId w:val="1"/>
        </w:numPr>
        <w:rPr/>
      </w:pPr>
      <w:bookmarkStart w:id="112" w:name="__RefHeading___Toc4418204_1280447820"/>
      <w:bookmarkStart w:id="113" w:name="_Toc39"/>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قد عرفت في ما تقدّم </w:t>
      </w:r>
      <w:r>
        <w:rPr>
          <w:rStyle w:val="FootnoteAnchor"/>
          <w:rtl w:val="true"/>
        </w:rPr>
        <w:footnoteReference w:id="194"/>
      </w:r>
      <w:r>
        <w:rPr>
          <w:rFonts w:ascii="Amiri" w:hAnsi="Amiri" w:eastAsia="Amiri" w:cs="Amiri"/>
          <w:color w:val="111111"/>
          <w:sz w:val="28"/>
          <w:sz w:val="28"/>
          <w:szCs w:val="28"/>
          <w:rtl w:val="true"/>
          <w:lang w:bidi="ar-SA"/>
        </w:rPr>
        <w:t xml:space="preserve">ذهاب بعضهم إلى التفصيل </w:t>
      </w:r>
      <w:r>
        <w:rPr>
          <w:rStyle w:val="FootnoteAnchor"/>
          <w:rtl w:val="true"/>
        </w:rPr>
        <w:footnoteReference w:id="195"/>
      </w:r>
      <w:r>
        <w:rPr>
          <w:rFonts w:ascii="Amiri" w:hAnsi="Amiri" w:eastAsia="Amiri" w:cs="Amiri"/>
          <w:color w:val="111111"/>
          <w:sz w:val="28"/>
          <w:sz w:val="28"/>
          <w:szCs w:val="28"/>
          <w:rtl w:val="true"/>
          <w:lang w:bidi="ar-SA"/>
        </w:rPr>
        <w:t>بين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المركّبات الخارجيّة على اختلاف أقسامها يعطي الظنّ بأنّ الشروط خارجة عن المسمّى ، وإلاّ لم يفرق بين الأجزاء والشرائط ؛ لدخول كلّ منهما 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الفرق بأنّ الداخل من الجزء هو نفسه ومن الشرط تقييده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يرتضيه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ملاحظة ما تقدّم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الوجدان الذي هو العمدة في أدلّة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في المقام ، يظهر الوجه في التفصيل المذكور ، وأنّه ليس ساقطا عن أصله ، بل يظهر من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أو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أنّه لا وجه له ، ولا مجال للتوقّف فيه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يراه الأعمّي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الشرط تارة معتبرا في الصدق </w:t>
      </w:r>
      <w:r>
        <w:rPr>
          <w:rStyle w:val="FootnoteAnchor"/>
          <w:rtl w:val="true"/>
        </w:rPr>
        <w:footnoteReference w:id="198"/>
      </w:r>
      <w:r>
        <w:rPr>
          <w:rFonts w:ascii="Amiri" w:hAnsi="Amiri" w:eastAsia="Amiri" w:cs="Amiri"/>
          <w:color w:val="111111"/>
          <w:sz w:val="28"/>
          <w:sz w:val="28"/>
          <w:szCs w:val="28"/>
          <w:rtl w:val="true"/>
          <w:lang w:bidi="ar-SA"/>
        </w:rPr>
        <w:t xml:space="preserve">واخرى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قد ظهر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غيره ، كأن يقال إنّ الشرط خارج عن الماهيّة في جميع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اريد أنّ ذات الشرط خارج </w:t>
      </w:r>
      <w:r>
        <w:rPr>
          <w:rStyle w:val="FootnoteAnchor"/>
          <w:rtl w:val="true"/>
        </w:rPr>
        <w:footnoteReference w:id="199"/>
      </w:r>
      <w:r>
        <w:rPr>
          <w:rFonts w:ascii="Amiri" w:hAnsi="Amiri" w:eastAsia="Amiri" w:cs="Amiri"/>
          <w:color w:val="111111"/>
          <w:sz w:val="28"/>
          <w:sz w:val="28"/>
          <w:szCs w:val="28"/>
          <w:rtl w:val="true"/>
          <w:lang w:bidi="ar-SA"/>
        </w:rPr>
        <w:t xml:space="preserve">فهو حقّ لا مناص عنه ، لكنّه لا يجديه ؛ لكفاية دخول تقييده </w:t>
      </w:r>
      <w:r>
        <w:rPr>
          <w:rStyle w:val="FootnoteAnchor"/>
          <w:rtl w:val="true"/>
        </w:rPr>
        <w:footnoteReference w:id="200"/>
      </w:r>
      <w:r>
        <w:rPr>
          <w:rFonts w:ascii="Amiri" w:hAnsi="Amiri" w:eastAsia="Amiri" w:cs="Amiri"/>
          <w:color w:val="111111"/>
          <w:sz w:val="28"/>
          <w:sz w:val="28"/>
          <w:szCs w:val="28"/>
          <w:rtl w:val="true"/>
          <w:lang w:bidi="ar-SA"/>
        </w:rPr>
        <w:t>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تقييده </w:t>
      </w:r>
      <w:r>
        <w:rPr>
          <w:rStyle w:val="FootnoteAnchor"/>
          <w:rtl w:val="true"/>
        </w:rPr>
        <w:footnoteReference w:id="201"/>
      </w:r>
      <w:r>
        <w:rPr>
          <w:rFonts w:ascii="Amiri" w:hAnsi="Amiri" w:eastAsia="Amiri" w:cs="Amiri"/>
          <w:color w:val="111111"/>
          <w:sz w:val="28"/>
          <w:sz w:val="28"/>
          <w:szCs w:val="28"/>
          <w:rtl w:val="true"/>
          <w:lang w:bidi="ar-SA"/>
        </w:rPr>
        <w:t xml:space="preserve">أيضا خارج ، فهو ممنوع ، بل هو مقطوع العدم ؛ نظرا إلى ما تقدّم من الوجدان وسائر الوجوه المتقدّمة ، بل بعض ما تقدّم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دخول الشرط في المسمّى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الشرط يكون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لوجود الماهيّة وتحقّقها مثلا ، ويلازمه توقّف الآثار المطلوبة من الماهيّة عليه أيضا ، كالكيفيّات الخاصّة المعتبرة في المعاجين من الأوزان المخصوصة وملاحظة الفصول الزمانيّة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عليه فعليّة التأثير وظهور الآثار ، مثل خلاء المعدة لظهور الآثار المطلوبة من المعاجين من الإسهال والتفريح </w:t>
      </w:r>
      <w:r>
        <w:rPr>
          <w:rStyle w:val="FootnoteAnchor"/>
          <w:rtl w:val="true"/>
        </w:rPr>
        <w:footnoteReference w:id="203"/>
      </w:r>
      <w:r>
        <w:rPr>
          <w:rFonts w:ascii="IRNazanin" w:hAnsi="IRNazanin" w:eastAsia="IRNazanin"/>
          <w:color w:val="111111"/>
          <w:sz w:val="28"/>
          <w:sz w:val="28"/>
          <w:szCs w:val="28"/>
          <w:rtl w:val="true"/>
          <w:lang w:bidi="fa-IR"/>
        </w:rPr>
        <w:t>ونحوهما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 ممّا لا ينبغي الإشكال في دخوله في الماهيّة بملاحظة تقييده ، ولا غرو في افتراقه الجزء بدخول نفسه في الماهيّة ودخول تقييده فيها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الاتّصاف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اسم الكل إنّما هو بملاحظة التأثير الفعلي على وجه لو لم يكن مؤثّرا بالفعل لم يكن المسمّى موجودا ، وجب الحكم بدخوله </w:t>
      </w:r>
      <w:bookmarkStart w:id="114" w:name="pg16254_218361"/>
    </w:p>
    <w:p>
      <w:pPr>
        <w:pStyle w:val="BookText"/>
        <w:rPr/>
      </w:pPr>
      <w:bookmarkEnd w:id="114"/>
      <w:r>
        <w:rPr>
          <w:rFonts w:ascii="Amiri" w:hAnsi="Amiri" w:eastAsia="Amiri" w:cs="Amiri"/>
          <w:color w:val="111111"/>
          <w:sz w:val="28"/>
          <w:sz w:val="28"/>
          <w:szCs w:val="28"/>
          <w:rtl w:val="true"/>
          <w:lang w:bidi="ar-SA"/>
        </w:rPr>
        <w:t>في المسمّى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 بل قطعيّ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خروج الشرط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بعض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الشرط بأقسامه عن المسمّى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20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النجس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فغايته الاستعمال ، نظير الاستعمالات المتقدّمة بالنسبة إلى الأجزاء في أدلّة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418206_1280447820"/>
      <w:bookmarkStart w:id="116" w:name="_Toc40"/>
      <w:bookmarkEnd w:id="115"/>
      <w:r>
        <w:rPr>
          <w:rtl w:val="true"/>
        </w:rPr>
        <w:t xml:space="preserve">فائدتان </w:t>
      </w:r>
      <w:r>
        <w:rPr>
          <w:rtl w:val="true"/>
        </w:rPr>
        <w:t>:</w:t>
      </w:r>
      <w:bookmarkEnd w:id="116"/>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تمييز الأجزاء عن الشرائط على مراجعة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كلّ ما يتوقّف عليه تأثير العمل ، مثل الطهارة التي استفيد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توقّف تأثير الصلاة عليها ، والجزء إنّما هو مطلوب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أنّه غير مطّرد ولا منعكس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استفادة اعتبار ذات الشيء في شيء فيكون جزءا ، أو تقييده فيكون شرطا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الأمر في موارد لتشابه الأدلّة وعدم وضوح المراد منها ، كما في دليل الفاتحة ودليل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موارد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حيث إنّهم اختلفوا في كونها جزءا أو شرطا </w:t>
      </w:r>
      <w:r>
        <w:rPr>
          <w:rStyle w:val="FootnoteAnchor"/>
          <w:rtl w:val="true"/>
        </w:rPr>
        <w:footnoteReference w:id="208"/>
      </w:r>
      <w:r>
        <w:rPr>
          <w:rFonts w:ascii="Amiri" w:hAnsi="Amiri" w:eastAsia="Amiri" w:cs="Amiri"/>
          <w:color w:val="111111"/>
          <w:sz w:val="28"/>
          <w:sz w:val="28"/>
          <w:szCs w:val="28"/>
          <w:rtl w:val="true"/>
          <w:lang w:bidi="ar-SA"/>
        </w:rPr>
        <w:t xml:space="preserve">؛ لإمكان استفادة كلّ منهما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شرط على تقدير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هو التحقيق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يعقل كونها شرطا أو جزءا من العمل المنوي ؛ فإنّ غاية الشيء غير معتبرة فيه بوجه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 إلاّ أنّ الظاهر كونها جزءا ، لا شرطا ؛ إذ لو كانت شرطا ، فإمّا أن يكون شرطا للأجزاء السابقة أو اللاحقة ، ولا سبيل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فلانعدامها بالدخول في اللاحقة ، اللّهمّ إلاّ أن يكون الشرط تعقّب الأجزاء السابقة بها ، وهو خلاف الظاهر من اعتبار الطمأنينة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فلعدم تحقّقها قبل الإيجاد ، وحديث التعقّب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إلاّ أنّه لا إشكال في خروج أفعاله من الصلاة ، وأمّا الحالة الحاصلة منها فهي معتبرة في الصلاة على وجه الشرطيّة ، كما هو الظاهر من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للجزء والشرط ثمرات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كلّها امور توصّلية ، لا يجب قصد التقرّب فيها والرياء لا يفسدها ، بخلاف الأجزاء ؛ فإنّ تعبّدية الكل كافية في كونها تعبّدية ، فلو دخلها الرياء 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يجب تحصيلها بخلاف الشروط ، فإنّه يكفي حصولها ؛ ولعلّ الوجه فيها الثمرة الاولى</w:t>
      </w:r>
      <w:r>
        <w:rPr>
          <w:rFonts w:eastAsia="Amiri" w:cs="Amiri" w:ascii="Amiri" w:hAnsi="Amiri"/>
          <w:color w:val="111111"/>
          <w:sz w:val="28"/>
          <w:szCs w:val="28"/>
          <w:rtl w:val="true"/>
          <w:lang w:bidi="ar-SA"/>
        </w:rPr>
        <w:t xml:space="preserve">. </w:t>
      </w:r>
      <w:bookmarkStart w:id="117" w:name="pg16254_218363"/>
    </w:p>
    <w:p>
      <w:pPr>
        <w:pStyle w:val="BookText"/>
        <w:rPr/>
      </w:pPr>
      <w:bookmarkEnd w:id="11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حكم الشكّ بعد تجاوز المحلّ في الأجزاء دون الشرائط ؛ إذ للأوّل محلّ مقرّر ، ولا محلّ للثاني ؛ لاعتباره في 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أيضا يمكن فرض محلّ له فيما إذا كان حاصلا بواسطة الأفعال الخارجة عن نفس الشرط ، كالوضوء ، فإنّ محلّه قبل الصلاة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418208_1280447820"/>
      <w:bookmarkStart w:id="119" w:name="_Toc41"/>
      <w:bookmarkEnd w:id="118"/>
      <w:r>
        <w:rPr>
          <w:rtl w:val="true"/>
        </w:rPr>
        <w:t>تذنيب</w:t>
      </w:r>
      <w:bookmarkEnd w:id="119"/>
    </w:p>
    <w:p>
      <w:pPr>
        <w:pStyle w:val="BookText"/>
        <w:rPr/>
      </w:pPr>
      <w:r>
        <w:rPr>
          <w:rFonts w:ascii="Amiri" w:hAnsi="Amiri" w:eastAsia="Amiri" w:cs="Amiri"/>
          <w:color w:val="111111"/>
          <w:sz w:val="28"/>
          <w:sz w:val="28"/>
          <w:szCs w:val="28"/>
          <w:rtl w:val="true"/>
          <w:lang w:bidi="ar-SA"/>
        </w:rPr>
        <w:t xml:space="preserve">تذنيب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قد عرفت فيما تقدّم خروج ألفاظ المعاملات التي لم يثبت فيها حقيقة شرعيّة عن النزاع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أنّها باقية على معانيها اللغويّة من دون تصرّف في نفس المعنى ، على وجه يصدق المعنى مع القيود المعتبرة شرعا في ترتّب الأثر في نظر الشارع عليها وبدونها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للأعم ، يعني أنّها صادقة مع القيد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ذات المعنى ممّا لا يختلف ، ويكون جميع ما هو معتبر في صدق مفهومها موجودا فيه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للصحيح ، كما في سائر الألفاظ العرفيّة والمعاني اللغويّة ، كما لا يخفى على من له خبرة 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أردنا تحريره في هذه المسألة الشريفة المنيفة ، المشتملة على ما أفاده الاستاذ المحقّق والعالم المدقّق ، أنار اللّه برهانه ، متّعنا اللّه ببقائه ، بمحمّد وآله الطيّبين الطاهرين ، وسلّم تسليما كثيرا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254_218365"/>
      <w:bookmarkStart w:id="121" w:name="pg16254_218365"/>
      <w:bookmarkEnd w:id="121"/>
    </w:p>
    <w:p>
      <w:pPr>
        <w:pStyle w:val="Heading2"/>
        <w:numPr>
          <w:ilvl w:val="1"/>
          <w:numId w:val="1"/>
        </w:numPr>
        <w:rPr/>
      </w:pPr>
      <w:bookmarkStart w:id="122" w:name="pg16254_218365"/>
      <w:bookmarkStart w:id="123" w:name="__RefHeading___Toc4418210_1280447820"/>
      <w:bookmarkStart w:id="124" w:name="_Toc42"/>
      <w:bookmarkEnd w:id="122"/>
      <w:bookmarkEnd w:id="123"/>
      <w:r>
        <w:rPr>
          <w:rtl w:val="true"/>
        </w:rPr>
        <w:t>الكلام في الإجزاء</w:t>
      </w:r>
      <w:bookmarkEnd w:id="12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4418212_1280447820"/>
      <w:bookmarkStart w:id="126" w:name="_Toc43"/>
      <w:bookmarkEnd w:id="125"/>
      <w:r>
        <w:rPr>
          <w:rtl w:val="true"/>
        </w:rPr>
        <w:t>اشارة</w:t>
      </w:r>
      <w:bookmarkEnd w:id="1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اختلفوا في أنّ الإتيان بالمأمور به على وجهه هل يقتضي الإجزاء أولا؟ على قولين </w:t>
      </w:r>
      <w:r>
        <w:rPr>
          <w:rStyle w:val="FootnoteAnchor"/>
          <w:rtl w:val="true"/>
        </w:rPr>
        <w:footnoteReference w:id="213"/>
      </w:r>
      <w:r>
        <w:rPr>
          <w:rFonts w:ascii="IRNazanin" w:hAnsi="IRNazanin" w:eastAsia="IRNazanin"/>
          <w:color w:val="111111"/>
          <w:sz w:val="28"/>
          <w:sz w:val="28"/>
          <w:szCs w:val="28"/>
          <w:rtl w:val="true"/>
          <w:lang w:bidi="fa-IR"/>
        </w:rPr>
        <w:t>، ستعرف الحقّ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الخوض في المطلب ينبغي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البحث هذا إنّما هو في اقتضاء الإتيان بالمأمور به عقلا الإجزاء ، فليس البحث من الأبحاث اللغويّة التي يطلب فيها تشخيص مدلول اللفظ وضعا أو انصرافا </w:t>
      </w:r>
      <w:r>
        <w:rPr>
          <w:rStyle w:val="FootnoteAnchor"/>
          <w:rtl w:val="true"/>
        </w:rPr>
        <w:footnoteReference w:id="214"/>
      </w:r>
      <w:r>
        <w:rPr>
          <w:rFonts w:ascii="Amiri" w:hAnsi="Amiri" w:eastAsia="Amiri" w:cs="Amiri"/>
          <w:color w:val="111111"/>
          <w:sz w:val="28"/>
          <w:sz w:val="28"/>
          <w:szCs w:val="28"/>
          <w:rtl w:val="true"/>
          <w:lang w:bidi="ar-SA"/>
        </w:rPr>
        <w:t>، فيعمّ البحث ما إذا كان الأمر مستفادا من الإجماع ونحوه من الأدلّة الغير اللفظيّة ، ويشهد لذلك ملاحظة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البحث على وجه يرجع إلى الأبحاث اللفظيّة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الماهيّات التي تقع موردا للأمر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الوجه الذي يدعو إلى طلبها والأمر بها على وجه لا يسقط بالإتيان بها دفعة واحدة ، واخرى على وجه يسقط عند الإتيان بها مرّة واحدة ، فيمكن أن يكون النزاع في أنّ هيئة الأمر هل هي موضوعة للطلب المتعلّق بالقسم الأوّل أو القسم الثاني؟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قد تمسّك للقول بعدم الإجزاء بمثل الأمر بالزيارة والأمر بالصلاة بعد معلوميّة أنّ حسن الزيارة والصلاة ممّا لا يسقط بالإتيان بها مرّة ، ولكنّه مناف لظاهر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هو متداول في ألسنة أرباب القول بعدم الإجزاء ، كما حكي عن أبي هاشم وعبد الجبّار </w:t>
      </w:r>
      <w:r>
        <w:rPr>
          <w:rStyle w:val="FootnoteAnchor"/>
          <w:rtl w:val="true"/>
        </w:rPr>
        <w:footnoteReference w:id="215"/>
      </w:r>
      <w:r>
        <w:rPr>
          <w:rFonts w:ascii="IRNazanin" w:hAnsi="IRNazanin" w:eastAsia="IRNazanin"/>
          <w:color w:val="111111"/>
          <w:sz w:val="28"/>
          <w:sz w:val="28"/>
          <w:szCs w:val="28"/>
          <w:rtl w:val="true"/>
          <w:lang w:bidi="fa-IR"/>
        </w:rPr>
        <w:t>، على ما ستعرفه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 هو المناسب لبعض عناوينهم أيضا ؛ حيث إنّ بعضهم عنون البحث بأنّ الأمر هل يفيد الإجزاء أو لا؟ ولو كان البحث في الاقتضاء العقلي كان الوجه هو التعبير بما عرفته في العنوان ؛ فإنّ الإتيان بالمأمور به هو الذي يصلح لأن ينازع فيه أنّه يقتضي الإجزاء أو لا ، دون الأمر ؛ إذ لا شكّ في أنّ مجرّد الأمر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 فالأقوى أنّ النزاع إنّما هو في الاقتضاء العقلي ، كما يظهر من الرجوع إلى الأدلّة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الكفاية </w:t>
      </w:r>
      <w:r>
        <w:rPr>
          <w:rStyle w:val="FootnoteAnchor"/>
          <w:rtl w:val="true"/>
        </w:rPr>
        <w:footnoteReference w:id="217"/>
      </w:r>
      <w:r>
        <w:rPr>
          <w:rFonts w:ascii="Amiri" w:hAnsi="Amiri" w:eastAsia="Amiri" w:cs="Amiri"/>
          <w:color w:val="111111"/>
          <w:sz w:val="28"/>
          <w:sz w:val="28"/>
          <w:szCs w:val="28"/>
          <w:rtl w:val="true"/>
          <w:lang w:bidi="ar-SA"/>
        </w:rPr>
        <w:t xml:space="preserve">، وفسّروه في المقام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المأتيّ به مسقطا للتعبّد به </w:t>
      </w:r>
      <w:r>
        <w:rPr>
          <w:rStyle w:val="FootnoteAnchor"/>
          <w:rtl w:val="true"/>
        </w:rPr>
        <w:footnoteReference w:id="218"/>
      </w:r>
      <w:r>
        <w:rPr>
          <w:rFonts w:ascii="Amiri" w:hAnsi="Amiri" w:eastAsia="Amiri" w:cs="Amiri"/>
          <w:color w:val="111111"/>
          <w:sz w:val="28"/>
          <w:sz w:val="28"/>
          <w:szCs w:val="28"/>
          <w:rtl w:val="true"/>
          <w:lang w:bidi="ar-SA"/>
        </w:rPr>
        <w:t xml:space="preserve">مع قطع النظر عن إسقاط الإعادة والقضاء ، كما يؤيّده ما نقل من الاتّفاق على اقتضاء الإتيان بالمأمور به الإجزاء بهذا المعنى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القضاء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التدارك أعم من الإعادة والقضاء ؛ إذ لو كان باقيا على ظاهره من فعل المأمور به </w:t>
      </w:r>
    </w:p>
    <w:p>
      <w:pPr>
        <w:pStyle w:val="BookText"/>
        <w:rPr/>
      </w:pPr>
      <w:r>
        <w:rPr>
          <w:rFonts w:ascii="Amiri" w:hAnsi="Amiri" w:eastAsia="Amiri" w:cs="Amiri"/>
          <w:color w:val="111111"/>
          <w:sz w:val="28"/>
          <w:sz w:val="28"/>
          <w:szCs w:val="28"/>
          <w:rtl w:val="true"/>
          <w:lang w:bidi="ar-SA"/>
        </w:rPr>
        <w:t>خارج الوقت ، يكون عدم الإجزاء عبارة عمّا لا يسقط القضاء وإن أسقط الإعادة ، وهو باطل ؛ لأنّ ما لا يسقط القضاء لا يسقط الإعادة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فيما ذكر ؛ بعدم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دعواه بالنسبة إلى إرادة مطلق التدارك من القضاء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 المعنيين عموم مطلق ؛ لأنّ ما يسقط القضاء يسقط التعبّد أيضا ، ولا عكس ، كما في الصلاة بالطهارة الاستصحابيّة ؛ فإنّ الإتيان بها موجب للامتثال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من الأدلّة الشرعيّة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سقوط القضاء ، على ما هو التحقيق عندنا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المعنيين عموم من وجه ؛ لأنّ ما يقع في الخارج فاسدا قد يصدق معه سقوط القضاء ولو بواسطة عدم مشروعيّة القضاء له في الشرع ، فليس كلّ ما يسقط القضاء يسقط التعبّد به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ظاهر الفساد ؛ ضرورة عدم استناد سقوط القضاء حينئذ إلى الإتيان بالفعل الفاسد ، بل استناده إنّما هو إلى عدم الجعل له </w:t>
      </w:r>
      <w:r>
        <w:rPr>
          <w:rStyle w:val="FootnoteAnchor"/>
          <w:rtl w:val="true"/>
        </w:rPr>
        <w:footnoteReference w:id="223"/>
      </w:r>
      <w:r>
        <w:rPr>
          <w:rFonts w:ascii="Amiri" w:hAnsi="Amiri" w:eastAsia="Amiri" w:cs="Amiri"/>
          <w:color w:val="111111"/>
          <w:sz w:val="28"/>
          <w:sz w:val="28"/>
          <w:szCs w:val="28"/>
          <w:rtl w:val="true"/>
          <w:lang w:bidi="ar-SA"/>
        </w:rPr>
        <w:t>، كما هو ظاهر لا سترة عليه ، سيّما بعد ملاحظة السقوط فيما لو ترك الواجب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اريد من إسقاط القضاء إسقاط الإتيان بمثل الفعل المأتيّ به في الزمن الثاني على نحو التدارك ، كان إسقاط القضاء لازما مساويا لسقوط التعبّد ؛ ضرورة أنّ الإتيان بالصلاة مع الطهارة الاستصحابيّة يقتضي سقوط الإتيان بصلاة اخرى مع الطهارة المستصحبة ، وإن لم يقتض سقوط الإتيان بها مع الطهارة المائيّة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المراد بالإجزاء في المقام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 لا اختلاف بينهما إلاّ بحسب القيود المعتبرة في المعنى الاصطلاحي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بالفعل المأمور به على وجهه هل يقتضي الكفاية عن الإتيان به ثانيا؟ ولا يفرق في ذلك بين كون المأتيّ به مماثلا للمأتي به أوّلا أو مغايرا له بزيادة شيء عليه ؛ لعدم اختلاف معنى الكفاية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العلاقة في المماثلة هي الفرديّة وفي الثاني هي المشابهة ممّا لا وجه له ؛ إذ على ما عرفت لا يكون هناك مجاز في استعمال الإجزاء أصلا ، غاية ما في الباب اختلاف متعلّق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 ولا مدخل لاختلافه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لم يثبت لأهل الاصول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جديد ؛ وتفسيرهم له بإسقاط القضاء إنّما هو من باب بيان محصّل المراد ، لا أنّه يراد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إسقاط القضاء المترتّب عليه كون العلاقة المشابهة أو الفرديّة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الوجه في عدم حاجة إرادة معنى آخر غير الكفاية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المعنى الأوّل أيضا ؛ إذ المعنيّ من العنوان على ذلك التقدير ، هو أنّ الإتيان بالمأمور به هل يوجب الكفاية عن التعبّد به أم لا؟ فلا حاجة إلى اعتبار علاقة السببيّة بالنسبة إلى المعنى الأوّل </w:t>
      </w:r>
      <w:r>
        <w:rPr>
          <w:rStyle w:val="FootnoteAnchor"/>
          <w:rtl w:val="true"/>
        </w:rPr>
        <w:footnoteReference w:id="225"/>
      </w:r>
      <w:r>
        <w:rPr>
          <w:rFonts w:ascii="Amiri" w:hAnsi="Amiri" w:eastAsia="Amiri" w:cs="Amiri"/>
          <w:color w:val="111111"/>
          <w:sz w:val="28"/>
          <w:sz w:val="28"/>
          <w:szCs w:val="28"/>
          <w:rtl w:val="true"/>
          <w:lang w:bidi="ar-SA"/>
        </w:rPr>
        <w:t>؛ نظرا إلى أنّ إسقاط التعبّد به ليس هو الكفاية ، بل هو مسبّب عن الكفاية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هو الإتيان بالمأمور به مشتملا على جميع ما يعتبر فيه شطرا أو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ألسنة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نيّة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دخول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إذ المناسب على ذلك التقدير هو دخول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يتعسّف في دفع ذلك بالتزام تضمين الاشتمال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ركاكته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عنوان بعضهم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الإتيان بالمأمور به على الوجه الذي امر به هل يقتضي الإجزاء أو لا؟ إذ الظاهر رجوع الضمير المجرور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فلا وجه لتخصيص ذلك بالذكر من بين الشرائط والأجزاء المعتبرة في المأمور به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الفرق بين ما عرفت من العنوان وبين إفادة الأمر التكرار أو المرّة ، ثمّ بينه وبين النزاع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القضاء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الإشكال في المقامين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الإجزاء عين القول بالتكرار ، وعين القول بتبعيّة القضاء للأداء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ينبغي الإشكال في الفرق بعد كمال وضوحه ؛ حيث إنّ الكلام في مسألة المرّة والتكرار إنّما هو في تشخيص مدلول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على المرّة أو التكرار أو عدم الدلالة على شيء منهما ، والكلام في المقام إنّما هو في أنّ الإتيان بمدلول الأمر على القول بالمرّة أو التكرار أو الماهيّة ، هل يقتضي الكفاية والإجزاء عن الإتيان به على الوجوه ثانيا </w:t>
      </w:r>
      <w:r>
        <w:rPr>
          <w:rStyle w:val="FootnoteAnchor"/>
          <w:rtl w:val="true"/>
        </w:rPr>
        <w:footnoteReference w:id="227"/>
      </w:r>
      <w:r>
        <w:rPr>
          <w:rFonts w:ascii="Amiri" w:hAnsi="Amiri" w:eastAsia="Amiri" w:cs="Amiri"/>
          <w:color w:val="111111"/>
          <w:sz w:val="28"/>
          <w:sz w:val="28"/>
          <w:szCs w:val="28"/>
          <w:rtl w:val="true"/>
          <w:lang w:bidi="ar-SA"/>
        </w:rPr>
        <w:t xml:space="preserve">، أو لا؟ فلا ربط بين المسألتين مفهوما ، وأمّا </w:t>
      </w:r>
    </w:p>
    <w:p>
      <w:pPr>
        <w:pStyle w:val="BookText"/>
        <w:rPr/>
      </w:pPr>
      <w:r>
        <w:rPr>
          <w:rFonts w:ascii="Amiri" w:hAnsi="Amiri" w:eastAsia="Amiri" w:cs="Amiri"/>
          <w:color w:val="111111"/>
          <w:sz w:val="28"/>
          <w:sz w:val="28"/>
          <w:szCs w:val="28"/>
          <w:rtl w:val="true"/>
          <w:lang w:bidi="ar-SA"/>
        </w:rPr>
        <w:t>مصداقا فقد يكون القول بعدم الإجزاء ملازما للقول بالتكرار فيما إذا قيل بأنّ عدم اقتضاء الأمر للإجزاء يقتضي الإتيان بالفعل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أفاده في القوانين في الفرق بين القول بالتكرار والقول بعدم الإجزاء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أفاده في الفرق بين القول بالإجزاء والقول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الإتيان ثانيا على الأوّل مستند إلى عدم الدليل ، وعلى الثاني مستند إلى دلالة اللفظ ، فلا ينهض فرقا بين القول بالإجزاء والقول بالماهيّة ؛ إذ عدم الإتيان فيه أيضا بواسطة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هذه المسألة وبين مسألة تبعيّة القضاء للأداء فلا يكاد يخفى ؛ إذ من المعلوم أنّ المراد بالقضاء في المقام هو الإتيان بالفعل ثانيا سواء كان في الوقت أو في خارجه بعد الإتيان به أوّلا في الوقت ، والمراد منه في تلك المسألة هو الإتيان بالفعل الفائت في الوقت ، فما أبعد إحدى المسألتين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أنّ الإجزاء بمعنى سقوط التعبّد به ليس من محلّ الخلاف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جماعة ، على ما قيل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كذلك ؛ إذ لا يعقل عدم سقوطه بعد الإتيان بالفعل مستجمعا لجميع ما هو معتبر فيه من الأجزاء والشرائط ، فالقول بعدم سقوطه ملحق بأقوال أصحاب السوداء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الإجزاء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اريد من القضاء </w:t>
      </w:r>
      <w:r>
        <w:rPr>
          <w:rStyle w:val="FootnoteAnchor"/>
          <w:rtl w:val="true"/>
        </w:rPr>
        <w:footnoteReference w:id="230"/>
      </w:r>
      <w:r>
        <w:rPr>
          <w:rFonts w:ascii="Amiri" w:hAnsi="Amiri" w:eastAsia="Amiri" w:cs="Amiri"/>
          <w:color w:val="111111"/>
          <w:sz w:val="28"/>
          <w:sz w:val="28"/>
          <w:szCs w:val="28"/>
          <w:rtl w:val="true"/>
          <w:lang w:bidi="ar-SA"/>
        </w:rPr>
        <w:t xml:space="preserve">ما هو المعروف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عرفت في الفرق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فساده وسقوطه ؛ فإنّ عنوان التدارك يستحيل حصوله بعد فرض وجود المتدارك على ما هو عليه في الواقع ، فلا يصحّ قيام الدليل على وجوب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منه الإتيان بالفعل بعد الإتيان به مرّة اخرى ، فهذا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المأتيّ به ثانيا عين المأتيّ به في المرّة الاولى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يكون المأتيّ به ثانيا أكمل من المأتيّ به في المرّة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لا يستحيل أن يقع فيه النزاع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يظهر من ملاحظة أدلّة القول بالإجزاء أنّ النزاع إنّما هو في القضاء بالمعنى الأوّل ؛ إذ لولاه لم يلزم من القول بعدم الإجزاء تحصيل الحاصل ، إذ لا استحالة في الإتيان بالفعل ثانيا على وجه العينيّة أو الأكمليّة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أدلّة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الصلاة مع الطهارة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هو في الإتيان بالفرد الأكمل ؛ إذ لا شكّ أنّ الصلاة مع الطهارة المعلومة أكمل ، بل الظاهر من استدلالهم بوجوب قضاء الحجّ الفاسد مع الأمر بإتمامه هو وجود النزاع في الإتيان بالمثل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يظهر وجه تطمئن به النفس في تشخيص محلّ الخلاف في المسألة ، وإن استظهر بعضهم </w:t>
      </w:r>
      <w:r>
        <w:rPr>
          <w:rStyle w:val="FootnoteAnchor"/>
          <w:rtl w:val="true"/>
        </w:rPr>
        <w:footnoteReference w:id="233"/>
      </w:r>
      <w:r>
        <w:rPr>
          <w:rFonts w:ascii="Amiri" w:hAnsi="Amiri" w:eastAsia="Amiri" w:cs="Amiri"/>
          <w:color w:val="111111"/>
          <w:sz w:val="28"/>
          <w:sz w:val="28"/>
          <w:szCs w:val="28"/>
          <w:rtl w:val="true"/>
          <w:lang w:bidi="ar-SA"/>
        </w:rPr>
        <w:t>كون النزاع في القضاء بالمعنى الأوّل ، لكنّه قد عرفت عدم تحقّق عنوان القضاء بالمعنى المصطلح بعد فرض الإتيان بالمأمور به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وأفسد من ذلك ما لو اريد التدارك على وجه يعمّ القضاء في خارج الوقت والإعادة فيه ؛ إذ الإعادة بالمعنى المعروف من لوازم نفس الأمر الأوّل ووجوده ، بخلاف القضاء ؛ إذ يحتمل ثبوته بالأمر الجديد دون الأمر الأوّل ، فالمفسدة اللازمة على القول بوجوب الإعادة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منها على القول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صرف عنان البحث إلى ما هو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تحقيق مطلب النافين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إمّا أن يكون واقعيّا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ثابتا في حالة الاختيار أو واقعا في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عقليّا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أقسام أربعة ، في بعضها يجب أن يكون الإتيان بالمأمور به مقتضيا للإجزاء ويمتنع عدمه ، وفي بعض آخر يمتنع اقتضاؤه الإجزاء ويجب عدمه ، وفي بعضها يمكن الاقتضاء وعدمه ، فتارة مع وقوع ذلك بواسطة قيام دليل على الإجزاء ، واخرى مع عدمه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الذي يجب اقتضاؤه الإجزاء ، فهو الأمر الواقعي الاختياري ، كالأمر بالصلاة في حالة الاختيار مع الطهارة المائيّة مستجمعا لجميع ما يعتبر فيها من الأجزاء والشرائط ، فإنّه يجب اقتضاؤه الإجزاء ؛ إذ لو لم يقتض ، فإمّا أن يكون بواسطة خلل في المأتيّ به والمفروض خلافه ، أو بواسطة أمر آخر يقتضي الإتيان بالفعل ولو لم يكن بعنوان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اقتضاء الأمر الأوّل لذلك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مفقود لا يصغى لمدّعيه لا عقلا ولا نقلا ، وعلى تقديره فليس من محلّ الكلام ؛ لأنّ محلّه وجوب الإتيان به ثانيا ، كما نبّهنا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ما حرّروه في المقام ، وأمّا بناء على ما احتملته من أنّ النزاع في مدلول الأمر ، فلا يتّجه ذلك ، بل 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هيئة الأمر لا دليل على كونها موضوعة للطلب المتعلّق بماهيّة لا ينقطع حسنها بالإتيان بها مرّة ، وعند عدم الدليل يكتفى بالإتيان مرّة ؛ لعدم الدليل على الزائد ، فتدبّر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ما يجب فيه الإجزاء ؛ ولنقرّر الكلام في الأقسام الأخر في طيّ هدايات ، وهو الهادي</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6254_218377"/>
      <w:bookmarkStart w:id="128" w:name="pg16254_218377"/>
      <w:bookmarkEnd w:id="128"/>
    </w:p>
    <w:p>
      <w:pPr>
        <w:pStyle w:val="Heading3"/>
        <w:numPr>
          <w:ilvl w:val="2"/>
          <w:numId w:val="1"/>
        </w:numPr>
        <w:rPr/>
      </w:pPr>
      <w:bookmarkStart w:id="129" w:name="pg16254_218377"/>
      <w:bookmarkStart w:id="130" w:name="__RefHeading___Toc4418214_1280447820"/>
      <w:bookmarkStart w:id="131" w:name="_Toc44"/>
      <w:bookmarkEnd w:id="129"/>
      <w:bookmarkEnd w:id="130"/>
      <w:r>
        <w:rPr>
          <w:rtl w:val="true"/>
        </w:rPr>
        <w:t>هداية</w:t>
      </w:r>
      <w:bookmarkEnd w:id="131"/>
    </w:p>
    <w:p>
      <w:pPr>
        <w:pStyle w:val="BookText"/>
        <w:rPr/>
      </w:pPr>
      <w:r>
        <w:rPr>
          <w:rFonts w:ascii="Amiri" w:hAnsi="Amiri" w:eastAsia="Amiri" w:cs="Amiri"/>
          <w:color w:val="111111"/>
          <w:sz w:val="28"/>
          <w:sz w:val="28"/>
          <w:szCs w:val="28"/>
          <w:rtl w:val="true"/>
          <w:lang w:bidi="ar-SA"/>
        </w:rPr>
        <w:t>قد عرفت حال الأمر الواقعي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الواقعي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مع الطهارة الترابيّة ، أو الوضوء مع المسح على الخفّين عند الضرورة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الإجزاء مع إمكان عدمه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الشرعيّة هو كفاية المأتيّ به في حال الضرورة عن الأمر الواقعي الاختياري بعد زوال الضرورة ، إلاّ أنّه لا دليل على امتناع طلب المأمور به ثانيا في حال الاختيار بعد ما زالت الضرورة ، تداركا للفعل الواقع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يمتنع اقتضاؤه الإجزاء ، كما هو ظاهر ، بعد ملاحظة تحقّق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المأتيّ به في حال الضرورة أنقص منه في حال الاختيار ، والمدّعى هو كفاية الناقص عن الكامل ، ولا ضير في الأمر بالفعل ثانيا إحرازا للكامل ، ويصدق على الفرد الكامل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فلنا في المقام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الناقص عن الكامل ، وإجزاء الفعل الواقع في حالة الاضطرار عنه في 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عدم الإجزاء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منهما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كفاية الأمر الاضطراري عند الإتيان بالمأمور به على وجهه عن نفس المأمور به في حال الاضطرار ، بمعنى </w:t>
      </w:r>
    </w:p>
    <w:p>
      <w:pPr>
        <w:pStyle w:val="BookText"/>
        <w:rPr/>
      </w:pPr>
      <w:r>
        <w:rPr>
          <w:rFonts w:ascii="Amiri" w:hAnsi="Amiri" w:eastAsia="Amiri" w:cs="Amiri"/>
          <w:color w:val="111111"/>
          <w:sz w:val="28"/>
          <w:sz w:val="28"/>
          <w:szCs w:val="28"/>
          <w:rtl w:val="true"/>
          <w:lang w:bidi="ar-SA"/>
        </w:rPr>
        <w:t>أنّه لا يجب الإتيان به ثانيا لعين ما تقدّم في الأمر الاختياري ، بل وذلك جار في القسمين الأخيرين أيضا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كفايته عن الواقعي ، فتارة يقع الكلام بالنسبة إلى الإعادة ، واخرى بالنسبة إلى القضاء ؛ لعدم الملازمة بين حكمهما ، فإنّ الثاني يدور مدار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صدق الفوت في المقام ولو بالنسبة إلى الأمر الواقعي </w:t>
      </w:r>
      <w:r>
        <w:rPr>
          <w:rStyle w:val="FootnoteAnchor"/>
          <w:rtl w:val="true"/>
        </w:rPr>
        <w:footnoteReference w:id="234"/>
      </w:r>
      <w:r>
        <w:rPr>
          <w:rFonts w:ascii="Amiri" w:hAnsi="Amiri" w:eastAsia="Amiri" w:cs="Amiri"/>
          <w:color w:val="111111"/>
          <w:sz w:val="28"/>
          <w:sz w:val="28"/>
          <w:szCs w:val="28"/>
          <w:rtl w:val="true"/>
          <w:lang w:bidi="ar-SA"/>
        </w:rPr>
        <w:t>، إلاّ أن يدّعى الإجماع المركّب بين سقوط الإعادة وسقوط القضاء ، أو يدّعى الأولويّة بالنسبة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فيتّضح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قضيّة القواعد الشرعيّة عدم وجوب الإعادة في الوقت ؛ لأنّ الواجب الموسّع هو القدر المشترك بين الأفعال الواقعة عن المكلّفين بحسب اختلاف تكاليفهم في موضوعات مختلفة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 ويتخصّص للحاضر في ضمن أربع ركعات ، وللمسافر في ضمن ركعتين ، وللواجد للماء في ضمن الصلاة مع الطهارة المائيّة ، وللفاقد له في ضمنها مع الطهارة الترابيّة ، فيكون الأمر الواقعي الاضطراري أحد أفراد الواجب الموسّع ، ولا إشكال في أنّ الإتيان بفرد من الماهيّة يوجب سقوط الطلب بالنسبة إليها ، وبعد سقوط الطلب لا وجه لوجوب الإعادة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فاقد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يجوز له المسابقة إلى الصلاة مع رجاء الماء ، أو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على الثاني وإن كان بطلانه يظهر من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 فالمفروض بقاء الواجب الموسّع على توسعته ، ومقتضى ذلك هو الإذن في إيقاع الفعل في أيّ جزء من أجزاء الزمان ، </w:t>
      </w:r>
    </w:p>
    <w:p>
      <w:pPr>
        <w:pStyle w:val="BookText"/>
        <w:rPr/>
      </w:pPr>
      <w:r>
        <w:rPr>
          <w:rFonts w:ascii="Amiri" w:hAnsi="Amiri" w:eastAsia="Amiri" w:cs="Amiri"/>
          <w:color w:val="111111"/>
          <w:sz w:val="28"/>
          <w:sz w:val="28"/>
          <w:szCs w:val="28"/>
          <w:rtl w:val="true"/>
          <w:lang w:bidi="ar-SA"/>
        </w:rPr>
        <w:t>فعند عدم الماء يكون التكليف بالنسبة إليه هو الصلاة مع الطهارة الترابيّة ، كما أنّ المسافر تكليفه القصر ، وبعد وقوع الفعل المكلّف به في الخارج لا وجه لطلبه ؛ لسقوط الطلب بوجود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جواز الصلاة مع السعة ورجاء الماء منضمّا إلى دليل وجوب الصلاة مع وجدان الماء ، يدلّ على أنّ المكلّف مخيّر بين إيجاد مطلق الصلاة التي هي واجبة على نحو الاتّساع في ضمن الفردين ، ومن المعلوم أنّ الإتيان بأحد أفراد الواجب المخيّر مسقط عن الإتيان بالفرد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الأمر بالإعادة لمجرّد الأمر بالصلاة ؛ لاستلزامه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في الأوامر الشرعيّة الواردة في أنواع الصلاة بحسب اختلاف أحوال المكلّفين يعطي أنّ إيجاد نوع من تلك الأنواع يكفي عن التكليف المتعلّق بكلّي تلك الأنواع ، مضافا إلى الاصول العمليّة ؛ فإنّ قضيّة الاصول أيضا ذلك ، فإنّ بعد زوال العذر يرجع الشكّ إلى ثبوت التكليف ، والأصل براءة الذمّة عن الشواغل الشرعيّة ما لم يقم دليل 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الاستناد في مقام إثبات التكليف بإطلاق الأوامر وعموم الأدلّة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ما دلّ على وجوب الوضوء عند إرادة الصلاة قاض بتحصيله في كلّ صلاة ، خرج 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دليل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الضرورة ، وإذا زالت لا بدّ من الرجوع إلى العموم والأخذ بأصالة عدم التخصيص ؛ لأنّ المقام من موارد استصحاب حكم المخصّص ؛ إذ ليس في المقام عموم زمانيّ على وجه يؤخذ كلّ زمان فردا للعامّ الزماني ، حتّى لو قيل بالتخصيص الزماني لزم عدم الأخذ بأصالة الحقيقة في العام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تقدّم من اعتبار القدر المشترك ، إنّما يلائم قول الأعمّي والصحيحي </w:t>
      </w:r>
    </w:p>
    <w:p>
      <w:pPr>
        <w:pStyle w:val="BookText"/>
        <w:rPr/>
      </w:pPr>
      <w:r>
        <w:rPr>
          <w:rFonts w:ascii="Amiri" w:hAnsi="Amiri" w:eastAsia="Amiri" w:cs="Amiri"/>
          <w:color w:val="111111"/>
          <w:sz w:val="28"/>
          <w:sz w:val="28"/>
          <w:szCs w:val="28"/>
          <w:rtl w:val="true"/>
          <w:lang w:bidi="ar-SA"/>
        </w:rPr>
        <w:t>في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من وجوهه فلا بدّ في تقرير الدليل المذكور من تمحّل لا يخفى على الفطن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الواقعي الاضطراري هل يجزي عن الإتيان به قضاء أولا؟</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دليل القضاء هو عدم الإجزاء ؛ فإنّ ما يقضي بالقضاء ليس هو الأمر الأوّل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الأدلّة التي اقيمت عليه في مقامه ممّا يتوقّف صدقه على صدق الفوت ، وهو معلوم في المقام ؛ ضرورة عدم وصول المكلّف إلى المنفعة الحاصلة من الأمر الاختياري ، وفوات المصلحة المترتّبة على المأمور به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فوت المصلحة إنّما هو فرع لأن يكون المكلّف في معرض الوصول إليه ، ومع عدم توجّه الخطاب الواقعي الاختياري إلى المكلّف ليس في معرض الوصول إليه ، فلا يصدق الفوت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كونه تابعا للخطاب الفعلي ، بل يكفي فيه وجود المصلحة في الفعل مع كونه ممّن يصلح لأن يخاطب بإيجاده ؛ كما يشهد به ملاحظة ما عدّوه من أسباب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والحيض والتعمّد والنوم والإغماء ، فإنّ أغلب تلك الأسباب ممّا لا يصلح </w:t>
      </w:r>
      <w:r>
        <w:rPr>
          <w:rStyle w:val="FootnoteAnchor"/>
          <w:rtl w:val="true"/>
        </w:rPr>
        <w:footnoteReference w:id="236"/>
      </w:r>
      <w:r>
        <w:rPr>
          <w:rFonts w:ascii="Amiri" w:hAnsi="Amiri" w:eastAsia="Amiri" w:cs="Amiri"/>
          <w:color w:val="111111"/>
          <w:sz w:val="28"/>
          <w:sz w:val="28"/>
          <w:szCs w:val="28"/>
          <w:rtl w:val="true"/>
          <w:lang w:bidi="ar-SA"/>
        </w:rPr>
        <w:t>معها وجود الخطاب الفعلي ، فما هو الملاك في الأمر بالقضاء في تلك الأسباب موجود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الفوت متفاوتة مختلفة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الترك العمدي بعد وجود الطلب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بواسطة وجود مانع عن إدراك تلك المصلحة ، كما في ذوي الأعذار الشرعيّة أو العقليّة ، كالإغماء والجنون والنوم ونحوها من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بواسطة كون المكلّف أهلا لأن يتحصّل منه الفعل المشتمل على المصلحة ، كما في الحيض ، فإنّ المرأة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يوجد منها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صدق الفوت على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فالظاهر ذلك فيها أيضا ؛ كما يشهد به ما ورد في حقّ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ناقصات العقول والحظّ والأديان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وعلّل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تمكث شطرا من دهرها لا تصلّي </w:t>
      </w:r>
      <w:r>
        <w:rPr>
          <w:rStyle w:val="FootnoteAnchor"/>
          <w:rtl w:val="true"/>
        </w:rPr>
        <w:footnoteReference w:id="238"/>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صدق الفوت في المقام ، بل يظهر من العلماء صدق الفوت مع عدم اجتماع شرائط التكليف وعدم الشأنيّة ؛ حيث إنّهم عدّوا عدم البلوغ والعقل من أسباب الفوت </w:t>
      </w:r>
      <w:r>
        <w:rPr>
          <w:rStyle w:val="FootnoteAnchor"/>
          <w:rtl w:val="true"/>
        </w:rPr>
        <w:footnoteReference w:id="240"/>
      </w:r>
      <w:r>
        <w:rPr>
          <w:rFonts w:ascii="Amiri" w:hAnsi="Amiri" w:eastAsia="Amiri" w:cs="Amiri"/>
          <w:color w:val="111111"/>
          <w:sz w:val="28"/>
          <w:sz w:val="28"/>
          <w:szCs w:val="28"/>
          <w:rtl w:val="true"/>
          <w:lang w:bidi="ar-SA"/>
        </w:rPr>
        <w:t>، فمقتضى عموم دليل القضاء وجوب القضاء وعدم الإجزاء بالنسبة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فيمكن القول بعدم الإجزاء بالنسبة إلى الإعادة ؛ للإجماع المركّب بين وجوب القضاء ووجوب الإعادة ، بل وبالأولويّة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يمكن القلب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ما ذكرناه هو الإجزاء بالنسبة إلى الإعادة ، والإجماع المركّب منضمّا إلى الأولويّة يوجب الإجزاء بالنسبة إلى القضاء ؛ لأنّ ما يوجب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دليل عدم </w:t>
      </w:r>
      <w:r>
        <w:rPr>
          <w:rStyle w:val="FootnoteAnchor"/>
          <w:rtl w:val="true"/>
        </w:rPr>
        <w:footnoteReference w:id="241"/>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الانتصار به للقول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بما فيه ؛ لعدم صدق الفوت بعد إحراز المصلحة المترتّبة على الفعل الاضطراري على وجه يوجب قضاء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أكمل من المصلحة المترتّبة على الاضطراري لا يوجب ذلك ؛ لعدم عموم في دليل القضاء ، فإنّ الموجود في كتب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هو المشهور في الألسنة ، من قولهم </w:t>
      </w:r>
      <w:r>
        <w:rPr>
          <w:rStyle w:val="FootnoteAnchor"/>
          <w:rtl w:val="true"/>
        </w:rPr>
        <w:footnoteReference w:id="2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فيها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فاتتك من فريضة فاقضها كما فاتتك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ومن المعلوم عدم صدقه في المقام ، سيّما بعد ملاحظة وروده </w:t>
      </w:r>
      <w:r>
        <w:rPr>
          <w:rStyle w:val="FootnoteAnchor"/>
          <w:rtl w:val="true"/>
        </w:rPr>
        <w:footnoteReference w:id="244"/>
      </w:r>
      <w:r>
        <w:rPr>
          <w:rFonts w:ascii="Amiri" w:hAnsi="Amiri" w:eastAsia="Amiri" w:cs="Amiri"/>
          <w:color w:val="111111"/>
          <w:sz w:val="28"/>
          <w:sz w:val="28"/>
          <w:szCs w:val="28"/>
          <w:rtl w:val="true"/>
          <w:lang w:bidi="ar-SA"/>
        </w:rPr>
        <w:t>في مقام بيان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يصدق الفوت بالنسبة إلى الزيادة المترتّبة على الفعل الاختياري ، ولا دلالة في الرواية على وجوب تدارك كلّ فائتة ، والمقدار المذكور ليس من الفرائض كما لا يخفى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القواعد الشرعيّة هو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الدعوى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إمكان عدم الإجزاء بواسطة ورود دليل على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استحالة عقلا وشرعا وعرفا في أن يقول الآمر للفاقد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قدرت على الماء فتطهّر ؛ إذ المفروض أكمليّة المصلحة الموجودة في الطهارة المائيّة ، فيصحّ الأمر بها إحرازا لها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عدم صدق الإعادة على مثل المفروض بعد كونه ممّا لا فائدة يتعلّق بإثباتها أو نفيها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المراد بها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فاسدة ؛ إذ لا يراد من الإعادة إلاّ ما يكون تداركا وتلافيا للفعل الواقع أوّلا وإن لم يكن مستفادا من الأمر الأوّل ، وإن كان الظاهر من عنوان الإعادة ذلك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بوجوب الإعادة في الأمر الاختياري أفسد من القول بوجوب القضاء ، ولكنّه قد تستعمل في عرفهم في مجرّد التدارك ولو بأمر آخر </w:t>
      </w:r>
      <w:r>
        <w:rPr>
          <w:rStyle w:val="FootnoteAnchor"/>
          <w:rtl w:val="true"/>
        </w:rPr>
        <w:footnoteReference w:id="246"/>
      </w:r>
      <w:r>
        <w:rPr>
          <w:rFonts w:ascii="Amiri" w:hAnsi="Amiri" w:eastAsia="Amiri" w:cs="Amiri"/>
          <w:color w:val="111111"/>
          <w:sz w:val="28"/>
          <w:sz w:val="28"/>
          <w:szCs w:val="28"/>
          <w:rtl w:val="true"/>
          <w:lang w:bidi="ar-SA"/>
        </w:rPr>
        <w:t xml:space="preserve">، كما ترى في أمر الشارع بإعادة الصلاة مع الجماعة مع وقوعها فرادى </w:t>
      </w:r>
      <w:r>
        <w:rPr>
          <w:rStyle w:val="FootnoteAnchor"/>
          <w:rtl w:val="true"/>
        </w:rPr>
        <w:footnoteReference w:id="247"/>
      </w:r>
      <w:r>
        <w:rPr>
          <w:rFonts w:ascii="Amiri" w:hAnsi="Amiri" w:eastAsia="Amiri" w:cs="Amiri"/>
          <w:color w:val="111111"/>
          <w:sz w:val="28"/>
          <w:sz w:val="28"/>
          <w:szCs w:val="28"/>
          <w:rtl w:val="true"/>
          <w:lang w:bidi="ar-SA"/>
        </w:rPr>
        <w:t xml:space="preserve">، وغير ذلك من موارد الإعادة </w:t>
      </w:r>
      <w:r>
        <w:rPr>
          <w:rStyle w:val="FootnoteAnchor"/>
          <w:rtl w:val="true"/>
        </w:rPr>
        <w:footnoteReference w:id="248"/>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254_218385"/>
      <w:bookmarkStart w:id="133" w:name="pg16254_218385"/>
      <w:bookmarkEnd w:id="133"/>
    </w:p>
    <w:p>
      <w:pPr>
        <w:pStyle w:val="Heading3"/>
        <w:numPr>
          <w:ilvl w:val="2"/>
          <w:numId w:val="1"/>
        </w:numPr>
        <w:rPr/>
      </w:pPr>
      <w:bookmarkStart w:id="134" w:name="pg16254_218385"/>
      <w:bookmarkStart w:id="135" w:name="__RefHeading___Toc4418216_1280447820"/>
      <w:bookmarkStart w:id="136" w:name="_Toc45"/>
      <w:bookmarkEnd w:id="134"/>
      <w:bookmarkEnd w:id="135"/>
      <w:r>
        <w:rPr>
          <w:rtl w:val="true"/>
        </w:rPr>
        <w:t>هداية</w:t>
      </w:r>
      <w:bookmarkEnd w:id="136"/>
    </w:p>
    <w:p>
      <w:pPr>
        <w:pStyle w:val="BookText"/>
        <w:rPr/>
      </w:pPr>
      <w:r>
        <w:rPr>
          <w:rFonts w:ascii="Amiri" w:hAnsi="Amiri" w:eastAsia="Amiri" w:cs="Amiri"/>
          <w:color w:val="111111"/>
          <w:sz w:val="28"/>
          <w:sz w:val="28"/>
          <w:szCs w:val="28"/>
          <w:rtl w:val="true"/>
          <w:lang w:bidi="ar-SA"/>
        </w:rPr>
        <w:t>في أنّ الأمر الظاهري العقلي لا يقتضي الإجزاء ، بل يمتنع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فرع الأمر والإتيان بالمأمور به بعد ذلك على ما يعتبر فيه من الامور الداخليّة والخارجيّة ، ومع انتفاء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الإتيان بالمأمور به على أنّه مأمور به ، فلا يتحقّق الامتثال ، فيمتنع حصول الإجزاء والكفاية عن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على 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مسلّم من الأمر العقلي الظاهري ، كحكم العقل بوجوب الاحتياط ، أو حكمه بوجوب دفع الضرر الموهوم أو المظنون ، لا يعقل أن يكون محلاّ للكلام ؛ إذ البحث في الإجزاء وعدمه إنّما يعقل فيما إذا انكشف الخلاف ، وحكم العقل بوجوب الاحتياط أو دفع الضرر لا معنى لكشف الخلاف فيه ؛ فإنّ ذلك هو مجرّد إحراز الواقع ، فلا يتصوّر فيه المخالفة على تقدير وجود الأمر الواقعي ، وعلى تقدير عدمه فلا واقع حتّى ينكشف عدم مطابقة الاحتياط أو دفع الضرر له ، 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الكلام في ذلك إنّما هو فيما لو قيل بالأمر الظاهري فيه ، كالعمل بالقطع عند عدم المطابقة ، والعمل عند السهو والنسيان ، وكالعمل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غير الطرق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لا أمر في هذه الموارد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 الحامل للقاطع على الإتيان بما تخيّله الواقع هو الأمر الواقعي بحسب معتقده ؛ إذ بعد قطعه بوجود الأمر الواقعي يحكم العقل بوجوب الخروج عن </w:t>
      </w:r>
    </w:p>
    <w:p>
      <w:pPr>
        <w:pStyle w:val="BookText"/>
        <w:rPr/>
      </w:pPr>
      <w:r>
        <w:rPr>
          <w:rFonts w:ascii="Amiri" w:hAnsi="Amiri" w:eastAsia="Amiri" w:cs="Amiri"/>
          <w:color w:val="111111"/>
          <w:sz w:val="28"/>
          <w:sz w:val="28"/>
          <w:szCs w:val="28"/>
          <w:rtl w:val="true"/>
          <w:lang w:bidi="ar-SA"/>
        </w:rPr>
        <w:t>عهدته وامتثاله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مطابقة اعتقاده للواقع ومخالفته ، فإنّ ذلك أمر خارج عن إدراك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ليس عند المطابقة أمر آخر غير الأمر الواقعي الذي يدعو إلى وجود المأمور به ، فكذا عند المخالفة ليس شيئا آخر ؛ والمفروض عدم الأمر واقعا ، فلا أمر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حجّية القطع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القطع ليس إلاّ مرآة للواقع كاشفا عنه ، فلا يعقل تأثيره في ترتّب الأحكام المترتّبة على المعلوم </w:t>
      </w:r>
      <w:r>
        <w:rPr>
          <w:rStyle w:val="FootnoteAnchor"/>
          <w:rtl w:val="true"/>
        </w:rPr>
        <w:footnoteReference w:id="249"/>
      </w:r>
      <w:r>
        <w:rPr>
          <w:rFonts w:ascii="Amiri" w:hAnsi="Amiri" w:eastAsia="Amiri" w:cs="Amiri"/>
          <w:color w:val="111111"/>
          <w:sz w:val="28"/>
          <w:sz w:val="28"/>
          <w:szCs w:val="28"/>
          <w:rtl w:val="true"/>
          <w:lang w:bidi="ar-SA"/>
        </w:rPr>
        <w:t xml:space="preserve">، ولا مدخل له في متعلّقه ؛ فإنّه أمر يتفرّع وجوده </w:t>
      </w:r>
      <w:r>
        <w:rPr>
          <w:rStyle w:val="FootnoteAnchor"/>
          <w:rtl w:val="true"/>
        </w:rPr>
        <w:footnoteReference w:id="250"/>
      </w:r>
      <w:r>
        <w:rPr>
          <w:rFonts w:ascii="Amiri" w:hAnsi="Amiri" w:eastAsia="Amiri" w:cs="Amiri"/>
          <w:color w:val="111111"/>
          <w:sz w:val="28"/>
          <w:sz w:val="28"/>
          <w:szCs w:val="28"/>
          <w:rtl w:val="true"/>
          <w:lang w:bidi="ar-SA"/>
        </w:rPr>
        <w:t>على وجوده ، فكيف يعقل تأثيره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موجودا كان العلم به واقعا ، وإلاّ </w:t>
      </w:r>
      <w:r>
        <w:rPr>
          <w:rStyle w:val="FootnoteAnchor"/>
          <w:rtl w:val="true"/>
        </w:rPr>
        <w:footnoteReference w:id="251"/>
      </w:r>
      <w:r>
        <w:rPr>
          <w:rFonts w:ascii="Amiri" w:hAnsi="Amiri" w:eastAsia="Amiri" w:cs="Amiri"/>
          <w:color w:val="111111"/>
          <w:sz w:val="28"/>
          <w:sz w:val="28"/>
          <w:szCs w:val="28"/>
          <w:rtl w:val="true"/>
          <w:lang w:bidi="ar-SA"/>
        </w:rPr>
        <w:t>فالعلم لا يصير علّة لوجوده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الجهل المركّب لا يكون إلاّ اعتقاد الأمر الغير المؤثّر في وجود الأمر ، ومن الواضح الجليّ عدم كون اعتقاد الأمر أمرا ، فلا وجه لتوهّم الإجزاء ؛ ضرورة توقّفه على وجود الأمر ، والمفروض عدمه في المقام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امتثال أوامر الإطاعة حينئذ ؛ حيث إنّه اعتقد كونه مأمورا به فامتثل أوامر الإطاعة ، مضافا إلى وجود حكم العقل بلزوم الإتيان بما اعتقده مأمورا به ، فممّا لا يجدي شيئا ؛ إذ المقصود بالإجزاء في المقام هو كفاية المأتيّ به حال المخالفة للمأمور به واقعا ، وامتثال أوامر الإطاعة ممّا لا مدخل له في سقوط ذلك الأمر الواقعي الذي لم يحم حوله المكلّف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حكم العقل ؛ فإنّ حكمه موافق لأدلّة الإطاعة ، على أنّ الإطاعة الواقعيّة غير حاصلة قطعا ؛ إذ من </w:t>
      </w:r>
    </w:p>
    <w:p>
      <w:pPr>
        <w:pStyle w:val="BookText"/>
        <w:rPr/>
      </w:pPr>
      <w:r>
        <w:rPr>
          <w:rFonts w:ascii="Amiri" w:hAnsi="Amiri" w:eastAsia="Amiri" w:cs="Amiri"/>
          <w:color w:val="111111"/>
          <w:sz w:val="28"/>
          <w:sz w:val="28"/>
          <w:szCs w:val="28"/>
          <w:rtl w:val="true"/>
          <w:lang w:bidi="ar-SA"/>
        </w:rPr>
        <w:t xml:space="preserve">المعلوم في محلّه أنّ وجود موضوع الإطاعة وتحقّق ماهيّتها في الواقع موقوف على تحقّق الأمر ، وحيث إنّه لا أمر في الواقع فلا إطاعة في الواقع </w:t>
      </w:r>
      <w:r>
        <w:rPr>
          <w:rStyle w:val="FootnoteAnchor"/>
          <w:rtl w:val="true"/>
        </w:rPr>
        <w:footnoteReference w:id="252"/>
      </w:r>
      <w:r>
        <w:rPr>
          <w:rFonts w:ascii="Amiri" w:hAnsi="Amiri" w:eastAsia="Amiri" w:cs="Amiri"/>
          <w:color w:val="111111"/>
          <w:sz w:val="28"/>
          <w:sz w:val="28"/>
          <w:szCs w:val="28"/>
          <w:rtl w:val="true"/>
          <w:lang w:bidi="ar-SA"/>
        </w:rPr>
        <w:t xml:space="preserve">، غاية الأمر تخيّل المكلّف بحسب </w:t>
      </w:r>
      <w:r>
        <w:rPr>
          <w:rStyle w:val="FootnoteAnchor"/>
          <w:rtl w:val="true"/>
        </w:rPr>
        <w:footnoteReference w:id="253"/>
      </w:r>
      <w:r>
        <w:rPr>
          <w:rFonts w:ascii="Amiri" w:hAnsi="Amiri" w:eastAsia="Amiri" w:cs="Amiri"/>
          <w:color w:val="111111"/>
          <w:sz w:val="28"/>
          <w:sz w:val="28"/>
          <w:szCs w:val="28"/>
          <w:rtl w:val="true"/>
          <w:lang w:bidi="ar-SA"/>
        </w:rPr>
        <w:t>معتقده وجود الإطاعة ، واعتقاده لو كان مؤثّرا في وجودها لكان الأمر المعتقد أيضا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توقّف الإجزاء على الأمر ، وقد عرفت أنّ الأمر إمّا واقعيّ أو ظاهري ، وعلى التقديرين إمّا عقليّ أو شرعي ، ولا خامس لهذه الأقسام الأربعة ، وشيء منها لا يوجد في مقام تخلّف الاعتقاد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الواقعي الشرعي فلأنّ المفروض عدمه ، كالواقعيّ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الظاهري الشرعي فغير موجود ؛ إذ لا يعقل تكليف القاطع من حيث كونه جاهلا بالواقع على العمل بمعتقده ؛ لعدم احتماله خلاف الواقع ، فلا يمكن توجيه </w:t>
      </w:r>
      <w:r>
        <w:rPr>
          <w:rStyle w:val="FootnoteAnchor"/>
          <w:rtl w:val="true"/>
        </w:rPr>
        <w:footnoteReference w:id="254"/>
      </w:r>
      <w:r>
        <w:rPr>
          <w:rFonts w:ascii="Amiri" w:hAnsi="Amiri" w:eastAsia="Amiri" w:cs="Amiri"/>
          <w:color w:val="111111"/>
          <w:sz w:val="28"/>
          <w:sz w:val="28"/>
          <w:szCs w:val="28"/>
          <w:rtl w:val="true"/>
          <w:lang w:bidi="ar-SA"/>
        </w:rPr>
        <w:t>هذا الخطاب إليه ، والخصم أيضا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 العقلي فلعدم تعقّل حكم العقل بكونه مكلّفا بالعمل بقطعه من حيث كونه جاهلا بالواقع ؛ إذ بعد قطعه بخلاف الواقع لا احتمال للواقع عنده ، فكيف يقال في حقّه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العقلاء المطّلعون على حاله وعلى الواقع يحكمون بكونه جاهلا بالواقع ومعذوريّته بالنسبة إلى الواقع للزوم التكليف بما لا يطاق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أوامر الإطاعة والنهي عن المعصية فتحقّقها موقوف على الأوامر الواقعيّة ، والمفروض </w:t>
      </w:r>
      <w:r>
        <w:rPr>
          <w:rStyle w:val="FootnoteAnchor"/>
          <w:rtl w:val="true"/>
        </w:rPr>
        <w:footnoteReference w:id="255"/>
      </w:r>
      <w:r>
        <w:rPr>
          <w:rFonts w:ascii="IRNazanin" w:hAnsi="IRNazanin" w:eastAsia="IRNazanin"/>
          <w:color w:val="111111"/>
          <w:sz w:val="28"/>
          <w:sz w:val="28"/>
          <w:szCs w:val="28"/>
          <w:rtl w:val="true"/>
          <w:lang w:bidi="fa-IR"/>
        </w:rPr>
        <w:t>انتفاؤها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يبقى في المقام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لا يجدي شيئا ؛ إذ بعد تسليم وجوب الانقياد وحرمة التجرّي ، فهذا الفعل الذي ارتكبه الجاهل يصير حسنا أو قبيحا باعتبار كونه انقيادا أو تجرّيا مع قطع النظر عن الأوامر الواقعيّة ؛ فإنّ موضوع التجرّي والانقياد ممّا لا يتحقّق إلاّ بعد تخلّف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فإيجاد فعل يكون منشأ لانتزاع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يجدي في عنوان المأمور به الواقعي الذي لم يحم حوله المكلّف أبدا ، فالأمر به بعد العلم به باق بحاله ، والعقل الحامل على وجوب امتثال أوامر اللّه ورسوله </w:t>
      </w:r>
      <w:r>
        <w:rPr>
          <w:rStyle w:val="FootnoteAnchor"/>
          <w:rtl w:val="true"/>
        </w:rPr>
        <w:footnoteReference w:id="256"/>
      </w:r>
      <w:r>
        <w:rPr>
          <w:rFonts w:ascii="Amiri" w:hAnsi="Amiri" w:eastAsia="Amiri" w:cs="Amiri"/>
          <w:color w:val="111111"/>
          <w:sz w:val="28"/>
          <w:sz w:val="28"/>
          <w:szCs w:val="28"/>
          <w:rtl w:val="true"/>
          <w:lang w:bidi="ar-SA"/>
        </w:rPr>
        <w:t>موجود ، فيحكم بوجوبه ، ولا مخلص عنه إلاّ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 دليل على عدم التكليف بعد الكشف لا بدّ من طرحه ؛ إذ ليس الكلام في الخارج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الوقت </w:t>
      </w:r>
      <w:r>
        <w:rPr>
          <w:rStyle w:val="FootnoteAnchor"/>
          <w:rtl w:val="true"/>
        </w:rPr>
        <w:footnoteReference w:id="257"/>
      </w:r>
      <w:r>
        <w:rPr>
          <w:rFonts w:ascii="Amiri" w:hAnsi="Amiri" w:eastAsia="Amiri" w:cs="Amiri"/>
          <w:color w:val="111111"/>
          <w:sz w:val="28"/>
          <w:sz w:val="28"/>
          <w:szCs w:val="28"/>
          <w:rtl w:val="true"/>
          <w:lang w:bidi="ar-SA"/>
        </w:rPr>
        <w:t>فلا بدّ أن يحمل على النسخ أو حصول البداء أو غير ذلك من وجوه سقوط التكليف ، والكلّ باطل ؛ ولذلك قلنا بامتناع الإجزاء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نسى شيئا من أجزاء المركّب وأتى ببعض أجزائه ، فقضيّة القاعدة عدم الإجزاء فيما إذا كان الجزء من الأجزاء الواقعيّة لذلك المركّب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التكليف بالإتيان بذلك الجزء مختصّا بحالة الذكر ، على وجه يكون المكلّف به هو المشترك بين حالة الذكر والذهول ، فمرجعه إلى الواقعيّ الاضطراري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الإجزاء ، ففيما إذا كان الجزء واقعيّا </w:t>
      </w:r>
    </w:p>
    <w:p>
      <w:pPr>
        <w:pStyle w:val="BookText"/>
        <w:rPr/>
      </w:pPr>
      <w:r>
        <w:rPr>
          <w:rFonts w:ascii="Amiri" w:hAnsi="Amiri" w:eastAsia="Amiri" w:cs="Amiri"/>
          <w:color w:val="111111"/>
          <w:sz w:val="28"/>
          <w:sz w:val="28"/>
          <w:szCs w:val="28"/>
          <w:rtl w:val="true"/>
          <w:lang w:bidi="ar-SA"/>
        </w:rPr>
        <w:t xml:space="preserve">والشرط كذلك وأتى المكلّف بالفعل من دون إتيانه ذلك يمتنع الإجزاء ؛ إذ لا أمر هناك أيضا لا واقعا ولا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الواقعي فمعلوم العدم ؛ إذ المفروض تعلّقه بمركّب مشتمل على الجزء المنسي ، فليس ما عداه مأمورا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الظاهري فلأنّ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حكم لموضوع من حيث هو جاهل بالواقع ، كما في الأحكام المجعولة في موارد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من حيث هو شاك بالواقع حكمه الأخذ بالحالة السابقة مثلا ، ومن المعلوم أنّ حكم موضوع من الموضوعات غير متوجّه إلى أحد إلاّ على تقدير التفاته بأنّه داخل في ذلك الموضوع ، فالغافل والناسي والساهي لو كان لها أحكام ظاهريّة من حيث عدم الوصول إلى الواقع ، لا تتوجّه تلك الأحكام إلى المكلّف إلاّ على تقدير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السهو والنسيان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ساهيا غافلا ناسيا ، ومن المعلوم بالضرورة فساد ذلك ؛ إذ على تقدير التفاته بالسهو والنسيان والغفلة يلتفت إلى الواقع </w:t>
      </w:r>
      <w:r>
        <w:rPr>
          <w:rStyle w:val="FootnoteAnchor"/>
          <w:rtl w:val="true"/>
        </w:rPr>
        <w:footnoteReference w:id="259"/>
      </w:r>
      <w:r>
        <w:rPr>
          <w:rFonts w:ascii="Amiri" w:hAnsi="Amiri" w:eastAsia="Amiri" w:cs="Amiri"/>
          <w:color w:val="111111"/>
          <w:sz w:val="28"/>
          <w:sz w:val="28"/>
          <w:szCs w:val="28"/>
          <w:rtl w:val="true"/>
          <w:lang w:bidi="ar-SA"/>
        </w:rPr>
        <w:t>، فإن علم به لا بدّ من الإتيان به ، وإلاّ فعليه الفحص ، ويخرج بذلك عن موضوع الساهي والناسي والغافل ، وذلك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العمل الصادر من المكلّف حال النسيان إنّما يعتقد فيه أنّه الواقع ، فعلى تقدير وجود الحكم الظاهري لذلك الموضوع وتعلّقه بالنسبة إليه ليس العمل الذي ارتكبه صادرا منه بذلك الاعتبار ، وهو واضح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260"/>
      </w:r>
      <w:r>
        <w:rPr>
          <w:rFonts w:ascii="Amiri" w:hAnsi="Amiri" w:eastAsia="Amiri" w:cs="Amiri"/>
          <w:color w:val="111111"/>
          <w:sz w:val="28"/>
          <w:sz w:val="28"/>
          <w:szCs w:val="28"/>
          <w:rtl w:val="true"/>
          <w:lang w:bidi="ar-SA"/>
        </w:rPr>
        <w:t xml:space="preserve">، أعني صورة حصول الظنّ من الأمارات الغير المجعولة شرعا عند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استقلال العقل بكون الظنّ المطلق طريقا إلى الواقع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منجعلا من دون حاجة إلى الجعل كما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الداعي إلى إيجاد الفعل والعمل في الخارج ليس إلاّ الأمر الواقعي الذي استكشفه العامل بالظنّ الذي ليس فيه شائبة </w:t>
      </w:r>
      <w:r>
        <w:rPr>
          <w:rStyle w:val="FootnoteAnchor"/>
          <w:rtl w:val="true"/>
        </w:rPr>
        <w:footnoteReference w:id="261"/>
      </w:r>
      <w:r>
        <w:rPr>
          <w:rFonts w:ascii="Amiri" w:hAnsi="Amiri" w:eastAsia="Amiri" w:cs="Amiri"/>
          <w:color w:val="111111"/>
          <w:sz w:val="28"/>
          <w:sz w:val="28"/>
          <w:szCs w:val="28"/>
          <w:rtl w:val="true"/>
          <w:lang w:bidi="ar-SA"/>
        </w:rPr>
        <w:t>الموضوعيّة ، بل اعتباره حينئذ بمجرّد كشفه الظنّي عن الواقع ، وبعد كشف الخلاف يظهر أنّه كان لاغيا في العمل ، وإنّما كان متخيّلا لوجود الأمر ، والمفروض عدم تأثير تخيّله في وجود الأمر واقعا ، فلا أمر في الواقع ، فلا إجزاء ؛ ضرورة تفرّعه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بعد ما عرفت القول في ذلك عند القطع مع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اتّجاه الاستناد إليه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37" w:name="pg16254_218391"/>
    </w:p>
    <w:p>
      <w:pPr>
        <w:pStyle w:val="Heading3"/>
        <w:numPr>
          <w:ilvl w:val="2"/>
          <w:numId w:val="1"/>
        </w:numPr>
        <w:rPr/>
      </w:pPr>
      <w:bookmarkStart w:id="138" w:name="__RefHeading___Toc4418218_1280447820"/>
      <w:bookmarkStart w:id="139" w:name="_Toc46"/>
      <w:bookmarkEnd w:id="137"/>
      <w:bookmarkEnd w:id="138"/>
      <w:r>
        <w:rPr>
          <w:rtl w:val="true"/>
        </w:rPr>
        <w:t>هداية في الأمر الظاهريّ الشرعي</w:t>
      </w:r>
      <w:bookmarkEnd w:id="139"/>
    </w:p>
    <w:p>
      <w:pPr>
        <w:pStyle w:val="BookText"/>
        <w:rPr/>
      </w:pPr>
      <w:r>
        <w:rPr>
          <w:rFonts w:ascii="Amiri" w:hAnsi="Amiri" w:eastAsia="Amiri" w:cs="Amiri"/>
          <w:color w:val="111111"/>
          <w:sz w:val="28"/>
          <w:sz w:val="28"/>
          <w:szCs w:val="28"/>
          <w:rtl w:val="true"/>
          <w:lang w:bidi="ar-SA"/>
        </w:rPr>
        <w:t xml:space="preserve">وينبغي تمهيد مقدّمة في بيان المراد من الحكم الظاهري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الحكم الظاهري في قبال الأحكام المستفادة من الأدلّة الاجتهاديّة ، كأخبار الآحاد ونحوها من الأمارات الكاشفة عن الأحكام الواقعيّة التي لا مدخل للعلم والجهل فيها ، وإن كان لغيرهما من الصفات واللواحق والطوارئ مدخل فيه ، كالصحّة والمرض والسفر والحضر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الأحكام الظاهرية مختصّة بموارد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والاحتياط والاستصحاب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بها الأحكام المستفادة من الأمارات التي يحتاج في اعتبارها إلى جعل ، فيعمّ الأمارات الاجتهادية وغيرها من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الحكم الظاهري هو الوجوب المستفاد من الأدلّة التي يجب الأخذ به بواسطة ما دلّ على اعتبار ما دلّ على ذلك الوجوب ، من الخبر والأصل ونحوهما ، وإن كان ذلك الخبر مثلا ناظرا إلى الواقع ومبيّنا لما نزل به جبرئيل عليه‌السلام ، إلاّ أنّه لمّا لم يكن ذلك البيان والكشف علميّا احتاج إلى دليل آخر يفيد اعتباره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فلمثل هذه الأخبار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ناظرة إلى الواقع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احتياجها إلى دليل الاعتبار ، فمن حيث إنّها كواشف عن الواقع يقيّد بالأحكام الواقعيّة الاجتهاديّة ، ومن حيث احتياجها إلى دليل الاعتبار يطلق على 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 وهذا إنّما هو في مثل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الاصول فلها جهة واحدة ؛ إذ لا كشف فيها جدّا ، وهو الوجه في تقديم الأدلّة الاجتهاديّة عليها مع اشتراكهما في كون الأحكام المستفادة منهما أحكاما ظاهريّة ، وليس المقام محلّ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فالمراد من الأحكام الظاهريّة في المقام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المحمولات الثابتة للموضوعات الواقعيّة باعتبار قيام أمارة عليها التي دلّت الأدلّة القطعيّة على وجوب العمل بها وترتّب الأثر عليها ، سواء كانت تلك الأمارة دليلا اجتهاديّا حكميّا كأخبار الآحاد ، أو موضوعيّا كالبيّنة ونحوها ، أم أصلا من الاصول ، سواء كان من الاصول المعمولة في الأحكام الكلّية الإلهيّة كالبراءة والاحتياط والاستصحاب ونحوها ، أم من الاصول </w:t>
      </w:r>
      <w:r>
        <w:rPr>
          <w:rStyle w:val="FootnoteAnchor"/>
          <w:rtl w:val="true"/>
        </w:rPr>
        <w:footnoteReference w:id="262"/>
      </w:r>
      <w:r>
        <w:rPr>
          <w:rFonts w:ascii="Amiri" w:hAnsi="Amiri" w:eastAsia="Amiri" w:cs="Amiri"/>
          <w:color w:val="111111"/>
          <w:sz w:val="28"/>
          <w:sz w:val="28"/>
          <w:szCs w:val="28"/>
          <w:rtl w:val="true"/>
          <w:lang w:bidi="ar-SA"/>
        </w:rPr>
        <w:t>المعمولة في الموضوعات الخارجيّة والأحكام الجزئيّة كأصالة الصحّة ، واليد ، والسوق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المراد من الحكم الظاهري في المقام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بعد كشف الخلاف في الأحكام الظاهريّة مع الإتيان بالمأمور به الظاهري لا إجزاء واقعا وإن أمكن الإجزاء ؛ فلنا في المقام دعويان ، يظهر وجه الثانية في ضمن بيان الاولى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وتوضيحها يحتاج إلى تمهيد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 في مقامه </w:t>
      </w:r>
      <w:r>
        <w:rPr>
          <w:rStyle w:val="FootnoteAnchor"/>
          <w:rtl w:val="true"/>
        </w:rPr>
        <w:footnoteReference w:id="263"/>
      </w:r>
      <w:r>
        <w:rPr>
          <w:rFonts w:ascii="Amiri" w:hAnsi="Amiri" w:eastAsia="Amiri" w:cs="Amiri"/>
          <w:color w:val="111111"/>
          <w:sz w:val="28"/>
          <w:sz w:val="28"/>
          <w:szCs w:val="28"/>
          <w:rtl w:val="true"/>
          <w:lang w:bidi="ar-SA"/>
        </w:rPr>
        <w:t xml:space="preserve">أنّ جعل الطرق المفيدة للأحكام الظاهريّة باعتبار وجوب العمل بمفادها مع إمكان التخلّف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وقوع التخلّف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ما لم يشتمل سلوك ذلك الطريق على مصلحة زائدة أو مساوية لمصلحة الواقع ؛ لئلاّ يلزم تفويت المصلحة الواقعيّة ونقض الغرض في جعل الأحكام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اللزوم لولاه ظاهر ، ونزيده توضيحا بملاحظة جواز الرجوع إلى البيّنة في تشخيص الوقت مع إمكان تحصيل العلم به بالإحساس وغيره من أسباب العلم ، فقضيّة اللطف الواجب على اللطيف الحكيم اشتمال ذلك الطريق على مصلحة متداركة لما هو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الردّ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حين أنكر جواز العمل بالخبر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المصلحة يمكن أن تكون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تلك المصلحة في الموارد التي دلّ على حكمها تلك الطرق لا من حيث ذواتها ، بل من حيث قيام تلك الطرق عليها واستفادة أحكامها منها ، فيكون قيام تلك الأمارة ودلالتها على حكم موردها موجبا لحدوث مصلحة في ذلك المورد ، عدا ما فيه من المصلحة المقتضية لجعل الحكم الواقعي على طبقه ، وتلك المصلحة هي الداعية لجعل الشارع تلك الأمارة حجّة </w:t>
      </w:r>
      <w:r>
        <w:rPr>
          <w:rStyle w:val="FootnoteAnchor"/>
          <w:rtl w:val="true"/>
        </w:rPr>
        <w:footnoteReference w:id="266"/>
      </w:r>
      <w:r>
        <w:rPr>
          <w:rFonts w:ascii="Amiri" w:hAnsi="Amiri" w:eastAsia="Amiri" w:cs="Amiri"/>
          <w:color w:val="111111"/>
          <w:sz w:val="28"/>
          <w:sz w:val="28"/>
          <w:szCs w:val="28"/>
          <w:rtl w:val="true"/>
          <w:lang w:bidi="ar-SA"/>
        </w:rPr>
        <w:t>في قبال مصلحة الواقع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دلّ الدليل على حرمة العصير العنبي ، فهذا الموضوع له مصلحتان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مكنونة فيه مع قطع النظر عن كونه مدلولا للأمارة التي اقتضت جعل الحكم الواقعي على طبقها من الحلية وجواز الأكل ونحوهما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يعتريه ويعرضه باعتبار كونه من موارد الأمارة الفلانيّة ، من مصلحة الحرمة وعدم جواز الأكل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تقييد الأدلّة الواقعيّة وتنويع ذلك الموضوع به ، فإنّه لا بدّ من القول بأنّ حلّية العصير فيما لم يكن أخبر العدل بحرمته ، فالعصير </w:t>
      </w:r>
    </w:p>
    <w:p>
      <w:pPr>
        <w:pStyle w:val="BookText"/>
        <w:rPr/>
      </w:pPr>
      <w:r>
        <w:rPr>
          <w:rFonts w:ascii="Amiri" w:hAnsi="Amiri" w:eastAsia="Amiri" w:cs="Amiri"/>
          <w:color w:val="111111"/>
          <w:sz w:val="28"/>
          <w:sz w:val="28"/>
          <w:szCs w:val="28"/>
          <w:rtl w:val="true"/>
          <w:lang w:bidi="ar-SA"/>
        </w:rPr>
        <w:t>فيما إذا طرأ له كونه ممّا أخبر العدل بحرمته يغايره فيما إذا لم يخبر العدل بحرمته ، فهو إذن نوعان ، فالحكمان إنّما هما واردان على موضوعين ، كالحاضر والمسافر والصحيح 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وتسمية مثل ذلك حكما ظاهريّا إنّما هو من مجرّد الاصطلاح الذي لا مشاحّة فيه ، وإلاّ فهو حكم واقعيّ في موضوعه ؛ إذ لا حكم في الواقع لذلك الموضوع إلاّ ذلك ، فيلزم التصويب على ذلك التقدير </w:t>
      </w:r>
      <w:r>
        <w:rPr>
          <w:rStyle w:val="FootnoteAnchor"/>
          <w:rtl w:val="true"/>
        </w:rPr>
        <w:footnoteReference w:id="267"/>
      </w:r>
      <w:r>
        <w:rPr>
          <w:rFonts w:ascii="IRNazanin" w:hAnsi="IRNazanin" w:eastAsia="IRNazanin"/>
          <w:color w:val="111111"/>
          <w:sz w:val="28"/>
          <w:sz w:val="28"/>
          <w:szCs w:val="28"/>
          <w:rtl w:val="true"/>
          <w:lang w:bidi="fa-IR"/>
        </w:rPr>
        <w:t>، ووجه اللزوم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الطريق على وجه لا يوجب وجود مصلحة متداركة لمصلحة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 ومتعلّقه ، ولا يصير منشأ لحدوث </w:t>
      </w:r>
      <w:r>
        <w:rPr>
          <w:rStyle w:val="FootnoteAnchor"/>
          <w:rtl w:val="true"/>
        </w:rPr>
        <w:footnoteReference w:id="268"/>
      </w:r>
      <w:r>
        <w:rPr>
          <w:rFonts w:ascii="Amiri" w:hAnsi="Amiri" w:eastAsia="Amiri" w:cs="Amiri"/>
          <w:color w:val="111111"/>
          <w:sz w:val="28"/>
          <w:sz w:val="28"/>
          <w:szCs w:val="28"/>
          <w:rtl w:val="true"/>
          <w:lang w:bidi="ar-SA"/>
        </w:rPr>
        <w:t>المصلحة في مدلوله من حيث دلالته عليه ، فلا بدّ من أن يكون المصلحة في جعله طريقا ، من غير أن تسري تلك المصلحة إلى الموارد التي دلّت تلك الطرق عليها ، وإلاّ لزم تحليل الحرام وتحريم الحلال من دون ما يقضي بذلك ، وهو قبيح ، كما عليه المانع من العمل بالطريق الظنّي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الفرق بين الوجهين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على الأوّل إنّما هي في الموضوعات التي يدلّ عليها الطرق الظنّية ، وعلى الثاني إنّما هي في جعلها طرقا إلى الواقع ووجوب الأخذ بمداليلها على أنّها هي الواقع ، فليس فيها إلغاء الواقع ، بل هو عين مراعاة الواقع بجعل الطريق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لم يخالف تلك الطرق عن الواقع فلا إشكال ، وعند التخلّف يكون مداليلها واقعيّا جعليّا ، لا لوجود المصلحة في نفس المدلول حتّى يكون من هذه الجهة في عرض الواقع وإن كان من جهة اخرى مرتّبا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لاقتضاء الحكمة والمصلحة نفس </w:t>
      </w:r>
      <w:r>
        <w:rPr>
          <w:rStyle w:val="FootnoteAnchor"/>
          <w:rtl w:val="true"/>
        </w:rPr>
        <w:footnoteReference w:id="269"/>
      </w:r>
      <w:r>
        <w:rPr>
          <w:rFonts w:ascii="Amiri" w:hAnsi="Amiri" w:eastAsia="Amiri" w:cs="Amiri"/>
          <w:color w:val="111111"/>
          <w:sz w:val="28"/>
          <w:sz w:val="28"/>
          <w:szCs w:val="28"/>
          <w:rtl w:val="true"/>
          <w:lang w:bidi="ar-SA"/>
        </w:rPr>
        <w:t xml:space="preserve">الجعل والتنزيل الذي </w:t>
      </w:r>
    </w:p>
    <w:p>
      <w:pPr>
        <w:pStyle w:val="BookText"/>
        <w:rPr/>
      </w:pPr>
      <w:r>
        <w:rPr>
          <w:rFonts w:ascii="Amiri" w:hAnsi="Amiri" w:eastAsia="Amiri" w:cs="Amiri"/>
          <w:color w:val="111111"/>
          <w:sz w:val="28"/>
          <w:sz w:val="28"/>
          <w:szCs w:val="28"/>
          <w:rtl w:val="true"/>
          <w:lang w:bidi="ar-SA"/>
        </w:rPr>
        <w:t>يقضي بوجوب الأخذ به في مقام الظاهر وترتيب الآثار الواقعيّة على مداليلها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هو بقاء الأحكام الواقعيّة وعدم تقييدها ، فهي إذن بالنسبة إلى العالم والجاهل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وجود الأمارة وعدمها في الأحكام الواقعيّة المتعلّقة بالموضوعات الواقعيّة </w:t>
      </w:r>
      <w:r>
        <w:rPr>
          <w:rStyle w:val="FootnoteAnchor"/>
          <w:rtl w:val="true"/>
        </w:rPr>
        <w:footnoteReference w:id="270"/>
      </w:r>
      <w:r>
        <w:rPr>
          <w:rFonts w:ascii="Amiri" w:hAnsi="Amiri" w:eastAsia="Amiri" w:cs="Amiri"/>
          <w:color w:val="111111"/>
          <w:sz w:val="28"/>
          <w:sz w:val="28"/>
          <w:szCs w:val="28"/>
          <w:rtl w:val="true"/>
          <w:lang w:bidi="ar-SA"/>
        </w:rPr>
        <w:t>من غير 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يدلّ على ذلك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تلك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أدلّة </w:t>
      </w:r>
      <w:r>
        <w:rPr>
          <w:rStyle w:val="FootnoteAnchor"/>
          <w:rtl w:val="true"/>
        </w:rPr>
        <w:footnoteReference w:id="271"/>
      </w:r>
      <w:r>
        <w:rPr>
          <w:rFonts w:ascii="Amiri" w:hAnsi="Amiri" w:eastAsia="Amiri" w:cs="Amiri"/>
          <w:color w:val="111111"/>
          <w:sz w:val="28"/>
          <w:sz w:val="28"/>
          <w:szCs w:val="28"/>
          <w:rtl w:val="true"/>
          <w:lang w:bidi="ar-SA"/>
        </w:rPr>
        <w:t>الواقع ، بمعنى تنزيل مداليل تلك الطرق منزلة الواقع ، ووجوب الأخذ بها على أنّها الواقع ، ولزوم ترتيب آثار الواقع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هذين الوجهين والفرق بينهما ، فاعلم أنّ لازم الوجه الأوّل هو الإجزاء وعدم لزوم الإعادة فيما لو انكشف الخلاف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مرّ القول فيه </w:t>
      </w:r>
      <w:r>
        <w:rPr>
          <w:rStyle w:val="FootnoteAnchor"/>
          <w:rtl w:val="true"/>
        </w:rPr>
        <w:footnoteReference w:id="272"/>
      </w:r>
      <w:r>
        <w:rPr>
          <w:rFonts w:ascii="Amiri" w:hAnsi="Amiri" w:eastAsia="Amiri" w:cs="Amiri"/>
          <w:color w:val="111111"/>
          <w:sz w:val="28"/>
          <w:sz w:val="28"/>
          <w:szCs w:val="28"/>
          <w:rtl w:val="true"/>
          <w:lang w:bidi="ar-SA"/>
        </w:rPr>
        <w:t xml:space="preserve">في الواقعي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لازمه تقييد أدلّة الواقع وتنويع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كالمسافر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المكلّف به هو أحد الأمرين ؛ لما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تساوى شيئان في المصلحة فلا وجه للتكليف بأحدهما على وجه التعيين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معنى لبقاء التكليف بعد الإتيان بأحد الأبدال في الواجبات التخييريّة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كالخصال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المعلوم أولويّة المقام من الأمر الاضطراري ؛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المصلحة المترتّبة على الناقص ربما يكون غير مساوية للمصلحة المترتّبة على الكامل ، فلا مانع من أن يأمر به الحكيم تحصيلا للمصلحة الكاملة بعد زوال العذر </w:t>
      </w:r>
    </w:p>
    <w:p>
      <w:pPr>
        <w:pStyle w:val="BookText"/>
        <w:rPr/>
      </w:pPr>
      <w:r>
        <w:rPr>
          <w:rFonts w:ascii="Amiri" w:hAnsi="Amiri" w:eastAsia="Amiri" w:cs="Amiri"/>
          <w:color w:val="111111"/>
          <w:sz w:val="28"/>
          <w:sz w:val="28"/>
          <w:szCs w:val="28"/>
          <w:rtl w:val="true"/>
          <w:lang w:bidi="ar-SA"/>
        </w:rPr>
        <w:t xml:space="preserve">والاضطرار ، والمفروض في المقام هو مساواة المصلحة المترتّبة على الفعل من جهة ملاحظة نفسه ومن حيث </w:t>
      </w:r>
      <w:r>
        <w:rPr>
          <w:rStyle w:val="FootnoteAnchor"/>
          <w:rtl w:val="true"/>
        </w:rPr>
        <w:footnoteReference w:id="274"/>
      </w:r>
      <w:r>
        <w:rPr>
          <w:rFonts w:ascii="Amiri" w:hAnsi="Amiri" w:eastAsia="Amiri" w:cs="Amiri"/>
          <w:color w:val="111111"/>
          <w:sz w:val="28"/>
          <w:sz w:val="28"/>
          <w:szCs w:val="28"/>
          <w:rtl w:val="true"/>
          <w:lang w:bidi="ar-SA"/>
        </w:rPr>
        <w:t>قيام الأمارة عليه ، وبعد فرض التساوي لا وجه للأمر ؛ لامتناع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دلّ على كون العالم مكلّفا بالواقع ، والجاهل بما أدّى إليه الطريق كما هو المفروض ، مع كون الوقت موسّعا ، كما هو مفروض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تعقّل الإعادة على تقدير عدم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ما دلّ على الترخيص في إيجاد الفعل في أيّ جزء من أجزاء الوقت الموسّع ، يفهم منه أنّ المكلّف به هو القدر المشترك بين مؤدّى الطريق والواقع ، وأنّ المكلّف مخيّر بينهما على حسب أجزاء الزمان ، وعلى حسب ما يطرأ له من حالاته علما وجهلا وحضرا وسفرا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مرارا أنّ الإتيان بالفرد مسقط عن التكليف بالقدر المشترك ، فلا وجه للقول بالإعادة على ذلك التقدير ، إلاّ أنّ الكلام في نفس التقدير ،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الوجه الثاني هو وجوب الإعادة وعدم الإجزاء عند كشف الخلاف ؛ إذ المفروض عدم تقييد الواقع وبقاء الأحكام الواقعيّة بحالها وعدم اختلافها بالعلم والجهل وعدم تغيّرها بوجود الأمارة المتخلّفة وعدمها ، فقضيّة ما دلّ على وجوب الخروج عن عهدة التكاليف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بها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الإتيان بالواقع ووجوب امتثال أوامره ونواهيه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الأمارة وإن لم يوجب حدوث المصلحة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من أن يكون جعلها حجّة وأمارة مشتملا على مصلحة مساوية لمصلحة الواقع عند التخلّف عنه ، وإلاّ لزم تفويت المصلحة الواقعيّة من غير تدارك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الأخذ بالأمارة والعمل بمدلولها قد حاز المكلّف ما يساوي مصلحة الواقع ، فيكون ذلك الأخذ في مرتبة العمل بالواقع ، وقد قرّر في </w:t>
      </w:r>
    </w:p>
    <w:p>
      <w:pPr>
        <w:pStyle w:val="BookText"/>
        <w:rPr/>
      </w:pPr>
      <w:r>
        <w:rPr>
          <w:rFonts w:ascii="Amiri" w:hAnsi="Amiri" w:eastAsia="Amiri" w:cs="Amiri"/>
          <w:color w:val="111111"/>
          <w:sz w:val="28"/>
          <w:sz w:val="28"/>
          <w:szCs w:val="28"/>
          <w:rtl w:val="true"/>
          <w:lang w:bidi="ar-SA"/>
        </w:rPr>
        <w:t>مقامه أنّ العمل بما يشتمل على مصلحة شيء مجز عن ذلك الشيء ، فلا بدّ أن يكون الأخذ بالأمارة مجزيا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 إنّما يجدي فيما لم ينكشف الخلاف ، وأمّا بعد انكشافه في الوقت ، فلا ينبغي الإشكال في عدم اشتمال الأمارة على مصلحة الفعل ؛ إذ بعد العلم بوجوب الواقع واشتماله على المصلحة ، لا يلزم تفويت المصلحة منه تعالى ،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ترتّب فائدة على وقوع الفعل في الزمان الذي وقع فيه على حسب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المسارعة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الحكمة واللطف هو ترتّب تلك الفائدة على الأخذ بالأمارة ؛ فإنّ تفويت تلك الفائدة مستند إلى اللّه حيث جعل تلك الأمارة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ما ذكرنا لا يجري فيما لو كان هناك حكم مترتّب على العلم ؛ فإنّه لا بدّ من القول بالإجزاء فيه ، لأنّ موضوع ذلك الحكم واقع في الواقع ، فلا وجه لعدم ترتّبه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دلّ الخبر الواحد على وجوب صلاة الجمعة ، وامتثلها المكلّف ، ثمّ أتى بالنافلة المبتدأة اتّكالا على فراغ ذمّته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الخلاف ، بأنّ الواجب عليه في الواقع هو الظهر دون الجمعة ، فهنا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إعادة الصلاة ظهرا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ترتّب فائدة التعجيل والمسارعة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يبق محلّها بعد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بالأمارة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النافلة المبتدأة فيما لو قلنا بأنّ صحّتها متفرّعة على العلم بعدم اشتغال الذمّة بالفريضة ، كما قد يستظهر ذلك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تطوّع لمن عليه الفريضة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وأمّا لو قلنا بأنّ صحّتها موقوفة على عدم اشتغال الذمّة واقعا بالفريضة ، فلا وجه للقول بالصحّة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الإمام في الثوب النجس تعويلا على أصالة الطهارة ، فصحّة صلاة المأموم يحتمل تفرّعها على علم الإمام بصحّة صلاته ، ويحتمل تفرّعها على صحّتها في الواقع ، فعلى الأوّل لا وجه للإعادة مطلقا ؛ لحصول ما هو الوجه في الصحّة واقعا ، وعلى الثاني لا بدّ من القول بالإعادة إذا لم نقل بأنّ الصلاة في الثوب النجس تعويلا على استصحاب الطهارة صحيحة في الواقع بحيث لا يجب إعادتها لو انكشف نجاسته في الوقت ، وأمّا إذا قلنا بذلك فتصحّ صلاة المأموم قطعا ؛ لأنّ شرط صحّة الاقتداء صحّة صلاة الإمام واقعا ، وهي حاصلة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فرّع العلاّمة صحّة صلاة المأموم في الفرض على ذلك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من آثار العلم بالواقع فهو مترتّب على العمل بالأمارة ، وكلّ ما هو من آثار الواقع فلا وجه لترتّبه على العمل بعد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القول بإمكان الإجزاء في صورة التخلّف في الأحكام الظاهريّة الشرعيّة ، إلاّ أنّ ذلك غير خال عن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 ذلك ومعرفة أنّ الحكم من الأحكام المتفرّعة على العلم أو من الآثار المترتّبة على الواقع ، فلا بدّ في ذلك من الرجوع إلى ما يفيد ذلك الحكم من الأدلّة ، فإن استظهرنا من الدليل تفرّعه على العلم فيحكم بالإجزاء ، وإن استكشفنا منه ترتّبه على الواقع فلا وجه للقول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ظاهر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أنّ جعل الطرق الظاهريّة ، على أيّ وجه من الوجهين المعلومين؟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الوجه الثاني ؛ فإنّ مقتضى الأدلّة الدالّة على حجّية تلك الطرق هو مراعاة الواقع ، فلا تكون هذه الأمارات في عرض الواقع ، بل المستفاد منها أنّها طرق إليه عند الجهل ، إمّا مطلقا من دون تقييدها بالفحص </w:t>
      </w:r>
    </w:p>
    <w:p>
      <w:pPr>
        <w:pStyle w:val="BookText"/>
        <w:rPr/>
      </w:pPr>
      <w:r>
        <w:rPr>
          <w:rFonts w:ascii="Amiri" w:hAnsi="Amiri" w:eastAsia="Amiri" w:cs="Amiri"/>
          <w:color w:val="111111"/>
          <w:sz w:val="28"/>
          <w:sz w:val="28"/>
          <w:szCs w:val="28"/>
          <w:rtl w:val="true"/>
          <w:lang w:bidi="ar-SA"/>
        </w:rPr>
        <w:t xml:space="preserve">وعدمه ، كما في الأمارات المعمولة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الاستصحاب واليد والسوق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مع الفحص ، كما في الأمارات المعمولة في الأحكام ؛ كما يرشدك إلى ذلك ملاحظة أدلّة الاصول العمليّة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وغير ذلك ، فإنّ المستفاد منها هو وجود الحرام الواقعي مع قطع النظر عن العلم والجهل ، وأنّ الشارع جعل في موارد الاصول أحكاما كلّية في مقام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الأخبار الواردة في حجّية الأخبار الموثوق بها </w:t>
      </w:r>
      <w:r>
        <w:rPr>
          <w:rStyle w:val="FootnoteAnchor"/>
          <w:rtl w:val="true"/>
        </w:rPr>
        <w:footnoteReference w:id="278"/>
      </w:r>
      <w:r>
        <w:rPr>
          <w:rFonts w:ascii="Amiri" w:hAnsi="Amiri" w:eastAsia="Amiri" w:cs="Amiri"/>
          <w:color w:val="111111"/>
          <w:sz w:val="28"/>
          <w:sz w:val="28"/>
          <w:szCs w:val="28"/>
          <w:rtl w:val="true"/>
          <w:lang w:bidi="ar-SA"/>
        </w:rPr>
        <w:t xml:space="preserve">، وملاحظة الأخبار الواردة في مقام علاج الأخبار المتعارضة </w:t>
      </w:r>
      <w:r>
        <w:rPr>
          <w:rStyle w:val="FootnoteAnchor"/>
          <w:rtl w:val="true"/>
        </w:rPr>
        <w:footnoteReference w:id="279"/>
      </w:r>
      <w:r>
        <w:rPr>
          <w:rFonts w:ascii="Amiri" w:hAnsi="Amiri" w:eastAsia="Amiri" w:cs="Amiri"/>
          <w:color w:val="111111"/>
          <w:sz w:val="28"/>
          <w:sz w:val="28"/>
          <w:szCs w:val="28"/>
          <w:rtl w:val="true"/>
          <w:lang w:bidi="ar-SA"/>
        </w:rPr>
        <w:t>، وملاحظة كلمات العلماء في الأبواب الفقهيّة والقوانين الاصوليّة وغيرها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شاهدا في المقام الإجماع على حسن الاحتياط في الموارد التي قامت فيها الطرق الشرعيّة والأخبار الآمرة على وجه الإرشاد بالأخذ بما هو الحائط </w:t>
      </w:r>
      <w:r>
        <w:rPr>
          <w:rStyle w:val="FootnoteAnchor"/>
          <w:rtl w:val="true"/>
        </w:rPr>
        <w:footnoteReference w:id="280"/>
      </w:r>
      <w:r>
        <w:rPr>
          <w:rFonts w:ascii="Amiri" w:hAnsi="Amiri" w:eastAsia="Amiri" w:cs="Amiri"/>
          <w:color w:val="111111"/>
          <w:sz w:val="28"/>
          <w:sz w:val="28"/>
          <w:szCs w:val="28"/>
          <w:rtl w:val="true"/>
          <w:lang w:bidi="ar-SA"/>
        </w:rPr>
        <w:t xml:space="preserve">، والنهي عن ارتكاب الشبهات </w:t>
      </w:r>
      <w:r>
        <w:rPr>
          <w:rStyle w:val="FootnoteAnchor"/>
          <w:rtl w:val="true"/>
        </w:rPr>
        <w:footnoteReference w:id="281"/>
      </w:r>
      <w:r>
        <w:rPr>
          <w:rFonts w:ascii="Amiri" w:hAnsi="Amiri" w:eastAsia="Amiri" w:cs="Amiri"/>
          <w:color w:val="111111"/>
          <w:sz w:val="28"/>
          <w:sz w:val="28"/>
          <w:szCs w:val="28"/>
          <w:rtl w:val="true"/>
          <w:lang w:bidi="ar-SA"/>
        </w:rPr>
        <w:t xml:space="preserve">، والاجتناب عمّا لم يعلم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والوجه في ذلك كلّه ظاهر ؛ إذ لو لا أنّ الأحكام الواقعيّة محفوظة عند الجهل والعلم ، لوجب أن يكون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حراما 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تلك الأخبار هو وجوب الاجتناب عن الحرام المعلوم إجمالا في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فإنّ القذارة أمر لا مدخل للعلم والجهل فيها وتكون ثابتة على التقديرين ، غاية الأمر جواز ترتيب آثار الطهارة على المشكوك من حيث هو مشكوك الطهارة ، لا أنّ موارد الشكّ طاهرة في الواقع بواسطة الاصول المعمولة فيها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غير خفيّ على المتتبّع الماهر ، سيّما بعد ملاحظة وجوب الفحص والسؤال عن الأحكام الواقعيّة ؛ إذ المكلّف يمتنع خلوّه عن موارد الاصول العمليّة ، وعلى أيّ تقدير يصل إليه ما يساوي الأحكام الواقعيّة المجعولة على طبق الصفات الكامنة </w:t>
      </w:r>
      <w:r>
        <w:rPr>
          <w:rStyle w:val="FootnoteAnchor"/>
          <w:rtl w:val="true"/>
        </w:rPr>
        <w:footnoteReference w:id="284"/>
      </w:r>
      <w:r>
        <w:rPr>
          <w:rFonts w:ascii="Amiri" w:hAnsi="Amiri" w:eastAsia="Amiri" w:cs="Amiri"/>
          <w:color w:val="111111"/>
          <w:sz w:val="28"/>
          <w:sz w:val="28"/>
          <w:szCs w:val="28"/>
          <w:rtl w:val="true"/>
          <w:lang w:bidi="ar-SA"/>
        </w:rPr>
        <w:t xml:space="preserve">من جهة المصلحة ، ومن المعلوم أنّ وصول ما يساوي لمصلحة الشيء يوجب سقوط ذلك الشيء ، وقضيّة ذلك عدم وجوب الفحص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مأمور به في جملة من الروايات </w:t>
      </w:r>
      <w:r>
        <w:rPr>
          <w:rStyle w:val="FootnoteAnchor"/>
          <w:rtl w:val="true"/>
        </w:rPr>
        <w:footnoteReference w:id="285"/>
      </w:r>
      <w:r>
        <w:rPr>
          <w:rFonts w:ascii="Amiri" w:hAnsi="Amiri" w:eastAsia="Amiri" w:cs="Amiri"/>
          <w:color w:val="111111"/>
          <w:sz w:val="28"/>
          <w:sz w:val="28"/>
          <w:szCs w:val="28"/>
          <w:rtl w:val="true"/>
          <w:lang w:bidi="ar-SA"/>
        </w:rPr>
        <w:t xml:space="preserve">، بل وهو ممّا اتّفقت عليه كلمة أصحاب التخطئة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ذكرنا يظهر اندفاع ما عسى أن </w:t>
      </w:r>
      <w:r>
        <w:rPr>
          <w:rStyle w:val="FootnoteAnchor"/>
          <w:rtl w:val="true"/>
        </w:rPr>
        <w:footnoteReference w:id="287"/>
      </w:r>
      <w:r>
        <w:rPr>
          <w:rFonts w:ascii="Amiri" w:hAnsi="Amiri" w:eastAsia="Amiri" w:cs="Amiri"/>
          <w:color w:val="111111"/>
          <w:sz w:val="28"/>
          <w:sz w:val="28"/>
          <w:szCs w:val="28"/>
          <w:rtl w:val="true"/>
          <w:lang w:bidi="ar-SA"/>
        </w:rPr>
        <w:t xml:space="preserve">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المصلحة في موارد الطرق لا ينافي وجوب الفحص عن الأحكام الواقعيّة ؛ لإمكان اشتراط وجودها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لذلك الاشتراط بعد عدم الاعتناء بالواقع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الطريقيّة هو عدم الإجزاء ، ولازم الموضوعيّة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وجه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الإجزاء في الأوامر الظاهريّة الشرعيّة عند التخلّف عن الواقع فيما إذا كان الوقت باقيا ؛ لبقاء الأوامر الواقعيّة بحالها ، والطريق بعد تخلّفه عن الواقع وانكشاف ذلك في الوقت ممّا لا دليل على اشتماله على مصلحة متداركة ، فإنّ قضيّة اللطف ونقض الغرض في التكاليف الواقعيّة لا تزيد على التزام وجود المصلحة في جعل الأمارة حجّة فيما إذا لم ينكشف الخلاف مع عدم المطابقة واقعا ، وأمّا مع انكشاف الخلاف فلا دليل على وجود المصلحة في الطريق ؛ إذ المفروض بقاء الوقت ، ولا حاجة إلى تكليف جديد ، فيكفي في تحصيل المصلحة وجود الأمر الواقعي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تفويت منه ، كما أنّه لا دليل على ذلك مع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الوصول إلى الواقع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الطريق لا دليل على اشتماله على المصلحة ؛ إذ يكفي في جعل الطريق وكونه حسنا كونه مطابقا للواقع في الأغلب ، فعند التخلّف عن الواقع من دون الكشف أيضا لا دليل على وجود المصلحة في العمل بالطريق ؛ لعدم استناد التفويت إليه تعالى ، فلا يلزم خلاف اللطف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ذكرنا في 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المانع من العمل بالخبر </w:t>
      </w:r>
      <w:r>
        <w:rPr>
          <w:rStyle w:val="FootnoteAnchor"/>
          <w:rtl w:val="true"/>
        </w:rPr>
        <w:footnoteReference w:id="288"/>
      </w:r>
      <w:r>
        <w:rPr>
          <w:rFonts w:ascii="Amiri" w:hAnsi="Amiri" w:eastAsia="Amiri" w:cs="Amiri"/>
          <w:color w:val="111111"/>
          <w:sz w:val="28"/>
          <w:sz w:val="28"/>
          <w:szCs w:val="28"/>
          <w:rtl w:val="true"/>
          <w:lang w:bidi="ar-SA"/>
        </w:rPr>
        <w:t xml:space="preserve">الظنّي لو اختصّ بصورة الانفتاح فله وجه </w:t>
      </w:r>
      <w:r>
        <w:rPr>
          <w:rStyle w:val="FootnoteAnchor"/>
          <w:rtl w:val="true"/>
        </w:rPr>
        <w:footnoteReference w:id="289"/>
      </w:r>
      <w:r>
        <w:rPr>
          <w:rFonts w:ascii="Amiri" w:hAnsi="Amiri" w:eastAsia="Amiri" w:cs="Amiri"/>
          <w:color w:val="111111"/>
          <w:sz w:val="28"/>
          <w:sz w:val="28"/>
          <w:szCs w:val="28"/>
          <w:rtl w:val="true"/>
          <w:lang w:bidi="ar-SA"/>
        </w:rPr>
        <w:t xml:space="preserve">، ولا بدّ في دفعه من التزام وجود المصلحة في الطريق على وجه يساوي مصلحة الواقع عند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 كلامه صورة الانسداد فلا وجه له ؛ إذ المفروض عدم إمكان الوصول إلى الواقع ، فيكفي في الجعل كون المجعول غالب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الإعادة ، فإنّ قضيّة القواعد عدم الإجزاء عنها ، ولا بدّ من الإعادة عند الكشف القطعي ، مضافا إلى دعوى الإجماع في ذلك عن كاشف الغطاء </w:t>
      </w:r>
      <w:r>
        <w:rPr>
          <w:rStyle w:val="FootnoteAnchor"/>
          <w:rtl w:val="true"/>
        </w:rPr>
        <w:footnoteReference w:id="290"/>
      </w:r>
      <w:r>
        <w:rPr>
          <w:rFonts w:ascii="IRNazanin" w:hAnsi="IRNazanin" w:eastAsia="IRNazanin"/>
          <w:color w:val="111111"/>
          <w:sz w:val="28"/>
          <w:sz w:val="28"/>
          <w:szCs w:val="28"/>
          <w:rtl w:val="true"/>
          <w:lang w:bidi="fa-IR"/>
        </w:rPr>
        <w:t>، ولعلّه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القضاء ، فإن قلنا بأنّه تابع للأمر الأوّل من دون حاجة إلى بيان زائد عليه ، فلا إشكال في وجوبه أيضا ؛ لأنّه حينئذ كالإعادة ، غاية الأمر أنّ المكلّف بواسطة التأخير آثم عند العلم ، وبدونه لا بدّ من التدارك عند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يسقط عنه الواجب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قلنا بأنّ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عامّة على بقاء الأمر الأوّل </w:t>
      </w:r>
      <w:r>
        <w:rPr>
          <w:rStyle w:val="FootnoteAnchor"/>
          <w:rtl w:val="true"/>
        </w:rPr>
        <w:footnoteReference w:id="291"/>
      </w:r>
      <w:r>
        <w:rPr>
          <w:rFonts w:ascii="Amiri" w:hAnsi="Amiri" w:eastAsia="Amiri" w:cs="Amiri"/>
          <w:color w:val="111111"/>
          <w:sz w:val="28"/>
          <w:sz w:val="28"/>
          <w:szCs w:val="28"/>
          <w:rtl w:val="true"/>
          <w:lang w:bidi="ar-SA"/>
        </w:rPr>
        <w:t xml:space="preserve">بعد الوقت ، كما أنّ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أدلّة المركّبات الشرعيّة ؛ إذ لا ينبغي الإشكال حينئذ في وجوب القضاء ، إذ على تقدير بقاء الأمر الأوّل لا يلزم التفويت منه تعالى ، إلاّ أنّه يلزم التدارك فيما لا يصل إليه المكلّف من إيقاع الفعل في الوقت تعويلا على الطريق واتّكالا على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قلنا بأنّ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أمر جديد من دون أن تكون حاكمة على أدلّة الواجبات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تلك الأدلّة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فيحتمل القول بالإجزاء ؛ إذ الفوت إنّما يصدق مع عدم وصول المصلحة والمنفعة إلى المكلّف ، وحيث إنّ ترك الواقع في المقام مستند إلى الاعتماد على الأمارة والركون إليها ، فيجب التدارك منه تعالى وإيصال المصلحة إلى العبد ، ومع ذلك فلا 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بعدم الإجزاء ؛ فإنّ وجوب القضاء مستند إلى أمر جديد دائر مدار ترك المأمور به واقعا ، وذلك معلوم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إيصال المصلحة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صدق الترك الموجب لوجوب القضاء لأجل </w:t>
      </w:r>
      <w:r>
        <w:rPr>
          <w:rStyle w:val="FootnoteAnchor"/>
          <w:rtl w:val="true"/>
        </w:rPr>
        <w:footnoteReference w:id="292"/>
      </w:r>
      <w:r>
        <w:rPr>
          <w:rFonts w:ascii="Amiri" w:hAnsi="Amiri" w:eastAsia="Amiri" w:cs="Amiri"/>
          <w:color w:val="111111"/>
          <w:sz w:val="28"/>
          <w:sz w:val="28"/>
          <w:szCs w:val="28"/>
          <w:rtl w:val="true"/>
          <w:lang w:bidi="ar-SA"/>
        </w:rPr>
        <w:t xml:space="preserve">تدارك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فساد القول بالإجزاء في الأوامر الظاهريّة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فسادا من ذلك ما قد يتراءى </w:t>
      </w:r>
      <w:r>
        <w:rPr>
          <w:rStyle w:val="FootnoteAnchor"/>
          <w:rtl w:val="true"/>
        </w:rPr>
        <w:footnoteReference w:id="293"/>
      </w:r>
      <w:r>
        <w:rPr>
          <w:rFonts w:ascii="Amiri" w:hAnsi="Amiri" w:eastAsia="Amiri" w:cs="Amiri"/>
          <w:color w:val="111111"/>
          <w:sz w:val="28"/>
          <w:sz w:val="28"/>
          <w:szCs w:val="28"/>
          <w:rtl w:val="true"/>
          <w:lang w:bidi="ar-SA"/>
        </w:rPr>
        <w:t xml:space="preserve">من البعض في المباحث الفقهيّة </w:t>
      </w:r>
      <w:r>
        <w:rPr>
          <w:rStyle w:val="FootnoteAnchor"/>
          <w:rtl w:val="true"/>
        </w:rPr>
        <w:footnoteReference w:id="294"/>
      </w:r>
      <w:r>
        <w:rPr>
          <w:rFonts w:ascii="Amiri" w:hAnsi="Amiri" w:eastAsia="Amiri" w:cs="Amiri"/>
          <w:color w:val="111111"/>
          <w:sz w:val="28"/>
          <w:sz w:val="28"/>
          <w:szCs w:val="28"/>
          <w:rtl w:val="true"/>
          <w:lang w:bidi="ar-SA"/>
        </w:rPr>
        <w:t xml:space="preserve">من الاحتجاج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عن حكم آخر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وجوب الإعادة ، مضافا إلى المنع من شمول أدلّة الأحكام الواقعيّة للجاهل العامل بالطرق الشرعيّة ، مستندا في ذلك إلى اختصاص الخطابات الشفاهيّة بالمشافهين ، والإجماع على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الخلاف في الإجزاء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بدليّة الأحكام الظاهريّة عن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ممّا لا ينبغي الركون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فلأنّه بعد الانكشاف ووجود الأمر الواقعي لا وجه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 فلا مجرى له في المقام ؛ لأنّ الشكّ في وجوب الإعادة بعد الكشف ممّا لا يقين له أوّلا ، والمتيقّن من جهة الأمر الظاهري متيقّن بعد الكشف ، إذ لا إشكال في عدم </w:t>
      </w:r>
      <w:r>
        <w:rPr>
          <w:rStyle w:val="FootnoteAnchor"/>
          <w:rtl w:val="true"/>
        </w:rPr>
        <w:footnoteReference w:id="295"/>
      </w:r>
      <w:r>
        <w:rPr>
          <w:rFonts w:ascii="Amiri" w:hAnsi="Amiri" w:eastAsia="Amiri" w:cs="Amiri"/>
          <w:color w:val="111111"/>
          <w:sz w:val="28"/>
          <w:sz w:val="28"/>
          <w:szCs w:val="28"/>
          <w:rtl w:val="true"/>
          <w:lang w:bidi="ar-SA"/>
        </w:rPr>
        <w:t>وجوب الإعادة بالنسبة إلى 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المنع المذكور فممّا لا يصغى إليه ؛ إذ قد قامت البراهين القطعيّة على ثبوت التكاليف الواقعيّة من غير تعليق على العلم والجهل ، غاية الأمر عدم العقاب مع المعذوريّة ، إذ ليس العقاب من آثار نفس التكاليف الواقعيّة ، بل هو من لوازم المخالفة التي لا يتحقّق موضوعها بدون العلم ، فالمقدّمة الممنوعة ممّا قد استدلّ عليها فلا يتوجّه إليها المنع ، فلا بدّ من دعوى المسقط كما في الدعوى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بدليّة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النظر فيما يفيد اعتبار تلك الطرق ، يعطي كونها طرقا إلى الواقع من دون مداخلة </w:t>
      </w:r>
      <w:r>
        <w:rPr>
          <w:rStyle w:val="FootnoteAnchor"/>
          <w:rtl w:val="true"/>
        </w:rPr>
        <w:footnoteReference w:id="296"/>
      </w:r>
      <w:r>
        <w:rPr>
          <w:rFonts w:ascii="Amiri" w:hAnsi="Amiri" w:eastAsia="Amiri" w:cs="Amiri"/>
          <w:color w:val="111111"/>
          <w:sz w:val="28"/>
          <w:sz w:val="28"/>
          <w:szCs w:val="28"/>
          <w:rtl w:val="true"/>
          <w:lang w:bidi="ar-SA"/>
        </w:rPr>
        <w:t>لها فيه ، فلا وجه لتلك الدعوى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يتطرّق النظر في ما أفاده المحقّق القمّي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المسألة على كون الحكم الظاهري بدلا عن الواقعي </w:t>
      </w:r>
      <w:r>
        <w:rPr>
          <w:rStyle w:val="FootnoteAnchor"/>
          <w:rtl w:val="true"/>
        </w:rPr>
        <w:footnoteReference w:id="298"/>
      </w:r>
      <w:r>
        <w:rPr>
          <w:rFonts w:ascii="Amiri" w:hAnsi="Amiri" w:eastAsia="Amiri" w:cs="Amiri"/>
          <w:color w:val="111111"/>
          <w:sz w:val="28"/>
          <w:sz w:val="28"/>
          <w:szCs w:val="28"/>
          <w:rtl w:val="true"/>
          <w:lang w:bidi="ar-SA"/>
        </w:rPr>
        <w:t xml:space="preserve">على وجه الإطلاق أو ما لم ينكشف الخلاف ؛ إذ لا وجه للقول بالبدليّة ، وعلى تقديره فلا معنى للترديد في كونه بدلا على وجه </w:t>
      </w:r>
    </w:p>
    <w:p>
      <w:pPr>
        <w:pStyle w:val="BookText"/>
        <w:rPr/>
      </w:pPr>
      <w:r>
        <w:rPr>
          <w:rFonts w:ascii="Amiri" w:hAnsi="Amiri" w:eastAsia="Amiri" w:cs="Amiri"/>
          <w:color w:val="111111"/>
          <w:sz w:val="28"/>
          <w:sz w:val="28"/>
          <w:szCs w:val="28"/>
          <w:rtl w:val="true"/>
          <w:lang w:bidi="ar-SA"/>
        </w:rPr>
        <w:t xml:space="preserve">الإطلاق ، فإنّ قضيّة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الواقعي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السقوط ؛ لرجوعه إلى فعل أحد الأبدال ، كما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ينبغي الترديد </w:t>
      </w:r>
      <w:r>
        <w:rPr>
          <w:rStyle w:val="FootnoteAnchor"/>
          <w:rtl w:val="true"/>
        </w:rPr>
        <w:footnoteReference w:id="299"/>
      </w:r>
      <w:r>
        <w:rPr>
          <w:rFonts w:ascii="Amiri" w:hAnsi="Amiri" w:eastAsia="Amiri" w:cs="Amiri"/>
          <w:color w:val="111111"/>
          <w:sz w:val="28"/>
          <w:sz w:val="28"/>
          <w:szCs w:val="28"/>
          <w:rtl w:val="true"/>
          <w:lang w:bidi="ar-SA"/>
        </w:rPr>
        <w:t xml:space="preserve">في عدم السقوط على القول بعدم البدليّة وكون الأمارات طرقا صرفة </w:t>
      </w:r>
      <w:r>
        <w:rPr>
          <w:rStyle w:val="FootnoteAnchor"/>
          <w:rtl w:val="true"/>
        </w:rPr>
        <w:footnoteReference w:id="300"/>
      </w:r>
      <w:r>
        <w:rPr>
          <w:rFonts w:ascii="Amiri" w:hAnsi="Amiri" w:eastAsia="Amiri" w:cs="Amiri"/>
          <w:color w:val="111111"/>
          <w:sz w:val="28"/>
          <w:sz w:val="28"/>
          <w:szCs w:val="28"/>
          <w:rtl w:val="true"/>
          <w:lang w:bidi="ar-SA"/>
        </w:rPr>
        <w:t xml:space="preserve">من دون شائبة </w:t>
      </w:r>
      <w:r>
        <w:rPr>
          <w:rStyle w:val="FootnoteAnchor"/>
          <w:rtl w:val="true"/>
        </w:rPr>
        <w:footnoteReference w:id="301"/>
      </w:r>
      <w:r>
        <w:rPr>
          <w:rFonts w:ascii="Amiri" w:hAnsi="Amiri" w:eastAsia="Amiri" w:cs="Amiri"/>
          <w:color w:val="111111"/>
          <w:sz w:val="28"/>
          <w:sz w:val="28"/>
          <w:szCs w:val="28"/>
          <w:rtl w:val="true"/>
          <w:lang w:bidi="ar-SA"/>
        </w:rPr>
        <w:t>الموضوعيّة على تقدير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مسألة الإجزاء في الأمر الظاهري وعدمه ، إلاّ أنّ القول باشتمال جعل الطريق للمصلحة المساوية للمصلحة الكامنة يستلزم محذورا بحسب الظاهر ، وهو محذور التصويب وتعدّد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لمّا قلنا بأنّ الواجب على الحكيم بواسطة العدل والحكمة إيصال المصلحة الواقعيّة إلى العبد عند تخلّف ما جعله طريقا إلى الواقع عنه ، فيكون الأخذ بالطريق والعمل به عند عدم المطابقة وعدم </w:t>
      </w:r>
      <w:r>
        <w:rPr>
          <w:rStyle w:val="FootnoteAnchor"/>
          <w:rtl w:val="true"/>
        </w:rPr>
        <w:footnoteReference w:id="302"/>
      </w:r>
      <w:r>
        <w:rPr>
          <w:rFonts w:ascii="Amiri" w:hAnsi="Amiri" w:eastAsia="Amiri" w:cs="Amiri"/>
          <w:color w:val="111111"/>
          <w:sz w:val="28"/>
          <w:sz w:val="28"/>
          <w:szCs w:val="28"/>
          <w:rtl w:val="true"/>
          <w:lang w:bidi="ar-SA"/>
        </w:rPr>
        <w:t xml:space="preserve">ظهور الخلاف في الوقت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القضاء إذا انكشف في خارج الوقت أيضا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مصلحة الواقع ، فيكون أحد الأبدال للواجب الواقعي ؛ لما أرسله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فعل يشتمل على مثل مصلحة الواجب يكون أيضا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ويستتبع ذلك عدم حسن الاحتياط فيما إذا قامت الأمارات الشرعيّة ، إذ بعد اشتمال الأخذ بالطريق على مثل مصلحة الواقع لا حسن في الاحتياط ، وذلك ظاهر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الاحتياط لا يزول بواسطة اشتمال الطريق على مصلحة الواقع ؛ فإنّ ذلك غير معلوم ، إذ يحتمل انكشاف الخلاف في الوقت أو في </w:t>
      </w:r>
    </w:p>
    <w:p>
      <w:pPr>
        <w:pStyle w:val="BookText"/>
        <w:rPr/>
      </w:pPr>
      <w:r>
        <w:rPr>
          <w:rFonts w:ascii="Amiri" w:hAnsi="Amiri" w:eastAsia="Amiri" w:cs="Amiri"/>
          <w:color w:val="111111"/>
          <w:sz w:val="28"/>
          <w:sz w:val="28"/>
          <w:szCs w:val="28"/>
          <w:rtl w:val="true"/>
          <w:lang w:bidi="ar-SA"/>
        </w:rPr>
        <w:t>غيره فيجب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قطع بعدم اختلاف حاله لم يحسن منه الاحتياط في اعتقاده ، وإن كان قد يؤثّر في الواقع لو ظهر له خطأ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فمحذور التصويب لازم في الأحكام ، بل وفي الموضوعات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بذلك لزوم اختلاف الموضوعات الواقعيّة باختلاف الأمارات القائمة فيها ، كأن يكون قيام البيّنة أو وجود الحالة السابقة مؤثّرا في موت زيد وحياته ؛ فإنّ ذلك غير معقول ، بل المراد التصويب في الأحكام الجزئيّة المتعلّقة بها ، كما التزم به صاحب الحدائق في خصوص الطهارة والنجاسة </w:t>
      </w:r>
      <w:r>
        <w:rPr>
          <w:rStyle w:val="FootnoteAnchor"/>
          <w:rtl w:val="true"/>
        </w:rPr>
        <w:footnoteReference w:id="303"/>
      </w:r>
      <w:r>
        <w:rPr>
          <w:rFonts w:ascii="Amiri" w:hAnsi="Amiri" w:eastAsia="Amiri" w:cs="Amiri"/>
          <w:color w:val="111111"/>
          <w:sz w:val="28"/>
          <w:sz w:val="28"/>
          <w:szCs w:val="28"/>
          <w:rtl w:val="true"/>
          <w:lang w:bidi="ar-SA"/>
        </w:rPr>
        <w:t xml:space="preserve">، حيث زعم أنّهما ليستا من الامور الواقعيّة </w:t>
      </w:r>
      <w:r>
        <w:rPr>
          <w:rStyle w:val="FootnoteAnchor"/>
          <w:rtl w:val="true"/>
        </w:rPr>
        <w:footnoteReference w:id="304"/>
      </w:r>
      <w:r>
        <w:rPr>
          <w:rFonts w:ascii="Amiri" w:hAnsi="Amiri" w:eastAsia="Amiri" w:cs="Amiri"/>
          <w:color w:val="111111"/>
          <w:sz w:val="28"/>
          <w:sz w:val="28"/>
          <w:szCs w:val="28"/>
          <w:rtl w:val="true"/>
          <w:lang w:bidi="ar-SA"/>
        </w:rPr>
        <w:t>التي يتعلّق بها الأحكام الشرعيّة ، بل ليست النجاسة إلاّ حكم الشارع بعد العلم بوجود الخمر بالاجتناب عنه ، كنفس الحرمة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الطهارة إلاّ حكم الشارع بعدم الاجتناب عن مشكوك الخمريّة أو المعلوم عدم الخمريّة ، مستندا في ذلك إلى روايات ،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ابالي أبول وقع عليّ أم ماء إذا لم أدر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التزم به بعض من تأخّر عنه </w:t>
      </w:r>
      <w:r>
        <w:rPr>
          <w:rStyle w:val="FootnoteAnchor"/>
          <w:rtl w:val="true"/>
        </w:rPr>
        <w:footnoteReference w:id="306"/>
      </w:r>
      <w:r>
        <w:rPr>
          <w:rFonts w:ascii="Amiri" w:hAnsi="Amiri" w:eastAsia="Amiri" w:cs="Amiri"/>
          <w:color w:val="111111"/>
          <w:sz w:val="28"/>
          <w:sz w:val="28"/>
          <w:szCs w:val="28"/>
          <w:rtl w:val="true"/>
          <w:lang w:bidi="ar-SA"/>
        </w:rPr>
        <w:t xml:space="preserve">في جملة من الأحكام المتعلّقة بالموضوعات الجزئيّة نظرا إلى سيرة الأئمة ، حيث إنّهم كانوا يخالطون الناس ومعاشرين لهم مع ما يرى في هذه المخالطة والمعاشرة من المفاسد المترتّبة عليها من ارتكاب المحرّمات الواقعيّة ؛ لعدم مبالاة أكثر الناس فيما يتعاطونه في معاشهم وعدم </w:t>
      </w:r>
    </w:p>
    <w:p>
      <w:pPr>
        <w:pStyle w:val="BookText"/>
        <w:rPr/>
      </w:pPr>
      <w:r>
        <w:rPr>
          <w:rFonts w:ascii="Amiri" w:hAnsi="Amiri" w:eastAsia="Amiri" w:cs="Amiri"/>
          <w:color w:val="111111"/>
          <w:sz w:val="28"/>
          <w:sz w:val="28"/>
          <w:szCs w:val="28"/>
          <w:rtl w:val="true"/>
          <w:lang w:bidi="ar-SA"/>
        </w:rPr>
        <w:t xml:space="preserve">احترازهم عن النجاسات في المياه الموجودة عندهم والأطعمة واللحوم وغير ذلك ، فإنّه لو كانت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والحلّية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واقعيّة لا مدخل للعلم والجهل فيها لزم فساد عباداتهم في الواقع من جهة عدم اجتماع الشرائط الواقعيّة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مثل ذلك بعيد في الغاية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الأدلّة بل كلّها ممّا ينافي ذلك ، كما هو غير خفيّ على المتتبّع العارف بموارد الكلام ، كما أومأنا إليه فيما تقدّم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القائمة في المشكوكات صريحة على ثبوت الواقع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سيرة الأئمّة ، فلا يجدي شيئا في المقام ؛ فإنّ المعلوم من ذلك هو ابتلاؤهم بالموضوعات المشكوكة عندنا ، ولا دليل على ارتكابهم عليهم‌السلام للمحرّمات الواقعيّة حتّى يدفع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المذكورة مترتّبة على العلم بها من وجه خاص ، وإلاّ فلو قيل بأنّها من أحكام مطلق العلم أيضا لم يكن لما ذكر وجه على تقدير القول بإحاطة علمهم عليهم‌السلام فعلا لجميع الموضوعات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يحتمل عدم وقوعهم في المحرّمات الواقعيّة إمّا بدعوى العلم بها ، وإمّا بواسطة أنّهم عليهم‌السلام مؤيّدون بالتأييدات الإلهيّة ومسدّدون بالتسديدات الربّانيّة محفوظين عن الوقوع في الامور الدنيّة ، فما يرتكبونه وإن كان في أنظارنا من الموارد المشتبهة إلاّ أنّه في الواقع من الموضوعات التي يجوز ارتكابها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الأمير عليه‌السلام </w:t>
      </w:r>
      <w:r>
        <w:rPr>
          <w:rStyle w:val="FootnoteAnchor"/>
          <w:rtl w:val="true"/>
        </w:rPr>
        <w:footnoteReference w:id="308"/>
      </w:r>
      <w:r>
        <w:rPr>
          <w:rFonts w:ascii="Amiri" w:hAnsi="Amiri" w:eastAsia="Amiri" w:cs="Amiri"/>
          <w:color w:val="111111"/>
          <w:sz w:val="28"/>
          <w:sz w:val="28"/>
          <w:szCs w:val="28"/>
          <w:rtl w:val="true"/>
          <w:lang w:bidi="ar-SA"/>
        </w:rPr>
        <w:t>، فدلالته على ثبوت النجاسة الواقعيّة عند عدم العلم أظهر من دلالته على انتفائها عند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يظهر منه ما يفيد النجاسة للصلاة عند العلم ، وأين ذلك من ارتفاع موضوعها عند عدم العلم؟ ويؤيّد ما ذكر بعض </w:t>
      </w:r>
    </w:p>
    <w:p>
      <w:pPr>
        <w:pStyle w:val="BookText"/>
        <w:rPr/>
      </w:pPr>
      <w:r>
        <w:rPr>
          <w:rFonts w:ascii="Amiri" w:hAnsi="Amiri" w:eastAsia="Amiri" w:cs="Amiri"/>
          <w:color w:val="111111"/>
          <w:sz w:val="28"/>
          <w:sz w:val="28"/>
          <w:szCs w:val="28"/>
          <w:rtl w:val="true"/>
          <w:lang w:bidi="ar-SA"/>
        </w:rPr>
        <w:t xml:space="preserve">الأخبار ، كما عن الإمام الهمام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بإهراق ماء أحضره عبده فتبيّن وقوع الفأرة فيه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للالتزام بأنّ الأحكام المتعلّقة بالموضوعات </w:t>
      </w:r>
      <w:r>
        <w:rPr>
          <w:rStyle w:val="FootnoteAnchor"/>
          <w:rtl w:val="true"/>
        </w:rPr>
        <w:footnoteReference w:id="310"/>
      </w:r>
      <w:r>
        <w:rPr>
          <w:rFonts w:ascii="Amiri" w:hAnsi="Amiri" w:eastAsia="Amiri" w:cs="Amiri"/>
          <w:color w:val="111111"/>
          <w:sz w:val="28"/>
          <w:sz w:val="28"/>
          <w:szCs w:val="28"/>
          <w:rtl w:val="true"/>
          <w:lang w:bidi="ar-SA"/>
        </w:rPr>
        <w:t>مختصّة بصورة العلم ومع عدمه لا حكم لها في الواقع ؛ فإنّ التصويب في ذلك يسري إلى التصويب في الأحكام الكلّية الإلهيّة ، إذ الأحكام الجزئيّة من شعب الأحكام الكلّية ، فلو لم يلتزم بالتصويب فيها لم يجز الالتزام به فيما ينشعب منها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الواقعيّة ممّا لا يختلف بواسطة وجود الأمارات الشرعيّة وعدمها ونهوضها على موضوع وعدمه ، إلاّ أنّ عند عدم المطابقة واختفاء ذلك لا ضير في التزام اشتمال الأخذ بالأمارة على المصلحة المساوية لمصلحة الواقع ، وهو وإن كان نوعا من التصويب إلاّ أن الإجماع على بطلانه ممنوع ، كيف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اللطف عند الإماميّة مما لا سبيل إلى إنكاره ، وقضيّة ذلك اشتمال الأخذ بالطريق على المصلحة التي تفوت بواسطة الجعل عن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المتواترة في انتفاء التصويب </w:t>
      </w:r>
      <w:r>
        <w:rPr>
          <w:rStyle w:val="FootnoteAnchor"/>
          <w:rtl w:val="true"/>
        </w:rPr>
        <w:footnoteReference w:id="312"/>
      </w:r>
      <w:r>
        <w:rPr>
          <w:rFonts w:ascii="Amiri" w:hAnsi="Amiri" w:eastAsia="Amiri" w:cs="Amiri"/>
          <w:color w:val="111111"/>
          <w:sz w:val="28"/>
          <w:sz w:val="28"/>
          <w:szCs w:val="28"/>
          <w:rtl w:val="true"/>
          <w:lang w:bidi="ar-SA"/>
        </w:rPr>
        <w:t>إنّما هي مسوقة لنفي التصويب على وجه لا يكون في الواقع أحكام واقعيّة ، وأمّا التصويب على الوجه المذكور فلا دليل على امتناعه لا عقلا ولا 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قلنا بأنّ جعل الطريق إنّما هو في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حال الانسداد فالأمر فيه أوضح ؛ إذ الوجه في الانسداد هو عدم موافقة العباد للحجّة عليه‌السلام كما قرّر في محلّه </w:t>
      </w:r>
      <w:r>
        <w:rPr>
          <w:rStyle w:val="FootnoteAnchor"/>
          <w:rtl w:val="true"/>
        </w:rPr>
        <w:footnoteReference w:id="313"/>
      </w:r>
      <w:r>
        <w:rPr>
          <w:rFonts w:ascii="Amiri" w:hAnsi="Amiri" w:eastAsia="Amiri" w:cs="Amiri"/>
          <w:color w:val="111111"/>
          <w:sz w:val="28"/>
          <w:sz w:val="28"/>
          <w:szCs w:val="28"/>
          <w:rtl w:val="true"/>
          <w:lang w:bidi="ar-SA"/>
        </w:rPr>
        <w:t>فلا يجب على الحكيم إيصالهم إلى المصالح الواقعيّة ، فإنّهم هم السبب في امتناع ذلك في حقّهم ، فقضية اللطف لا مجرى لها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حينئذ في مصلحة الجعل كون الطريق مطابقا لما هو الطريق إليه في الأغلب أو في الغالب ، فلا يكون الأخذ بالطريق مشتملا على المصلحة الزائدة على مصلحة الواقع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محذور التصويب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الحكيم لمّا كان عالما بأنّ اقتصار المكلّفين على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يجوز لهم تناول اللحم إلاّ بعد العلم بكونه حلالا واقعيا لا يدانيه ريبة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مفاسد شتّى ولو بواسطة ضيق يشاهد في دار التكليف وعدم اتّساع عالم المكلّفين لذلك ووقوعهم في محاذير أخر من جهات اخرى ، فلا ضير في جعل الأمارات التي قد تتخلّف عن الأحكام الواقعيّة نظرا إلى إدراك </w:t>
      </w:r>
      <w:r>
        <w:rPr>
          <w:rStyle w:val="FootnoteAnchor"/>
          <w:rtl w:val="true"/>
        </w:rPr>
        <w:footnoteReference w:id="314"/>
      </w:r>
      <w:r>
        <w:rPr>
          <w:rFonts w:ascii="Amiri" w:hAnsi="Amiri" w:eastAsia="Amiri" w:cs="Amiri"/>
          <w:color w:val="111111"/>
          <w:sz w:val="28"/>
          <w:sz w:val="28"/>
          <w:szCs w:val="28"/>
          <w:rtl w:val="true"/>
          <w:lang w:bidi="ar-SA"/>
        </w:rPr>
        <w:t>تلك المصالح عند جعل تلك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مما عسى أن يقال في المقام ، من أنّ التسهيل في أمر العباد يقتضي جعل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منّ على عباده بجعل تلك الطرق وعفى عن الواقع ولم يوجب عليهم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ممّا لا ينبغي أن يصغى إليه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فلأنّ التسهيل لو كان من الوجوه التي يختلف بها الأحكام الواقعيّة ويقتضي جعل حكم على طبقه ، فالأولى أن يكون وجها لإسقاط الواقع ؛ فإنّ مجرّد المصلحة في وجود الشيء لا يقضي بالأمر به ، بل لا بدّ مع ذلك من عدم </w:t>
      </w:r>
    </w:p>
    <w:p>
      <w:pPr>
        <w:pStyle w:val="BookText"/>
        <w:rPr/>
      </w:pPr>
      <w:r>
        <w:rPr>
          <w:rFonts w:ascii="Amiri" w:hAnsi="Amiri" w:eastAsia="Amiri" w:cs="Amiri"/>
          <w:color w:val="111111"/>
          <w:sz w:val="28"/>
          <w:sz w:val="28"/>
          <w:szCs w:val="28"/>
          <w:rtl w:val="true"/>
          <w:lang w:bidi="ar-SA"/>
        </w:rPr>
        <w:t>معارضة شيء آخر لها ، والمفروض في المقام هو أنّ الاقتصار على المصالح الواقعيّة يوجب مفاسد اخرى من جهات أخر ، فمع ذلك لا وجه لجعل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اريد من التسهيل ما ذكرنا من أنّ الاقتصار على الواقع يوجب رفع </w:t>
      </w:r>
      <w:r>
        <w:rPr>
          <w:rStyle w:val="FootnoteAnchor"/>
          <w:rtl w:val="true"/>
        </w:rPr>
        <w:footnoteReference w:id="315"/>
      </w:r>
      <w:r>
        <w:rPr>
          <w:rFonts w:ascii="Amiri" w:hAnsi="Amiri" w:eastAsia="Amiri" w:cs="Amiri"/>
          <w:color w:val="111111"/>
          <w:sz w:val="28"/>
          <w:sz w:val="28"/>
          <w:szCs w:val="28"/>
          <w:rtl w:val="true"/>
          <w:lang w:bidi="ar-SA"/>
        </w:rPr>
        <w:t>مصلحة واقعيّة اخرى عن المكلّف في مورد آخر ، من غير أن يكون مصلحة التسهيل في العمل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بالطريق فيه تسهيل على العباد من دون أن يكون موجبا لإحراز مصلحة اخرى في مورد آخر ، فعدم اتّجاهه في المقام أظهر ؛ إذ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تزيد على مصلحة الواقع ، أو تكون مساوية لها ، أو تنقص عنها ، لا سبيل إلى الأخير ؛ لمنافاته قضية اللطف ، ومن هنا تعرف فساد ما قد يتخيّل في دفع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اللازم حينئذ عدم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التخييري بين الواقع ومفاد الطريق لا يوجب رفع حسن الاحتياط ؛ إذ يمكن أن يكون الواقع أفضل فردي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لا يدفعان الخصم ؛ فإنّ ذلك هو التصويب جدّا ؛ إذ المفروض وجود المصلحة في نفس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ففساده أجلى من أن يذكر ؛ فإنّه إن اريد أنّ الامتنان إنّما هو في رفع الأحكام الواقعيّة عند العمل بالطريق المخالف ،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بعدم اشتمال الطريق على المصلحة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الامتنان في عدم اشتمال الطريق للمصلحة ، فهو مما لا سبيل إلى تعقّله فضلا عن التصديق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ما ذكرنا من الالتزام ومنع ما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انكشاف الخلاف على وجه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40" w:name="pg16254_218411"/>
    </w:p>
    <w:p>
      <w:pPr>
        <w:pStyle w:val="Heading3"/>
        <w:numPr>
          <w:ilvl w:val="2"/>
          <w:numId w:val="1"/>
        </w:numPr>
        <w:rPr/>
      </w:pPr>
      <w:bookmarkStart w:id="141" w:name="__RefHeading___Toc4418220_1280447820"/>
      <w:bookmarkStart w:id="142" w:name="_Toc47"/>
      <w:bookmarkEnd w:id="140"/>
      <w:bookmarkEnd w:id="141"/>
      <w:r>
        <w:rPr>
          <w:rtl w:val="true"/>
        </w:rPr>
        <w:t>هداية</w:t>
      </w:r>
      <w:bookmarkEnd w:id="142"/>
    </w:p>
    <w:p>
      <w:pPr>
        <w:pStyle w:val="BookText"/>
        <w:rPr/>
      </w:pPr>
      <w:r>
        <w:rPr>
          <w:rFonts w:ascii="Amiri" w:hAnsi="Amiri" w:eastAsia="Amiri" w:cs="Amiri"/>
          <w:color w:val="111111"/>
          <w:sz w:val="28"/>
          <w:sz w:val="28"/>
          <w:szCs w:val="28"/>
          <w:rtl w:val="true"/>
          <w:lang w:bidi="ar-SA"/>
        </w:rPr>
        <w:t>في أنّ الأمر الظاهري الشرعي هل يقتضي الإجزاء فيما لو انكشف الخلاف بواسطة قيام أمارة ظنّية اخرى؟</w:t>
      </w:r>
    </w:p>
    <w:p>
      <w:pPr>
        <w:pStyle w:val="BookText"/>
        <w:rPr/>
      </w:pPr>
      <w:r>
        <w:rPr>
          <w:rFonts w:ascii="Amiri" w:hAnsi="Amiri" w:eastAsia="Amiri" w:cs="Amiri"/>
          <w:color w:val="111111"/>
          <w:sz w:val="28"/>
          <w:sz w:val="28"/>
          <w:szCs w:val="28"/>
          <w:rtl w:val="true"/>
          <w:lang w:bidi="ar-SA"/>
        </w:rPr>
        <w:t xml:space="preserve">واعلم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تارة يتحقّق في الموضوعات ، كما إذا بنى المصلّي على طهارة ثوبه بواسطة الاستصحاب أو غير ذلك من الاصول المقرّرة لتميّز الموضوعات التي لا تشترط بالفحص ، ثمّ قامت عنده بيّنة شرعيّة على نجاسة 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يتحقق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بالنسبة إلى المجتهد ، واخرى بالنسبة إلى المقلّد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المجتهد ، فكما إذا حكم بعدم وجوب السورة في الصلاة بواسطة أمارة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أو رواية أو أصل ونحوها ، ثمّ ظهرت </w:t>
      </w:r>
      <w:r>
        <w:rPr>
          <w:rStyle w:val="FootnoteAnchor"/>
          <w:rtl w:val="true"/>
        </w:rPr>
        <w:footnoteReference w:id="316"/>
      </w:r>
      <w:r>
        <w:rPr>
          <w:rFonts w:ascii="Amiri" w:hAnsi="Amiri" w:eastAsia="Amiri" w:cs="Amiri"/>
          <w:color w:val="111111"/>
          <w:sz w:val="28"/>
          <w:sz w:val="28"/>
          <w:szCs w:val="28"/>
          <w:rtl w:val="true"/>
          <w:lang w:bidi="ar-SA"/>
        </w:rPr>
        <w:t>أمارة اخرى حاكمة بوجوبها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العمل بالأمارة الاولى مقرونا بما يعتبر فيه من الشروط واقعا ، كأن يكون المجتهد متفحّصا عن المعارض للأمارة الاولى على وجه يعتبر في الفحص ؛ إذ بدون ذلك لا يكون هناك أمر ظاهريّ شرعي ، بل هو ملحق بالظاهريّ العقلي ، كما إذا توهّم اقترانها بالشرائط أو تخيّل دلالة الرواية على شيء فبدا له خطؤه أو إلى العمل </w:t>
      </w:r>
      <w:r>
        <w:rPr>
          <w:rStyle w:val="FootnoteAnchor"/>
          <w:rtl w:val="true"/>
        </w:rPr>
        <w:footnoteReference w:id="317"/>
      </w:r>
      <w:r>
        <w:rPr>
          <w:rFonts w:ascii="Amiri" w:hAnsi="Amiri" w:eastAsia="Amiri" w:cs="Amiri"/>
          <w:color w:val="111111"/>
          <w:sz w:val="28"/>
          <w:sz w:val="28"/>
          <w:szCs w:val="28"/>
          <w:rtl w:val="true"/>
          <w:lang w:bidi="ar-SA"/>
        </w:rPr>
        <w:t>بالأمارة مع اعتقاد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المقلّد ، فكما إذا رجع عن تقليد المجتهد في موارد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كفسقه أو موته أو زوال ملكته أو حصول ملكة الاجتهاد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موارد جوازه على القول به ، مع المنافاة بين ما يأخذ به في الحال من رأي مجتهد آخر أو رأيه وبين ما عمل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فروع هذه الهداية ما قد يعنون في مباحث الاجتهاد والتقليد من تجدّد 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فاعلم أنّ بعد قيام الأمارة اللاحقة في الموارد المتقدّمة وأشباهها لا إشكال في وجوب الأخذ بها في الوقائع اللاحقة الغير المرتبطة بالوقائع السابقة ، فإنّ ذلك هو مقتضى اعتبار تلك الأمارة ، فبعد قيام البيّنة على نجاسة الثوب المستصحب الطهارة لا بدّ من ترتيب آثار النجاسة عليه من عدم جواز الصلاة معه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إذا ظهر خطأ المجتهد له فيما أفتى به من طهارة الغسالة مثلا ، وكذا فيما إذا رجع المقلّد عن تقليد المفتي بالطهارة إلى فتوى القائل بالنجاسة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يكون ذلك مطرحا للأنظار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إشكال في مضيّ الوقائع السابقة التي لا يترتب </w:t>
      </w:r>
      <w:r>
        <w:rPr>
          <w:rStyle w:val="FootnoteAnchor"/>
          <w:rtl w:val="true"/>
        </w:rPr>
        <w:footnoteReference w:id="318"/>
      </w:r>
      <w:r>
        <w:rPr>
          <w:rFonts w:ascii="Amiri" w:hAnsi="Amiri" w:eastAsia="Amiri" w:cs="Amiri"/>
          <w:color w:val="111111"/>
          <w:sz w:val="28"/>
          <w:sz w:val="28"/>
          <w:szCs w:val="28"/>
          <w:rtl w:val="true"/>
          <w:lang w:bidi="ar-SA"/>
        </w:rPr>
        <w:t xml:space="preserve">عليها في الزمان اللاحق حكم ، كما إذا كان المبادرة والتعجيل واجبا فبادر إليه المكلّف ثمّ تبيّن خطؤه فيما بادر إليه ، فإنّ قضية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مصلحة التعجيل إلى المكلّف ، ولا يعقل القول بعدم مضيّ مثل تلك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الإشكال في الوقائع اللاحقة </w:t>
      </w:r>
      <w:r>
        <w:rPr>
          <w:rStyle w:val="FootnoteAnchor"/>
          <w:rtl w:val="true"/>
        </w:rPr>
        <w:footnoteReference w:id="320"/>
      </w:r>
      <w:r>
        <w:rPr>
          <w:rFonts w:ascii="Amiri" w:hAnsi="Amiri" w:eastAsia="Amiri" w:cs="Amiri"/>
          <w:color w:val="111111"/>
          <w:sz w:val="28"/>
          <w:sz w:val="28"/>
          <w:szCs w:val="28"/>
          <w:rtl w:val="true"/>
          <w:lang w:bidi="ar-SA"/>
        </w:rPr>
        <w:t>المرتبطة بالوقائع السابقة ، مثل عدم اشتغال المكلّف في الوقت بإعادة ما عمل به بمقتضى الأمارة السابقة ، أو معاملة الطهارة مع ما لاقى شيئا مستصحب الطهارة بعد قيام البيّنة على نجاسته ، أو معاملة الزوجيّة مع الزوجة المعقودة بالفارسيّة بعد اعتقاد فساد العقد بها ، إلى غير ذلك من الأمثلة في الموارد المختلفة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عاصرناهم أو يقارب عصرهم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الإجزاء وعدم لزوم الإعادة </w:t>
      </w:r>
      <w:r>
        <w:rPr>
          <w:rStyle w:val="FootnoteAnchor"/>
          <w:rtl w:val="true"/>
        </w:rPr>
        <w:footnoteReference w:id="321"/>
      </w:r>
      <w:r>
        <w:rPr>
          <w:rFonts w:ascii="Amiri" w:hAnsi="Amiri" w:eastAsia="Amiri" w:cs="Amiri"/>
          <w:color w:val="111111"/>
          <w:sz w:val="28"/>
          <w:sz w:val="28"/>
          <w:szCs w:val="28"/>
          <w:rtl w:val="true"/>
          <w:lang w:bidi="ar-SA"/>
        </w:rPr>
        <w:t xml:space="preserve">، حتّى أنّ بعض الأفاضل </w:t>
      </w:r>
      <w:r>
        <w:rPr>
          <w:rStyle w:val="FootnoteAnchor"/>
          <w:rtl w:val="true"/>
        </w:rPr>
        <w:footnoteReference w:id="322"/>
      </w:r>
      <w:r>
        <w:rPr>
          <w:rFonts w:ascii="Amiri" w:hAnsi="Amiri" w:eastAsia="Amiri" w:cs="Amiri"/>
          <w:color w:val="111111"/>
          <w:sz w:val="28"/>
          <w:sz w:val="28"/>
          <w:szCs w:val="28"/>
          <w:rtl w:val="true"/>
          <w:lang w:bidi="ar-SA"/>
        </w:rPr>
        <w:t>قد نسبه إلى ظاهر المذهب في تعليقاته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قيام الأمارة اللاحقة بمنزلة النسخ للآثار المترتّبة على الأمارة السابقة ، ففي الوقائع المتجدّدة الغير المرتبطة يؤخذ بالناسخ ، فلا يجوز إيقاع المعاطاة بعد ذلك ، ولكنّه يؤخذ بالمنسوخ في الآثار المرتبطة ، فلا يحكم بعدم ملكيّة المبيع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بعض الأجلّة </w:t>
      </w:r>
      <w:r>
        <w:rPr>
          <w:rStyle w:val="FootnoteAnchor"/>
          <w:rtl w:val="true"/>
        </w:rPr>
        <w:footnoteReference w:id="32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الحقيق بالتصديق هو عدم الإجزاء ، فلا بدّ من الإعادة وعدم ترتيب </w:t>
      </w:r>
      <w:r>
        <w:rPr>
          <w:rStyle w:val="FootnoteAnchor"/>
          <w:rtl w:val="true"/>
        </w:rPr>
        <w:footnoteReference w:id="324"/>
      </w:r>
      <w:r>
        <w:rPr>
          <w:rFonts w:ascii="Amiri" w:hAnsi="Amiri" w:eastAsia="Amiri" w:cs="Amiri"/>
          <w:color w:val="111111"/>
          <w:sz w:val="28"/>
          <w:sz w:val="28"/>
          <w:szCs w:val="28"/>
          <w:rtl w:val="true"/>
          <w:lang w:bidi="ar-SA"/>
        </w:rPr>
        <w:t xml:space="preserve">الأحكام المترتّبة على الأمارة </w:t>
      </w:r>
      <w:r>
        <w:rPr>
          <w:rStyle w:val="FootnoteAnchor"/>
          <w:rtl w:val="true"/>
        </w:rPr>
        <w:footnoteReference w:id="325"/>
      </w:r>
      <w:r>
        <w:rPr>
          <w:rFonts w:ascii="Amiri" w:hAnsi="Amiri" w:eastAsia="Amiri" w:cs="Amiri"/>
          <w:color w:val="111111"/>
          <w:sz w:val="28"/>
          <w:sz w:val="28"/>
          <w:szCs w:val="28"/>
          <w:rtl w:val="true"/>
          <w:lang w:bidi="ar-SA"/>
        </w:rPr>
        <w:t xml:space="preserve">السابقة ، وفاقا للنهاية </w:t>
      </w:r>
      <w:r>
        <w:rPr>
          <w:rStyle w:val="FootnoteAnchor"/>
          <w:rtl w:val="true"/>
        </w:rPr>
        <w:footnoteReference w:id="326"/>
      </w:r>
      <w:r>
        <w:rPr>
          <w:rFonts w:ascii="Amiri" w:hAnsi="Amiri" w:eastAsia="Amiri" w:cs="Amiri"/>
          <w:color w:val="111111"/>
          <w:sz w:val="28"/>
          <w:sz w:val="28"/>
          <w:szCs w:val="28"/>
          <w:rtl w:val="true"/>
          <w:lang w:bidi="ar-SA"/>
        </w:rPr>
        <w:t xml:space="preserve">والتهذيب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والمختصر </w:t>
      </w:r>
      <w:r>
        <w:rPr>
          <w:rStyle w:val="FootnoteAnchor"/>
          <w:rtl w:val="true"/>
        </w:rPr>
        <w:footnoteReference w:id="328"/>
      </w:r>
      <w:r>
        <w:rPr>
          <w:rFonts w:ascii="IRNazanin" w:hAnsi="IRNazanin" w:eastAsia="IRNazanin"/>
          <w:color w:val="111111"/>
          <w:sz w:val="28"/>
          <w:sz w:val="28"/>
          <w:szCs w:val="28"/>
          <w:rtl w:val="true"/>
          <w:lang w:bidi="fa-IR"/>
        </w:rPr>
        <w:t xml:space="preserve">وشرحه </w:t>
      </w:r>
      <w:r>
        <w:rPr>
          <w:rStyle w:val="FootnoteAnchor"/>
          <w:rtl w:val="true"/>
        </w:rPr>
        <w:footnoteReference w:id="329"/>
      </w:r>
      <w:r>
        <w:rPr>
          <w:rFonts w:ascii="IRNazanin" w:hAnsi="IRNazanin" w:eastAsia="IRNazanin"/>
          <w:color w:val="111111"/>
          <w:sz w:val="28"/>
          <w:sz w:val="28"/>
          <w:szCs w:val="28"/>
          <w:rtl w:val="true"/>
          <w:lang w:bidi="fa-IR"/>
        </w:rPr>
        <w:t xml:space="preserve">وشرح المنهاج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سيد المفاتيح عنهم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محكيّ النهاية الإجماع عليه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w:t>
      </w:r>
      <w:r>
        <w:rPr>
          <w:rStyle w:val="FootnoteAnchor"/>
          <w:rtl w:val="true"/>
        </w:rPr>
        <w:footnoteReference w:id="333"/>
      </w:r>
      <w:r>
        <w:rPr>
          <w:rFonts w:ascii="Amiri" w:hAnsi="Amiri" w:eastAsia="Amiri" w:cs="Amiri"/>
          <w:color w:val="111111"/>
          <w:sz w:val="28"/>
          <w:sz w:val="28"/>
          <w:szCs w:val="28"/>
          <w:rtl w:val="true"/>
          <w:lang w:bidi="ar-SA"/>
        </w:rPr>
        <w:t xml:space="preserve">العميدي قدس‌سره الاتّفاق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نكاح امرأة خالعها زوجها في المرّة الثالثة معتقدا أنّ الخلع فسخ لا طلاق ثمّ تبدّل اجتهاده واعتقد كونه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قد حكم بصحّة ذلك النكاح حاكم قبل تغيّر اجتهاده بقي النكاح على حاله ، وإن لم يحكم به حاكم لزمه مفارقتها اتّفاقا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وجوه من التفصيل يطّلع عليها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ما اخترناه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للإعادة وعدم ترتيب </w:t>
      </w:r>
      <w:r>
        <w:rPr>
          <w:rStyle w:val="FootnoteAnchor"/>
          <w:rtl w:val="true"/>
        </w:rPr>
        <w:footnoteReference w:id="335"/>
      </w:r>
      <w:r>
        <w:rPr>
          <w:rFonts w:ascii="Amiri" w:hAnsi="Amiri" w:eastAsia="Amiri" w:cs="Amiri"/>
          <w:color w:val="111111"/>
          <w:sz w:val="28"/>
          <w:sz w:val="28"/>
          <w:szCs w:val="28"/>
          <w:rtl w:val="true"/>
          <w:lang w:bidi="ar-SA"/>
        </w:rPr>
        <w:t>الآثار على الأمارة السابقة موجود ، والمانع عن ذلك غير موجود ، فلا بدّ من القول 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فلما تقدّم في الهداية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الطرق المجعولة الشرعيّة إنّما جعلت طرقا إلى الواقع ، من دون أن يكون تلك الطرق مخصّصة للأحكام الواقعيّة المتوجّهة </w:t>
      </w:r>
      <w:r>
        <w:rPr>
          <w:rStyle w:val="FootnoteAnchor"/>
          <w:rtl w:val="true"/>
        </w:rPr>
        <w:footnoteReference w:id="336"/>
      </w:r>
      <w:r>
        <w:rPr>
          <w:rFonts w:ascii="Amiri" w:hAnsi="Amiri" w:eastAsia="Amiri" w:cs="Amiri"/>
          <w:color w:val="111111"/>
          <w:sz w:val="28"/>
          <w:sz w:val="28"/>
          <w:szCs w:val="28"/>
          <w:rtl w:val="true"/>
          <w:lang w:bidi="ar-SA"/>
        </w:rPr>
        <w:t xml:space="preserve">إلى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المتّفق عليه عند أرباب التخطئة ، كما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انكشف فساد الأمارة القائمة على الواقع لا بدّ من الأخذ بما هو </w:t>
      </w:r>
    </w:p>
    <w:p>
      <w:pPr>
        <w:pStyle w:val="BookText"/>
        <w:rPr/>
      </w:pPr>
      <w:r>
        <w:rPr>
          <w:rFonts w:ascii="Amiri" w:hAnsi="Amiri" w:eastAsia="Amiri" w:cs="Amiri"/>
          <w:color w:val="111111"/>
          <w:sz w:val="28"/>
          <w:sz w:val="28"/>
          <w:szCs w:val="28"/>
          <w:rtl w:val="true"/>
          <w:lang w:bidi="ar-SA"/>
        </w:rPr>
        <w:t xml:space="preserve">الواقع ؛ فإنّ ما يدلّ على وجوب امتثال الأوامر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المقام ، فإن كان معلوما فلا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فيجب الأخذ بما جعله الشارع طريقا إليه ، وهي الأمارة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الأخذ بها هو فساد الأمارة الاولى وبقاء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الخبر الدال على جزئيّة السورة ، مفاده أنّ السورة في الواقع جزء للصلاة الواقعيّة ، ولا يفرق في ذلك بين من عمل بالأمارة الاولى ومن لم يعمل بها ، كما إذا كان الشخص تاركا للصلاة مثلا ، وقضيّة ذلك عدم تحقّق الصلاة بدون ذلك الجزء ، فيترتّب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الأدلّة الدالّة على إطاعة الأوامر الواقعيّة وامتثال أوامر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الصلاة ثانيا وعدم الاتّكال بما فعله في المرّة الاولى مطابقا للأمارة التي انكشف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أنّ بعد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التي أخذ بها سابقا ليست مغيّرة للواقع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الأمارة الثانية هو جزئيّة السورة مثلا للصلاة في الواقع ، من غير فرق بين العامل بالأمارة الاولى وتاركها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بعدم الإجزاء وعدم ترتّب الآثار على منار ، بحيث لا يعدّ منكره إلاّ مكابر ، أو غير ملتفت إلى حقيقة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فساد الأمارة الاولى يوجب حصول صغرى عند العامل ،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العبادة أو المعاملة التي وقعت على طبقها ، ويتلوها كبرى شرعيّة ثابتة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إعادة الواجب الواقعيّ الثابت بمقتضى الأمارة الثانية التي يجب العمل بها بالفرض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العمل بالأمارة بالنسبة إلى الوقائع السابقة ، بل المأتيّ به أوّلا إنّما كان تكليفه في ذلك الزمان ، وتكليفه بعد الوصول إلى الأمارة الثانية إنّما هو العمل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إنّما يلائم </w:t>
      </w:r>
      <w:r>
        <w:rPr>
          <w:rStyle w:val="FootnoteAnchor"/>
          <w:rtl w:val="true"/>
        </w:rPr>
        <w:footnoteReference w:id="337"/>
      </w:r>
      <w:r>
        <w:rPr>
          <w:rFonts w:ascii="Amiri" w:hAnsi="Amiri" w:eastAsia="Amiri" w:cs="Amiri"/>
          <w:color w:val="111111"/>
          <w:sz w:val="28"/>
          <w:sz w:val="28"/>
          <w:szCs w:val="28"/>
          <w:rtl w:val="true"/>
          <w:lang w:bidi="ar-SA"/>
        </w:rPr>
        <w:t xml:space="preserve">القول بأنّ الطرق الشرعيّة موضوعات لما يستفاد منها ، فيكون مفادها في عرض الواقع وقد فرغنا عن إبطال ذلك فيما مرّ </w:t>
      </w:r>
      <w:r>
        <w:rPr>
          <w:rStyle w:val="FootnoteAnchor"/>
          <w:rtl w:val="true"/>
        </w:rPr>
        <w:footnoteReference w:id="338"/>
      </w:r>
      <w:r>
        <w:rPr>
          <w:rFonts w:ascii="Amiri" w:hAnsi="Amiri" w:eastAsia="Amiri" w:cs="Amiri"/>
          <w:color w:val="111111"/>
          <w:sz w:val="28"/>
          <w:sz w:val="28"/>
          <w:szCs w:val="28"/>
          <w:rtl w:val="true"/>
          <w:lang w:bidi="ar-SA"/>
        </w:rPr>
        <w:t>؛ فإنّ لازمه التصويب الباطل ، مضافا إلى ظواهر الأدلّة الدالّة على حجيّة الطرق الشرعيّة ، فإنّها تنادي بأعلى صوتها على بقاء الواقع وعدم تخصيصه بواسطة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الإعادة والقضاء فهو من الوقائع اللاحقة ، فإنّ التعويل على الأمارة السابقة وعدم الاشتغال بإعادة ما قد امر به في الوقت أو في خارجه من الامور الطارئة للمكلّف في اللاحق ، غاية الأمر أنّ منشأ وجوب ذلك هو فساد المأتيّ به بمقتضى الأمارة الاولى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الإعادة والقضاء من الوقائع اللاحقة </w:t>
      </w:r>
      <w:r>
        <w:rPr>
          <w:rStyle w:val="FootnoteAnchor"/>
          <w:rtl w:val="true"/>
        </w:rPr>
        <w:footnoteReference w:id="339"/>
      </w:r>
      <w:r>
        <w:rPr>
          <w:rFonts w:ascii="Amiri" w:hAnsi="Amiri" w:eastAsia="Amiri" w:cs="Amiri"/>
          <w:color w:val="111111"/>
          <w:sz w:val="28"/>
          <w:sz w:val="28"/>
          <w:szCs w:val="28"/>
          <w:rtl w:val="true"/>
          <w:lang w:bidi="ar-SA"/>
        </w:rPr>
        <w:t>المرتبطة بالوقائع السابقة ، وذلك أمر ظاهر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الإعادة والقضاء من الوقائع اللاحقة ، لكن لا نسلّم وجوب الأخذ بالأمارة بالنسبة إلى </w:t>
      </w:r>
      <w:r>
        <w:rPr>
          <w:rStyle w:val="FootnoteAnchor"/>
          <w:rtl w:val="true"/>
        </w:rPr>
        <w:footnoteReference w:id="340"/>
      </w:r>
      <w:r>
        <w:rPr>
          <w:rFonts w:ascii="Amiri" w:hAnsi="Amiri" w:eastAsia="Amiri" w:cs="Amiri"/>
          <w:color w:val="111111"/>
          <w:sz w:val="28"/>
          <w:sz w:val="28"/>
          <w:szCs w:val="28"/>
          <w:rtl w:val="true"/>
          <w:lang w:bidi="ar-SA"/>
        </w:rPr>
        <w:t>الوقائع الغير المرتبطة بالسابقة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وإن كان تبعيضا بالنسبة إلى مدلول الأمارة ، لكن التبعيض في الشرعيّات كثير ، أمّا بالنسبة إلى الأحكام المترتّبة على الاصول فممّا لا حصر له ، وأمّا بالنسبة إلى غيرها فكثير أيضا ، كما إذا ورد خبر واحد يدلّ على نجاسة من فوّض أمر الخلق والرزق إليهم عليهم‌السلام ، فإنّ ذلك لا يصير مستندا في المسألة الاعتقاديّة ، لكنّه يؤخذ به بالنسبة إلى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إذا حصل الظنّ بالقبلة المستلزم لحصول الظنّ بالوقت ، فإنّه يتبعّض بالنسبة إليهما ، فيؤخذ بالظنّ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إذا </w:t>
      </w:r>
    </w:p>
    <w:p>
      <w:pPr>
        <w:pStyle w:val="BookText"/>
        <w:rPr/>
      </w:pPr>
      <w:r>
        <w:rPr>
          <w:rFonts w:ascii="Amiri" w:hAnsi="Amiri" w:eastAsia="Amiri" w:cs="Amiri"/>
          <w:color w:val="111111"/>
          <w:sz w:val="28"/>
          <w:sz w:val="28"/>
          <w:szCs w:val="28"/>
          <w:rtl w:val="true"/>
          <w:lang w:bidi="ar-SA"/>
        </w:rPr>
        <w:t xml:space="preserve">قيل بعدم اعتبار الخبر الظنّي في اللغات ، مع ورود رواية دالّة على ثبوت موضوع من الموضوعات اللغويّة مع استلزامه حكما شرعيّا ، فإنّه يؤخذ به في الثاني دون الأوّل ، كما في رواية زرارة عن الإمام عليه‌السلام 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الإمام عليه‌السلام بورود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مثلا </w:t>
      </w:r>
      <w:r>
        <w:rPr>
          <w:rStyle w:val="FootnoteAnchor"/>
          <w:rtl w:val="true"/>
        </w:rPr>
        <w:footnoteReference w:id="341"/>
      </w:r>
      <w:r>
        <w:rPr>
          <w:rFonts w:ascii="Amiri" w:hAnsi="Amiri" w:eastAsia="Amiri" w:cs="Amiri"/>
          <w:color w:val="111111"/>
          <w:sz w:val="28"/>
          <w:sz w:val="28"/>
          <w:szCs w:val="28"/>
          <w:rtl w:val="true"/>
          <w:lang w:bidi="ar-SA"/>
        </w:rPr>
        <w:t>، إلى غير ذلك ، فلا ضير في الأخذ بالأمارة في بعض الوقائع دون بعض ، ونحن ندّعي أنّ الأدلّة الدالّة على حجيّة الأمارات لا تدلّ على اعتبارها إلاّ في الوقائع اللاحقة الغير المرتبطة بالوقائع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دون إثباتها خرط القتاد بعد ملاحظة الأدلّة الدالّة على حجيّة تلك الأمارات ، ومتى يمكن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 الاستصحاب </w:t>
      </w:r>
      <w:r>
        <w:rPr>
          <w:rStyle w:val="FootnoteAnchor"/>
          <w:rtl w:val="true"/>
        </w:rPr>
        <w:footnoteReference w:id="342"/>
      </w:r>
      <w:r>
        <w:rPr>
          <w:rFonts w:ascii="Amiri" w:hAnsi="Amiri" w:eastAsia="Amiri" w:cs="Amiri"/>
          <w:color w:val="111111"/>
          <w:sz w:val="28"/>
          <w:sz w:val="28"/>
          <w:szCs w:val="28"/>
          <w:rtl w:val="true"/>
          <w:lang w:bidi="ar-SA"/>
        </w:rPr>
        <w:t xml:space="preserve">والروايات الدالّة على حجيّة الأخبار الظنيّة </w:t>
      </w:r>
      <w:r>
        <w:rPr>
          <w:rStyle w:val="FootnoteAnchor"/>
          <w:rtl w:val="true"/>
        </w:rPr>
        <w:footnoteReference w:id="343"/>
      </w:r>
      <w:r>
        <w:rPr>
          <w:rFonts w:ascii="Amiri" w:hAnsi="Amiri" w:eastAsia="Amiri" w:cs="Amiri"/>
          <w:color w:val="111111"/>
          <w:sz w:val="28"/>
          <w:sz w:val="28"/>
          <w:szCs w:val="28"/>
          <w:rtl w:val="true"/>
          <w:lang w:bidi="ar-SA"/>
        </w:rPr>
        <w:t>وغير ذلك ممّا لا مجال لأن يتوهّم فيها التقييد ببعض الآثار ، وذلك أمر ظاهر لمن راجعها وانصف ، وإن كان قد يمكن أن يناقش في أمارة دلّ على اعتبارها بعض الوجوه اللبيّة ، مثل الإجماع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مثل هذه التعسّفات لا ينبغي أن يرتكب فيها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بيان فقدان المانع عمّا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Style w:val="FootnoteAnchor"/>
          <w:rtl w:val="true"/>
        </w:rPr>
        <w:footnoteReference w:id="345"/>
      </w:r>
      <w:r>
        <w:rPr>
          <w:rFonts w:ascii="Amiri" w:hAnsi="Amiri" w:eastAsia="Amiri" w:cs="Amiri"/>
          <w:color w:val="111111"/>
          <w:sz w:val="28"/>
          <w:sz w:val="28"/>
          <w:szCs w:val="28"/>
          <w:rtl w:val="true"/>
          <w:lang w:bidi="ar-SA"/>
        </w:rPr>
        <w:t>موقوف على إيراد ما يمكن أن يكون مستندا للخصم في المقام ، وبيان عدم صلاحيّته للمنع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بعض القائلين بالإجزاء يظهر دعوى تطبيقه على القواعد </w:t>
      </w:r>
      <w:r>
        <w:rPr>
          <w:rStyle w:val="FootnoteAnchor"/>
          <w:rtl w:val="true"/>
        </w:rPr>
        <w:footnoteReference w:id="346"/>
      </w:r>
      <w:r>
        <w:rPr>
          <w:rFonts w:ascii="Amiri" w:hAnsi="Amiri" w:eastAsia="Amiri" w:cs="Amiri"/>
          <w:color w:val="111111"/>
          <w:sz w:val="28"/>
          <w:sz w:val="28"/>
          <w:szCs w:val="28"/>
          <w:rtl w:val="true"/>
          <w:lang w:bidi="ar-SA"/>
        </w:rPr>
        <w:t xml:space="preserve">، ويظهر من بعض آخر وجود الدليل عليه المخرج عن القاعدة القاضية بعدم الإجزاء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يمكن أن يكون وجها للأوّل فامور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ذكره سابقا وأشرنا إليه آنفا </w:t>
      </w:r>
      <w:r>
        <w:rPr>
          <w:rStyle w:val="FootnoteAnchor"/>
          <w:rtl w:val="true"/>
        </w:rPr>
        <w:footnoteReference w:id="348"/>
      </w:r>
      <w:r>
        <w:rPr>
          <w:rFonts w:ascii="Amiri" w:hAnsi="Amiri" w:eastAsia="Amiri" w:cs="Amiri"/>
          <w:color w:val="111111"/>
          <w:sz w:val="28"/>
          <w:sz w:val="28"/>
          <w:szCs w:val="28"/>
          <w:rtl w:val="true"/>
          <w:lang w:bidi="ar-SA"/>
        </w:rPr>
        <w:t xml:space="preserve">، من أنّ مفاد الأمارات الظاهريّة إنّما يكون في عرض الواقع ، فيختلف الأحكام الواقعيّة على حسب اختلاف الأمارات </w:t>
      </w:r>
      <w:r>
        <w:rPr>
          <w:rStyle w:val="FootnoteAnchor"/>
          <w:rtl w:val="true"/>
        </w:rPr>
        <w:footnoteReference w:id="349"/>
      </w:r>
      <w:r>
        <w:rPr>
          <w:rFonts w:ascii="Amiri" w:hAnsi="Amiri" w:eastAsia="Amiri" w:cs="Amiri"/>
          <w:color w:val="111111"/>
          <w:sz w:val="28"/>
          <w:sz w:val="28"/>
          <w:szCs w:val="28"/>
          <w:rtl w:val="true"/>
          <w:lang w:bidi="ar-SA"/>
        </w:rPr>
        <w:t>فيكون الآتي بما دلّ عليه وجه من الوجوه الظنيّة آتيا بما هو المأمور به في الواقع ، على نحو 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فرغنا عن إبطال هذا التوهّم في الطرق الشرعيّة </w:t>
      </w:r>
      <w:r>
        <w:rPr>
          <w:rStyle w:val="FootnoteAnchor"/>
          <w:rtl w:val="true"/>
        </w:rPr>
        <w:footnoteReference w:id="350"/>
      </w:r>
      <w:r>
        <w:rPr>
          <w:rFonts w:ascii="Amiri" w:hAnsi="Amiri" w:eastAsia="Amiri" w:cs="Amiri"/>
          <w:color w:val="111111"/>
          <w:sz w:val="28"/>
          <w:sz w:val="28"/>
          <w:szCs w:val="28"/>
          <w:rtl w:val="true"/>
          <w:lang w:bidi="ar-SA"/>
        </w:rPr>
        <w:t xml:space="preserve">، فهو سخيف جدّا لا يكاد يلتفت إليه العاقل فضلا عن الفاضل ، مضافا إلى أنّ القول بذلك يوجب سقوط الإعادة والقضاء فيما لو ظهر فساد الأمارة الاولى على وجه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إنّما هو بعد التسليم على أنّ الكشف القطعي يوجب الإعادة ، وذلك ظاهر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الطريقية في الأمارات الظاهريّة لا أظنّ أن يشكّ فيها أحد من أصحابنا ، كما يعاضده طريقة العرف والعقلاء ، إلاّ أنّه مع الشك في كون الأمارات طرقا إلى الواقع فالأصل يقضي بالبناء على الطريقيّة أيضا ، إذ البدليّة والتخصيص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مقتضى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 وعند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سقوط الواقع بعد الإتيان بما هو أجنبيّ عنه ، فإنّ الصلاة بدون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وجوبها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ربط لها بالواقع ، فيشكّ في كونها مجزية عنها ، والأصل بقاء الواجب وعدم سقوطه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بالسقوط ملازم للتصويب ، ولذا فرّع في تمهيد القواعد وجوب الإعادة والقضاء على مسألة التخطئة والتصويب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الواقعة الواحدة لا تتحمّل اجتهادين </w:t>
      </w:r>
      <w:r>
        <w:rPr>
          <w:rStyle w:val="FootnoteAnchor"/>
          <w:rtl w:val="true"/>
        </w:rPr>
        <w:footnoteReference w:id="352"/>
      </w:r>
      <w:r>
        <w:rPr>
          <w:rFonts w:ascii="Amiri" w:hAnsi="Amiri" w:eastAsia="Amiri" w:cs="Amiri"/>
          <w:color w:val="111111"/>
          <w:sz w:val="28"/>
          <w:sz w:val="28"/>
          <w:szCs w:val="28"/>
          <w:rtl w:val="true"/>
          <w:lang w:bidi="ar-SA"/>
        </w:rPr>
        <w:t>، ولعلّ المراد به منع الدليل الدال على وجوب اتّباع الأمارة الثانية في الواقعة المجتهد فيها ، وإلاّ فهو بظاهره ممّا لا يكاد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فساده بما لا مزيد عليه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الموضوعيّة ، والقول بكون الأمارات الظاهريّة طرقا إلى الواقع ، ودلالة الدليل على لزوم اتّباع الآخذ بها في جميع ما يستفاد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يكفي في صحّة الأعمال الواقعة على حسب الأمارة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عبادة أو معاملة ، كالصلاة بدون السورة والعقد على المرضعة 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وقوعها عند العامل حال صدور العمل على الوجه الصحيح وإن اعتقد بعد ذلك فساده ، فالزوجيّة وسقوط القضاء من آثار النكاح الصحيح والصلاة الصحيحة ، والمفروض وقوع الصلاة الصحيحة والنكاح الصحيح حال وقوعهما لدى العامل ، فلا يجب عليه الإعادة </w:t>
      </w:r>
      <w:r>
        <w:rPr>
          <w:rStyle w:val="FootnoteAnchor"/>
          <w:rtl w:val="true"/>
        </w:rPr>
        <w:footnoteReference w:id="354"/>
      </w:r>
      <w:r>
        <w:rPr>
          <w:rFonts w:ascii="Amiri" w:hAnsi="Amiri" w:eastAsia="Amiri" w:cs="Amiri"/>
          <w:color w:val="111111"/>
          <w:sz w:val="28"/>
          <w:sz w:val="28"/>
          <w:szCs w:val="28"/>
          <w:rtl w:val="true"/>
          <w:lang w:bidi="ar-SA"/>
        </w:rPr>
        <w:t>ولا على وليّه القضاء بعد موته وإن كان الولي ممن يرى فساد الصلاة بلا سورة بحسب اجتهاده أو تقليده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يؤيّد ذلك بما أفاده الفخر في الإيضاح </w:t>
      </w:r>
      <w:r>
        <w:rPr>
          <w:rStyle w:val="FootnoteAnchor"/>
          <w:rtl w:val="true"/>
        </w:rPr>
        <w:footnoteReference w:id="355"/>
      </w:r>
      <w:r>
        <w:rPr>
          <w:rFonts w:ascii="Amiri" w:hAnsi="Amiri" w:eastAsia="Amiri" w:cs="Amiri"/>
          <w:color w:val="111111"/>
          <w:sz w:val="28"/>
          <w:sz w:val="28"/>
          <w:szCs w:val="28"/>
          <w:rtl w:val="true"/>
          <w:lang w:bidi="ar-SA"/>
        </w:rPr>
        <w:t xml:space="preserve">، حيث استدلّ على صحة نكاح الكفّار حال كفرهم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امْرَأَتُ فِرْعَوْنَ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فإنّ التعبير عنهما على وجه الإضافة كاشف عن تحقّق نسبة الزوجيّة الواقعيّة بينهما وبين بعليهما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جدّا ؛ لإمكان كون الإضافة على وجه المناسبة ، وذلك ظاهر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فهذا الوجه أيضا أضعف من سابقيه </w:t>
      </w:r>
      <w:r>
        <w:rPr>
          <w:rStyle w:val="FootnoteAnchor"/>
          <w:rtl w:val="true"/>
        </w:rPr>
        <w:footnoteReference w:id="359"/>
      </w:r>
      <w:r>
        <w:rPr>
          <w:rFonts w:ascii="Amiri" w:hAnsi="Amiri" w:eastAsia="Amiri" w:cs="Amiri"/>
          <w:color w:val="111111"/>
          <w:sz w:val="28"/>
          <w:sz w:val="28"/>
          <w:szCs w:val="28"/>
          <w:rtl w:val="true"/>
          <w:lang w:bidi="ar-SA"/>
        </w:rPr>
        <w:t xml:space="preserve">؛ إذ بعد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الطرق الظاهريّة من قبيل المرايا للواقع ولا يعقل فيها اعتبار الموضوعيّة ، لا معنى للقول بأنّه يكفي في ترتيب الآثار وجود الفعل عند العامل صحيحا حين صدور العمل ، فلا يجوز لمن يرى خلافه بمرآة معتبرة عنده ترتيب الآثار المرتّبة عليه ، سواء في ذلك العامل وغيره ، فإنّ العلقة الواقعيّة والرابطة الحقيقيّة بين المرء وزوجه لا تتحقّق في الواقع إلاّ فيما لم يتحقّق بينهما الرضاع المحرّم ، ولا مدخل لاعتقاد الزوج والزوجة في ذلك ، فإنّ تأثير العلم في الواقعيّات التي يتعلّق بها غير معقول ؛ لكونه دورا ظاهرا ، غاية الأمر رفع العقاب عن الجاهل بعد عدم التقصير ؛ لعدم تحقّق مقتضيه ، وهي المخالفة التي لا واقع لها إلاّ بعد العلم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فالاجتهاد والتقليد وغيرهما طرق إلى الواقع ، ولا يترتّب على الطريق شيء بعد كشف فساده على وجه منزّل منزلة العلم ، وهي الأمارة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يقتضي القول بالإجزاء على تقدير كشف الفساد على </w:t>
      </w:r>
    </w:p>
    <w:p>
      <w:pPr>
        <w:pStyle w:val="BookText"/>
        <w:rPr/>
      </w:pPr>
      <w:r>
        <w:rPr>
          <w:rFonts w:ascii="Amiri" w:hAnsi="Amiri" w:eastAsia="Amiri" w:cs="Amiri"/>
          <w:color w:val="111111"/>
          <w:sz w:val="28"/>
          <w:sz w:val="28"/>
          <w:szCs w:val="28"/>
          <w:rtl w:val="true"/>
          <w:lang w:bidi="ar-SA"/>
        </w:rPr>
        <w:t>وجه القطع ، ولا 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ينبغي الالتزام به ، وإن كان ممّن يقول بالإجزاء في مثل المقام على مقتضى القاعدة 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العنبي الموجود بين أيدينا إنّما كان طاهرا قبل قيام الأمارة الثانية على نجاسته ، فيحكم بطهارة ملاقيه قبل ذلك ، ولكنّه نجس بعد قيام الأمارة فيجب الاجتناب </w:t>
      </w:r>
      <w:r>
        <w:rPr>
          <w:rStyle w:val="FootnoteAnchor"/>
          <w:rtl w:val="true"/>
        </w:rPr>
        <w:footnoteReference w:id="360"/>
      </w:r>
      <w:r>
        <w:rPr>
          <w:rFonts w:ascii="Amiri" w:hAnsi="Amiri" w:eastAsia="Amiri" w:cs="Amiri"/>
          <w:color w:val="111111"/>
          <w:sz w:val="28"/>
          <w:sz w:val="28"/>
          <w:szCs w:val="28"/>
          <w:rtl w:val="true"/>
          <w:lang w:bidi="ar-SA"/>
        </w:rPr>
        <w:t>عنه وعن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الآثار المترتّبة على ما قامت عليه الأمارة الثانية ، من الطهارة والنجاسة وجواز الأكل والبيع والوطء ، فإنّ قبل قيامها كانت تلك الأحكام ثابتة ، ولا يعلم تميّز بينهما بعد قيام الأمارة ، فيجب </w:t>
      </w:r>
      <w:r>
        <w:rPr>
          <w:rStyle w:val="FootnoteAnchor"/>
          <w:rtl w:val="true"/>
        </w:rPr>
        <w:footnoteReference w:id="361"/>
      </w:r>
      <w:r>
        <w:rPr>
          <w:rFonts w:ascii="Amiri" w:hAnsi="Amiri" w:eastAsia="Amiri" w:cs="Amiri"/>
          <w:color w:val="111111"/>
          <w:sz w:val="28"/>
          <w:sz w:val="28"/>
          <w:szCs w:val="28"/>
          <w:rtl w:val="true"/>
          <w:lang w:bidi="ar-SA"/>
        </w:rPr>
        <w:t>الحكم بالاستصحاب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وفساده ممّا لا يكاد يخفى على أوائل </w:t>
      </w:r>
      <w:r>
        <w:rPr>
          <w:rStyle w:val="FootnoteAnchor"/>
          <w:rtl w:val="true"/>
        </w:rPr>
        <w:footnoteReference w:id="362"/>
      </w:r>
      <w:r>
        <w:rPr>
          <w:rFonts w:ascii="Amiri" w:hAnsi="Amiri" w:eastAsia="Amiri" w:cs="Amiri"/>
          <w:color w:val="111111"/>
          <w:sz w:val="28"/>
          <w:sz w:val="28"/>
          <w:szCs w:val="28"/>
          <w:rtl w:val="true"/>
          <w:lang w:bidi="ar-SA"/>
        </w:rPr>
        <w:t xml:space="preserve">العقول ؛ إذ من المعلوم عدم ترتّب تلك الآثار بنفسها ، بل إنّما كان ذلك </w:t>
      </w:r>
      <w:r>
        <w:rPr>
          <w:rStyle w:val="FootnoteAnchor"/>
          <w:rtl w:val="true"/>
        </w:rPr>
        <w:footnoteReference w:id="363"/>
      </w:r>
      <w:r>
        <w:rPr>
          <w:rFonts w:ascii="Amiri" w:hAnsi="Amiri" w:eastAsia="Amiri" w:cs="Amiri"/>
          <w:color w:val="111111"/>
          <w:sz w:val="28"/>
          <w:sz w:val="28"/>
          <w:szCs w:val="28"/>
          <w:rtl w:val="true"/>
          <w:lang w:bidi="ar-SA"/>
        </w:rPr>
        <w:t>بواسطة قيام الأمارة الاولى ، والمفروض ظهور فسادها بما هو منزّل منزلة العلم ، فلا وجه للاستصحاب ، 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بالأمارة الثانية في الوقائع المترتّبة على الوقائع السابقة دون الأمارة الاولى ترجيح بلا مرجّح وتخصيص بدون ما يقضي به ؛ فإنّ المفروض أنّ الأمارتين كلتاهما ظنّيتان ، فلا يعلم بمطابقة إحداهما دون الاخرى للواقع ، ولا وجه للأخذ بإحداهما دون الاخرى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الأجل كاشف الغطاء عن وجوه التحقيقات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رجحان للظنّ على الظنّ السابق حين ثبوته ، انتهى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هذا الوجه ممّا لا يكاد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المفروض قيام الدليل على اعتبار الظنّ الثاني ، ومعنى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ظاهر تنزيله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الأخذ به على حسب كشفه عن الواقع ، ومن المعلوم عدم سقوط الواقع بمقتضى كشف الظنّ الثاني عن الواقع ، فيجب الإتيان بما هو مسقط عنه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 عدم الترجيح عدم دلالة الأمارة الثانية على فساد العمل الواقع أوّلا على حسب الأمارة الاولى فهو في غاية السقوط ؛ فإنّ ذلك أمر قهريّ لازم من الظنّ بجزئيّة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عدم دلالة دليل على اعتبار الظنّ بالنسبة إلى غير الواقعة الغير المرتبطة بسابقتها فقد عرفت فساده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فرض عدم الترجيح لأحد الظنّين على الآخر لا وجه للأخذ بالأمارة الاولى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طريق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بل ذلك طرح للأمارة الثانية ، ولا قاضي بالجمع بعد كشف فساد الاولى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فمطالبة الترجيح ممّا لا ينبغي أن يصغى إليه ؛ فإنّ ذلك إنّما يستقيم عند التعارض ، ولا يعقل التعارض في المقام ، سواء قلنا بأن الأمارات المعمولة في الأحكام مغيّرة للواقع أم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فهو ظاهر ؛ إذ لا يعارض </w:t>
      </w:r>
      <w:r>
        <w:rPr>
          <w:rStyle w:val="FootnoteAnchor"/>
          <w:rtl w:val="true"/>
        </w:rPr>
        <w:footnoteReference w:id="365"/>
      </w:r>
      <w:r>
        <w:rPr>
          <w:rFonts w:ascii="Amiri" w:hAnsi="Amiri" w:eastAsia="Amiri" w:cs="Amiri"/>
          <w:color w:val="111111"/>
          <w:sz w:val="28"/>
          <w:sz w:val="28"/>
          <w:szCs w:val="28"/>
          <w:rtl w:val="true"/>
          <w:lang w:bidi="ar-SA"/>
        </w:rPr>
        <w:t>بعد اختصاص كلّ منهما بموضوع لا يرتبط بموضوع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فلأنّ قضيّة اعتبار الثاني فساد الأوّل ، ولا تعارض بين الدليل وما ليس بدليل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يمكن أن يكون وجها لخروج ما نحن بصدده عن القاعدة المقرّرة ، فوجوه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عمدة ما يتمسّك به في عدم جواز الأخذ بالأمارة الثانية ، من أنّ ذلك يوجب حرجا عظيما ويورث عسرا شديدا ، وهو منفيّ في الشريعة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رأى طهارة الغسالة وجواز العقد بالفارسيّة وعدم وجوب السورة وعدم نشر الحرمة بعشر رضعات في أوائل بلوغه بواسطة تقليد أو اجتهاد ، وعمل بتلك الوقائع في مدّة مديدة ، فلم يجتنب عن الغسالة وصاحب مع ذلك جمعا كثيرا وجمّا غفيرا ، واشترى عقارا كثيرا بالعقود الفارسيّة ، وصلّى جميع دهره بلا سورة ، وعقد على المرتضعة المذكورة أو مرضعتها ، ثمّ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الغسالة وفساد العقود الفارسيّة ووجوب السورة ونشر الحرمة ، إلى غير ذلك من الأحكام في الموارد المختلفة ، لو وجب عليه النقض بالنسبة إلى تلك الآثار ، كأن يجب عليه قضاء الصلاة التي صلّى مع عدم الاجتناب عن الغسالة ، وتطهير ثيابه وغيرها من عقاره ومنقوله ، ويكون أملاكه معزولة عنه ، والمرأة بائنة عنه من دون طلاق ، إلى غير ذلك ، كان ذلك عسرا شديدا وحرجا أكيدا يقطع بنفيه في هذه الشريعة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بصورة العلم بالخلاف فإنّه يجب حينئذ نقض الآثار السابقة قطعا ، وما </w:t>
      </w:r>
      <w:r>
        <w:rPr>
          <w:rStyle w:val="FootnoteAnchor"/>
          <w:rtl w:val="true"/>
        </w:rPr>
        <w:footnoteReference w:id="366"/>
      </w:r>
      <w:r>
        <w:rPr>
          <w:rFonts w:ascii="Amiri" w:hAnsi="Amiri" w:eastAsia="Amiri" w:cs="Amiri"/>
          <w:color w:val="111111"/>
          <w:sz w:val="28"/>
          <w:sz w:val="28"/>
          <w:szCs w:val="28"/>
          <w:rtl w:val="true"/>
          <w:lang w:bidi="ar-SA"/>
        </w:rPr>
        <w:t xml:space="preserve">لو وقع الأعمال السابقة منه على وجه النسيان فإنّ بعد التذكّر لا ينبغي الإشكال في وجوب الأخذ بما يراه طريقا ، ولزوم نقض الأحكام التي رتّبها على المنسيّ فيه حال النسيان ، كما لو نسي نجاسة الشيء الفلاني أو أوجد عقدا فارسيّا بواسطة نسيانه فساده ، فإنّه يجب الأخذ بأحكام النجاسة وعدم الملك ونحو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الحرج قد يكون شخصيّا فيدور سقوط التكليف مدار ثبوته ، وقد </w:t>
      </w:r>
    </w:p>
    <w:p>
      <w:pPr>
        <w:pStyle w:val="BookText"/>
        <w:rPr/>
      </w:pPr>
      <w:r>
        <w:rPr>
          <w:rFonts w:ascii="Amiri" w:hAnsi="Amiri" w:eastAsia="Amiri" w:cs="Amiri"/>
          <w:color w:val="111111"/>
          <w:sz w:val="28"/>
          <w:sz w:val="28"/>
          <w:szCs w:val="28"/>
          <w:rtl w:val="true"/>
          <w:lang w:bidi="ar-SA"/>
        </w:rPr>
        <w:t>يكون نوعيّا ، كأن يكون تشريع الحكم عسرا في الغالب على الغالب ، فلا يكون سقوطه دائرا مدار ثبوته في شخص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من لزوم الحرج لزومه في شخص بعض الوقائع لبعض الأشخاص ، فذلك لا يقضي بالقول بالإجزاء وعدم النقض على وجه الاطّراد ؛ فإنّ بعض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يوجب ذلك ، كما إذا عمل بالأمارة وقت الفريضة فصلّى بلا سورة ثمّ اطّلع في الوقت على أمارة اخرى دالّة على وجوبها ، فإنّه لا ريب في عدم الحرج في إعادة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منه الحرج الغالبي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ثبوته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اعتبار الحرج الغالبي في نفي الأحكام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الثاني فتفصيله موكول إلى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أومأنا إليه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على رفع العسر والحرج يستفاد من ظاهر ما هي العمدة منها إناطة الرفع بوجود العسر والحرج وجودا وعدما ، فيكون العسر من قبيل العلّة دون الحكمة ، وإن كان قد يستأنس لكونه من قبيل الحكمة ببعض الآثار الواردة فيه التي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وضعت على حسب أقلّ الناس طاقة </w:t>
      </w:r>
      <w:r>
        <w:rPr>
          <w:rStyle w:val="FootnoteAnchor"/>
          <w:rtl w:val="true"/>
        </w:rPr>
        <w:footnoteReference w:id="367"/>
      </w:r>
      <w:r>
        <w:rPr>
          <w:rFonts w:ascii="Amiri" w:hAnsi="Amiri" w:eastAsia="Amiri" w:cs="Amiri"/>
          <w:color w:val="111111"/>
          <w:sz w:val="28"/>
          <w:sz w:val="28"/>
          <w:szCs w:val="28"/>
          <w:rtl w:val="true"/>
          <w:lang w:bidi="ar-SA"/>
        </w:rPr>
        <w:t>، إلاّ أنّ الإنصاف أنّه لا وجه لجعل مثل هذه الآثار حاكمة على الأدلّة الواقعيّة في غير مورد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الأوّل ففي غاية الظهور ؛ إذ لا إشكال في أنّ القول بالنقض لا يوجب العسر على الغالب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الرجوع وظهور الخلاف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p>
    <w:p>
      <w:pPr>
        <w:pStyle w:val="BookText"/>
        <w:rPr/>
      </w:pPr>
      <w:r>
        <w:rPr>
          <w:rFonts w:ascii="Amiri" w:hAnsi="Amiri" w:eastAsia="Amiri" w:cs="Amiri"/>
          <w:color w:val="111111"/>
          <w:sz w:val="28"/>
          <w:sz w:val="28"/>
          <w:szCs w:val="28"/>
          <w:rtl w:val="true"/>
          <w:lang w:bidi="ar-SA"/>
        </w:rPr>
        <w:t>يكون الرجوع من الأحوط إلى غيره ، كما إذا رجع المفتي بنجاسة الغسالة إلى الإفتاء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يكون الرجوع من غير الأحوط إلى الأحوط ، كما إذا رجع القائل بالطهارة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العمل مطابقا للاحتياط ، واخرى يكون مخالفا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أيضا ينقسم إلى قسمين ؛ إذ العمل به إمّا أن يكون على وجه 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التأمّل في عدم لزوم الحرج فيما إذا رجع عن الاحتياط إلى غيره ، وفيما إذا رجع عن غيره إليه مع العمل بالاحتياط ، وفيما إذا عمل بغير الاحتياط على وجه التقليد مع إمكان العمل بقول من يطابق رأيه رأي المفتي بخلاف الاحتياط ، فينحصر فيما إذا رجع عن غير الاحتياط إلى الاحتياط مع العمل بخلافه مع كونه مجتهدا ، أو </w:t>
      </w:r>
      <w:r>
        <w:rPr>
          <w:rStyle w:val="FootnoteAnchor"/>
          <w:rtl w:val="true"/>
        </w:rPr>
        <w:footnoteReference w:id="368"/>
      </w:r>
      <w:r>
        <w:rPr>
          <w:rFonts w:ascii="Amiri" w:hAnsi="Amiri" w:eastAsia="Amiri" w:cs="Amiri"/>
          <w:color w:val="111111"/>
          <w:sz w:val="28"/>
          <w:sz w:val="28"/>
          <w:szCs w:val="28"/>
          <w:rtl w:val="true"/>
          <w:lang w:bidi="ar-SA"/>
        </w:rPr>
        <w:t>انحصار المجتهد في القائل بالنجاسة بالنسبة إلى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على قسمين ؛ لأنّ العمل به قد يكون في زمان قليل وقد يكون في مدّة طويلة ، والقول بالنقض في الأوّل لا يوجب عسرا وحرجا جدّا ، وفي الثاني على تقدير استلزامه فهو قليل في الغاية ، وهو لا يستلزم رفع الحكم عن جميع الموارد التي لا يوجب الحرج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أكثر الأحكام الثابتة في الشريعة منفيّة ؛ إذ ما من حكم منها إلاّ ويمكن فرض استلزامه في بعض الصور والفروض عسرا ، كما يلاحظ في الوضوء والصلاة والحجّ والزكاة ونحوها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عدم الإجزاء والنقض يلازم الحرج الغالبي على غالب الناس ، فيه منع قوي ، بل التحقيق أنّ التعويل على عموم نفي </w:t>
      </w:r>
    </w:p>
    <w:p>
      <w:pPr>
        <w:pStyle w:val="BookText"/>
        <w:rPr/>
      </w:pPr>
      <w:r>
        <w:rPr>
          <w:rFonts w:ascii="Amiri" w:hAnsi="Amiri" w:eastAsia="Amiri" w:cs="Amiri"/>
          <w:color w:val="111111"/>
          <w:sz w:val="28"/>
          <w:sz w:val="28"/>
          <w:szCs w:val="28"/>
          <w:rtl w:val="true"/>
          <w:lang w:bidi="ar-SA"/>
        </w:rPr>
        <w:t xml:space="preserve">الحرج في الموارد التي يتحقّق فيها الحرج شخصا </w:t>
      </w:r>
      <w:r>
        <w:rPr>
          <w:rStyle w:val="FootnoteAnchor"/>
          <w:rtl w:val="true"/>
        </w:rPr>
        <w:footnoteReference w:id="369"/>
      </w:r>
      <w:r>
        <w:rPr>
          <w:rFonts w:ascii="Amiri" w:hAnsi="Amiri" w:eastAsia="Amiri" w:cs="Amiri"/>
          <w:color w:val="111111"/>
          <w:sz w:val="28"/>
          <w:sz w:val="28"/>
          <w:szCs w:val="28"/>
          <w:rtl w:val="true"/>
          <w:lang w:bidi="ar-SA"/>
        </w:rPr>
        <w:t>من دون أن يكون موردا لعمل الأصحاب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على عدم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ومخالفته للواقع يظهر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ندرة الوقوع ، فإنّ ما هو المعلوم بحسب السيرة هو الأخذ بالوقائع السابقة وعدم ترتّب آثار خلافها ، وهو أعمّ من المدّعى من وجوه شتّى ، فإنّ ذلك ربّما يكون بواسطة عدم الرجوع ، وعلى تقديره فربّما لا يكون من موارد النقض ، وعلى تقديره فربّما لا يكون العمل مطابقا للمنقوض ، وعلى تقديره فربّما ينتقل من تقليده إلى تقليد موافق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الانحصار أو رجوع المجتهد لا نسلّم جري السيرة على عدم النقض ، بل الظاهر جريانها على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ندرة تحقّق الرجوع لا سيّما بالنسبة إلى أرباب الأنظار الصائبة التي تعسر اجتهادهم ، فإنّ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اشتهاره باختلاف الفتاوى في كتبه ممّا لا سبيل إلى اثبات الرجوع في فتاويه المختلفة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رفع الوثوق والهرج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ما يكون رجوعه إلى قاعدة اللطف الواجب على الحكيم في مقام التشريع ، فهو يوجب القول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ما هو أهون من ذلك ، فهو وجه استحسانيّ لا نقول به مطلقا ، ولا سيّما في قبال الأدلّة الواقعيّة القاضية بالإعادة والقضاء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في فساد ما قد يوجد في كلمات الشيخ الأجل كاشف الغطاء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خلوّ الخطب والمواعظ عن ذلك ؛ فإنّ ذلك لا يرجع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البعض </w:t>
      </w:r>
      <w:r>
        <w:rPr>
          <w:rStyle w:val="FootnoteAnchor"/>
          <w:rtl w:val="true"/>
        </w:rPr>
        <w:footnoteReference w:id="371"/>
      </w:r>
      <w:r>
        <w:rPr>
          <w:rFonts w:ascii="Amiri" w:hAnsi="Amiri" w:eastAsia="Amiri" w:cs="Amiri"/>
          <w:color w:val="111111"/>
          <w:sz w:val="28"/>
          <w:sz w:val="28"/>
          <w:szCs w:val="28"/>
          <w:rtl w:val="true"/>
          <w:lang w:bidi="ar-SA"/>
        </w:rPr>
        <w:t xml:space="preserve">، من دعوى كونه ظاهر المذهب ، بل قد ادّعى بعض من لا تحقيق له </w:t>
      </w:r>
      <w:r>
        <w:rPr>
          <w:rStyle w:val="FootnoteAnchor"/>
          <w:rtl w:val="true"/>
        </w:rPr>
        <w:footnoteReference w:id="372"/>
      </w:r>
      <w:r>
        <w:rPr>
          <w:rFonts w:ascii="Amiri" w:hAnsi="Amiri" w:eastAsia="Amiri" w:cs="Amiri"/>
          <w:color w:val="111111"/>
          <w:sz w:val="28"/>
          <w:sz w:val="28"/>
          <w:szCs w:val="28"/>
          <w:rtl w:val="true"/>
          <w:lang w:bidi="ar-SA"/>
        </w:rPr>
        <w:t>الإجماع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معارضا بدعوى الإجماع من العميدي </w:t>
      </w:r>
      <w:r>
        <w:rPr>
          <w:rStyle w:val="FootnoteAnchor"/>
          <w:rtl w:val="true"/>
        </w:rPr>
        <w:footnoteReference w:id="373"/>
      </w:r>
      <w:r>
        <w:rPr>
          <w:rFonts w:ascii="Amiri" w:hAnsi="Amiri" w:eastAsia="Amiri" w:cs="Amiri"/>
          <w:color w:val="111111"/>
          <w:sz w:val="28"/>
          <w:sz w:val="28"/>
          <w:szCs w:val="28"/>
          <w:rtl w:val="true"/>
          <w:lang w:bidi="ar-SA"/>
        </w:rPr>
        <w:t xml:space="preserve">والعلاّمة </w:t>
      </w:r>
      <w:r>
        <w:rPr>
          <w:rStyle w:val="FootnoteAnchor"/>
          <w:rtl w:val="true"/>
        </w:rPr>
        <w:footnoteReference w:id="374"/>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ممّا لا سبيل إلى إثباته ، بل المتتبّع الماهر في مطاوي كلماتهم يظهر له بطلان الدعوى المذكورة ؛ إذ لم نجد فيما وصلنا من كلمات المتقدّمين والمتأخّرين ما يلوح منه الحكم بعدم النقض ، بل يظهر من جملة من الفتاوى في نظير المقام خلاف ذلك ، كما ستطّلع عليه </w:t>
      </w:r>
      <w:r>
        <w:rPr>
          <w:rStyle w:val="FootnoteAnchor"/>
          <w:rtl w:val="true"/>
        </w:rPr>
        <w:footnoteReference w:id="375"/>
      </w:r>
      <w:r>
        <w:rPr>
          <w:rFonts w:ascii="Amiri" w:hAnsi="Amiri" w:eastAsia="Amiri" w:cs="Amiri"/>
          <w:color w:val="111111"/>
          <w:sz w:val="28"/>
          <w:sz w:val="28"/>
          <w:szCs w:val="28"/>
          <w:rtl w:val="true"/>
          <w:lang w:bidi="ar-SA"/>
        </w:rPr>
        <w:t xml:space="preserve">، مثل ما إذا اقتدى القائل بوجوب السورة بمن لا يرى ذلك مع غلبة </w:t>
      </w:r>
      <w:r>
        <w:rPr>
          <w:rStyle w:val="FootnoteAnchor"/>
          <w:rtl w:val="true"/>
        </w:rPr>
        <w:footnoteReference w:id="376"/>
      </w:r>
      <w:r>
        <w:rPr>
          <w:rFonts w:ascii="Amiri" w:hAnsi="Amiri" w:eastAsia="Amiri" w:cs="Amiri"/>
          <w:color w:val="111111"/>
          <w:sz w:val="28"/>
          <w:sz w:val="28"/>
          <w:szCs w:val="28"/>
          <w:rtl w:val="true"/>
          <w:lang w:bidi="ar-SA"/>
        </w:rPr>
        <w:t>تركها منه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 الطرق الظاهريّة طرقا إلى الواقع لا وجه للقول بالإجزاء إلاّ بواسطة دليل خارج ، وقد عرفت انتفاء ما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وجوه من التفصيل لا بأس بإيرادها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بعض الأجلّة في الفصول ، 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الواقعة ممّا يتعيّن في وقوعها شرعا أخذها بمقتضى الفتوى فالظاهر بقاؤها على مقتضاها السابق ، فيترتّب عليه لوازمها بعد الرجوع ؛ إذ الواقعة الواحدة لا تحتمل اجتهادين ولو بحسب زمانين ؛ لعدم دليل عليه ؛ ولئلاّ يفضي إلى العسر والحرج المنفيّين عن الشريعة السمحة ، لعدم وقوف المجتهد غالبا </w:t>
      </w:r>
    </w:p>
    <w:p>
      <w:pPr>
        <w:pStyle w:val="BookText"/>
        <w:rPr/>
      </w:pPr>
      <w:r>
        <w:rPr>
          <w:rFonts w:ascii="Amiri" w:hAnsi="Amiri" w:eastAsia="Amiri" w:cs="Amiri"/>
          <w:color w:val="111111"/>
          <w:sz w:val="28"/>
          <w:sz w:val="28"/>
          <w:szCs w:val="28"/>
          <w:rtl w:val="true"/>
          <w:lang w:bidi="ar-SA"/>
        </w:rPr>
        <w:t xml:space="preserve">على رأي واحد ، فيؤدّي إلى الاختلاف </w:t>
      </w:r>
      <w:r>
        <w:rPr>
          <w:rStyle w:val="FootnoteAnchor"/>
          <w:rtl w:val="true"/>
        </w:rPr>
        <w:footnoteReference w:id="377"/>
      </w:r>
      <w:r>
        <w:rPr>
          <w:rFonts w:ascii="Amiri" w:hAnsi="Amiri" w:eastAsia="Amiri" w:cs="Amiri"/>
          <w:color w:val="111111"/>
          <w:sz w:val="28"/>
          <w:sz w:val="28"/>
          <w:szCs w:val="28"/>
          <w:rtl w:val="true"/>
          <w:lang w:bidi="ar-SA"/>
        </w:rPr>
        <w:t xml:space="preserve">فيما يبني فيه عليها </w:t>
      </w:r>
      <w:r>
        <w:rPr>
          <w:rStyle w:val="FootnoteAnchor"/>
          <w:rtl w:val="true"/>
        </w:rPr>
        <w:footnoteReference w:id="378"/>
      </w:r>
      <w:r>
        <w:rPr>
          <w:rFonts w:ascii="Amiri" w:hAnsi="Amiri" w:eastAsia="Amiri" w:cs="Amiri"/>
          <w:color w:val="111111"/>
          <w:sz w:val="28"/>
          <w:sz w:val="28"/>
          <w:szCs w:val="28"/>
          <w:rtl w:val="true"/>
          <w:lang w:bidi="ar-SA"/>
        </w:rPr>
        <w:t>من الأعمال ؛ ولئلاّ يرتفع الوثوق في العمل ، من حيث إنّ الرجوع في حقّه محتمل ، وهو مناف للحكمة الداعية إلى تشريع حكم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بصورة القطع ؛ لندرته وشذوذه ؛ ولأصالة بقاء آثار الواقعة ، إذ لا ريب في ثبوتها قبل الرجوع بالاجتهاد ولا قطع بارتفاعها بعده ؛ إذ لا دليل على تأثير الاجتهاد المتأخّر فيها ، فإنّ القدر الثابت من أدلّته جواز الاعتماد عليه بالنسبة إلى غير ذلك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جريان الأصل بالنسبة إلى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يستصحب بالنسبة إلى الموارد المتأخّرة عن زمن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فلمصادمة الإجماع ، مع اختصاص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قضيّته البقاء على تقدير عدم طروّ المانع ، وليس بقاؤه بعد الرجوع منه ؛ لأنّ الشكّ فيه في تحقّق المقتضي ، فإنّ العلّة في الثبوت الظن ، فأصالة بقاء الحكم يعارضه أصالة عدم علّة اخرى ، والقول بأنّ العلّة في المقام إعداديّة وربّما يستغنى عن العلل الإعدادية في البقاء ، غير مجد ؛ لأنّ الأصل بقاء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مثله في استصحاب بقاء الآثار ؛ فإنّ المقتضي لبقائها حينئذ متحقّق ، وهو وقوع الواقعة على الوجه الذي ثبت كونه مقتضيا لاستتباع آثارها ، وإنّما الشكّ في مانعيّة الرجوع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رجوع المجتهد من الفتوى حكم النسخ من حيث بقاء آثار موارده المتقدّمة ، فلو بنى على عدم جزئيّة شيء للعبادة وعدم شرطيّته ، فأتى بها على الوجه الذي بنى عليه ثمّ رجع ، بنى على صحّة ما أتى به ، حتّى أنّها لو كانت صلاة وبنى فيها على عدم وجوب السورة ثمّ رجع بعد تجاوز المحل بنى على صحّتها </w:t>
      </w:r>
    </w:p>
    <w:p>
      <w:pPr>
        <w:pStyle w:val="BookText"/>
        <w:rPr/>
      </w:pPr>
      <w:r>
        <w:rPr>
          <w:rFonts w:ascii="Amiri" w:hAnsi="Amiri" w:eastAsia="Amiri" w:cs="Amiri"/>
          <w:color w:val="111111"/>
          <w:sz w:val="28"/>
          <w:sz w:val="28"/>
          <w:szCs w:val="28"/>
          <w:rtl w:val="true"/>
          <w:lang w:bidi="ar-SA"/>
        </w:rPr>
        <w:t xml:space="preserve">من جهة ذلك ، أو بنى على صحّتها في شعر الأرانب ثمّ رجع ولو في الأثناء إذا نزعها </w:t>
      </w:r>
      <w:r>
        <w:rPr>
          <w:rStyle w:val="FootnoteAnchor"/>
          <w:rtl w:val="true"/>
        </w:rPr>
        <w:footnoteReference w:id="379"/>
      </w:r>
      <w:r>
        <w:rPr>
          <w:rFonts w:ascii="Amiri" w:hAnsi="Amiri" w:eastAsia="Amiri" w:cs="Amiri"/>
          <w:color w:val="111111"/>
          <w:sz w:val="28"/>
          <w:sz w:val="28"/>
          <w:szCs w:val="28"/>
          <w:rtl w:val="true"/>
          <w:lang w:bidi="ar-SA"/>
        </w:rPr>
        <w:t xml:space="preserve">قبل الرجوع ، وكذا لو بنى على طهارة شيء ثمّ صلّى في ملاقيه </w:t>
      </w:r>
      <w:r>
        <w:rPr>
          <w:rStyle w:val="FootnoteAnchor"/>
          <w:rtl w:val="true"/>
        </w:rPr>
        <w:footnoteReference w:id="380"/>
      </w:r>
      <w:r>
        <w:rPr>
          <w:rFonts w:ascii="Amiri" w:hAnsi="Amiri" w:eastAsia="Amiri" w:cs="Amiri"/>
          <w:color w:val="111111"/>
          <w:sz w:val="28"/>
          <w:sz w:val="28"/>
          <w:szCs w:val="28"/>
          <w:rtl w:val="true"/>
          <w:lang w:bidi="ar-SA"/>
        </w:rPr>
        <w:t>ورجع ولو الأثناء ، فلا يلزمه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بقيّة مباحث العبادات وسائر مسائل العقود ، فلو عقد بصيغة يرى صحّتها ثمّ رجع بنى على صحّتها واستصحاب أحكامها ، من بقاء الملكيّة والزوجيّة والبينونة والحريّة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حكم الحاكم ، فالظاهر أنّ عدم انتقاضه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بقاء حكم فتواه التي فرّع عليه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ترافع إليه المتعاقدان بالفارسيّة في النكاح فحكم بالزوجيّة ، أو في البيع فحكم بالنقل والملكيّة ، فإنّ حكم فتواه التي يتفرّع عليها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اشترى أحد المتعاقدين لحم حيوان بقول الحاكم بحلّيته ، فترافعا إليه فحكم بصحّة العقد وانتقال المثمن إلى المشتري ، ثمّ رجع إلى القول بالتحريم ، فإنّ الحكم بصحة العقد وانتقال الثمن إلى البائع يبقى بحاله ، ولا يبقى الحكم بحلّيته في حق المشتري بحاله ، وهكذا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إذا حكم بطهارة </w:t>
      </w:r>
      <w:r>
        <w:rPr>
          <w:rStyle w:val="FootnoteAnchor"/>
          <w:rtl w:val="true"/>
        </w:rPr>
        <w:footnoteReference w:id="381"/>
      </w:r>
      <w:r>
        <w:rPr>
          <w:rFonts w:ascii="Amiri" w:hAnsi="Amiri" w:eastAsia="Amiri" w:cs="Amiri"/>
          <w:color w:val="111111"/>
          <w:sz w:val="28"/>
          <w:sz w:val="28"/>
          <w:szCs w:val="28"/>
          <w:rtl w:val="true"/>
          <w:lang w:bidi="ar-SA"/>
        </w:rPr>
        <w:t xml:space="preserve">ماء قليل لاقاه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 لم ينتقض حكمه بالطهارة بالنسبة إلى ذلك الماء ؛ للإجماع على أن الحكم لا ينتقض بالرجوع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غير جيّد ؛ لأنّ المراد بالحكم هناك ما يتعلّق بالدعاوى والمرافعات ، ولهذا لا يلزم متابعته في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الواقعة ممّا لا يتعيّن </w:t>
      </w:r>
      <w:r>
        <w:rPr>
          <w:rStyle w:val="FootnoteAnchor"/>
          <w:rtl w:val="true"/>
        </w:rPr>
        <w:footnoteReference w:id="382"/>
      </w:r>
      <w:r>
        <w:rPr>
          <w:rFonts w:ascii="Amiri" w:hAnsi="Amiri" w:eastAsia="Amiri" w:cs="Amiri"/>
          <w:color w:val="111111"/>
          <w:sz w:val="28"/>
          <w:sz w:val="28"/>
          <w:szCs w:val="28"/>
          <w:rtl w:val="true"/>
          <w:lang w:bidi="ar-SA"/>
        </w:rPr>
        <w:t xml:space="preserve">أخذها بمقتضى الفتوى فالظاهر تغيّر الحكم بتغيّر الاجتهاد ؛ كما لو بنى على حلّية حيوان فذكّاه ثمّ رجع ، بنى على تحريم المذكّى منه وغيره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طهارة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فلاقاه ثمّ رجع ، بنى على نجاسته ونجاسة ملاقيه قبل الرجوع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عدم تحريم الرضعات العشر فتزوّج من أرضعته ذلك ثمّ رجع ، بنى على تحريمها ؛ لأنّ ذلك كلّه رجوع عن حكم الموضوع ، وهو لا يثبت بالاجتهاد على الإطلاق ، بل ما دام باقيا على اجتهاده ، فإذا رجع ارتفع ، كما يظهر من تنظير ذلك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الأفعال المتعلّقة بالموضوع المتفرّعة على الاجتهاد </w:t>
      </w:r>
      <w:r>
        <w:rPr>
          <w:rStyle w:val="FootnoteAnchor"/>
          <w:rtl w:val="true"/>
        </w:rPr>
        <w:footnoteReference w:id="384"/>
      </w:r>
      <w:r>
        <w:rPr>
          <w:rFonts w:ascii="Amiri" w:hAnsi="Amiri" w:eastAsia="Amiri" w:cs="Amiri"/>
          <w:color w:val="111111"/>
          <w:sz w:val="28"/>
          <w:sz w:val="28"/>
          <w:szCs w:val="28"/>
          <w:rtl w:val="true"/>
          <w:lang w:bidi="ar-SA"/>
        </w:rPr>
        <w:t xml:space="preserve">، فهي في الحقيقة إمّا من مشخّصات عنوان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المتفرّعات على حكم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كالتذكية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فيها </w:t>
      </w:r>
      <w:r>
        <w:rPr>
          <w:rStyle w:val="FootnoteAnchor"/>
          <w:rtl w:val="true"/>
        </w:rPr>
        <w:footnoteReference w:id="385"/>
      </w:r>
      <w:r>
        <w:rPr>
          <w:rFonts w:ascii="Amiri" w:hAnsi="Amiri" w:eastAsia="Amiri" w:cs="Amiri"/>
          <w:color w:val="111111"/>
          <w:sz w:val="28"/>
          <w:sz w:val="28"/>
          <w:szCs w:val="28"/>
          <w:rtl w:val="true"/>
          <w:lang w:bidi="ar-SA"/>
        </w:rPr>
        <w:t xml:space="preserve">في بقاء حكم الموضوع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أطال في دفع ما استدلّ به على عدم النقض في القسم الأوّل بجملة من الإيرادات المذكورة فيما سبق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 إنّ التفصيل المذكور ممّا لا يرجع إلى معنى معقول ؛ فإنّا وإن بالغنا في التأمّل في كلامه لم نجد له معنى محصّلا على وجه ينطبق عليه الأمثلة المذكورة في الموردين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مراده رحمه‌اللّه على ما يظهر من تفسير </w:t>
      </w:r>
      <w:r>
        <w:rPr>
          <w:rStyle w:val="FootnoteAnchor"/>
          <w:rtl w:val="true"/>
        </w:rPr>
        <w:footnoteReference w:id="387"/>
      </w:r>
      <w:r>
        <w:rPr>
          <w:rFonts w:ascii="Amiri" w:hAnsi="Amiri" w:eastAsia="Amiri" w:cs="Amiri"/>
          <w:color w:val="111111"/>
          <w:sz w:val="28"/>
          <w:sz w:val="28"/>
          <w:szCs w:val="28"/>
          <w:rtl w:val="true"/>
          <w:lang w:bidi="ar-SA"/>
        </w:rPr>
        <w:t xml:space="preserve">القسمين مع قطع النظر عن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الوقائع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الأخذ بمقتضى الاجتهاد والتقليد على وجه لو وقع من العامل التارك للطريقين لا يقع صحيحا ، سواء كان العمل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مطابقة الواقع ولا يلاحظ فيه الاجتهاد والتقليد على وجه لو صدر من الجاهل نقول بصحّته فيما لو 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لا نقض ؛ إذ المقتضي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الواقعة على طبق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 ولا مدخل للواقع في ذلك ، فيكون من قبيل النسخ من حيث ارتفاع حكم المنسوخ عن الموارد المتأخّرة دون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القسم الثاني فلمّا كان المدار على الواقع </w:t>
      </w:r>
      <w:r>
        <w:rPr>
          <w:rStyle w:val="FootnoteAnchor"/>
          <w:rtl w:val="true"/>
        </w:rPr>
        <w:footnoteReference w:id="388"/>
      </w:r>
      <w:r>
        <w:rPr>
          <w:rFonts w:ascii="Amiri" w:hAnsi="Amiri" w:eastAsia="Amiri" w:cs="Amiri"/>
          <w:color w:val="111111"/>
          <w:sz w:val="28"/>
          <w:sz w:val="28"/>
          <w:szCs w:val="28"/>
          <w:rtl w:val="true"/>
          <w:lang w:bidi="ar-SA"/>
        </w:rPr>
        <w:t xml:space="preserve">وإنّما يكون الاجتهاد طريقا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الفعل على طبق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بالنقض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مراده هو ما ذكرناه ، ففيه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اريد من اعتبار وقوع الواقعة على وجه الاجتهاد أن يكون الاجتهاد موضوعا لثبوت الأحكام المترتّبة عليه ، من صحّة الصلاة والزوجيّة والبينونة والحرّية والرقّية والملكيّة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نقول به فيمن علم بنجاسة ثوبه بين الصلاة بالنسبة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القول بالتصويب ؛ إذ لا واقع في البين حينئذ</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 اعتبار وقوع الواقعة بمقتضى الفتوى أن يكون وقوعها صحيحة في الخارج متوقّفا على الأخذ بالاجتهاد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وجود الواقع إلاّ أنّ </w:t>
      </w:r>
    </w:p>
    <w:p>
      <w:pPr>
        <w:pStyle w:val="BookText"/>
        <w:rPr/>
      </w:pPr>
      <w:r>
        <w:rPr>
          <w:rFonts w:ascii="Amiri" w:hAnsi="Amiri" w:eastAsia="Amiri" w:cs="Amiri"/>
          <w:color w:val="111111"/>
          <w:sz w:val="28"/>
          <w:sz w:val="28"/>
          <w:szCs w:val="28"/>
          <w:rtl w:val="true"/>
          <w:lang w:bidi="ar-SA"/>
        </w:rPr>
        <w:t xml:space="preserve">الطريق إليه لا بدّ وأن يكون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خلاف الإجماع على ما حكي أوّلا بالنسبة إلى بعض الأحكام ، كما في المعاملات ، فإنّها من قبيل الأسباب التي لا مدخل للاجتهاد والتقليد في صحّتها ، فلو أوقع المكلّف بيعا مشتملا على جميع ما يعتبر فيه من دون اجتهاد أو تقليد ، فالحقّ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المفصّل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 بالصحّة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بسطنا فيه الكلام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المدار في جميع الأحكام هو وقوعها 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عبادة 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للاجتهاد والتقليد فيها بعد إحراز 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الاجتهاد ممّا يؤثّر في صحة العمل ، ولكنّه ما الفرق بين القسمين ، حتى أنّه التزم بعدم النقض في الأوّل وبه في الثاني؟ إذ لا مائز بينهما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وجود المائز بينهما ، ولكن اشتراط صحّة العمل بوقوعه على طبق الاجتهاد لا يلازمه عدم النقض ؛ إذ المفروض عدم كون الاجتهاد موضوعا صرفا ، على وجه يكون الواقع غير ملحوظ فيما وقع على طبق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غاية ما يلزم من ذلك فساد العمل على تقدير المخالفة وإن طابق الواقع ، وأين ذلك من الحكم بالصحّة وعدم النقض بعد الكشف بفساد الاجتهاد على وجه معتبر؟</w:t>
      </w:r>
    </w:p>
    <w:p>
      <w:pPr>
        <w:pStyle w:val="BookText"/>
        <w:rPr/>
      </w:pPr>
      <w:r>
        <w:rPr>
          <w:rFonts w:ascii="Amiri" w:hAnsi="Amiri" w:eastAsia="Amiri" w:cs="Amiri"/>
          <w:color w:val="111111"/>
          <w:sz w:val="28"/>
          <w:sz w:val="28"/>
          <w:szCs w:val="28"/>
          <w:rtl w:val="true"/>
          <w:lang w:bidi="ar-SA"/>
        </w:rPr>
        <w:t>ثمّ إنّ ما استند إليه في القول بعدم النقض في القسم الأوّل من الوجوه المذكورة ، قد عرفت أنّها لا ينبغي أن يعوّل عليها في قبال ما ذكرنا من القاعدة القاضية بالنقض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w:t>
      </w:r>
      <w:r>
        <w:rPr>
          <w:rStyle w:val="FootnoteAnchor"/>
          <w:rtl w:val="true"/>
        </w:rPr>
        <w:footnoteReference w:id="389"/>
      </w:r>
      <w:r>
        <w:rPr>
          <w:rFonts w:ascii="Amiri" w:hAnsi="Amiri" w:eastAsia="Amiri" w:cs="Amiri"/>
          <w:color w:val="111111"/>
          <w:sz w:val="28"/>
          <w:sz w:val="28"/>
          <w:szCs w:val="28"/>
          <w:rtl w:val="true"/>
          <w:lang w:bidi="ar-SA"/>
        </w:rPr>
        <w:t xml:space="preserve">فصّله بين استصحاب الحكم واستصحاب الآثار المترتّبة على الاجتهاد الأوّل ، فزعم عدم جريانه في الأوّل وجريانه في الثاني ، فهو ممّا لا يقضي </w:t>
      </w:r>
    </w:p>
    <w:p>
      <w:pPr>
        <w:pStyle w:val="BookText"/>
        <w:rPr/>
      </w:pPr>
      <w:r>
        <w:rPr>
          <w:rFonts w:ascii="Amiri" w:hAnsi="Amiri" w:eastAsia="Amiri" w:cs="Amiri"/>
          <w:color w:val="111111"/>
          <w:sz w:val="28"/>
          <w:sz w:val="28"/>
          <w:szCs w:val="28"/>
          <w:rtl w:val="true"/>
          <w:lang w:bidi="ar-SA"/>
        </w:rPr>
        <w:t xml:space="preserve">به فاضل ؛ فإنّ جواز التصرّف في المثمن بواسطة وقوع العقد الفارسي أو جواز وطي المعقودة أو جواز بيع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الأحكام التي يتفرّع على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الظنّ المعتبر عند العامل القائم على وجود تلك الموضوعات المستتبعة لتلك الآثار ؛ إذ لا ريب في أنّها أحكام ظاهريّة من حيث وقوع الظنّ واسطة فيها ، وبعد انتفاء الواسطة لا معنى لاستصحاب تلك الأحكام ، كما اعترف به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الآثار من مقتضيات وقوع الواقعة على الوجه الذي ثبت كونه مقتضيا لاستتباع آثارها ، فلم نعرف له وجها ؛ فإنّ ذلك الوقوع من مقتضيات الظن ، وبعد ارتفاعه لا وجه لاستصحاب مقتضاه ؛ من جهة ارتفاع الموضوع ، لا من جهة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وجود موضوع آخر لتلك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غير معقول أصلا ؛ إذ ليس ذلك من الاستصحاب في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بأصالة العدم ، مع أنّه جار في نفس الحكم أيضا ، كما تفطّن إليه ودفعه بمثل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إجمالا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فحكم رجوع المجتهد حكم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سخيف القول ؛ إذ الناسخ إنّما يكشف عن فساد الحكم من حينه ، ولو فرض مدلول الناسخ 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كشفه عن فساد العمل على الوجه </w:t>
      </w:r>
      <w:r>
        <w:rPr>
          <w:rStyle w:val="FootnoteAnchor"/>
          <w:rtl w:val="true"/>
        </w:rPr>
        <w:footnoteReference w:id="390"/>
      </w:r>
      <w:r>
        <w:rPr>
          <w:rFonts w:ascii="Amiri" w:hAnsi="Amiri" w:eastAsia="Amiri" w:cs="Amiri"/>
          <w:color w:val="111111"/>
          <w:sz w:val="28"/>
          <w:sz w:val="28"/>
          <w:szCs w:val="28"/>
          <w:rtl w:val="true"/>
          <w:lang w:bidi="ar-SA"/>
        </w:rPr>
        <w:t xml:space="preserve">الواقع قبل حدوث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الوجه في النسخ أيضا لزوم </w:t>
      </w:r>
      <w:r>
        <w:rPr>
          <w:rStyle w:val="FootnoteAnchor"/>
          <w:rtl w:val="true"/>
        </w:rPr>
        <w:footnoteReference w:id="391"/>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بعدم اعتبار تلك الأمارة بالنسبة إلى الوقائع المتقدّمة ، وقد عرفت دفعه بما لا مزيد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أثّر السبب في إيجاد المسبّب فلا وجه لتعطيل الأحكام المترتّبة على المسبّب بعد ارتفاع حكم السبب ، نظرا إلى أنّ </w:t>
      </w:r>
    </w:p>
    <w:p>
      <w:pPr>
        <w:pStyle w:val="BookText"/>
        <w:rPr/>
      </w:pPr>
      <w:r>
        <w:rPr>
          <w:rFonts w:ascii="Amiri" w:hAnsi="Amiri" w:eastAsia="Amiri" w:cs="Amiri"/>
          <w:color w:val="111111"/>
          <w:sz w:val="28"/>
          <w:sz w:val="28"/>
          <w:szCs w:val="28"/>
          <w:rtl w:val="true"/>
          <w:lang w:bidi="ar-SA"/>
        </w:rPr>
        <w:t xml:space="preserve">ذلك إنّما يقضي بعدم تأثيره في إيجاد مسبّب آخر ، ولا مدخل فيه بالنسبة إلى آثار المسبّب الأوّل ، نظير ما </w:t>
      </w:r>
      <w:r>
        <w:rPr>
          <w:rStyle w:val="FootnoteAnchor"/>
          <w:rtl w:val="true"/>
        </w:rPr>
        <w:footnoteReference w:id="392"/>
      </w:r>
      <w:r>
        <w:rPr>
          <w:rFonts w:ascii="Amiri" w:hAnsi="Amiri" w:eastAsia="Amiri" w:cs="Amiri"/>
          <w:color w:val="111111"/>
          <w:sz w:val="28"/>
          <w:sz w:val="28"/>
          <w:szCs w:val="28"/>
          <w:rtl w:val="true"/>
          <w:lang w:bidi="ar-SA"/>
        </w:rPr>
        <w:t>لو صار الوكيل معزولا ، فإنّ تصرفاته قبل العزل ماضية وإن لم يجز له التصرّف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 الأسباب الواقعيّة الموجودة حقيقة على وجه صحيح ، كما في مثال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فرض فساد الوكالة عن أصلها ، فلا يعقل القول بإمضاء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بصدده من هذا القبيل ، كما هو ظاهر على 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الوجه المذكور لو تمّ ، لكان مقتضاه عدم النقض في صورة القطع بالخلاف ؛ فإنّ المقتضي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الواقعة بمقتضى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نجد فارقا بين القطع بالخلاف والظنّ المعتبر القائم على خلاف العمل الواقع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اعتذاره عن ذلك بندرة وقوعه فهو لا ينبغي أن يصغى إليه ؛ لأنّ ندرة الوقوع لا ينافي جواز استصحاب الأحكام الثابتة للحكم السابق ، غاية ما في الباب أنّ التعليل المذكور إنّما يدفع عدم الوثوق ، وأمّا الحرج فهو أيضا ممّا لا مدخل لندرة الوقوع وكثرته فيه ، كما لا يخفى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الأفعال المتعلّقة بالموضوع المتفرّعة على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يومي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رحمه‌اللّه هو التفصيل الذي ذكره بعض آخر </w:t>
      </w:r>
      <w:r>
        <w:rPr>
          <w:rStyle w:val="FootnoteAnchor"/>
          <w:rtl w:val="true"/>
        </w:rPr>
        <w:footnoteReference w:id="393"/>
      </w:r>
      <w:r>
        <w:rPr>
          <w:rFonts w:ascii="Amiri" w:hAnsi="Amiri" w:eastAsia="Amiri" w:cs="Amiri"/>
          <w:color w:val="111111"/>
          <w:sz w:val="28"/>
          <w:sz w:val="28"/>
          <w:szCs w:val="28"/>
          <w:rtl w:val="true"/>
          <w:lang w:bidi="ar-SA"/>
        </w:rPr>
        <w:t xml:space="preserve">، حيث جعل المسائل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معامليّا كانت أو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قبيل الإنشاءات التي لم يتصرّف فيها الشارع إلاّ بالأمر بإمضائها وترتيب الآثار المطلوبة من متعلّقاتها عليها بعد صدورها وحدوثها ، أو النهي عن ذلك فلا يترتّب عليها ما هو المقصود منها ، كالعقود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والنكاح والطلاق وغيرها ، فإنّ الشارع إنّما أمضى في تلك الأسباب ما هو المعهود بين العرف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 كسائر الامور ما عدا الآثار الحاصلة من العقود والإيقاعات ، فإنّه من قبيل الأحكام المجعولة من الشارع المقدّس في موضوعات خاصة ومتعلّقات مخصوصة ، كالطهارة المعلّقة على الموضوعات الطاهرة ، والنجاسة الثابتة للأعيان النجسة ، وحلّية الأكل في الذبيحة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الأحكام المتعلّقة بتلك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أحكام جعليّة شرعيّة قرّرها الشارع لتلك الموضوعات ، فتكون منوطة بالاجتهاد الذي هو الطريق إليها ، فإذا رأى طهارة العصير العنبي بالاجتهاد فلا بدّ من إجراء حكمها عليه ، وإذا بدا له نجاسته فيجب إجراء حكمها عليه في الوقائع السابقة أيضا ، وكذا لو بنى على كفاية قطع الحلقوم في التذكية وعمل بها ثمّ بدا له حرمة الذبيحة المعهودة فلا بدّ من البناء على الحرمة والنجاسة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بخلاف القسم الأوّل ، فإنّه يؤخذ فيه بالنسبة إلى موارد وجود تلك الأسباب فيها بمقتضيات تلك الأسباب فيها ، فلو عقد على المرضعة عشر رضعات بناء على اجتهاده أو تقليده ، ثمّ عدل عن ذلك وظنّ حرمتها ، لم يجز له العقد على مثلها وإن لم يؤثّر في العقد السابق وصحّ نكاحها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حقيقة إلى التفصيل بين الإنشائيّات </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الحاصل منها ممّا يكفي في الحكم بوجوده وقوعها على وجه الإمضاء الشرعي ، والمفروض هو الوقوع بحسب الاجتهاد الأوّل ، فلا يؤثّر في ارتفاعها إلاّ ما قرّره الشارع رافعا لها ، كالفسخ في البيع والطلاق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الرافع تبدّل الاجتهاد ، فالأصل قاض ببقاء الآثار المترتّبة عليها ، كما في البيع الصادر من الوكيل بعد انعزاله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في غير الإنشائيّات ، فلأنّه ليس هناك آثار حاصلة كما في البيع ونحوه ، بل إنّما هي أحكام شرعيّة تابعة في مواردها للاجتهاد والتقليد وغيرهما من الطرق الشرعيّة ، فتبقى ببقائها وترتفع بارتفاعها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الراجعة إلى إمضاء الشارع ، من الأسباب الواقعيّة المعمولة عندهم </w:t>
      </w:r>
      <w:r>
        <w:rPr>
          <w:rStyle w:val="FootnoteAnchor"/>
          <w:rtl w:val="true"/>
        </w:rPr>
        <w:footnoteReference w:id="395"/>
      </w:r>
      <w:r>
        <w:rPr>
          <w:rFonts w:ascii="Amiri" w:hAnsi="Amiri" w:eastAsia="Amiri" w:cs="Amiri"/>
          <w:color w:val="111111"/>
          <w:sz w:val="28"/>
          <w:sz w:val="28"/>
          <w:szCs w:val="28"/>
          <w:rtl w:val="true"/>
          <w:lang w:bidi="ar-SA"/>
        </w:rPr>
        <w:t>، لا وجه للنقض فيها ؛ فإنّ تلك الأسباب غير محتاجة في التأثير إلى حكم ، وإنّما يكفيها مجرّد إمضاء الشارع ولو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ممّا هو راجع إلى جعل الأحكام لموضوعات خاصّة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كحلّية الذبيحة وطهارة الغسالة ونجاسة الثوب المتنجّس بالبول المغسول مرّة بالكرّ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انطباقه بكلامه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 مع أنّ الأمثلة التي أوردها في القسمين ممّا لا يلائم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نزاع لنا في ما وافقنا من الحكم بالنقض وإن لم يظهر لنا وجه ذلك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زعم عدم النقض فيه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قبيل الإنشائيّات التي تعلّقت بموضوعات خاصّة ، كما في الأحكام التكليفيّة ، كوجوب الإتيان بالصلاة ، وحرمة شرب العصير ، ووجوب الوفاء بالنذر </w:t>
      </w:r>
    </w:p>
    <w:p>
      <w:pPr>
        <w:pStyle w:val="BookText"/>
        <w:rPr/>
      </w:pPr>
      <w:r>
        <w:rPr>
          <w:rFonts w:ascii="Amiri" w:hAnsi="Amiri" w:eastAsia="Amiri" w:cs="Amiri"/>
          <w:color w:val="111111"/>
          <w:sz w:val="28"/>
          <w:sz w:val="28"/>
          <w:szCs w:val="28"/>
          <w:rtl w:val="true"/>
          <w:lang w:bidi="ar-SA"/>
        </w:rPr>
        <w:t xml:space="preserve">والعقد والشرط ، ووجوب ردّ العوضين عند تحقّق ما يوجب حلّ العقد ، ونحوها ممّا لا حصر لها ، أو كانت من الإخبار بوقوع امور واقعية ، على مسامحة في إطلاق الحكم الشرعي على هذه الأخبار على الوجه المصطلح كما فصّلناه في محلّه ، كنجاسة الملاقي للنجاسة ، وكخباثة </w:t>
      </w:r>
      <w:r>
        <w:rPr>
          <w:rStyle w:val="FootnoteAnchor"/>
          <w:rtl w:val="true"/>
        </w:rPr>
        <w:footnoteReference w:id="396"/>
      </w:r>
      <w:r>
        <w:rPr>
          <w:rFonts w:ascii="Amiri" w:hAnsi="Amiri" w:eastAsia="Amiri" w:cs="Amiri"/>
          <w:color w:val="111111"/>
          <w:sz w:val="28"/>
          <w:sz w:val="28"/>
          <w:szCs w:val="28"/>
          <w:rtl w:val="true"/>
          <w:lang w:bidi="ar-SA"/>
        </w:rPr>
        <w:t xml:space="preserve">المنبعثة من الجنابة ، ومثل تحقّق ملك الخيار غير الاشتراط وملك الثمن والمثمن عند جريان العقد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واقعية لا سبيل لنا إليها إلاّ بواسطة الإدراكات التي منها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تأثير تلك الواسطة فيما توصّلنا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فلا فرق بين المطالب التي تجعل تلك الإدراكات واسطة في نيل المدرك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وجه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الأسباب الواقعيّة </w:t>
      </w:r>
      <w:r>
        <w:rPr>
          <w:rStyle w:val="FootnoteAnchor"/>
          <w:rtl w:val="true"/>
        </w:rPr>
        <w:footnoteReference w:id="397"/>
      </w:r>
      <w:r>
        <w:rPr>
          <w:rFonts w:ascii="Amiri" w:hAnsi="Amiri" w:eastAsia="Amiri" w:cs="Amiri"/>
          <w:color w:val="111111"/>
          <w:sz w:val="28"/>
          <w:sz w:val="28"/>
          <w:szCs w:val="28"/>
          <w:rtl w:val="true"/>
          <w:lang w:bidi="ar-SA"/>
        </w:rPr>
        <w:t>التي لا يلحقها إلاّ إمضاء الشارع وبين غيرها ، فممّا لا يجدي شيئا ؛ فإنّ الكلام إنما هو في إمضاء الشارع ولو آناً ما ، فإنّ المفروض انكشاف فساد الأمارة الاولى بالأمارة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قيل بأنّ اعتقاد الإمضاء إنّما يقوم مقام الإمضاء حقيقة ، في الحكم بوجود المعتقد ، كان ذلك هو الوجه ،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يفصّل بين مطلق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عرفيّة كما في الإنشاءات أو شرعيّة كالغسل والتذكية والطهارة </w:t>
      </w:r>
      <w:r>
        <w:rPr>
          <w:rStyle w:val="FootnoteAnchor"/>
          <w:rtl w:val="true"/>
        </w:rPr>
        <w:footnoteReference w:id="398"/>
      </w:r>
      <w:r>
        <w:rPr>
          <w:rFonts w:ascii="Amiri" w:hAnsi="Amiri" w:eastAsia="Amiri" w:cs="Amiri"/>
          <w:color w:val="111111"/>
          <w:sz w:val="28"/>
          <w:sz w:val="28"/>
          <w:szCs w:val="28"/>
          <w:rtl w:val="true"/>
          <w:lang w:bidi="ar-SA"/>
        </w:rPr>
        <w:t xml:space="preserve">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غيرها ، مثل الأحكام التكليفيّة الصرفة ، فيقال بعدم النقض في الأوّل وبه في الثاني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ويفارق التفصيل المتقدّم بأنّ موارد النقض في الأوّل أكثر منه ، حيث إنّ عدمه كان مختصّا بالأسباب العرفيّة فقط بخلافه ، فإنّه يشمل الأسباب الشرعيّة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تعلّق الاجتهاد على سببيّة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للملك ، أو الغسلة الواحدة للطهارة ، أو الذبح للتذكية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أوجد المكلّف ذلك السبب في الخارج على حسب الاجتهاد أو أحد الطرق الشرعيّة ، فقد وقع ذلك السبب في الخارج من أهله في محلّه ، ولا وجه لارتفاع أثره إلاّ بما جعله الشارع رافعا له ، من الإقالة والفسخ وحدوث النجاسة ونحوها ، وليس تبدّل الاجتهاد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الأحكام التكليفيّة الصرفة ، فإنّها منوطة بالاجتهاد والتقليد ، ويختلف باختلافهما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الفرق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النقض في القسم الأوّل إلى نقض الآثار الحاصلة في الخارج بواسطة وجود السبب القاضي بوجودها على حسب الاجتهاد الأوّل ، ومرجع النقض في القسم الثاني إلى رفع الأحكام الثابتة بالاجتهاد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بنقض في الحقيقة ؛ إذ ليس في المقام ما من شأنه البقاء ، مثل الآثار الحاصلة من الأسباب العرفيّة أو الشرعيّة ؛ وإنّما يسمى نقضا إذا لوحظ كلّي </w:t>
      </w:r>
      <w:r>
        <w:rPr>
          <w:rStyle w:val="FootnoteAnchor"/>
          <w:rtl w:val="true"/>
        </w:rPr>
        <w:footnoteReference w:id="399"/>
      </w:r>
      <w:r>
        <w:rPr>
          <w:rFonts w:ascii="Amiri" w:hAnsi="Amiri" w:eastAsia="Amiri" w:cs="Amiri"/>
          <w:color w:val="111111"/>
          <w:sz w:val="28"/>
          <w:sz w:val="28"/>
          <w:szCs w:val="28"/>
          <w:rtl w:val="true"/>
          <w:lang w:bidi="ar-SA"/>
        </w:rPr>
        <w:t>الواقعة ، لاختلاف أحكام أفرادها في زمانين ، ولا ريب أنّ الحكم بوجوب الاجتناب عن العصير بواسطة الاجتهاد في زمان لا يناقض الحكم بطهارته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لا حاجة معه إلى إطالة الكلام في النقض والإبرام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أجود </w:t>
      </w:r>
      <w:r>
        <w:rPr>
          <w:rStyle w:val="FootnoteAnchor"/>
          <w:rtl w:val="true"/>
        </w:rPr>
        <w:footnoteReference w:id="400"/>
      </w:r>
      <w:r>
        <w:rPr>
          <w:rFonts w:ascii="Amiri" w:hAnsi="Amiri" w:eastAsia="Amiri" w:cs="Amiri"/>
          <w:color w:val="111111"/>
          <w:sz w:val="28"/>
          <w:sz w:val="28"/>
          <w:szCs w:val="28"/>
          <w:rtl w:val="true"/>
          <w:lang w:bidi="ar-SA"/>
        </w:rPr>
        <w:t xml:space="preserve">طرق التفصيل ما سلكه بعض أفاضل المتأخّرين في مناهجه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جميع العقود والإيقاعات بل كلّ ما جعله الشارع المقدّس سببا أو شرطا أو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فيه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حقائق نفس أمريّة واقعيّة هي ما </w:t>
      </w:r>
    </w:p>
    <w:p>
      <w:pPr>
        <w:pStyle w:val="BookText"/>
        <w:rPr/>
      </w:pPr>
      <w:r>
        <w:rPr>
          <w:rFonts w:ascii="Amiri" w:hAnsi="Amiri" w:eastAsia="Amiri" w:cs="Amiri"/>
          <w:color w:val="111111"/>
          <w:sz w:val="28"/>
          <w:sz w:val="28"/>
          <w:szCs w:val="28"/>
          <w:rtl w:val="true"/>
          <w:lang w:bidi="ar-SA"/>
        </w:rPr>
        <w:t>قرّره الشارع أوّلا ، وحقائق ظاهريّة وهي ما يظنّه المجتهد أنّه ما وضعه الشارع ، وهي قد تطابق الواقعيّة وقد تخالفها ، ولمّا لم يكن لنا سبيل إلى الحقائق الواقعيّة ، ولا تكليف فوق الوسع ، فالسبب والشرط والمانع وأمثالها لنا هي هذه الحقائق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البديهيّات التي انعقد عليها الإجماع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الآثار على هذه الحقائق الظاهريّة يختلف بالنسبة إلى الأشخاص ، فقد يترتّب الأثر بالنسبة إلى شخص ولا يترتّب عليه بالنسبة إلى آخر ، كما أنّ ملاقات النجاسة سبب لنجاسة الماء القليل عند القائل بها ، وليست سببا عند آخر ، ولا شكّ أنّ القليل الملاقي نجس للأوّل وطاهر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قطع الحلقوم فقط سبب لحلّية الذبيحة بالنسبة إلى مجتهد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إيقاع العقد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للانتقال عند مجتهد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بأنّ كلّ ما هو سبب عند مجتهد وفي نظره أو شرط يجب أن يكون كذلك عند كلّ الناس ، بل مقتضى الأصل أيضا العدم ، فلا يترتّب الأثر إلاّ فيما دلّ الدليل عليه ، وهو في حقّ من ظنّه كذلك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الآثار على العقود الظاهريّة وأمثالها ليس من اللوازم الواقعيّة التي لا يتخلّف عنها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القدر الثابت أنّها من اللوازم بالنسبة إلى مجتهد يعلمها كذلك أو مقلّده ، ولذا يبنى على الصحّة في حقّهما ويترتّب عليهما الآثار بالنسبة إليهما ، بل بالنسبة إلى مجتهد آخر إذا وقع عن المجتهد الأوّل ومقلّده وكان أثرا مترتّبا على ترتّب الآثار بالنسبة إلى المجتهد الأوّل ومقلّده ، كما مرّ مفصّلا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ترتيب الآثار بالنسبة إلى كلّ مجتهد ومقلّده فكلاّ ؛ إذ لم يقل أحد بأنّ المجتهد الذي لا يكتفي بالفارسيّة إذا أتى بها يترتّب عليه الأثر بالنسبة إليه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ذكرنا من نقل كلامه هذا إنّما هو توطئة لنقل كلام آخر له في تحقيق المقام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جلّ شأنه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رأي المجتهد في زمان على فتوى وعمل نفسه ومقلّده </w:t>
      </w:r>
      <w:r>
        <w:rPr>
          <w:rStyle w:val="FootnoteAnchor"/>
          <w:rtl w:val="true"/>
        </w:rPr>
        <w:footnoteReference w:id="402"/>
      </w:r>
      <w:r>
        <w:rPr>
          <w:rFonts w:ascii="Amiri" w:hAnsi="Amiri" w:eastAsia="Amiri" w:cs="Amiri"/>
          <w:color w:val="111111"/>
          <w:sz w:val="28"/>
          <w:sz w:val="28"/>
          <w:szCs w:val="28"/>
          <w:rtl w:val="true"/>
          <w:lang w:bidi="ar-SA"/>
        </w:rPr>
        <w:t xml:space="preserve">، ثم تجدّد رأيه ، فنقض الاولى في الزمان الثاني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إبطالها من رأس والحكم بعدم </w:t>
      </w:r>
      <w:r>
        <w:rPr>
          <w:rStyle w:val="FootnoteAnchor"/>
          <w:rtl w:val="true"/>
        </w:rPr>
        <w:footnoteReference w:id="403"/>
      </w:r>
      <w:r>
        <w:rPr>
          <w:rFonts w:ascii="Amiri" w:hAnsi="Amiri" w:eastAsia="Amiri" w:cs="Amiri"/>
          <w:color w:val="111111"/>
          <w:sz w:val="28"/>
          <w:sz w:val="28"/>
          <w:szCs w:val="28"/>
          <w:rtl w:val="true"/>
          <w:lang w:bidi="ar-SA"/>
        </w:rPr>
        <w:t>حكم اللّه فيما مضى ، والحاصل جعلها لاغية بالمرّة حتّى في الزمان المتقدّم ، مثلا إذا أفتى أوّلا بكون استتار القرص مبدأ الليل ، ثمّ استقرّ رأيه بأنّه زوال الحمرة ، يحكم بقضاء الصوم الذي أفطر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الآثار المتقدّمة في هذا الزمان الثاني ، يعني أن لا يعمل بالاولى في الثاني ، ويبني أعماله المتجدّدة على الثانية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الآثار المترتّبة على عمل صادر في الزمان الأوّل بفتواه الاولى التي لو لا تغيّر الرأي لقطع بترتّب هذه الآثار على ذلك العمل ، مثل أن ينكح بالفتوى الاولى باكرة بغير إذن الولي ، فإنّه يترتّب على ذلك النكاح آثار لو لا تجدد الرأي لقطع بترتّبها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فلا خلاف في عدم جواز النقض بهذا المعنى ، والإجماع بل الضرورة ولزوم الحرج واستصحاب عدم شغل ذمته وعدم البطلان يدلّ عليه ، ولولاه لزم على كلّ أحد قضاء عباداته المبنيّة على رأي مجتهد تبدّل رأيه ، وردّ ما اشتراه واسترداد ما باعه ؛ وكذا في الزكاة المخرجة ، وغير ذلك ، وهو ممّا لم يقل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فلا خلاف في جواز النقض بهذا المعنى بل وجوبه ؛ فإنّه لازم تغيّر الرأي وتعبّد كلّ باجتهاده واجتهاد مجتهده ، وهو ضروريّ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فيظهر عدم جوازه من عدم جواز النقض بالمعنى الأوّل ؛ لأنّ العمل الصادر في الزمان الأوّل كان صحيحا مستتبعا للأثر وقد صدر في الأوّل ، وبعد تجدّد الرأي لا يجوز الحكم بكون هذا العمل باطلا في الزمان الأوّل وليس حينئذ موجودا ، حتّى يصير موردا للفتوى الثانية ؛ فما وقع لم يرد عليه البطلان ، فلم لا 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أنّ العمل المذكور مستتبع لأثره ما لم يطرأ عليه الفساد ، ولم يطرأ عليه ؛ أمّا في السابق فظاهر ، وأمّا في اللاحق فلعدم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لم يحدث في اللاحق إلاّ استقرار الرأي بأنّ هذا العمل لو وقع في هذا الزمان لم يترتّب عليه الأثر ، ولا تأثير لذلك في ارتفاع أثر العمل السابق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رحمه‌اللّه فرّع على هذا بقاء نكاح البكر بحاله بعد التغيّر ، ثمّ استدلّ عليه باستصحاب استتباع الآثار ، واستصحاب نفس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وبعمل السلف والخلف ، ثمّ أورد على الاستصحاب بأنّه شكّ في استعداد تلك الآثار للبقاء ، وأجاب بأنه شكّ في تحقّق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 أنّ الأفعال الجزئيّة المتحقّقة حال الرأي الأوّل ، من الأسباب والشروط والموانع على قسمين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تأثيره وعدم تأثيره بالنسبة إلى شخص خاص أو أشخاص معيّنين من غير تجاوز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الجزئي الواقع على مرأة ، إنّما يصير سببا لحلّيتها على الزوج المعيّن من غير مدخليّة غيره أصلا ، وإذا كان باطلا يكون غير مؤثّر في حقّه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 كغسل الثوب المعيّن من البول ، فإنّه يصير سببا لطهارة هذا الثوب لكلّ من يرى الاكتفاء بالمرّة ، وغير مؤثّر في حقّ كلّ من لا يراه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قطع الحلقوم في التذكية إذا قطعه ، فإنّه يصير المذبوح المعيّن حلالا على كلّ من يكتفي في التذكية بقطع الحلقوم وعلى مقلّديه ، ويكون حراما على كلّ من لا يكتفي فيها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الأوّل فلا يجوز النقض فيه ، وما مرّ من الإجماع وسائر الأدلّة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الثاني فإنّه ينتقض بعد التغيّر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يرى غسل المرّة فيه غير كاف إذا غسل الثوب مرّة يكون نجسا ما دام على ذلك الرأي ، وإذا تبدّل رأيه ورأى كفاية المرّة يطهر له هذا الثوب ؛ وذلك لأنّ هذا الغسل الجزئي لذلك الثوب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ظنّ عدم كفايته كان غير مؤثّر في حقّه ، لأجل أنّ هذا الشخص مندرج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يظنّ عدم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نجسا لكلّ من يظنّ كذلك ، وهذا الغسل بعينه لهذا الثوب بعينه في هذا الحال سبب للطهارة في حقّ كلّ من يرى الكفاية بالإجماع والضرورة ، ولأنّه لا يشترط في طهارة الثوب كون الغسل صادرا عمّن يرى كفاية المرّة ، ولا كون الثوب ملكا له ، فإذا تغيّر رأي الشخص الأوّل واندرج تحت العنوان الثاني ، لا بدّ أن يكون الثوب طاهرا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أيضا صادرا حال تغيّر الرأي ؛ لأنّ ظنّه حينئذ حجة في حقّه ، ومظنونه الحاصل بسبب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مرة سبب للتطهير مطلقا ، وليس مقيّدا بأنّ الغسل المتحقّق حال هذا الظن كذلك ، إذ لا تقييد في شيء من الأدلّة الظنّية بذلك أصلا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المجتهدين إذا حدثت الوقائع قبل اجتهادهم فيها واستفتي منهم ، يتأمّلون في حكم المسألة بعد حدوثها ، ويحكمون على الحادثة السابقة بما استقرّ </w:t>
      </w:r>
    </w:p>
    <w:p>
      <w:pPr>
        <w:pStyle w:val="BookText"/>
        <w:rPr/>
      </w:pPr>
      <w:r>
        <w:rPr>
          <w:rFonts w:ascii="Amiri" w:hAnsi="Amiri" w:eastAsia="Amiri" w:cs="Amiri"/>
          <w:color w:val="111111"/>
          <w:sz w:val="28"/>
          <w:sz w:val="28"/>
          <w:szCs w:val="28"/>
          <w:rtl w:val="true"/>
          <w:lang w:bidi="ar-SA"/>
        </w:rPr>
        <w:t>رأيهم بعد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أنّ الغسل السابق صار سببا حينئذ ، بل سببيّته تحقّقت أوّلا ، ولكن لم يكن هذا الشخص داخلا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تحقّقت في حقّه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ودخل فيه حينئذ ، كما أنّ من وقف شيئا على ضيفه فصار شخص بعد مدّة ضيفا له ، فإنّ الوقفيّة عليه لا تتحقّق حينئذ ، بل الدخول في العنوان تحقّق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أثر للاستصحاب المذكور ؛ لثبوت السببيّة في حقّ من دخل في هذا العنوان ، ولأنّ عدم السببيّة أوّلا كان لمن دخل في عنوان آخر ، فقد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المذكور فاختصاصه بالأوّل ظاهر ، بل يمكن دعوى الإجماع على النقض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غير هذا المثال </w:t>
      </w:r>
      <w:r>
        <w:rPr>
          <w:rStyle w:val="FootnoteAnchor"/>
          <w:rtl w:val="true"/>
        </w:rPr>
        <w:footnoteReference w:id="406"/>
      </w:r>
      <w:r>
        <w:rPr>
          <w:rFonts w:ascii="Amiri" w:hAnsi="Amiri" w:eastAsia="Amiri" w:cs="Amiri"/>
          <w:color w:val="111111"/>
          <w:sz w:val="28"/>
          <w:sz w:val="28"/>
          <w:szCs w:val="28"/>
          <w:rtl w:val="true"/>
          <w:lang w:bidi="ar-SA"/>
        </w:rPr>
        <w:t>، انتهى ما أفاده في توضيح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ما عرفت من مبنى النقض وعدمه تعرف مواضع الفساد في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إلى بعض وجوه النظر فيه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الأسباب الشرعيّة وشرائطها وموانعها لها حقائق واقعيّة وحقائق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يطابق الواقع ؛ إذ ليس الطرق الشرعيّة إلاّ مثل الطرق التي يستعملونها العقلاء والعرف في استكشاف مقاصدهم واستظهار مطالبهم ؛ فكما أنّ المسترشد من الطريق الموصل إلى بلد ، لو اتّكل في سلوك سبيله إلى قول من يورث له الظنّ بالطريقيّة والوصول إلى ذلك البلد ، لا يعقل له القول بأنّ ما يوصل إلى ذلك البلد له حقيقة واقعيّة وحقيقة ظاهريّة ، فكذلك في الطرق الموصلة إلى الأحكام الشرعيّة ، فإنّ كلّها يكشف عن تلك الأسباب الواقعيّة والأحكام الموجودة في نفس الأمر المخزونة عند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ذلك بين القول بأنّ الأحكام الوضعيّة كالشرعيّة التكليفيّة التي يتحقّق بواسطة الإنشاء والجعل المساوق له ، وبين القول بانتزاعها من الامور التكليفيّة ، أو كونها امورا واقعيّة كما هو مقتضى مذاق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Style w:val="FootnoteAnchor"/>
          <w:rtl w:val="true"/>
        </w:rPr>
        <w:footnoteReference w:id="408"/>
      </w:r>
      <w:r>
        <w:rPr>
          <w:rFonts w:ascii="Amiri" w:hAnsi="Amiri" w:eastAsia="Amiri" w:cs="Amiri"/>
          <w:color w:val="111111"/>
          <w:sz w:val="28"/>
          <w:sz w:val="28"/>
          <w:szCs w:val="28"/>
          <w:rtl w:val="true"/>
          <w:lang w:bidi="ar-SA"/>
        </w:rPr>
        <w:t>يعقل أن يكون للطريق مدخل فيما هو طريق إليه ، فليس عندنا إلاّ الأسباب الواقعيّة التي يستكشف عن وجودها وتحقّقها في محالّها تارة بالعلم واخرى بالظن ، غاية الأمر أنّ العلم غير محتاج في الأخذ بما يترتّب على كشفه عن الواقع إلى دليل ، بخلاف الظن ، فإنّ ترتيب الآثار الواقعيّة على المظنون بواسطة الكشف الظنّي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الفارق ليس قاضيا بما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الماهيّات على وجه الظاهريّة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الوجه في عدم جواز الأخذ بالأسباب الظاهريّة لكلّ أحد ، ليس لما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تلك الماهيّة إنّما تكون سببا بالنسبة إلى شخص دون آخر ، بل الوجه هو وجود الدليل على جواز الاعتماد على ذلك الكشف الظنّي وعدمه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التقسيم إلى الأقسام الثلاثة فكلامه فيه متهافت ؛ فإنّه صرّح في القسم الثاني بالنقض ، وقضيّة ذلك النقض بالنسبة إلى الوقائع الحادثة في القسم الثالث أيضا ، فإنّ جواز الوطي في البكر المعقود عليها بغير إذن الولي بعد تغيّر الرأي لا وجه لإلحاقه بالقسم الأوّل مع إمكان إلحاقه بالقسم الثاني ، </w:t>
      </w:r>
    </w:p>
    <w:p>
      <w:pPr>
        <w:pStyle w:val="BookText"/>
        <w:rPr/>
      </w:pPr>
      <w:r>
        <w:rPr>
          <w:rFonts w:ascii="Amiri" w:hAnsi="Amiri" w:eastAsia="Amiri" w:cs="Amiri"/>
          <w:color w:val="111111"/>
          <w:sz w:val="28"/>
          <w:sz w:val="28"/>
          <w:szCs w:val="28"/>
          <w:rtl w:val="true"/>
          <w:lang w:bidi="ar-SA"/>
        </w:rPr>
        <w:t xml:space="preserve">فإنّ ذلك هو لازم تغيّر الرأي بعد القول بوجود الواقع أوّلا </w:t>
      </w:r>
      <w:r>
        <w:rPr>
          <w:rStyle w:val="FootnoteAnchor"/>
          <w:rtl w:val="true"/>
        </w:rPr>
        <w:footnoteReference w:id="410"/>
      </w:r>
      <w:r>
        <w:rPr>
          <w:rFonts w:ascii="Amiri" w:hAnsi="Amiri" w:eastAsia="Amiri" w:cs="Amiri"/>
          <w:color w:val="111111"/>
          <w:sz w:val="28"/>
          <w:sz w:val="28"/>
          <w:szCs w:val="28"/>
          <w:rtl w:val="true"/>
          <w:lang w:bidi="ar-SA"/>
        </w:rPr>
        <w:t xml:space="preserve">، فلا وجه للنقض في القسم الثاني </w:t>
      </w:r>
      <w:r>
        <w:rPr>
          <w:rStyle w:val="FootnoteAnchor"/>
          <w:rtl w:val="true"/>
        </w:rPr>
        <w:footnoteReference w:id="4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المذكور مستتبع لأثره ما لم يطرأ عليه الفساد ، ولم يطرأ عليه ؛ أما في السابق فظاهر ، وأما في اللاحق فلعدم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بمكان من الوهن والضعف ؛ فإنّه لو فرض فساد العقد الواقع أوّلا ولو بمقتضى الاجتهاد الأوّل ، فيجري فيه الكلام المذكور ، فإنّه غير موجود ، وما نحن فيه إنّما يظهر فساده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على عدم النقض فقد عرفت فيما تقدّم عدم الملازمة في بعض منها ، وعدم الدليل على بطلان اللازم في الآخر ، وعدم تحقّق بعض آخر ،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في السؤال والجواب عن الاستصحاب فكلاهما ضعيفان ؛ فإنّه ليس شكّا في مقدار الاستعداد ، ولا شكّا في حدوث المبطل ، بل الواقع أنّه ظهور فساد بدليل معتبر ، فيكون من الشكوك السارية ، كما هو ظاهر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في التوضيح ، فملخّصه يرجع إلى التفصيل بين الامور التي لا مدخل لها </w:t>
      </w:r>
      <w:r>
        <w:rPr>
          <w:rStyle w:val="FootnoteAnchor"/>
          <w:rtl w:val="true"/>
        </w:rPr>
        <w:footnoteReference w:id="412"/>
      </w:r>
      <w:r>
        <w:rPr>
          <w:rFonts w:ascii="Amiri" w:hAnsi="Amiri" w:eastAsia="Amiri" w:cs="Amiri"/>
          <w:color w:val="111111"/>
          <w:sz w:val="28"/>
          <w:sz w:val="28"/>
          <w:szCs w:val="28"/>
          <w:rtl w:val="true"/>
          <w:lang w:bidi="ar-SA"/>
        </w:rPr>
        <w:t>إلاّ لشخص معيّن أو أشخاص معينين فلا يحكم فيها بالنقض ، وبين غيرها فيحكم فيها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بينهما بعد الغضّ عمّا فيه من حيث الموضوع؟ فإنّ ما زعمه من القسم الأوّل كالنكاح ليس من الامور المختصّة ؛ فإنّ أحكام زوجيّة هند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بزيد فقط أو بهند كذلك ، بل من جملة أحكامها حرمتها على غير زيد ، وهو يعمّ جميع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فالمطّلع على وجوه النظر واختلاف الأنظار في الصحّة والسقم لا ينبغي له الإصغاء إلى هذه الوجوه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الكلّ ما قد نسب إلى بعض أجلّة السادات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المجتهد فحكم بالنسبة إليه بالنقض ، والمقلّد فحكم فيه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العدم بالاستصحاب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التماميّة لا يعقل الفرق بين المجتهد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43" w:name="pg16254_218447"/>
    </w:p>
    <w:p>
      <w:pPr>
        <w:pStyle w:val="Heading3"/>
        <w:numPr>
          <w:ilvl w:val="2"/>
          <w:numId w:val="1"/>
        </w:numPr>
        <w:rPr/>
      </w:pPr>
      <w:bookmarkStart w:id="144" w:name="__RefHeading___Toc4418222_1280447820"/>
      <w:bookmarkStart w:id="145" w:name="_Toc48"/>
      <w:bookmarkEnd w:id="143"/>
      <w:bookmarkEnd w:id="144"/>
      <w:r>
        <w:rPr>
          <w:rtl w:val="true"/>
        </w:rPr>
        <w:t>هداية</w:t>
      </w:r>
      <w:bookmarkEnd w:id="145"/>
    </w:p>
    <w:p>
      <w:pPr>
        <w:pStyle w:val="BookText"/>
        <w:rPr/>
      </w:pPr>
      <w:r>
        <w:rPr>
          <w:rFonts w:ascii="Amiri" w:hAnsi="Amiri" w:eastAsia="Amiri" w:cs="Amiri"/>
          <w:color w:val="111111"/>
          <w:sz w:val="28"/>
          <w:sz w:val="28"/>
          <w:szCs w:val="28"/>
          <w:rtl w:val="true"/>
          <w:lang w:bidi="ar-SA"/>
        </w:rPr>
        <w:t xml:space="preserve">قد أشبعنا الكلام في الإجزاء وعدمه وترتيب الآثار وعدمه بالنسبة إلى من ظهر له فساد العمل السابق بأمارة ظنّية معتبرة ، ولنذكر طرفا منه بالنسبة إلى فعل الغير ، كما إذا اعتقد المجتهد أو المقلّد خلاف ما يراه المجتهد الآخر أو المقلّد الآخر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ما قرّرنا في الهداية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الطرق الشرعيّة إنّما هي طرق إلى الواقع من دون تصرّف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ترتيب آثار الواقع على فعل الغير المخالف في الاعتقاد له ، فلا يجوز الأكل من الدبس المشترى بالبيع معاطاة لمن لم يجوّز ذلك ، ولا يجوز الاقتداء بمن لا يعتقد وجوب السورة مع العلم بمطابقة عمله لاعتقاده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عدم العلم فيحتمل جواز الاقتداء ؛ نظرا إلى أصالة الصحّة في فعله ولو لم يكن الصحّة معتبرة في اعتقاده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في غاية الإشكال نظرا إلى بعض اللوازم ؛ إذ على تقديره يجوز العقد على المعقودة بالفارسيّة لمن لم يجوّز ذلك وأمثاله ،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لم نجد مصرّحا بالخلاف أيضا ، بل يظهر ممّا في تمهيد القواعد كونها مفروغا عنها بعد القول بالتخطئة ، حيث ذكر في ثمرات التخطئة لزوم إعادة الصلاة إلى القبلة الاجتهاديّة إذا انكشف كونها خطأ ، وعدم جواز الاقتداء عند مخالفة الإمام والمأموم في الأجزاء والشرائط </w:t>
      </w:r>
      <w:r>
        <w:rPr>
          <w:rStyle w:val="FootnoteAnchor"/>
          <w:rtl w:val="true"/>
        </w:rPr>
        <w:footnoteReference w:id="414"/>
      </w:r>
      <w:r>
        <w:rPr>
          <w:rFonts w:ascii="Amiri" w:hAnsi="Amiri" w:eastAsia="Amiri" w:cs="Amiri"/>
          <w:color w:val="111111"/>
          <w:sz w:val="28"/>
          <w:sz w:val="28"/>
          <w:szCs w:val="28"/>
          <w:rtl w:val="true"/>
          <w:lang w:bidi="ar-SA"/>
        </w:rPr>
        <w:t xml:space="preserve">بل المحكي عن العلاّمة في التذكرة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والتحرير </w:t>
      </w:r>
      <w:r>
        <w:rPr>
          <w:rStyle w:val="FootnoteAnchor"/>
          <w:rtl w:val="true"/>
        </w:rPr>
        <w:footnoteReference w:id="416"/>
      </w: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417"/>
      </w:r>
      <w:r>
        <w:rPr>
          <w:rFonts w:ascii="Amiri" w:hAnsi="Amiri" w:eastAsia="Amiri" w:cs="Amiri"/>
          <w:color w:val="111111"/>
          <w:sz w:val="28"/>
          <w:sz w:val="28"/>
          <w:szCs w:val="28"/>
          <w:rtl w:val="true"/>
          <w:lang w:bidi="ar-SA"/>
        </w:rPr>
        <w:t xml:space="preserve">، وعن الشهيد في الدروس </w:t>
      </w:r>
      <w:r>
        <w:rPr>
          <w:rStyle w:val="FootnoteAnchor"/>
          <w:rtl w:val="true"/>
        </w:rPr>
        <w:footnoteReference w:id="418"/>
      </w:r>
      <w:r>
        <w:rPr>
          <w:rFonts w:ascii="Amiri" w:hAnsi="Amiri" w:eastAsia="Amiri" w:cs="Amiri"/>
          <w:color w:val="111111"/>
          <w:sz w:val="28"/>
          <w:sz w:val="28"/>
          <w:szCs w:val="28"/>
          <w:rtl w:val="true"/>
          <w:lang w:bidi="ar-SA"/>
        </w:rPr>
        <w:t xml:space="preserve">والذكرى </w:t>
      </w:r>
      <w:r>
        <w:rPr>
          <w:rStyle w:val="FootnoteAnchor"/>
          <w:rtl w:val="true"/>
        </w:rPr>
        <w:footnoteReference w:id="419"/>
      </w:r>
      <w:r>
        <w:rPr>
          <w:rFonts w:ascii="Amiri" w:hAnsi="Amiri" w:eastAsia="Amiri" w:cs="Amiri"/>
          <w:color w:val="111111"/>
          <w:sz w:val="28"/>
          <w:sz w:val="28"/>
          <w:szCs w:val="28"/>
          <w:rtl w:val="true"/>
          <w:lang w:bidi="ar-SA"/>
        </w:rPr>
        <w:t xml:space="preserve">والبيان </w:t>
      </w:r>
      <w:r>
        <w:rPr>
          <w:rStyle w:val="FootnoteAnchor"/>
          <w:rtl w:val="true"/>
        </w:rPr>
        <w:footnoteReference w:id="420"/>
      </w:r>
      <w:r>
        <w:rPr>
          <w:rFonts w:ascii="Amiri" w:hAnsi="Amiri" w:eastAsia="Amiri" w:cs="Amiri"/>
          <w:color w:val="111111"/>
          <w:sz w:val="28"/>
          <w:sz w:val="28"/>
          <w:szCs w:val="28"/>
          <w:rtl w:val="true"/>
          <w:lang w:bidi="ar-SA"/>
        </w:rPr>
        <w:t xml:space="preserve">، وعن الصيمري </w:t>
      </w:r>
      <w:r>
        <w:rPr>
          <w:rStyle w:val="FootnoteAnchor"/>
          <w:rtl w:val="true"/>
        </w:rPr>
        <w:footnoteReference w:id="421"/>
      </w:r>
      <w:r>
        <w:rPr>
          <w:rFonts w:ascii="Amiri" w:hAnsi="Amiri" w:eastAsia="Amiri" w:cs="Amiri"/>
          <w:color w:val="111111"/>
          <w:sz w:val="28"/>
          <w:sz w:val="28"/>
          <w:szCs w:val="28"/>
          <w:rtl w:val="true"/>
          <w:lang w:bidi="ar-SA"/>
        </w:rPr>
        <w:t xml:space="preserve">وابي العباس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في الفروع لا يجوز الاقتداء به </w:t>
      </w:r>
      <w:r>
        <w:rPr>
          <w:rStyle w:val="FootnoteAnchor"/>
          <w:rtl w:val="true"/>
        </w:rPr>
        <w:footnoteReference w:id="423"/>
      </w:r>
      <w:r>
        <w:rPr>
          <w:rFonts w:ascii="Amiri" w:hAnsi="Amiri" w:eastAsia="Amiri" w:cs="Amiri"/>
          <w:color w:val="111111"/>
          <w:sz w:val="28"/>
          <w:sz w:val="28"/>
          <w:szCs w:val="28"/>
          <w:rtl w:val="true"/>
          <w:lang w:bidi="ar-SA"/>
        </w:rPr>
        <w:t>إذا فعل ما يقتضي فساد الصلاة عند المأموم ، كترك السورة ، والصلاة في المغسول مرّة ، ولبس السنجاب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وإن كان بعيدا عن مذاق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استكشفناه منهم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منهم من يصرّح بعدم النقض في بعض الأمثلة </w:t>
      </w:r>
      <w:r>
        <w:rPr>
          <w:rStyle w:val="FootnoteAnchor"/>
          <w:rtl w:val="true"/>
        </w:rPr>
        <w:footnoteReference w:id="425"/>
      </w:r>
      <w:r>
        <w:rPr>
          <w:rFonts w:ascii="Amiri" w:hAnsi="Amiri" w:eastAsia="Amiri" w:cs="Amiri"/>
          <w:color w:val="111111"/>
          <w:sz w:val="28"/>
          <w:sz w:val="28"/>
          <w:szCs w:val="28"/>
          <w:rtl w:val="true"/>
          <w:lang w:bidi="ar-SA"/>
        </w:rPr>
        <w:t>، إلاّ أنّ الإنصاف أنّ ذلك ناش عن عدم التعمّق فيما يوجب ذلك من المدارك ، بل إنّما هو قول منهم بمجرّد الاستبعاد ، وإن كانوا هم غافلين عن ذلك ومتخيّلين أنّ ذلك منهم إنّما هو بواسطة دليل دلّهم على ذلك ، وأنّى لهم بذلك بعد ما عرفت من القاعدة التي لا مخرج عنها؟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الخطب عدم وقوع أمثال تلك الوقائع </w:t>
      </w:r>
      <w:r>
        <w:rPr>
          <w:rStyle w:val="FootnoteAnchor"/>
          <w:rtl w:val="true"/>
        </w:rPr>
        <w:footnoteReference w:id="426"/>
      </w:r>
      <w:r>
        <w:rPr>
          <w:rFonts w:ascii="Amiri" w:hAnsi="Amiri" w:eastAsia="Amiri" w:cs="Amiri"/>
          <w:color w:val="111111"/>
          <w:sz w:val="28"/>
          <w:sz w:val="28"/>
          <w:szCs w:val="28"/>
          <w:rtl w:val="true"/>
          <w:lang w:bidi="ar-SA"/>
        </w:rPr>
        <w:t>في الخارج إلاّ نادرا ، وعلى تقديره فلا يعلم به ، فلا يكون من موارد الابتلاء والتكليف ، ولا يجب الفحص عن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بعض التفاصيل المتقدّمة أيضا يجري فيما نحن بصدده ، كما صرّح به في المناهج عند الاعتراض على ما زعمه المحقّق القمّي رحمه‌اللّه ، بعد </w:t>
      </w:r>
      <w:r>
        <w:rPr>
          <w:rStyle w:val="FootnoteAnchor"/>
          <w:rtl w:val="true"/>
        </w:rPr>
        <w:footnoteReference w:id="427"/>
      </w:r>
      <w:r>
        <w:rPr>
          <w:rFonts w:ascii="Amiri" w:hAnsi="Amiri" w:eastAsia="Amiri" w:cs="Amiri"/>
          <w:color w:val="111111"/>
          <w:sz w:val="28"/>
          <w:sz w:val="28"/>
          <w:szCs w:val="28"/>
          <w:rtl w:val="true"/>
          <w:lang w:bidi="ar-SA"/>
        </w:rPr>
        <w:t xml:space="preserve">ما نفى الشكّ من مزاحمة مجتهد لمجتهد آخر ومزاحمة مقلّده ، فإنّه أطلق القول بالبناء على الآثار المترتّبة على الاجتهاد </w:t>
      </w:r>
      <w:r>
        <w:rPr>
          <w:rStyle w:val="FootnoteAnchor"/>
          <w:rtl w:val="true"/>
        </w:rPr>
        <w:footnoteReference w:id="428"/>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جواز بنائه على صحّة ما حصل بفعلهما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فاعترض عليه في المناهج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عدم المزاحمة حقّ ؛ وأمّا البناء على صحّة ما حصل بفعلهما ، فإن أراد أنّه يجوز له أن يحكم بترتيب جميع الآثار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يتعلّق بهذا المخالف وفي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بإطلاقه ، بل الأثر المترتّب عليه إمّا في حقّ الفاعل أو هذا المخالف ، فما كان من الأوّل فيحكم بترتّبه ، وما كان من الثاني فإن كان مترتّبا على صحّته في حقّ الفاعل فكذا ، وإن كان مترتّبا على نفس الفعل فلا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بيان الأمثلة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التفصيل وإن كان مخالفا في التحرير لما فصّله في الهداية السابقة ، لكنّه يؤول إليه عند التحقيق والاستظهار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المبنى في الكلّ واحد ، وبعد الاعتراف بأحد الوجهين في كيفيّة الطرق الكاشفة للواقع لا وجه للأخذ بما ينافيه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بعض من ذهب إلى جواز ترتيب الأثر على فعل الغير عند المخالفة ، طور آخر من الاستدلال </w:t>
      </w:r>
      <w:r>
        <w:rPr>
          <w:rStyle w:val="FootnoteAnchor"/>
          <w:rtl w:val="true"/>
        </w:rPr>
        <w:footnoteReference w:id="431"/>
      </w:r>
      <w:r>
        <w:rPr>
          <w:rFonts w:ascii="Amiri" w:hAnsi="Amiri" w:eastAsia="Amiri" w:cs="Amiri"/>
          <w:color w:val="111111"/>
          <w:sz w:val="28"/>
          <w:sz w:val="28"/>
          <w:szCs w:val="28"/>
          <w:rtl w:val="true"/>
          <w:lang w:bidi="ar-SA"/>
        </w:rPr>
        <w:t xml:space="preserve">، حيث استند في ذلك إلى عدم الدليل على </w:t>
      </w:r>
    </w:p>
    <w:p>
      <w:pPr>
        <w:pStyle w:val="BookText"/>
        <w:rPr/>
      </w:pPr>
      <w:r>
        <w:rPr>
          <w:rFonts w:ascii="Amiri" w:hAnsi="Amiri" w:eastAsia="Amiri" w:cs="Amiri"/>
          <w:color w:val="111111"/>
          <w:sz w:val="28"/>
          <w:sz w:val="28"/>
          <w:szCs w:val="28"/>
          <w:rtl w:val="true"/>
          <w:lang w:bidi="ar-SA"/>
        </w:rPr>
        <w:t xml:space="preserve">اشتراط الصحّة الواقعيّة في ترتيب الآثار ، مثل الاقتداء في الصلاة مع تخالف الإمام والمأموم ، وجواز الأكل من الخبز المشترى بالمعاطاة ، ونحو ذلك ، بل زعم كفاية الصحّة في الجملة ولو في نظر الشخص ، وكون الألفاظ موضوعة للمعاني النفس الأمريّة لا يقضي بالصحّة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فرع كوننا مخاطبين بالخطابات المزبورة ، وهو خلاف التحقيق ؛ لما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الخطابات مختصّة بالمشافهين ، واشتراكنا معهم إنّما هو في الأحكام الثابتة بالنسبة إليهم ، لا في العمل بظواهر الخطابات ، وقاعدة الاشتراك في التكاليف الواقعيّة وإن كانت قاضية بالفساد ؛ ضرورة تعلّق تكاليفهم بالامور الواقعيّة ، إلاّ أنّ العمدة في إثبات تلك القاعدة هو الإجماع ، وفقده في محلّ الكلام غنيّ عن البيّنة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جميع ما في تفاصيل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الاجماع ثابت على الاشتراك ، وهذه قاعدة لا بدّ من الخروج عنها إلى دليل ، وليس يكفي في ذلك مجرّد وجود الخلاف ، بل لا بدّ من دليل قاض بذلك ، وهو ظاهر في الغاية ، كما يوضّحه ملاحظة القواعد الإجماعيّة في مواردها ، كموارد الاشتغال ، فإنّ وجود الخلاف في مورد لا يقضي بعدم الاستناد إلى تلك القاعدة ، بل لا بدّ من إقامة الدليل على المخالفة</w:t>
      </w:r>
      <w:r>
        <w:rPr>
          <w:rFonts w:eastAsia="Amiri" w:cs="Amiri" w:ascii="Amiri" w:hAnsi="Amiri"/>
          <w:color w:val="111111"/>
          <w:sz w:val="28"/>
          <w:szCs w:val="28"/>
          <w:rtl w:val="true"/>
          <w:lang w:bidi="ar-SA"/>
        </w:rPr>
        <w:t xml:space="preserve">. </w:t>
      </w:r>
      <w:bookmarkStart w:id="146" w:name="pg16254_218451"/>
    </w:p>
    <w:p>
      <w:pPr>
        <w:pStyle w:val="Heading3"/>
        <w:numPr>
          <w:ilvl w:val="2"/>
          <w:numId w:val="1"/>
        </w:numPr>
        <w:rPr/>
      </w:pPr>
      <w:bookmarkStart w:id="147" w:name="__RefHeading___Toc4418224_1280447820"/>
      <w:bookmarkStart w:id="148" w:name="_Toc49"/>
      <w:bookmarkEnd w:id="146"/>
      <w:bookmarkEnd w:id="147"/>
      <w:r>
        <w:rPr>
          <w:rtl w:val="true"/>
        </w:rPr>
        <w:t>تذنيب</w:t>
      </w:r>
      <w:bookmarkEnd w:id="148"/>
    </w:p>
    <w:p>
      <w:pPr>
        <w:pStyle w:val="BookText"/>
        <w:rPr/>
      </w:pPr>
      <w:r>
        <w:rPr>
          <w:rFonts w:ascii="Amiri" w:hAnsi="Amiri" w:eastAsia="Amiri" w:cs="Amiri"/>
          <w:color w:val="111111"/>
          <w:sz w:val="28"/>
          <w:sz w:val="28"/>
          <w:szCs w:val="28"/>
          <w:rtl w:val="true"/>
          <w:lang w:bidi="ar-SA"/>
        </w:rPr>
        <w:t xml:space="preserve">قد ذكر غير واحد منهم في باب الحجّ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أحرم بغير غسل الإحرام أو صلاتها عامدا أو جاهلا أو ناسيا أو ذاكرا يستحبّ له التدارك لما تركه من الغسل والصلاة وإعادة الإحرام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ما ورد في الصحيح </w:t>
      </w:r>
      <w:r>
        <w:rPr>
          <w:rStyle w:val="FootnoteAnchor"/>
          <w:rtl w:val="true"/>
        </w:rPr>
        <w:footnoteReference w:id="434"/>
      </w:r>
      <w:r>
        <w:rPr>
          <w:rFonts w:ascii="Amiri" w:hAnsi="Amiri" w:eastAsia="Amiri" w:cs="Amiri"/>
          <w:color w:val="111111"/>
          <w:sz w:val="28"/>
          <w:sz w:val="28"/>
          <w:szCs w:val="28"/>
          <w:rtl w:val="true"/>
          <w:lang w:bidi="ar-SA"/>
        </w:rPr>
        <w:t xml:space="preserve">، بعد السؤال عما تقدّم من لزوم الإعادة ، فإنّه محمول على الاستحباب عند المشهور ، ومنهم الشيخ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عنه </w:t>
      </w:r>
      <w:r>
        <w:rPr>
          <w:rStyle w:val="FootnoteAnchor"/>
          <w:rtl w:val="true"/>
        </w:rPr>
        <w:footnoteReference w:id="4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أراد أنّه نوى الإحرام وأحرم ولبّى من دون صلاة وغسل فقد انعقد إحرامه ، وأيّ إعادة تكون عليه؟ وكيف يتقدّر عليه؟ وإن أراد أنّه أحرم بالكيفيّة الظاهرة من دون النيّة والتلبية فيصحّ ذلك ويكون لقوله وجه </w:t>
      </w:r>
      <w:r>
        <w:rPr>
          <w:rStyle w:val="FootnoteAnchor"/>
          <w:rtl w:val="true"/>
        </w:rPr>
        <w:footnoteReference w:id="4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ما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يمكن الأمر بإعادة الفعل المأتيّ به على وجه الصحّة الواقعيّة استيفاء لما هو الأكمل من الفعل المأتيّ به ، لا وجه لما </w:t>
      </w:r>
    </w:p>
    <w:p>
      <w:pPr>
        <w:pStyle w:val="BookText"/>
        <w:rPr/>
      </w:pPr>
      <w:r>
        <w:rPr>
          <w:rFonts w:ascii="Amiri" w:hAnsi="Amiri" w:eastAsia="Amiri" w:cs="Amiri"/>
          <w:color w:val="111111"/>
          <w:sz w:val="28"/>
          <w:sz w:val="28"/>
          <w:szCs w:val="28"/>
          <w:rtl w:val="true"/>
          <w:lang w:bidi="ar-SA"/>
        </w:rPr>
        <w:t xml:space="preserve">أورده الحلّي على الشيخ ؛ فإنّ انعقاده لا ينافي استحبابه </w:t>
      </w:r>
      <w:r>
        <w:rPr>
          <w:rStyle w:val="FootnoteAnchor"/>
          <w:rtl w:val="true"/>
        </w:rPr>
        <w:footnoteReference w:id="438"/>
      </w:r>
      <w:r>
        <w:rPr>
          <w:rFonts w:ascii="Amiri" w:hAnsi="Amiri" w:eastAsia="Amiri" w:cs="Amiri"/>
          <w:color w:val="111111"/>
          <w:sz w:val="28"/>
          <w:sz w:val="28"/>
          <w:szCs w:val="28"/>
          <w:rtl w:val="true"/>
          <w:lang w:bidi="ar-SA"/>
        </w:rPr>
        <w:t>ثانيا ؛ لما في الفرد الثاني من الكمال ما ليس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الإحرام الظاهري بدون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 ؛ إذ على تقديره فيجب الإعادة ، إذ لم ينعقد إحرامه بمجرّده ، وذلك نظير استحباب الإعادة في الصلاة التي لم يؤذّن فيها بعد انعقاد إحرام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كون إحرام الحج بعد انعقاده ممّا لا ينقطع إلاّ بمثل الصدّ والإحصار ونحوه ؛ لورود النصّ بذلك أيضا في خصوص المقام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قد التزم سيد الرياض بوجوبه </w:t>
      </w:r>
      <w:r>
        <w:rPr>
          <w:rStyle w:val="FootnoteAnchor"/>
          <w:rtl w:val="true"/>
        </w:rPr>
        <w:footnoteReference w:id="440"/>
      </w:r>
      <w:r>
        <w:rPr>
          <w:rFonts w:ascii="Amiri" w:hAnsi="Amiri" w:eastAsia="Amiri" w:cs="Amiri"/>
          <w:color w:val="111111"/>
          <w:sz w:val="28"/>
          <w:sz w:val="28"/>
          <w:szCs w:val="28"/>
          <w:rtl w:val="true"/>
          <w:lang w:bidi="ar-SA"/>
        </w:rPr>
        <w:t xml:space="preserve">، إلاّ أنّ ذلك منه في غير محلّه ؛ فإنّ إفادة الأمر </w:t>
      </w:r>
      <w:r>
        <w:rPr>
          <w:rStyle w:val="FootnoteAnchor"/>
          <w:rtl w:val="true"/>
        </w:rPr>
        <w:footnoteReference w:id="441"/>
      </w:r>
      <w:r>
        <w:rPr>
          <w:rFonts w:ascii="Amiri" w:hAnsi="Amiri" w:eastAsia="Amiri" w:cs="Amiri"/>
          <w:color w:val="111111"/>
          <w:sz w:val="28"/>
          <w:sz w:val="28"/>
          <w:szCs w:val="28"/>
          <w:rtl w:val="true"/>
          <w:lang w:bidi="ar-SA"/>
        </w:rPr>
        <w:t>الاختياري للإجزاء أمر لا يقبل أن ينازع فيه ، والوجوب ثانيا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استحبابه غير مناف لذلك ، كما لا يخفى على المتدبّر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الأمر الوجوبي بالفرد الكامل ، كما في الواقعي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 لأنّ المنشأ لو كان ترك الواجب في حالة الإجزاء صحّ ذلك ، بخلاف ترك الأجزاء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أفاده الاستاذ المحقّق في هذه المسألة الشريفة المذكورة ، أعني مسألة الإجزاء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 إنّ هذه المسألة من أهمّ المسائل ، وتكلّم الاستاد فيها من أعظم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واغتنم ، فلله الحمد ، إنّه خير موفّق</w:t>
      </w:r>
      <w:r>
        <w:rPr>
          <w:rFonts w:eastAsia="Amiri" w:cs="Amiri" w:ascii="Amiri" w:hAnsi="Amiri"/>
          <w:color w:val="111111"/>
          <w:sz w:val="28"/>
          <w:szCs w:val="28"/>
          <w:rtl w:val="true"/>
          <w:lang w:bidi="ar-SA"/>
        </w:rPr>
        <w:t xml:space="preserve">. </w:t>
      </w:r>
      <w:bookmarkStart w:id="149" w:name="pg16254_218453"/>
    </w:p>
    <w:p>
      <w:pPr>
        <w:pStyle w:val="Heading2"/>
        <w:numPr>
          <w:ilvl w:val="1"/>
          <w:numId w:val="1"/>
        </w:numPr>
        <w:rPr/>
      </w:pPr>
      <w:bookmarkStart w:id="150" w:name="__RefHeading___Toc4418226_1280447820"/>
      <w:bookmarkStart w:id="151" w:name="_Toc50"/>
      <w:bookmarkEnd w:id="149"/>
      <w:bookmarkEnd w:id="150"/>
      <w:r>
        <w:rPr>
          <w:rtl w:val="true"/>
        </w:rPr>
        <w:t>القول في وجوب مقدّمة الواجب</w:t>
      </w:r>
      <w:bookmarkEnd w:id="1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4418228_1280447820"/>
      <w:bookmarkStart w:id="153" w:name="_Toc51"/>
      <w:bookmarkEnd w:id="152"/>
      <w:r>
        <w:rPr>
          <w:rtl w:val="true"/>
        </w:rPr>
        <w:t>اشارة</w:t>
      </w:r>
      <w:bookmarkEnd w:id="1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254_218455"/>
      <w:bookmarkStart w:id="155" w:name="pg16254_218455"/>
      <w:bookmarkEnd w:id="155"/>
    </w:p>
    <w:p>
      <w:pPr>
        <w:pStyle w:val="BookText"/>
        <w:rPr/>
      </w:pPr>
      <w:bookmarkStart w:id="156" w:name="pg16254_218455"/>
      <w:bookmarkEnd w:id="156"/>
      <w:r>
        <w:rPr>
          <w:rFonts w:ascii="Amiri" w:hAnsi="Amiri" w:eastAsia="Amiri" w:cs="Amiri"/>
          <w:color w:val="111111"/>
          <w:sz w:val="28"/>
          <w:sz w:val="28"/>
          <w:szCs w:val="28"/>
          <w:rtl w:val="true"/>
          <w:lang w:bidi="ar-SA"/>
        </w:rPr>
        <w:t>وتحقيق الكلام على وجه يرتفع به غواشي الأوهام في طيّ هدايات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418230_1280447820"/>
      <w:bookmarkStart w:id="158" w:name="_Toc52"/>
      <w:bookmarkEnd w:id="157"/>
      <w:r>
        <w:rPr>
          <w:rtl w:val="true"/>
        </w:rPr>
        <w:t>هداية</w:t>
      </w:r>
      <w:bookmarkEnd w:id="158"/>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الامور التي ينبغي مراعاتها في التعاليم هو معرفة المسألة التي يقع البحث فيها قبل الخوض في الاستدلال نفيا أو إثباتا ، من حيث دخولها في أيّ فنّ من الفنون المدوّنة ، ثمّ في لحوقها بأيّ باب من أبواب ذلك الفنّ ، ليكون الطالب على بصيرة من ذلك من حيث ملاحظة أخواتها في الحكم ومقايستها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وإن لم يكن من الامور اللازمة ، إلاّ أنّ فيها جدوى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دخول المسألة في المسائل الفرعيّة ، لرجوع البحث فيها إلى البحث عن العوارض اللاحقة لفعل المكلّف من حيث الاقتضاء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البحث عن وجوب الصلاة والزكاة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المسائل الفرعيّة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ليس على ما يتوهّم ؛ إذ مرجع البحث فيها إلى أنّ العقل هل يحكم بوجوب المقدّمة عند وجوب ذيها أو لا؟ فيرجع البحث فيها إلى البحث عن تحقّق </w:t>
      </w:r>
      <w:r>
        <w:rPr>
          <w:rStyle w:val="FootnoteAnchor"/>
          <w:rtl w:val="true"/>
        </w:rPr>
        <w:footnoteReference w:id="442"/>
      </w:r>
      <w:r>
        <w:rPr>
          <w:rFonts w:ascii="Amiri" w:hAnsi="Amiri" w:eastAsia="Amiri" w:cs="Amiri"/>
          <w:color w:val="111111"/>
          <w:sz w:val="28"/>
          <w:sz w:val="28"/>
          <w:szCs w:val="28"/>
          <w:rtl w:val="true"/>
          <w:lang w:bidi="ar-SA"/>
        </w:rPr>
        <w:t>الملازمة بين الإرادة الجازمة المتعلّقة بشيء وبين إرادة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ترى ليس بحثا عن فعل المكلّف ، بل هو بحث عن اقتضاء نفس التكليف والطلب وإن استلزم العلم بها العلم بكيفيّة عمل المكلّف من حيث وجوب الإتيان به وإباحته ، كما هو الشأن في جميع المسائل الاصوليّة ، فإنّها مهّدت لاستنباط الأحكام الشرعية الفرعيّة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شمول الحدّ المذكور للاصول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ما ذكرنا غاية الاتّضاح عند ملاحظة أنّ علم المقلّد بهذه المسألة ممّا لا يجديه في شيء من أعماله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لا سترة عليه بعد ملاحظة أنّ تشخيص موضوعها موقوف على الاجتهاد الذي ليس للمقلّد فيه حظّ ولا نصيب ؛ مضافا إلى ما يشاهد من درجها في مسائل الاصول في كتب مهرة الفنّ وأساطين الصناعة ؛ وبذلك يكفي شاهدا ودليلا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هنا ينقدح لك القول بأنّ الترتيب الطبيعي يقضي بأن تكون ملحقة بالمسائل المذكورة في المبادئ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العضدي تبعا للحاجبي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المناسب عند تحقيق الحكم الشرعي وتقسيمه إلى الوضعي والتكليفي وتنويعه إلى الأنواع الخمسة المعروفة تحقيق لوازم تلك الأحكام ، من حيث إنّ الوجوب المتعلّق بشيء يستلزم وجوب مقدّماته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مذكورة </w:t>
      </w:r>
      <w:r>
        <w:rPr>
          <w:rStyle w:val="FootnoteAnchor"/>
          <w:rtl w:val="true"/>
        </w:rPr>
        <w:footnoteReference w:id="444"/>
      </w:r>
      <w:r>
        <w:rPr>
          <w:rFonts w:ascii="Amiri" w:hAnsi="Amiri" w:eastAsia="Amiri" w:cs="Amiri"/>
          <w:color w:val="111111"/>
          <w:sz w:val="28"/>
          <w:sz w:val="28"/>
          <w:szCs w:val="28"/>
          <w:rtl w:val="true"/>
          <w:lang w:bidi="ar-SA"/>
        </w:rPr>
        <w:t xml:space="preserve">في مباحث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آخرون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ثبوت حكم العقل </w:t>
      </w:r>
      <w:r>
        <w:rPr>
          <w:rStyle w:val="FootnoteAnchor"/>
          <w:rtl w:val="true"/>
        </w:rPr>
        <w:footnoteReference w:id="446"/>
      </w:r>
      <w:r>
        <w:rPr>
          <w:rFonts w:ascii="Amiri" w:hAnsi="Amiri" w:eastAsia="Amiri" w:cs="Amiri"/>
          <w:color w:val="111111"/>
          <w:sz w:val="28"/>
          <w:sz w:val="28"/>
          <w:szCs w:val="28"/>
          <w:rtl w:val="true"/>
          <w:lang w:bidi="ar-SA"/>
        </w:rPr>
        <w:t xml:space="preserve">في هذه المسألة ، كما في مسألة ثبوت حكمه في أصالة الإباحة ؛ إذ لا اختصاص لها بما يتفرّع على قاعدة التحسين والتقبيح العقليّين ولا بما يستقلّ العقل باستفادة حكمه ولو من غير توسيط للخطاب الشرعي ، بل قد عدّت </w:t>
      </w:r>
      <w:r>
        <w:rPr>
          <w:rStyle w:val="FootnoteAnchor"/>
          <w:rtl w:val="true"/>
        </w:rPr>
        <w:footnoteReference w:id="447"/>
      </w:r>
      <w:r>
        <w:rPr>
          <w:rFonts w:ascii="Amiri" w:hAnsi="Amiri" w:eastAsia="Amiri" w:cs="Amiri"/>
          <w:color w:val="111111"/>
          <w:sz w:val="28"/>
          <w:sz w:val="28"/>
          <w:szCs w:val="28"/>
          <w:rtl w:val="true"/>
          <w:lang w:bidi="ar-SA"/>
        </w:rPr>
        <w:t xml:space="preserve">في عدّة مواضع من كلمات المحقّقين الملازمات العقليّة في عداد أدلّتها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ذكرها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صاحب المعالم </w:t>
      </w:r>
      <w:r>
        <w:rPr>
          <w:rStyle w:val="FootnoteAnchor"/>
          <w:rtl w:val="true"/>
        </w:rPr>
        <w:footnoteReference w:id="449"/>
      </w:r>
      <w:r>
        <w:rPr>
          <w:rFonts w:ascii="Amiri" w:hAnsi="Amiri" w:eastAsia="Amiri" w:cs="Amiri"/>
          <w:color w:val="111111"/>
          <w:sz w:val="28"/>
          <w:sz w:val="28"/>
          <w:szCs w:val="28"/>
          <w:rtl w:val="true"/>
          <w:lang w:bidi="ar-SA"/>
        </w:rPr>
        <w:t xml:space="preserve">وتبعه في ذلك جماعة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ما ينبغي ؛ إذ غاية ما يمكن أن يقال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لمّا كان من مداليل الألفاظ صحّ ذكرها في مباحثها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ظاهر الفساد ،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أنّ الوجوب كما قد يكون الدليل عليه هو اللفظ فكذلك قد يكشف عنه العقل أو الإجماع أو الضرورة ونحوها ممّا ليس بلفظ ، والنزاع المذكور كما يتأتّى فيما يدلّ عليه اللفظ يجري في غيره أيضا من غير اختصاص بأحدهما ، كما أشار إليه المدقّق الشيرواني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يكون البحث في المقام بحثا لغويّا ونزاعا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الأبحاث اللغويّة هو تسليم المتخاصمين لوجود المعنى المتنازع في وضع اللفظ له وعدمه ، وإنّما التشاجر بينهم في ثبوت العلقة الجعليّة الوضعيّة بين اللفظ والمعنى على وجه يصحّ أن يكون اللفظ مرآة وكاشفا عن ذلك المعنى الثابت في محلّ ثبوته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في نزاعهم في أنّ الأمر للوجوب أو لا؟ فإنّ المعقول من هذا النزاع هو أنّ هيئة الأمر على نحو وضع الهيئات هل هي موضوعة لمعنى يلزمه الوجوب أو لا؟ مع اعتراف المتخاصمين بتحقّق هذا المعنى في الواقع وتسليمهما لاختلاف مراتب الطلب والإرادة ، فتارة يتأكّد الطلب فيصير </w:t>
      </w:r>
    </w:p>
    <w:p>
      <w:pPr>
        <w:pStyle w:val="BookText"/>
        <w:rPr/>
      </w:pPr>
      <w:r>
        <w:rPr>
          <w:rFonts w:ascii="Amiri" w:hAnsi="Amiri" w:eastAsia="Amiri" w:cs="Amiri"/>
          <w:color w:val="111111"/>
          <w:sz w:val="28"/>
          <w:sz w:val="28"/>
          <w:szCs w:val="28"/>
          <w:rtl w:val="true"/>
          <w:lang w:bidi="ar-SA"/>
        </w:rPr>
        <w:t>في تلك المرتبة منشأ لانتزاع الوجوب من الفعل ، وتارة لا يصل إلى تلك المرتبة فلا يصحّ انتزاع الوجوب من الفعل الذي 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بينهم في اختلاف مراتب الطلب ، كما لا خلاف في تحقّق المرتبة الملزومة للوجوب وثبوتها ، وإنّما النزاع في أنّ هيئة الأمر هل هي موضوعة لأيّ مرتبة منه؟</w:t>
      </w:r>
    </w:p>
    <w:p>
      <w:pPr>
        <w:pStyle w:val="BookText"/>
        <w:rPr/>
      </w:pPr>
      <w:r>
        <w:rPr>
          <w:rFonts w:ascii="Amiri" w:hAnsi="Amiri" w:eastAsia="Amiri" w:cs="Amiri"/>
          <w:color w:val="111111"/>
          <w:sz w:val="28"/>
          <w:sz w:val="28"/>
          <w:szCs w:val="28"/>
          <w:rtl w:val="true"/>
          <w:lang w:bidi="ar-SA"/>
        </w:rPr>
        <w:t xml:space="preserve">وكذلك القول في المفاهيم ، فإنّ العلقة بين التالي والمقدّم تارة تلاحظ على وجه يتفرّع وجود أحدهما على الآخر ، وتارة ملحوظة على وجه يلازم عدم أحدهما عدم الآخر أيضا ، فمع قطع النظر عن النزاع في مفهوم الشرط لا كلام في تحقّق هذين المعنيين ؛ وإنّما النزاع في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هل هي موضوعة للعلقة المذكورة على وجه يلاحظ أحدهما معلّقا على الآخر وجودا فقط أو وجودا وعدما؟</w:t>
      </w:r>
    </w:p>
    <w:p>
      <w:pPr>
        <w:pStyle w:val="BookText"/>
        <w:rPr/>
      </w:pPr>
      <w:r>
        <w:rPr>
          <w:rFonts w:ascii="Amiri" w:hAnsi="Amiri" w:eastAsia="Amiri" w:cs="Amiri"/>
          <w:color w:val="111111"/>
          <w:sz w:val="28"/>
          <w:sz w:val="28"/>
          <w:szCs w:val="28"/>
          <w:rtl w:val="true"/>
          <w:lang w:bidi="ar-SA"/>
        </w:rPr>
        <w:t>والنزاع في المقام ليس بهذه المثابة ؛ إذ الكلام في ثبوت أصل الملازمة العقليّة وتحقّقها بين الإرادة المتعلّقة بشيء وبين إرادة مقدّماته ، فالقائل بالوجوب يدّعى ثبوتها ، والقائل بالعدم ينفيها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الوجوب في الواقع تارة على وجه يحكم العقل بثبوت الملازمة وتارة على وجه لا يحكم العقل بها ، فيكون النزاع في أنّ اللفظ موضوع لأيّ الوجوبين ، كما لا يخفى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الملازمة المذكورة لا يشبه الأبحاث اللغويّة والنزاعات الراجعة إلى تشخيص مسمّى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القول بتحقّقها يكون من المداليل الالتزامية للّفظ الدالّ على وجوب ذيها فيما إذا قلنا بأنّها من اللوازم التي لا يحتاج التصديق بها إلى وسط في الإثبات ، ومجرّد ذلك لا ينهض وجها لدخولها في مباحث الألفاظ</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لك الوجه في فساد ما استدلّ به صاحب المعالم على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انتفاء الدلالات </w:t>
      </w:r>
      <w:r>
        <w:rPr>
          <w:rStyle w:val="FootnoteAnchor"/>
          <w:rtl w:val="true"/>
        </w:rPr>
        <w:footnoteReference w:id="452"/>
      </w:r>
      <w:r>
        <w:rPr>
          <w:rFonts w:ascii="Amiri" w:hAnsi="Amiri" w:eastAsia="Amiri" w:cs="Amiri"/>
          <w:color w:val="111111"/>
          <w:sz w:val="28"/>
          <w:sz w:val="28"/>
          <w:szCs w:val="28"/>
          <w:rtl w:val="true"/>
          <w:lang w:bidi="ar-SA"/>
        </w:rPr>
        <w:t xml:space="preserve">، وفساد ما اعترض عليه بعض المحقّقين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الدلالة بواسطة القرينة ممّا لا ينافي ثبوت الوضع ، إلى غير ذلك من هذه الوجوه المنبئة عن كون البحث في المقام بحثا لفظيّا ونزاعا لغويّا ، فتدبّر</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254_218461"/>
      <w:bookmarkStart w:id="160" w:name="pg16254_218461"/>
      <w:bookmarkEnd w:id="160"/>
    </w:p>
    <w:p>
      <w:pPr>
        <w:pStyle w:val="Heading3"/>
        <w:numPr>
          <w:ilvl w:val="2"/>
          <w:numId w:val="1"/>
        </w:numPr>
        <w:rPr/>
      </w:pPr>
      <w:bookmarkStart w:id="161" w:name="pg16254_218461"/>
      <w:bookmarkStart w:id="162" w:name="__RefHeading___Toc4418232_1280447820"/>
      <w:bookmarkStart w:id="163" w:name="_Toc53"/>
      <w:bookmarkEnd w:id="161"/>
      <w:bookmarkEnd w:id="162"/>
      <w:r>
        <w:rPr>
          <w:rtl w:val="true"/>
        </w:rPr>
        <w:t>هداية</w:t>
      </w:r>
      <w:bookmarkEnd w:id="163"/>
    </w:p>
    <w:p>
      <w:pPr>
        <w:pStyle w:val="Heading4"/>
        <w:numPr>
          <w:ilvl w:val="3"/>
          <w:numId w:val="1"/>
        </w:numPr>
        <w:rPr/>
      </w:pPr>
      <w:bookmarkStart w:id="164" w:name="__RefHeading___Toc4418234_1280447820"/>
      <w:bookmarkStart w:id="165" w:name="_Toc5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المقدّمة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اسم مفعول منه ، فعلى الأوّل لا بدّ من تمحّل ، إمّا بالقول بأنّها من كثرة ارتباطها إنّما قدّمت نفسها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هو المعهود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 وإمّا بالقول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التفعيل للتكثير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وَغَلَّقَتِ الْأَبْوابَ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إشكال ؛ لأنّها مأخوذة من مقدّمة الجيش ، وهي على الظاهر طائفة من الجيش تقدّم في المسير ليكون عيونا لهم من الأعداء ، فيكون التفعيل للتعدية ، لأنّهم قدّموهم على أنفسهم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فيها للتأنيث من حيث اعتمادها على موصوف مؤنّث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لاعتمادها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النقل أوّلا ، وعدم ثبوتها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عرفا واصطلاحا وإن كان مختلفا ، فإنّ المراد منها اصطلاحا أخصّ ممّا هو المراد منها عرفا ؛ إذ لا يلاحظ الارتباط بين المقدّم والمؤخّر في العرف ، وفي الاصطلاح لا بدّ من ملاحظة الارتباط والتوقّف بينهما ، فوجود زيد وإن كان سابقا على وجود عمرو ، لا يكون مقدّمة لوجود عمرو اصطلاحا إذا لم يتوقّف وجوده عليه ، ويكون مقدّما عليه لغة وعرفا ، إلاّ أنّ مجرّد الاختلاف لا يقضى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 في محلّه</w:t>
      </w:r>
      <w:r>
        <w:rPr>
          <w:rFonts w:eastAsia="Amiri" w:cs="Amiri" w:ascii="Amiri" w:hAnsi="Amiri"/>
          <w:color w:val="111111"/>
          <w:sz w:val="28"/>
          <w:szCs w:val="28"/>
          <w:rtl w:val="true"/>
          <w:lang w:bidi="ar-SA"/>
        </w:rPr>
        <w:t xml:space="preserve">. </w:t>
      </w:r>
      <w:bookmarkStart w:id="166" w:name="pg16254_218462"/>
    </w:p>
    <w:p>
      <w:pPr>
        <w:pStyle w:val="BookText"/>
        <w:rPr/>
      </w:pPr>
      <w:bookmarkEnd w:id="166"/>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بحسب مصطلح الاصوليّين عبارة عمّا يتوقّف عليه الشيء ، والمناسبة بين المعنيين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فلها تقسيمات مختلفة باعتبارات متفاوتة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418236_1280447820"/>
      <w:bookmarkStart w:id="168" w:name="_Toc55"/>
      <w:bookmarkEnd w:id="167"/>
      <w:r>
        <w:rPr>
          <w:rtl w:val="true"/>
        </w:rPr>
        <w:t xml:space="preserve">منها </w:t>
      </w:r>
      <w:r>
        <w:rPr>
          <w:rtl w:val="true"/>
        </w:rPr>
        <w:t xml:space="preserve">: </w:t>
      </w:r>
      <w:r>
        <w:rPr>
          <w:rtl w:val="true"/>
        </w:rPr>
        <w:t>تقسيمها إلى الداخليّة والخارجيّة</w:t>
      </w:r>
      <w:r>
        <w:rPr>
          <w:rtl w:val="true"/>
        </w:rPr>
        <w:t>.</w:t>
      </w:r>
      <w:bookmarkEnd w:id="168"/>
    </w:p>
    <w:p>
      <w:pPr>
        <w:pStyle w:val="BookText"/>
        <w:rPr/>
      </w:pPr>
      <w:r>
        <w:rPr>
          <w:rFonts w:ascii="Amiri" w:hAnsi="Amiri" w:eastAsia="Amiri" w:cs="Amiri"/>
          <w:color w:val="111111"/>
          <w:sz w:val="28"/>
          <w:sz w:val="28"/>
          <w:szCs w:val="28"/>
          <w:rtl w:val="true"/>
          <w:lang w:bidi="ar-SA"/>
        </w:rPr>
        <w:t xml:space="preserve">فالمراد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داخلا في ذيها ، كأجزاء الماهيّة المركّبة ، فإنّها ممّا يتوقّف عليها ، ضرورة احتياج الكلّ إلى الأجزاء </w:t>
      </w:r>
      <w:r>
        <w:rPr>
          <w:rStyle w:val="FootnoteAnchor"/>
          <w:rtl w:val="true"/>
        </w:rPr>
        <w:footnoteReference w:id="455"/>
      </w:r>
      <w:r>
        <w:rPr>
          <w:rFonts w:ascii="Amiri" w:hAnsi="Amiri" w:eastAsia="Amiri" w:cs="Amiri"/>
          <w:color w:val="111111"/>
          <w:sz w:val="28"/>
          <w:sz w:val="28"/>
          <w:szCs w:val="28"/>
          <w:rtl w:val="true"/>
          <w:lang w:bidi="ar-SA"/>
        </w:rPr>
        <w:t>مع دخولها في حقيقته وماهيّته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خارجا عنها فيما إذا كان ممّا يتوقّف عليه وجود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في الواقع يقع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على وجه يمتنع تخلّف ذيها عنها ، وتارة يكون على وجه لو لم يكن ما يمنع منه لكان مترتّبا عليه ، وتارة يكون ممّا يستند إليه بعد حصول الشرائط المعتبرة في تأثيره أو في تأثّر المحلّ منه ، وتارة يكون على وجه له مدخل ، في وجود ذي المقدّمة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Style w:val="FootnoteAnchor"/>
          <w:rtl w:val="true"/>
        </w:rPr>
        <w:footnoteReference w:id="456"/>
      </w:r>
      <w:r>
        <w:rPr>
          <w:rFonts w:ascii="Amiri" w:hAnsi="Amiri" w:eastAsia="Amiri" w:cs="Amiri"/>
          <w:color w:val="111111"/>
          <w:sz w:val="28"/>
          <w:sz w:val="28"/>
          <w:szCs w:val="28"/>
          <w:rtl w:val="true"/>
          <w:lang w:bidi="ar-SA"/>
        </w:rPr>
        <w:t xml:space="preserve">فقط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فقط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اصطلاح أرباب النظر على تسمية القسم الأوّل بالعلّة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مطاوي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بالمقتضي ، ويدلّ على ذلك ملاحظة موارد استدلالاتهم في المقامات المختلفة من وجود المقتضي وارتفاع المانع ، فلولا أنّ المقتضي هو مجموع ما يتوقّف عليه الشيء ما عدا المانع لم يكن الاستدلال موجّها ؛ لاحتمال انتفاء </w:t>
      </w:r>
      <w:r>
        <w:rPr>
          <w:rStyle w:val="FootnoteAnchor"/>
          <w:rtl w:val="true"/>
        </w:rPr>
        <w:footnoteReference w:id="457"/>
      </w:r>
      <w:r>
        <w:rPr>
          <w:rFonts w:ascii="Amiri" w:hAnsi="Amiri" w:eastAsia="Amiri" w:cs="Amiri"/>
          <w:color w:val="111111"/>
          <w:sz w:val="28"/>
          <w:sz w:val="28"/>
          <w:szCs w:val="28"/>
          <w:rtl w:val="true"/>
          <w:lang w:bidi="ar-SA"/>
        </w:rPr>
        <w:t>شرط من شروط التأثير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مصطلح الفقهاء هو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بل الظاهر أنّ السبب في مصطلحهم هو القسم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تسمية القسم الرابع </w:t>
      </w:r>
      <w:r>
        <w:rPr>
          <w:rStyle w:val="FootnoteAnchor"/>
          <w:rtl w:val="true"/>
        </w:rPr>
        <w:footnoteReference w:id="458"/>
      </w:r>
      <w:r>
        <w:rPr>
          <w:rFonts w:ascii="IRNazanin" w:hAnsi="IRNazanin" w:eastAsia="IRNazanin"/>
          <w:color w:val="111111"/>
          <w:sz w:val="28"/>
          <w:sz w:val="28"/>
          <w:szCs w:val="28"/>
          <w:rtl w:val="true"/>
          <w:lang w:bidi="fa-IR"/>
        </w:rPr>
        <w:t>بالشرط ، والخامس بالمانع ، والسادس بالمعدّ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المقدّمات في الامور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بملاحظة أوّلية ، وإلاّ فلا حصر في ذلك ؛ فإنّ جزء المقتضي أو السبب أو الشرط فيما إذا كان مركّبا لا يكون شيئا من الامور المذكورة ، مع أنّه من الامور التي يتوقّف عليها المعلول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المقصود من هذا التقسيم في المقام تشخيص ما هو مراد المفصّل بين السبب وغيره ؛ إلاّ أنّه لمّا كان منوطا بذكر الحدود التي هي مذكورة في كتب القوم لهذه الأنواع من المقدّمات ، فلا بأس بإيرادها وملاحظة ما يرد عليها ، ثمّ نذكر ما هو الظاهر من مراد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السبب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وجوده الوجود ومن عدمه العدم لذاته ، وإنّما قيّد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ينتقض عكس الحدّ بالسبب الذي لم يستلزم وجوده وجود المسبّب بواسطة وجود المانع أو عدمه العدم لقيام سبب آخر مقامه ، فإنّ السبب المجامع للمانع أو لعدم الشرط لا يوجب وجودا ، كما أنّ عدمه مع قيام مثله محلّه لا يورث عدما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اختاره المحقّق القمّي </w:t>
      </w:r>
      <w:r>
        <w:rPr>
          <w:rStyle w:val="FootnoteAnchor"/>
          <w:rtl w:val="true"/>
        </w:rPr>
        <w:footnoteReference w:id="459"/>
      </w:r>
      <w:r>
        <w:rPr>
          <w:rFonts w:ascii="Amiri" w:hAnsi="Amiri" w:eastAsia="Amiri" w:cs="Amiri"/>
          <w:color w:val="111111"/>
          <w:sz w:val="28"/>
          <w:sz w:val="28"/>
          <w:szCs w:val="28"/>
          <w:rtl w:val="true"/>
          <w:lang w:bidi="ar-SA"/>
        </w:rPr>
        <w:t xml:space="preserve">في المقام ، واعترض عليه بعض الأجلّة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المعنى المذكور بعيد عن مراد المفصّل </w:t>
      </w:r>
      <w:r>
        <w:rPr>
          <w:rStyle w:val="FootnoteAnchor"/>
          <w:rtl w:val="true"/>
        </w:rPr>
        <w:footnoteReference w:id="461"/>
      </w:r>
      <w:r>
        <w:rPr>
          <w:rFonts w:ascii="Amiri" w:hAnsi="Amiri" w:eastAsia="Amiri" w:cs="Amiri"/>
          <w:color w:val="111111"/>
          <w:sz w:val="28"/>
          <w:sz w:val="28"/>
          <w:szCs w:val="28"/>
          <w:rtl w:val="true"/>
          <w:lang w:bidi="ar-SA"/>
        </w:rPr>
        <w:t xml:space="preserve">في المقام على ما ستعرف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بالاستلزام دوامه لم يتناول السبب الناقص ، وكذا إن أراد </w:t>
      </w:r>
    </w:p>
    <w:p>
      <w:pPr>
        <w:pStyle w:val="BookText"/>
        <w:rPr/>
      </w:pPr>
      <w:r>
        <w:rPr>
          <w:rFonts w:ascii="Amiri" w:hAnsi="Amiri" w:eastAsia="Amiri" w:cs="Amiri"/>
          <w:color w:val="111111"/>
          <w:sz w:val="28"/>
          <w:sz w:val="28"/>
          <w:szCs w:val="28"/>
          <w:rtl w:val="true"/>
          <w:lang w:bidi="ar-SA"/>
        </w:rPr>
        <w:t xml:space="preserve">الاستلزام بحسب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لفظ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تخلّف ما بالذات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الاستلزام في الجملة دخل الشرط أيضا ، لأنّه قد يستلزم ذلك إذا اخذت بشرط المقارنة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بالاستلزام هو ما يقتضيه المقتضي لوجود الشيء الذي يجامع وجود المانع من غير اعتبار شيء زائد في المقتضي ، فلا يرتبط المقام بما زعمه من امتناع تخلّف ما بالذات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تارة يعتبر على وجه يراد منه ملاحظة نفس الشيء وذاته من غير اعتبار شيء آخر فيه أو معه من وجود شيء آخر أو عدمه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يلاحظ على وجه يستفاد منه استناد الحكم المذكور في الكلام إلى ذات الشيء وحقيقته وهويّته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والمعترض إنّما خلط بين الوجهين ؛ فإنّ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المذكور من قبيل الأوّل ، والمعترض إنّما حمله على الوجه الثاني ، فاعترض عليه بامتناع تخلّف ما بالذات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 إذ ما يقيّد وجود الشيء به لا محالة يرتفع ذلك الشيء بارتفاعه ، فلا 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ذكره بواسطة إخراج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واه جدّا ؛ لأنّه صرّح بخروج المانع من الجملة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بعد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الجملة الثانية بمنزلة الجنس لماهيّة السبب وحقيقته ، واستيفاء ذاتيّات المعرّف أو ما هو بمنزلتها من الامور العامّة في صناعة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الخواصّ المميّزة له عن مشاركات تلك الامور العامّة ليس بأمر عجيب ولا بشيء مرغوب عنه ، بل من الامور المستحسنة بل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في المقام بيان وجه تقديم ما هو بمنزلة الفصل على ما هو بمنزلة الجنس ، فإنّ الترتيب الطبيعي في </w:t>
      </w:r>
    </w:p>
    <w:p>
      <w:pPr>
        <w:pStyle w:val="BookText"/>
        <w:rPr/>
      </w:pPr>
      <w:r>
        <w:rPr>
          <w:rFonts w:ascii="Amiri" w:hAnsi="Amiri" w:eastAsia="Amiri" w:cs="Amiri"/>
          <w:color w:val="111111"/>
          <w:sz w:val="28"/>
          <w:sz w:val="28"/>
          <w:szCs w:val="28"/>
          <w:rtl w:val="true"/>
          <w:lang w:bidi="ar-SA"/>
        </w:rPr>
        <w:t xml:space="preserve">التعاريف هو ذكر الجنس أوّلا ثمّ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الوجه في تقديم ذلك في المقام هو التنبيه على أنّ المقصود الأصلي من السبب هو الوجود أو غير ذلك من 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ذلك لا يعدّ من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ما هو بمنزلة الجنس ممّا يغني عمّا هو بمنزلة الفصل كان الإيراد بالاستدراك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زعمه في توجيه كلامه في غاية السخافة ؛ إذ لا ينبغي لذي مسكة أن يتوهّم أنّ ذكر الجملة الثانية لإخراج المانع ؛ إذ هو ممّا يلزم من وجوده العدم ، فكيف يراد خروجه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التعريف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المجامع لعدم الشرط لو خلّي وطبعه لا يقتضي الوجود ؛ للفرق الظاهر بين عدم الشرط والمانع ، فإنّ المقتضي تامّ الاقتضاء مع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بأنّ السبب لو خلّي وطبعه يلزم من وجوده الوجود ، بخلاف السبب المقارن لعدم الشرط ، فإنّ الشرط له مدخل في الوجود إمّا لكونه جزءا 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 شرطا في اقتضاء ما هو بعد احتفافه بالشرائط يكون مقتضيا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لإلحاق أحدهما بالآخر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 الأسباب المتعدّدة من القيد المذكور في جانب العدم ، فيمكن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بعد ما هو المقرّر من امتناع ورود الأسباب المتعدّدة على مسبّب واحد ، ففي الموارد التي يتراءى تعدّده فيها ،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واحد من تلك الأسباب إنّما يؤثّر في وجود مسبّب خاصّ على وجه لا يترتّب عليه غيره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هو القدر المشترك بين الامور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لا وجه للقيد المذكور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قيام سبب آخر لا يجدي في ترتّب ذلك المسبّب الّذي فرض عدم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السبب لم يرتفع ؛ لأنّ ارتفاع الكلّي وانعدامه إنّما هو بانعدام جميع ما يصدق عليه ، وارتفاع الخاصّ لا يدلّ على ارتفاع العامّ ؛ وذلك أيضا أمر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وعرّف الشرط في كلام المحقّق المذكور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يلزم من عدمه عدم المشروط ولا يلزم من وجوده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المعترض المزبور </w:t>
      </w:r>
      <w:r>
        <w:rPr>
          <w:rStyle w:val="FootnoteAnchor"/>
          <w:rtl w:val="true"/>
        </w:rPr>
        <w:footnoteReference w:id="46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منقوض طردا بالمقتضي المجامع لعدم الشرط أو لوجود المانع ، وبأجزاء المقتضي والمشروط إن كان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وعكسا بالشرط المتأخّر عن المقتضي ، كالإجازة في الفضولي على القول بحصول الانتقال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عبارة عن العلّة المفيدة لوجود المعلول ما عدا المانع ، فلا وجه لإطلاق المقتضي على المجامع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المقرّر في محلّه أنّ عدم المعلول مستند إلى عدم الجزء السابق من الأجزاء المعدومة للعلّة التامّة ، ومع فرض انتفاء الشرط أو وجود المانع ، فعدم المعلول مستند إلى عدم الشرط ووجود المانع ، ولا يلزم من عدم المقتضي حينئذ عدم المعلول ، إذ لا يعقل اللزوم فيما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بأجزاء المشروط والمقتضي ففي محلّه ؛ ولذلك يجب أن يحافظ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تقسيم المقدّمة الخارجيّة إلى الأقسام المذكورة ، دون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فالنقض بأجزاء المقتضي باق بحاله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الشرط المتأخّر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إجازة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غير محرّر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أراد به النقض بالشرط فيما إذا وقع جزءا أخيرا للعلّة التامّة ، فإنّه يصدق عليه أنّه يلزم من عدمه العدم ويلزم </w:t>
      </w:r>
    </w:p>
    <w:p>
      <w:pPr>
        <w:pStyle w:val="BookText"/>
        <w:rPr/>
      </w:pPr>
      <w:r>
        <w:rPr>
          <w:rFonts w:ascii="Amiri" w:hAnsi="Amiri" w:eastAsia="Amiri" w:cs="Amiri"/>
          <w:color w:val="111111"/>
          <w:sz w:val="28"/>
          <w:sz w:val="28"/>
          <w:szCs w:val="28"/>
          <w:rtl w:val="true"/>
          <w:lang w:bidi="ar-SA"/>
        </w:rPr>
        <w:t>من وجوده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فاسد جدّا ،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نشويّة ، والوجود حقيقة ناش من العلّة التامّة الحاصلة بوجود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استناد المعلول إليه تسامحا ، والحدّ غير مبنيّ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فساد ما قد يورد على تعريف السبب بالجزء الأخير وبما هو في مرتبة المعلول وعرضه في الاستناد إلى العلّة ؛ من حيث إنّ وجودها ملازم لوجود المعلول ، بل مقتضى التضايف أنّه كلّما وجد أحد المتضايفين يجب وجود الآخر ، فيلزم من وجود المعلول وجود العلّة ومن عدمه عدمها ، فينتقض التعريف بالمسبّب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 من أنّ الظاهر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المسبّب ناشئا منه </w:t>
      </w:r>
      <w:r>
        <w:rPr>
          <w:rStyle w:val="FootnoteAnchor"/>
          <w:rtl w:val="true"/>
        </w:rPr>
        <w:footnoteReference w:id="465"/>
      </w:r>
      <w:r>
        <w:rPr>
          <w:rFonts w:ascii="Amiri" w:hAnsi="Amiri" w:eastAsia="Amiri" w:cs="Amiri"/>
          <w:color w:val="111111"/>
          <w:sz w:val="28"/>
          <w:sz w:val="28"/>
          <w:szCs w:val="28"/>
          <w:rtl w:val="true"/>
          <w:lang w:bidi="ar-SA"/>
        </w:rPr>
        <w:t>، وليس الأمر كذلك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 من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التعريف دوريّا ، فإنّ العلم بالنشوء المذكور في مرتبة العلم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الحدود حدود لفظيّة لا يراد منها حصول معرفة جديدة غير حاصلة في الغريزة ، بل المقصود بها التنبيه على ما هو مسمّى تلك الألفاظ بين المعاني المرتسمة في الذهن ، وإلاّ فالواقع هو ما نبّهنا عليه من اختلاف مراتب التوقّف بحسب نفس الأمر والواقع ، وإنّما حاولوا بذلك التنبيه على تلك المراتب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الكلام في تحقيق معنى السبب والشرط ، ومنه يعرف الكلام في حدود ساير أنواع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المعدّ والمانع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ما هو المقصود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موارد كلماتهم يعطي عدم إرادة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يراد منه العلّة في مصطلح أرباب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w:t>
      </w:r>
    </w:p>
    <w:p>
      <w:pPr>
        <w:pStyle w:val="BookText"/>
        <w:rPr/>
      </w:pPr>
      <w:r>
        <w:rPr>
          <w:rFonts w:ascii="Amiri" w:hAnsi="Amiri" w:eastAsia="Amiri" w:cs="Amiri"/>
          <w:color w:val="111111"/>
          <w:sz w:val="28"/>
          <w:sz w:val="28"/>
          <w:szCs w:val="28"/>
          <w:rtl w:val="true"/>
          <w:lang w:bidi="ar-SA"/>
        </w:rPr>
        <w:t xml:space="preserve">هذا ملاحظة الحدود المذكورة في كلماتهم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القيد المذكور وتقسيم المقدّمة إلى السببيّة والشرطيّة ؛ مضافا إلى أنّ العلّة التامّة لأفعال المكلّفين لا محالة مشتملة على الامور الخارجة عن قدرة المكلّف واختياره ، ولا أقلّ من وجود الفاعل ، فإنّه من جملة ما يتوقّف عليه وجود الفعل قطعا ، وليس ممّا يحتمل أن يكون واجبا لكونه من أجزاء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السيّد رحمه‌اللّه حيث حكم بامتناع أن يكون المقدّمة السببيّة شرطا للوجوب لاستلزامه إيجاب الشيء على تقدير وجوبه وطلب الحاصل </w:t>
      </w:r>
      <w:r>
        <w:rPr>
          <w:rStyle w:val="FootnoteAnchor"/>
          <w:rtl w:val="true"/>
        </w:rPr>
        <w:footnoteReference w:id="466"/>
      </w:r>
      <w:r>
        <w:rPr>
          <w:rFonts w:ascii="Amiri" w:hAnsi="Amiri" w:eastAsia="Amiri" w:cs="Amiri"/>
          <w:color w:val="111111"/>
          <w:sz w:val="28"/>
          <w:sz w:val="28"/>
          <w:szCs w:val="28"/>
          <w:rtl w:val="true"/>
          <w:lang w:bidi="ar-SA"/>
        </w:rPr>
        <w:t>، هو أنّ المراد بالسبب العلّة التامّة ، إذ الملازمة المذكورة متحقّقة بينها وبين المعلول دون بعض أجزائها ، وقد عرفت أنّ العلّة التامّة في وجود الأفعال الاختياريّة يمتنع أن يكون فعلا اختياريّا ؛ فلا وجه لأن يكون المراد بالسبب هو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السيّد رحمه‌اللّه فغير محصّل المراد ؛ مع أنّ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من كلامه ما يمنع من أن يكون المراد به العلّة التامّة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يمنع منه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فرض المانع ينافي العليّة التامّة ، اللّهم إلاّ على تأويل بعيد ، كما ارتكبه بعض المدقّقين في كلامه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يرى السبب من الملزومات العاديّة كضرب السيف لجزّ الرقبة ، فإنّه ملزوم له عادة ، لكن قد يمنع منه بطريق خرق العادة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بعضهم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بالسبب هو الجزء الأخير من الأفعال الاختياريّة التي هي من جملة العلّة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بالسبب هو ما يستند إليه الأثر في الأفعال الاختياريّة وإن كان بعد اجتماع الشرائط ورفع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مجموع الأفعال الاختياريّة الّتي يترتّب عليها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فائدة في التفصيل المذكور ؛ إذ لعلّه لا نزاع في وجوب أجزاء الواجب ، وبعد القول بوجوب الكلّ يلزم وجوب الأجزاء ؛ ومن هنا حكم بعضهم </w:t>
      </w:r>
      <w:r>
        <w:rPr>
          <w:rStyle w:val="FootnoteAnchor"/>
          <w:rtl w:val="true"/>
        </w:rPr>
        <w:footnoteReference w:id="470"/>
      </w:r>
      <w:r>
        <w:rPr>
          <w:rFonts w:ascii="Amiri" w:hAnsi="Amiri" w:eastAsia="Amiri" w:cs="Amiri"/>
          <w:color w:val="111111"/>
          <w:sz w:val="28"/>
          <w:sz w:val="28"/>
          <w:szCs w:val="28"/>
          <w:rtl w:val="true"/>
          <w:lang w:bidi="ar-SA"/>
        </w:rPr>
        <w:t>بخروج المقدّمة الداخليّة من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لا بشرط ، وهو بهذا الاعتبار عين الكلّ ومتّحد معه ؛ إذ لا ينافي ذلك انضمام سائر الأجزاء إليه ، فيصير مركّبا منها ، ويكون هو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بشرط لا ، وهو بهذا الاعتبار يغاير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النزاع متوجّها إليه في أنّ الوجوب المتعلّق بالكلّ هل يلازم وجوب الجزء أو لا؟ وحيث إنّ ذات الجزء لا يختلف بالاعتبارين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نفس الاعتبارين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يتّصف الجزء بالوجوب على الوجه الأوّل ، ضرورة وجوب الكلّ بالفرض ، فلا ثمرة في النزاع ؛ لأنّ الوجوب على ذلك الوجه قطعيّ ، وهو يغني عن النزاع في وجوبه على الوجه الثاني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الكلّ مركّب من وجوبات متعلّقة بأجزائه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فاسد جدّا ؛ ضرورة أنّ الوجوب المتعلّق بالكلّ أمر بسيط ، وهي الحالة الطلبيّة </w:t>
      </w:r>
    </w:p>
    <w:p>
      <w:pPr>
        <w:pStyle w:val="BookText"/>
        <w:rPr/>
      </w:pPr>
      <w:r>
        <w:rPr>
          <w:rFonts w:ascii="Amiri" w:hAnsi="Amiri" w:eastAsia="Amiri" w:cs="Amiri"/>
          <w:color w:val="111111"/>
          <w:sz w:val="28"/>
          <w:sz w:val="28"/>
          <w:szCs w:val="28"/>
          <w:rtl w:val="true"/>
          <w:lang w:bidi="ar-SA"/>
        </w:rPr>
        <w:t>والإرادة الفعليّة ؛ ولا يعقل التركيب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المراد مركّب تعلّق به الطلب من حيث إنّه مركّب وأمر وحداني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فقد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بالمقدّمات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بذلك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الوجوب للمقدّمات الداخليّة باعتبار ممّا يغني عن النزاع عنه باعتبار آخر ، فهو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بذلك أنّ النزاع فيها غير معقول ، فهو ممّا لا يصغى إليه ؛ إذ قد عرفت أنّ اعتبار الجزء بشرط لا اعتبار ظاهر ، وعلى تقديره يتّجه النزاع في ثبوت الملازمة المذكورة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w:t>
      </w:r>
    </w:p>
    <w:p>
      <w:pPr>
        <w:pStyle w:val="BookText"/>
        <w:rPr/>
      </w:pPr>
      <w:r>
        <w:rPr>
          <w:rFonts w:ascii="Amiri" w:hAnsi="Amiri" w:eastAsia="Amiri" w:cs="Amiri"/>
          <w:color w:val="111111"/>
          <w:sz w:val="28"/>
          <w:sz w:val="28"/>
          <w:szCs w:val="28"/>
          <w:rtl w:val="true"/>
          <w:lang w:bidi="ar-SA"/>
        </w:rPr>
        <w:t xml:space="preserve">يظهر ما في كلام المحقّق القمّي في الثمرة المتعلّقة بدخول الجزء في محلّ النزاع وعدمه ، حيث حكى </w:t>
      </w:r>
      <w:r>
        <w:rPr>
          <w:rStyle w:val="FootnoteAnchor"/>
          <w:rtl w:val="true"/>
        </w:rPr>
        <w:footnoteReference w:id="471"/>
      </w:r>
      <w:r>
        <w:rPr>
          <w:rFonts w:ascii="Amiri" w:hAnsi="Amiri" w:eastAsia="Amiri" w:cs="Amiri"/>
          <w:color w:val="111111"/>
          <w:sz w:val="28"/>
          <w:sz w:val="28"/>
          <w:szCs w:val="28"/>
          <w:rtl w:val="true"/>
          <w:lang w:bidi="ar-SA"/>
        </w:rPr>
        <w:t>عن العلاّمة جواز الصلاة في الدار المغصوبة على القول بعدم الوجوب ؛ من جهة أن الكون الذي هو جزء للصلاة غير واجب فلا ضير في كونه حراما ، وعدم صحّتها فيها على القول به بواسطة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الثمرة المذكورة ممّا لا يفرق على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w:t>
      </w:r>
      <w:r>
        <w:rPr>
          <w:rStyle w:val="FootnoteAnchor"/>
          <w:rtl w:val="true"/>
        </w:rPr>
        <w:footnoteReference w:id="472"/>
      </w:r>
      <w:r>
        <w:rPr>
          <w:rFonts w:ascii="Amiri" w:hAnsi="Amiri" w:eastAsia="Amiri" w:cs="Amiri"/>
          <w:color w:val="111111"/>
          <w:sz w:val="28"/>
          <w:sz w:val="28"/>
          <w:szCs w:val="28"/>
          <w:rtl w:val="true"/>
          <w:lang w:bidi="ar-SA"/>
        </w:rPr>
        <w:t xml:space="preserve">وهم وتنبيه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بوجوب المقدّمة يلزم تكرار الطلب بالنسبة إلى الأجزاء ؛ إذ المفروض أنّ ذات الجزء يكون موردا للطلب حينئذ بالاعتبارين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ويمكن القول بذلك في المقدّمات الخارجيّة ؛ إذ الموصوف بالمطلوبيّة هو عنوان المقدّميّة ، ومن المعلوم تعدّد مراتب ذلك العنوان بواسطة اختلاف ما يمكن انتزاع </w:t>
      </w:r>
    </w:p>
    <w:p>
      <w:pPr>
        <w:pStyle w:val="BookText"/>
        <w:rPr/>
      </w:pPr>
      <w:r>
        <w:rPr>
          <w:rFonts w:ascii="Amiri" w:hAnsi="Amiri" w:eastAsia="Amiri" w:cs="Amiri"/>
          <w:color w:val="111111"/>
          <w:sz w:val="28"/>
          <w:sz w:val="28"/>
          <w:szCs w:val="28"/>
          <w:rtl w:val="true"/>
          <w:lang w:bidi="ar-SA"/>
        </w:rPr>
        <w:t>تلك الصفة منه ، فإنّ العلّة التامّة مقدّمة مثلا ، وبعد انتزاع ذلك العنوان منه يتّصف بالمطلوبيّة عند العقل ويتعلّق به الطلب ، وكذا أجزاء العلّة التامّة ، فإنّ كلّ واحد منها منفردا أو ملحوظا مع غيره ممّا يصح انتزاع وصف المقدّميّة منه ، فيصير موردا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السبب وأجزائه وشرائطه وفي المقتضي والشرط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تكرار الطلب على الوجه المذكور ؛ إذ ليس ذلك انشاء جديدا متعلّقا بالمقدّمة في جميع مراتب اختلافها ليلزم التكرار على وجه يغني وجوده في مرتبة منها عنه في ساير المراتب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بعد إدراك وجوب شيء يحكم حكما إجماليّا بثبوت الملازمة بين وجوب ذلك الشيء وبين وجوب ما يتوقّف عليه وجود ذلك الشيء من المقدّمات ؛ فكما أنّ اتّصاف تلك الامور بعنوان المقدّميّة مكرّرا ممّا لا ضير فيه ، فكذلك اتّصافها بالمطلوبيّة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المطلوبيّة المقدّميّة كنفس المقدّميّة ونحوها ، عنوانات انتزاعيّة اعتباريّة يعتبرها العقل في تلك الامور بملاحظة توقّف شيء عليها أو غيرها ، فكلّما لاحظ العقل أمرا يتوقّف عليه المطلوب ينتزع منه المطلوبيّة الّتي حكم بها بواسطة توقّف المطلوب عليه ، فتارة يلاحظ أمرا واحدا ، وتارة مشاركا مع غيره على وجوه اختلاف صور المشاركة ، فليس هناك طلب آخر غير ما تعلّق بذي المقدّمة ، بل إنّما تعلّقه به صار واسطة لانتزاع العقل تلك الأوصاف المتعدّدة بحسب الاعتبارات المتّحدة بحسب الذات من محالّها بحسب اعتبارات عقليّة متعدّدة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إذا قيل باستفادة العموم الجمعي من الجمع المحلّى باللام ، فإنّ الجماعات المتصوّرة في ذلك الجمع متكرّرة بواسطة اختلاف اعتبار آحادها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ولاحظنا زيدا مع بكر وخالد يجب إكرامهم مثلا ، وإذا لاحظناه مع خالد وعمرو أيضا يجب إكرامهم ، مع أنّه لا يتكرّر الطلب بالنسبة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أيضا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المنشأ لذلك أمر واحد ، واختلاف العنوانات والاعتبارات ممّا لا يوجب اختلاف ذلك المنشأ</w:t>
      </w:r>
      <w:r>
        <w:rPr>
          <w:rFonts w:eastAsia="Amiri" w:cs="Amiri" w:ascii="Amiri" w:hAnsi="Amiri"/>
          <w:color w:val="111111"/>
          <w:sz w:val="28"/>
          <w:szCs w:val="28"/>
          <w:rtl w:val="true"/>
          <w:lang w:bidi="ar-SA"/>
        </w:rPr>
        <w:t xml:space="preserve">. </w:t>
      </w:r>
      <w:bookmarkStart w:id="169" w:name="pg16254_218472"/>
    </w:p>
    <w:p>
      <w:pPr>
        <w:pStyle w:val="BookText"/>
        <w:rPr/>
      </w:pPr>
      <w:bookmarkEnd w:id="169"/>
      <w:r>
        <w:rPr>
          <w:rFonts w:ascii="Amiri" w:hAnsi="Amiri" w:eastAsia="Amiri" w:cs="Amiri"/>
          <w:color w:val="111111"/>
          <w:sz w:val="28"/>
          <w:sz w:val="28"/>
          <w:szCs w:val="28"/>
          <w:rtl w:val="true"/>
          <w:lang w:bidi="ar-SA"/>
        </w:rPr>
        <w:t>وإن كان بين المقامين فرق آخر من جهة اخرى ، هي أنّ الإكرام يتعدّد في الجماعات ، ولكن الإتيان لا يتعدّد في المقدّمات ، فالحركة الخاصّة المقدّميّة لا يجب إيجادها تارة لذاتها ، واخرى من حيث توقّف العلّة التامّة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والخبير بمواقع الكلام يقدر أن يتنبّه ممّا ذكرنا بكيفيّة وجوب المقدّمة ، فتدبّر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418238_1280447820"/>
      <w:bookmarkStart w:id="171" w:name="_Toc56"/>
      <w:bookmarkEnd w:id="170"/>
      <w:r>
        <w:rPr>
          <w:rtl w:val="true"/>
        </w:rPr>
        <w:t xml:space="preserve">ومنها </w:t>
      </w:r>
      <w:r>
        <w:rPr>
          <w:rtl w:val="true"/>
        </w:rPr>
        <w:t xml:space="preserve">: </w:t>
      </w:r>
      <w:r>
        <w:rPr>
          <w:rtl w:val="true"/>
        </w:rPr>
        <w:t xml:space="preserve">تقسيم المقدّمة إلى العقليّة والشرعيّة والعاديّة </w:t>
      </w:r>
      <w:r>
        <w:rPr>
          <w:rtl w:val="true"/>
        </w:rPr>
        <w:t>:</w:t>
      </w:r>
      <w:bookmarkEnd w:id="171"/>
    </w:p>
    <w:p>
      <w:pPr>
        <w:pStyle w:val="BookText"/>
        <w:rPr/>
      </w:pPr>
      <w:r>
        <w:rPr>
          <w:rFonts w:ascii="Amiri" w:hAnsi="Amiri" w:eastAsia="Amiri" w:cs="Amiri"/>
          <w:color w:val="111111"/>
          <w:sz w:val="28"/>
          <w:sz w:val="28"/>
          <w:szCs w:val="28"/>
          <w:rtl w:val="true"/>
          <w:lang w:bidi="ar-SA"/>
        </w:rPr>
        <w:t xml:space="preserve">فالعقليّة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وجود الشيء عقلا عليه ، كالعلوم النظريّة ، فإنّ حصولها على وجه النظر موقوف على العلم بالمقدّمات ، ضرورة امتناع حصول المعلول بدون العلّة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وجود الشيء عادة عليه ، كنصب السلّم للصعود على السطح ، فإنّ العقل لا يستحيل عنده الصعود عليه بدون ذلك ، كأن يطير مثلا ، إلاّ أنّه خرق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 الشيء شرعا ، كالصلاة بالنسبة إلى الطهارة ، فإنّها موقوفة عليها شرعا ؛ إذ لا توقّف للحركات المخصوصة وجودا ولا عدما على الطهارة ، كذا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الشرعيّة مرجعها إلى المقدّمة العقليّة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الأمر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المقدّمة المذكورة من القيود المعتبرة في المأمور به شرطا ، أو غير ذلك ، كأن يكون المأمور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المأخوذة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القيود المأخوذة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فالمقدّمة الشرعيّة مقدّمة عقليّة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امتناع حصول المقيّد بدون القيد ، فإيجاد القيد ممّا يتوقّف عليه إيجاد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الصادر من الفاعل وإن كان بحسب الذات هي الحركة الخاصّة ، إلاّ أنّ من المعلوم اختلاف وجوهها ، ومن الممكن أن يكون وقوع الخاصّة على وجه خاصّ ممّا يتوقّف على وجود الطهارة ، فلو كان المأمور به هو الفعل على ذلك الوجه الخاصّ يمتنع حصول الفعل في الخارج على الوجه المذكور بدون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ما قلنا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المحقّق في مقامه </w:t>
      </w:r>
      <w:r>
        <w:rPr>
          <w:rStyle w:val="FootnoteAnchor"/>
          <w:rtl w:val="true"/>
        </w:rPr>
        <w:footnoteReference w:id="473"/>
      </w:r>
      <w:r>
        <w:rPr>
          <w:rFonts w:ascii="Amiri" w:hAnsi="Amiri" w:eastAsia="Amiri" w:cs="Amiri"/>
          <w:color w:val="111111"/>
          <w:sz w:val="28"/>
          <w:sz w:val="28"/>
          <w:szCs w:val="28"/>
          <w:rtl w:val="true"/>
          <w:lang w:bidi="ar-SA"/>
        </w:rPr>
        <w:t xml:space="preserve">أنّ الأحكام الوضعيّة ممّا لا تقبل الجعل ، فإنّها امور واقعيّة قد كشف عنها المطّلع عليها ، فمرجع اشتراط الصلاة بالطهارة إلى أنّ الشارع قد كشف عن توقّف وجود الصلاة بحسب الواقع على الطهارة ، فالصلاة الواقعيّة ممّا يمتنع حصولها بدون حصول الشرائط ، فمرجع المقدّمة الشرعيّة إذا لم يكن على وجه التقييد </w:t>
      </w:r>
      <w:r>
        <w:rPr>
          <w:rStyle w:val="FootnoteAnchor"/>
          <w:rtl w:val="true"/>
        </w:rPr>
        <w:footnoteReference w:id="474"/>
      </w:r>
      <w:r>
        <w:rPr>
          <w:rFonts w:ascii="Amiri" w:hAnsi="Amiri" w:eastAsia="Amiri" w:cs="Amiri"/>
          <w:color w:val="111111"/>
          <w:sz w:val="28"/>
          <w:sz w:val="28"/>
          <w:szCs w:val="28"/>
          <w:rtl w:val="true"/>
          <w:lang w:bidi="ar-SA"/>
        </w:rPr>
        <w:t>أيضا إلى المقدّمة العقليّة ؛ وذلك أمر ظاهر بعد الاطّلاع على ما هو المحقّق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دخول الأقسام الثلاثة كلّها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الصحّة ومقدّمة الوجوب ومقدّمة العلم ومقدّمة الوجود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رجوع الثلاثة الاول إلى الأخيرة ، فإنّ وجود الصحّة والوجوب والعلم موقوف على مقدّماتها ، إلاّ أنّهم لاحظوا الموصوف بهذه الأوصاف فاعتبروا تقسيم المقدّمة بالنسبة إليه ملاحظا فيه حال تلك الأوصاف ، فما يتوقّف عليه وجود ذلك الموصوف هي مقدّمة الوجود ، وما يتوقّف عليه الأمر به هي مقدّمة الوجوب ، وما يتوقّف عليه صحّته هي مقدّمة الصحّة ، وما يتوقّف عليه العلم بوجوده وتحقّقه هي مقدّمة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ظاهرة ، كنصب السلّم ، والاستطاعة ، والطهارة ، وإيقاع الصلاة في أربع جهات عند اشتباه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شكّ في دخول مقدّمة الوجود في النزاع وخروج مقدّمة الوجوب ؛ إذ لا يعقل أن يكون مقدّمة الوجوب واجبة ، لأنّ وجوب ذيها متفرّع على وجودها ، فما لم يوجد لم يتحقّق وجوب ، وعلى تقدير وجوده لا يعقل وجوبه ؛ لامتناع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مقدّمة الوجوب فقط أو كانت مع ذلك مقدّمة للوجود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دخول مقدّمة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المقدّمة العلميّة داخلة في حريم الخلاف مطلقا؟ أو فيما إذا كانت خارجة عن حقيقة الواجب ولم يحتمل أن يكون هو الواجب ، كمسح جزء من الكعبين وغسل جزء من الرأس وما فوق المرفق للعلم بحصول الواجب منها؟ وأمّا إذا كانت المقدّمة العلميّة ممّا يحتمل مدخليّتها في حقيقة الواجب شرطا أو شطرا ومن جهة احتمال كونها نفس الواجب فلا خلاف فيها ، لأنّها من موارد القاعدة الّتي قد أجمع الكلّ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الشغل اليقيني يقتضي البراءة اليقينيّة ، أو تكون خارجة عن النزاع مطلقا لقطع العقل بوجوبها مطلقا؟ وجوه بل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النزاع في المقدّمة العلميّة مطلقا ، بل ينبغي أن يكون وجوبها مفروغا عنه على تقدير وعدم وجوبها كذلك على تقدير 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المتنازع فيه في المقام إن كان المراد به ما يترتّب على فعل الواجب المتّصف به الثواب وعلى تركه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بعضهم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يكون المقدّمة العلميّة محلاّ للنزاع في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الطلب الحتمي الّذي يكشف عنه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يكفي في حامل التكليف نفس حكم العقل من دون مدخليّة لما يترتّب عليه من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العلميّة ممّا لا ينبغي النزاع في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الأوّل يحتاج إلى تمهيد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يقع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ينقدح في نفس الطالب والآمر ، من الإرادة المتعلّقة بالفعل على وجه المولويّة والآمريّة وإن كان الداعي إلى ذلك الطلب والأمر هو ما يترتّب على نفس الفعل المطلوب ، بناء على ما ذهب إليه العدليّة من الملازمة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يوجده الطالب على جهة الإرشاد إلى ما هو كامن في المأمور به ، لكن لا على وجه الآمريّة والمولويّة ، كما في أوامر الطبيب بالنسبة إلى المريض ، فإنّها طلب حقيقيّ إلزامي لا يرضى بترك ما تعلّق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الطلب على هذين الوجهين ممّا لا ينبغي أن ينازع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لوازم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الذمّ والعقاب عند المخالفة فيما إذا كان الأمر ممّن له أهليّة ذلك ، والمدح والثواب عند الإطاعة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ما هو مترتّب على نفس الفعل المطلوب من المنافع والمضارّ ؛ فقول الطبيب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ينحلّ إلى جزء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 صوريّ يفيد تعلّق إرادة الطبيب بوجود التبريد من المريض ، لما فيه من المنافع الملاءمة لطبيعة المريض ، ومخالفة قوله لا يترتّب عليها شيء عدا ما يترتّب على نفس ترك التبريد ، فالهيئة في الأمر لا يترتّب على مخالفتها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المولى للعبد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مخالفة الضرب ما هو من لوازم عدمه من المفاسد ، ويترتّب على نفس مخالفة المولى وترك ما هو مراده الذمّ والعقاب ، فالهيئة الأمرية الكاشفة عن الإرادة الحتميّة الطلبيّة لا يترتّب على مخالفتها شيء آخر سوى ما يترتّب على عدم </w:t>
      </w:r>
      <w:r>
        <w:rPr>
          <w:rStyle w:val="FootnoteAnchor"/>
          <w:rtl w:val="true"/>
        </w:rPr>
        <w:footnoteReference w:id="477"/>
      </w:r>
      <w:r>
        <w:rPr>
          <w:rFonts w:ascii="Amiri" w:hAnsi="Amiri" w:eastAsia="Amiri" w:cs="Amiri"/>
          <w:color w:val="111111"/>
          <w:sz w:val="28"/>
          <w:sz w:val="28"/>
          <w:szCs w:val="28"/>
          <w:rtl w:val="true"/>
          <w:lang w:bidi="ar-SA"/>
        </w:rPr>
        <w:t xml:space="preserve">نفس المادّة وانتفائه </w:t>
      </w:r>
      <w:r>
        <w:rPr>
          <w:rStyle w:val="FootnoteAnchor"/>
          <w:rtl w:val="true"/>
        </w:rPr>
        <w:footnoteReference w:id="478"/>
      </w:r>
      <w:r>
        <w:rPr>
          <w:rFonts w:ascii="IRNazanin" w:hAnsi="IRNazanin" w:eastAsia="IRNazanin"/>
          <w:color w:val="111111"/>
          <w:sz w:val="28"/>
          <w:sz w:val="28"/>
          <w:szCs w:val="28"/>
          <w:rtl w:val="true"/>
          <w:lang w:bidi="fa-IR"/>
        </w:rPr>
        <w:t>من المفاسد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 قد تقرّر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بالمقدّمة العلميّة في مورد الاحتياط اللازم إنّما هو بواسطة تحصيل العلم بوجود ما هو المأمور به في الواقع ؛ والعلم بالامتثال وإن كان من الامور الواجبة التي يستقلّ بها العقل ، إلاّ أنّ ذلك الوجوب وجوب عقليّ إرشادي لا يترتّب على امتثاله مصلحة زائدة على مصلحة المأمور به ، ولا على مخالفته عقاب آخر غير العقاب اللازم على تقدير ترك المأمور به ، وإذا كان حال ذي المقدّمة على هذه المثابة فكيف يعقل أن يكون المقدّمة ممّا يترتّب على تركه العقاب أو على فعله الثواب ، فإنّ ذلك في الحقيقة راجع إلى وجوب الإطاعة وحرمة المعصية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الامور التي ينبغي أن لا يخفى على أوائل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بالإطاعة ولو كان أمرا شرعيّا يمتنع أن يكون أمرا تكليفيّا ، إذ الأمر الأوّل إمّا أن يكون كافيا في حمل المكلّف على التكليف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الثاني أيضا كافيا لاستوائهما في الطلب ؛ واختلافهما في المادّة ممّا لا يفيد شيئا ، إذ الحامل على التكليف هو الكاشف عن الطلب ولا دخل للمادّة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إليه ، ولا يعقل أن يكون تأكيدا للأوّل ؛ لأنّ المؤكّد إنّما يكون في مرتبة المؤكّد ، والأمر بالإطاعة إنّما هو متفرّع على الأوّل ، إذ الإطاعة عبارة عن الإتيان بالمأمور به ، فلا يتحقّق لها مصداق إلاّ بعد تحقّق مصداق الأمر ، فكيف يكون اللفظ الدالّ على طلب الإطاعة مطابقا في المدلول للأمر الأوّل؟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المطلوب منه في لبّ المعنى هو المطلوب في الأمر الأوّل ، وذلك هو معنى الإرشاد في هذه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لا يترتّب على مخالفته بترك الإطاعة سوى ما يترتّب على عدم مادّة الإطاعة التي هي عبارة عن موافقة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الذمّ المترتّب على ترك المأمور به والمفاسد المترتّبة على ترك نفس الفعل المأمور به في الأمر الأوّل ؛ ولا يترتّب على مخالفة الهيئة في هذا الأمر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المرجع في وجوب الإتيان بالمقدّمة العلميّة إلى 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بوجوبها على وجه لو تركها المكلّف يترتّب عليها العقاب بخصوصها بناء على أنّ النزاع في مثل هذا الوجوب ، إلاّ أنّ ذلك ضعيف ،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الأوامر الإرشادية في الاستحباب ؛ فإنّ تحقّقها في الواجبات معلوم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كما في أوامر الطبيب ، إذ لا نعني بالوجوب إلاّ بلوغ الطلب حدّا لا يرضى الطالب بترك الفعل المطلوب ، وذلك ضروريّ الوجود 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يظهر فساد ما قد زعمه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الإطاعة شرعيّ </w:t>
      </w:r>
      <w:r>
        <w:rPr>
          <w:rStyle w:val="FootnoteAnchor"/>
          <w:rtl w:val="true"/>
        </w:rPr>
        <w:footnoteReference w:id="480"/>
      </w:r>
      <w:r>
        <w:rPr>
          <w:rFonts w:ascii="Amiri" w:hAnsi="Amiri" w:eastAsia="Amiri" w:cs="Amiri"/>
          <w:color w:val="111111"/>
          <w:sz w:val="28"/>
          <w:sz w:val="28"/>
          <w:szCs w:val="28"/>
          <w:rtl w:val="true"/>
          <w:lang w:bidi="ar-SA"/>
        </w:rPr>
        <w:t xml:space="preserve">، إذ على ذلك التقدير لا ينتهي الأمر إلى حدّ ؛ وذلك ظاهر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الاحتياط عقليّ ، إنّما هو بناء على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الواردة في مقام وجوب الاحتياط لا يزيد على ما هو مفاد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بأنّ الاحتياط في موارده واجب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الصلاة في أربع جهات مأمورا بها حال الاشتباه مع قطع النظر عن أنّ الواقع </w:t>
      </w:r>
    </w:p>
    <w:p>
      <w:pPr>
        <w:pStyle w:val="BookText"/>
        <w:rPr/>
      </w:pPr>
      <w:r>
        <w:rPr>
          <w:rFonts w:ascii="Amiri" w:hAnsi="Amiri" w:eastAsia="Amiri" w:cs="Amiri"/>
          <w:color w:val="111111"/>
          <w:sz w:val="28"/>
          <w:sz w:val="28"/>
          <w:szCs w:val="28"/>
          <w:rtl w:val="true"/>
          <w:lang w:bidi="ar-SA"/>
        </w:rPr>
        <w:t xml:space="preserve">في ضمنها ، أو قلنا بأنّ قضيّة الاستصحاب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لازم على ترك المقدّمة ؛ وذلك أمر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الثاني أيضا يحتاج إلى 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قد يكون مصداقا لامور متعدّدة باعتبارات مختلفة ومحكيّا عنه بحكايات متكثّرة بوجوه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الامور ينتزع من ذلك الشيء تارة على وجه لا ترتيب في انتزاع واحد منها عنه ، بل كلّ واحد منها في عرض الآخر ، وتارة على وجه لا ينتزع منه عنوان إلاّ بعد اعتبار عنوان آخر فيه وانتزاعه منه ، فيكون أحد العنوانين موقوفا على عنوان آخر ؛ فلو فرضنا أنّ الآمر تصوّر العنوان المترتّب على ذلك العنوان وأراد وقوعه من المأمور في الخارج ، فلا بدّ من أن يطلبه على ذلك الوجه ، والمكلّف لو أراد امتثال هذا الأمر لا بدّ له من إيجاد العنوان المأمور به ، وحيث إنّ المفروض توقّف العنوان المأمور به على العنوان الآخر فلا بدّ أوّلا من قصد ذلك العنوان وإيجاده ، وحيث إنّ ذات المعنون واحد فيهما بحسب الوجود الخارجي يلزم وجود العنوان المأمور به أيضا ، لأنّ وجوده عين وجوده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فالترتيب إنّما هو في لحاظ العقل ؛ وأمّا في الخارج فلا ترتيب ، بل الموجود منهما هو شيء واحد ، وذلك كما في الإلقاء في النار والإحراق ، فإنّ الموجود منهما هو الفعل الخاصّ والحركة الخاصّة ، مع أنّ عنوان الإحراق ممّا ينتزع عن الفعل الموجود في الخارج بعد اعتبار العنوان الأوّل ، وهو الإلقاء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تمهّد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وجوب المقدّمة وعدمه ينبغي أن يكون في المقدّمات التي تباين ذيها في الوجود الخارجي والتحصّل الأصلي ، كما في مقدّمات الصلاة والصعود إلى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المقدّمات التي متّحدة مع ذيها وجودا وإن اختلفتا عنوانا وحكاية ، فلا ينبغي لعاقل الارتياب في وجوب هذه المقدّمات ، فإنّ الأمر بالإحراق لا يعقل أن لا يكون ملازما لوجوب الإلقاء في النار ، بعد أنّ ذات الإلقاء عين ذات الإحراق ؛ والمقدمة العلميّة من قبيل الثاني ، لا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تحصيل العلم بالامتثال بالنسبة إلى الأمر المعلوم بالإجمال المردّد بين الامور المتعدّدة ، والمقدّمة هي الصلاة بجهة خاصّة ثمّ بجهة اخرى ؛ وهما وإن كانا متعدّدين بحسب المفهوم ، إلاّ أنّ مجرّد التعدّد المفهومي الراجع إلى تعدّد الاعتبار لا يجدي بعد الاتّحاد في الحقيقة والذات ، فإنّ إيقاع الصلاة في الجهات هو عين تحصيل العلم في الخارج ؛ إذ المريد لتحصيل العلم بفراغ ذمّته ليس له بدّ من ذلك ، فإنّه عين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العلم ومغايرته لهذه المقدّمات ضروريّة ، فكيف يتأتّى القول باتّحاد المقدّمة وذيها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في محلّه أنّ من شرائط التكليف كون المكلّف به فعلا اختياريّا ، ولا يعقل أن يكون نفس العلم من الامور التي يتعلّق بها التكليف ، فالمكلّف به هو تحصيل العلم ، ولا مصداق لذلك المفهوم إلاّ إيقاع الصلاة بالجهات الأربع الذي هو ذات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الحركات الخاصّة التي يعبّر عنها تارة بالصلاة واخرى بتحصيل العلم ملحوظة عند العقل بلحاظين ، يترتّب أحدهما في الملاحظة على الآخر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لإيجاد هذه الحركة الخاصّة ليس هو العنوان الملحوظ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الداعي لذلك الفعل هو العنوان الملحوظ ثانيا والمنتزع أخيرا ؛ بخلاف ما إذا قيل بوجوب المقدّمة ، فإنّ الداعي له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النزاع فيه أمرا معقولا ، إلاّ أنّه بعيد من أنظار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نظيره في حديث خروج المقدّمات الداخليّة عن حريم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يكون هذه الامور محلاّ للخلاف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فساد ما قد تجشّمه بعض الأعاظم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وجوب </w:t>
      </w:r>
    </w:p>
    <w:p>
      <w:pPr>
        <w:pStyle w:val="BookText"/>
        <w:rPr/>
      </w:pPr>
      <w:r>
        <w:rPr>
          <w:rFonts w:ascii="Amiri" w:hAnsi="Amiri" w:eastAsia="Amiri" w:cs="Amiri"/>
          <w:color w:val="111111"/>
          <w:sz w:val="28"/>
          <w:sz w:val="28"/>
          <w:szCs w:val="28"/>
          <w:rtl w:val="true"/>
          <w:lang w:bidi="ar-SA"/>
        </w:rPr>
        <w:t>المقدّمة في استدلال المشهور بوجوب الاجتناب في الشبهة المحصورة ، بعد تسليمه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يقول المانع فيما لو أراد دفع الضرر المحتمل في أطراف الشبهة من نفسه ، فهل له بدّ من الأخذ بمقتضى العلم الإجمالي في الأطراف ، من إيجادها أو تركها جميعا؟ والمكابر في ذلك مباهت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 يهتدي الخبير بمواقع الكلام إلى تقسيم آخر للمقدّمة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يتّحد مع ذيها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يباينه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أن يكون محلاّ للنزاع هو الثاني ،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ومنه الهداية</w:t>
      </w:r>
      <w:r>
        <w:rPr>
          <w:rFonts w:eastAsia="Amiri" w:cs="Amiri" w:ascii="Amiri" w:hAnsi="Amiri"/>
          <w:color w:val="111111"/>
          <w:sz w:val="28"/>
          <w:szCs w:val="28"/>
          <w:rtl w:val="true"/>
          <w:lang w:bidi="ar-SA"/>
        </w:rPr>
        <w:t xml:space="preserve">. </w:t>
      </w:r>
      <w:bookmarkStart w:id="172" w:name="pg16254_218481"/>
    </w:p>
    <w:p>
      <w:pPr>
        <w:pStyle w:val="Heading3"/>
        <w:numPr>
          <w:ilvl w:val="2"/>
          <w:numId w:val="1"/>
        </w:numPr>
        <w:rPr/>
      </w:pPr>
      <w:bookmarkStart w:id="173" w:name="__RefHeading___Toc4418240_1280447820"/>
      <w:bookmarkStart w:id="174" w:name="_Toc57"/>
      <w:bookmarkEnd w:id="172"/>
      <w:bookmarkEnd w:id="173"/>
      <w:r>
        <w:rPr>
          <w:rtl w:val="true"/>
        </w:rPr>
        <w:t>هداية</w:t>
      </w:r>
      <w:bookmarkEnd w:id="174"/>
    </w:p>
    <w:p>
      <w:pPr>
        <w:pStyle w:val="Heading4"/>
        <w:numPr>
          <w:ilvl w:val="3"/>
          <w:numId w:val="1"/>
        </w:numPr>
        <w:rPr/>
      </w:pPr>
      <w:bookmarkStart w:id="175" w:name="__RefHeading___Toc4418242_1280447820"/>
      <w:bookmarkStart w:id="176" w:name="_Toc58"/>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قد عرفت تحقيق القول في تقسيمات المقدّمة وما هو ينبغي أن يكون محلاّ للخلاف من تلك الأقسام ، فليعرف الآن محلّ الخلاف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اضيف إليه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باعتبارات عديدة له أقسام متعدّدة ، وليس المقصود في المقام إحصاء 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الكفائي والتخييري والعيني والموسّع والمضيّق والمحدود وغير المحدود مثلا ، بل اللازم في المقام هو بيان ما له دخل في تحقيق المسألة التي نحن بصددها ، أو ما يرتبط به ولو بنحو من العناية والتنوير ، حرصا على تكثير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التقسيمات للواجب تقسيمه إلى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418244_1280447820"/>
      <w:bookmarkStart w:id="178" w:name="_Toc59"/>
      <w:bookmarkEnd w:id="177"/>
      <w:r>
        <w:rPr>
          <w:rtl w:val="true"/>
        </w:rPr>
        <w:t>المطلق والمشروط</w:t>
      </w:r>
      <w:bookmarkEnd w:id="17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على ما عرّفه به عميد الدين في شرح التهذيب </w:t>
      </w:r>
      <w:r>
        <w:rPr>
          <w:rStyle w:val="FootnoteAnchor"/>
          <w:rtl w:val="true"/>
        </w:rPr>
        <w:footnoteReference w:id="483"/>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يتوقّف وجوبه على أمر زائد على الامور المعتبرة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والعلم والبلوغ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وجوبه موقوفا على أمر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التفتازاني </w:t>
      </w:r>
      <w:r>
        <w:rPr>
          <w:rStyle w:val="FootnoteAnchor"/>
          <w:rtl w:val="true"/>
        </w:rPr>
        <w:footnoteReference w:id="484"/>
      </w:r>
      <w:r>
        <w:rPr>
          <w:rFonts w:ascii="Amiri" w:hAnsi="Amiri" w:eastAsia="Amiri" w:cs="Amiri"/>
          <w:color w:val="111111"/>
          <w:sz w:val="28"/>
          <w:sz w:val="28"/>
          <w:szCs w:val="28"/>
          <w:rtl w:val="true"/>
          <w:lang w:bidi="ar-SA"/>
        </w:rPr>
        <w:t xml:space="preserve">والمحقّق الشريف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لا يتوقّف وجوبه على ما يتوقّف عليه </w:t>
      </w:r>
    </w:p>
    <w:p>
      <w:pPr>
        <w:pStyle w:val="BookText"/>
        <w:rPr/>
      </w:pPr>
      <w:r>
        <w:rPr>
          <w:rFonts w:ascii="Amiri" w:hAnsi="Amiri" w:eastAsia="Amiri" w:cs="Amiri"/>
          <w:color w:val="111111"/>
          <w:sz w:val="28"/>
          <w:sz w:val="28"/>
          <w:szCs w:val="28"/>
          <w:rtl w:val="true"/>
          <w:lang w:bidi="ar-SA"/>
        </w:rPr>
        <w:t xml:space="preserve">وجوده ،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يتوقّف وجوبه على ما يتوقّف عليه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وملاك الحدّ الأوّل للمطلق والمشروط على ملاحظة مطلق التقييد والإطلاق ، سواء كان القيد من المقدّمات الوجوديّة أو لا ، فالواجب بالنظر إلى ملاحظة الامور التي لا دخل لها في تحقّق الواجب مطلق ، فإنّ الصلاة بالنسبة إلى طيران الغراب والنظر إلى السماء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الحدّ الثاني على ملاحظة الإطلاق والتقييد بالنسبة إلى ما له دخل في وجود الواجب ، فيتحقّق الواسطة على التعريف الثاني بين القسمين ، فإنّ الصلاة بالنسبة إلى النظر إلى السماء لا تعدّ من الواجب المطلق ولا من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لوازم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وصفي الإطلاق والتقييد في الواجب ؛ لأنّ المأخوذ في الحدّ عدم التوقّف على شيء بعد الامور الأربعة ؛ ومفاد ذلك سالبة كلّية ، وهي تناقض الموجبة الجزئيّة ؛ وهو التوقّف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لوازم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اجتماعهما في الواجب ؛ لأنّ المقدّمة الوجوديّة التي لا مدخل لها في الوجوب يوجب انتزاع وصف الإطلاق على تحديدهم عن الواجب ، ولا يضرّ في ذلك توقّف وجوبه على شيء آخر الذي هو يوجب انتزاع وصف التقيّد منه ؛ إذ لا تناقض بين الموجبة الجزئيّة وسالبتها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أن يناقش في التحديد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منهم إطلاق الواجب المطلق بالنسبة إلى غير الامور التي لها مدخل في وجود الواجب ، فإنّ ذلك غير معهود منهم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في ذلك للقوم </w:t>
      </w:r>
    </w:p>
    <w:p>
      <w:pPr>
        <w:pStyle w:val="BookText"/>
        <w:rPr/>
      </w:pPr>
      <w:r>
        <w:rPr>
          <w:rFonts w:ascii="Amiri" w:hAnsi="Amiri" w:eastAsia="Amiri" w:cs="Amiri"/>
          <w:color w:val="111111"/>
          <w:sz w:val="28"/>
          <w:sz w:val="28"/>
          <w:szCs w:val="28"/>
          <w:rtl w:val="true"/>
          <w:lang w:bidi="ar-SA"/>
        </w:rPr>
        <w:t xml:space="preserve">اصطلاح جديد ، بل المراد بالمطلق والمقيّد هو المراد بهما في غير المقام ؛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إطلاقه لا يلاحظ بالنسبة إلى شيء دون آخر بل المطلق منه ما هو مطلق كذلك ، فكذلك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منه ما هو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بالامور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فبملاحظة مفروغيّة التقييد </w:t>
      </w:r>
      <w:r>
        <w:rPr>
          <w:rStyle w:val="FootnoteAnchor"/>
          <w:rtl w:val="true"/>
        </w:rPr>
        <w:footnoteReference w:id="487"/>
      </w:r>
      <w:r>
        <w:rPr>
          <w:rFonts w:ascii="Amiri" w:hAnsi="Amiri" w:eastAsia="Amiri" w:cs="Amiri"/>
          <w:color w:val="111111"/>
          <w:sz w:val="28"/>
          <w:sz w:val="28"/>
          <w:szCs w:val="28"/>
          <w:rtl w:val="true"/>
          <w:lang w:bidi="ar-SA"/>
        </w:rPr>
        <w:t xml:space="preserve">بالنسبة إليها ، فممّا لا يضرّ في إطلاق المطلق على الواجب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بعضا منها ممّا لا يمكن توجيه الخطاب بدونه إلى المكلّف ، فلا مفرّ من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هو ما عرّفه السيّد رحمه‌اللّه </w:t>
      </w:r>
      <w:r>
        <w:rPr>
          <w:rStyle w:val="FootnoteAnchor"/>
          <w:rtl w:val="true"/>
        </w:rPr>
        <w:footnoteReference w:id="488"/>
      </w:r>
      <w:r>
        <w:rPr>
          <w:rFonts w:ascii="Amiri" w:hAnsi="Amiri" w:eastAsia="Amiri" w:cs="Amiri"/>
          <w:color w:val="111111"/>
          <w:sz w:val="28"/>
          <w:sz w:val="28"/>
          <w:szCs w:val="28"/>
          <w:rtl w:val="true"/>
          <w:lang w:bidi="ar-SA"/>
        </w:rPr>
        <w:t>؛ لكونه ملائما لما هو المعهود منه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ظاهر جدّا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يرد على التحديد الثاني للمطلق والمشروط انتقاضهما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في أحدهما وجمعا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الحجّ المشروط وجوبه بالاستطاعة الشرعيّة في تعريف المطلق ؛ إذ ليس مقدّمة الوجوب فيه هو مقدّمة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وجود الحجّ بدون ما هو وجوبه مشروط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عن تعريف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ما يتوقّف عليه وجود الواجب من حيث إنّه واجب ، فإنّ تحقّقه بعنوان الوجوب يتوقّف على الاستطاعة الشرعيّة ، فإنّ الوصف المعنون به ذات الفعل هو الواجب ، فلا بدّ أن يكون تحقّقها بهذا العنوان موقوفا على المقدّمة المفروضة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ركيك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هو تقسيم الواجب بالنسبة إلى المقدّمات التي يتوقّف عليها وجود ذات الواجب ؛ ولا مدخل للعنوان فيه ، إذ على تقديره </w:t>
      </w:r>
    </w:p>
    <w:p>
      <w:pPr>
        <w:pStyle w:val="BookText"/>
        <w:rPr/>
      </w:pPr>
      <w:r>
        <w:rPr>
          <w:rFonts w:ascii="Amiri" w:hAnsi="Amiri" w:eastAsia="Amiri" w:cs="Amiri"/>
          <w:color w:val="111111"/>
          <w:sz w:val="28"/>
          <w:sz w:val="28"/>
          <w:szCs w:val="28"/>
          <w:rtl w:val="true"/>
          <w:lang w:bidi="ar-SA"/>
        </w:rPr>
        <w:t xml:space="preserve">يكون المراد بالحدّ في الواجب المشروط هو ما يتوقّف وجوبه على ما يتوقّف عليه وجوده أو وجوبه ؛ وذلك مع أنّه 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الحدّين لعلّه واحد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أفاده المحقّق القمّي في الحدّ ، من اعتبار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العادة أو في نظر الآمر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بما مرّ من رجوع المقدّمة الشرعيّة إلى المقدّمة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استحباب الحجّ بدون الاستطاعة ؛ إذ لعلّ وجود ما هو حجّة الإسلام في الواقع موقوف على الاستطاعة الشرعيّة ، كما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القبيل اشتراط وجوب العبادات بالبلوغ على تقدير القول بشرعيّة عبادات الصبيّ ، فتدبّر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زادها بعضهم في الحدّين </w:t>
      </w:r>
      <w:r>
        <w:rPr>
          <w:rStyle w:val="FootnoteAnchor"/>
          <w:rtl w:val="true"/>
        </w:rPr>
        <w:footnoteReference w:id="491"/>
      </w:r>
      <w:r>
        <w:rPr>
          <w:rFonts w:ascii="Amiri" w:hAnsi="Amiri" w:eastAsia="Amiri" w:cs="Amiri"/>
          <w:color w:val="111111"/>
          <w:sz w:val="28"/>
          <w:sz w:val="28"/>
          <w:szCs w:val="28"/>
          <w:rtl w:val="true"/>
          <w:lang w:bidi="ar-SA"/>
        </w:rPr>
        <w:t>، فالظاهر أنّه أراد بذلك بيان أنّ الإطلاق والتقييد في الواجب من الامور الإضافيّة التي تختلف باختلاف أطراف الإضافة ، كما في الفوقيّة ، فإنّها تقاس بالنسبة إلى ما هو تحتها وإن كان بالقياس إلى شيء آخر تحتا ، إلى غير ذلك من الأعراض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حاول بذلك دفع ما قد نبّهنا عليه ممّا هو لازم حدّ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اجتماع الوصفين في شيء واحد ؛ ومع ذلك فلا وجه لذكرها في الحدّ ، لأنّ الغالب في القيود التي تذكر في الحدود من الحيثيات إنّما هو تعلّقها بالفعل المذكور فيها على وجه يقيّد ذلك الفعل بها ، وليس يصحّ تعلّق الحيثيّة المذكورة على الفعل المذكور في الحدّ وهو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التوقّف غير متحيّث بتلك الحيثيّة ، إذ لا تعدّد في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والمتعارف في ذكر القيود في الحدود من الحيثيّات هو صدق الحدّ بتمامه على فرد صادق عليه حدّ آخر ، يراد بتلك الحيثيّة تميّزه عنه ، وليس المقام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الحيثيّة المذكورة مثمرة في صدق ماهيّة المحدود ومفهومه على أفراده ومصاديقه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الإطلاق والتقييد من الامور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ذلك ذكرها بعد تمام ماهيّة المحدود وتميّزها عمّا عداها عند ما يراد تشخيص الإطلاق والتقييد بالنسبة إلى مقدّمة مخصوصة ، كأن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حيث إنّها لا يتوقّف وجوبها على الطهارة التي يتوقّف وجودها عليها من الواجبات المطلقة ، ومن حيث إنّها يتوقّف وجوبها على كذا من الواجبات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بعض الأجلّة </w:t>
      </w:r>
      <w:r>
        <w:rPr>
          <w:rStyle w:val="FootnoteAnchor"/>
          <w:rtl w:val="true"/>
        </w:rPr>
        <w:footnoteReference w:id="492"/>
      </w:r>
      <w:r>
        <w:rPr>
          <w:rFonts w:ascii="Amiri" w:hAnsi="Amiri" w:eastAsia="Amiri" w:cs="Amiri"/>
          <w:color w:val="111111"/>
          <w:sz w:val="28"/>
          <w:sz w:val="28"/>
          <w:szCs w:val="28"/>
          <w:rtl w:val="true"/>
          <w:lang w:bidi="ar-SA"/>
        </w:rPr>
        <w:t xml:space="preserve">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تعريف السيّد المذكور على اختلاف يسير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ما لا يتوقّف تعلّقه بالمكلّف على أمر غير حاصل ، سواء توقّف على غير ما مرّ من الامور العامّة وحصل كالحجّ بعد الاستطاعة ، أو لم يتوقّف كالمعرفة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المشروط ، وهو ما يتوقّف تعلّقه بالمكلّف على حصول أمر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كلّ من المطلقين مع مشروطه تباين ، وبين كلّ منهما وكلّ من الآخرين عموم من وجه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بيان النسبة بتمامها فيما علّقه على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المطلقين عموم من وجه ، لاجتماعهما في المعرفة في واجد الشرط ، وافتراق الأوّل عن الثاني في الحجّ بعد الاستطاعة ، وافتراق الثاني عن الأوّل في المعرفة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النسبة بين المشروطين ؛ فإنّه يصدق الأوّل بدون الثاني في الحجّ بعد الاستطاعة ، ويصدق الثاني بدون الأوّل في المعرفة قبل البلوغ ، ويتصادقان في الحجّ قبل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النسبة بين المطلق بالمعنى الأوّل والمشروط بالمعنى الثاني ؛ لتصادقهما في المعرفة قبل استكمال الشروط ، وصدق الأوّل بدون الثاني في المعرفة بعد الشرائط ، وصدق الثاني بدون الأوّل في الحجّ قبل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النسبة بين المطلق بالمعنى الثاني والمشروط بالمعنى الأوّل ؛ لتصادقهما في الحجّ بعد الاستطاعة ، </w:t>
      </w:r>
    </w:p>
    <w:p>
      <w:pPr>
        <w:pStyle w:val="BookText"/>
        <w:rPr/>
      </w:pPr>
      <w:r>
        <w:rPr>
          <w:rFonts w:ascii="Amiri" w:hAnsi="Amiri" w:eastAsia="Amiri" w:cs="Amiri"/>
          <w:color w:val="111111"/>
          <w:sz w:val="28"/>
          <w:sz w:val="28"/>
          <w:szCs w:val="28"/>
          <w:rtl w:val="true"/>
          <w:lang w:bidi="ar-SA"/>
        </w:rPr>
        <w:t xml:space="preserve">وصدق الأوّل بدون الثاني في المعرفة بعد الشرائط ، وصدق الثاني بدون الأوّل في الحجّ قبل الاستطاعة </w:t>
      </w:r>
      <w:r>
        <w:rPr>
          <w:rStyle w:val="FootnoteAnchor"/>
          <w:rtl w:val="true"/>
        </w:rPr>
        <w:footnoteReference w:id="4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وظنّي أنّ ما دعاه إلى التحديد المذكور هو ملاحظة أنّ الحجّ بعد الاستطاعة ممّا يبعد أن يكون واجبا مشروطا </w:t>
      </w:r>
      <w:r>
        <w:rPr>
          <w:rStyle w:val="FootnoteAnchor"/>
          <w:rtl w:val="true"/>
        </w:rPr>
        <w:footnoteReference w:id="494"/>
      </w:r>
      <w:r>
        <w:rPr>
          <w:rFonts w:ascii="Amiri" w:hAnsi="Amiri" w:eastAsia="Amiri" w:cs="Amiri"/>
          <w:color w:val="111111"/>
          <w:sz w:val="28"/>
          <w:sz w:val="28"/>
          <w:szCs w:val="28"/>
          <w:rtl w:val="true"/>
          <w:lang w:bidi="ar-SA"/>
        </w:rPr>
        <w:t>لزعمه أنّ وصفي الإطلاق والتقييد إنّما يعتبران في الواجب بالنسبة إلى ما تنجّز تعلّقه على المكلّف ، وبعد حصول الشرط فالواجب منجّز على المكلّف ، فيجب أن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زعم في غير محلّه ؛ لأنّ الملحوظ في الإطلاق والتقييد هو الأوامر الواردة في أصل الشرع ، وإلاّ فما الذي حمله على جعل المعرفة قبل البلوغ من الواجب المطلق مع أنّه لا تعلّق لها على المكلّف؟ وحيث إنّ الخطاب بها مشروط </w:t>
      </w:r>
      <w:r>
        <w:rPr>
          <w:rStyle w:val="FootnoteAnchor"/>
          <w:rtl w:val="true"/>
        </w:rPr>
        <w:footnoteReference w:id="495"/>
      </w:r>
      <w:r>
        <w:rPr>
          <w:rFonts w:ascii="Amiri" w:hAnsi="Amiri" w:eastAsia="Amiri" w:cs="Amiri"/>
          <w:color w:val="111111"/>
          <w:sz w:val="28"/>
          <w:sz w:val="28"/>
          <w:szCs w:val="28"/>
          <w:rtl w:val="true"/>
          <w:lang w:bidi="ar-SA"/>
        </w:rPr>
        <w:t>بالبلوغ في الشريعة صحّ إطلاق الواجب عليها بتلك الملاحظة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 ذكره ممّا لا وجه له ، فلا فرق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المعتبر في تحديد العميدي </w:t>
      </w:r>
      <w:r>
        <w:rPr>
          <w:rStyle w:val="FootnoteAnchor"/>
          <w:rtl w:val="true"/>
        </w:rPr>
        <w:footnoteReference w:id="496"/>
      </w:r>
      <w:r>
        <w:rPr>
          <w:rFonts w:ascii="Amiri" w:hAnsi="Amiri" w:eastAsia="Amiri" w:cs="Amiri"/>
          <w:color w:val="111111"/>
          <w:sz w:val="28"/>
          <w:sz w:val="28"/>
          <w:szCs w:val="28"/>
          <w:rtl w:val="true"/>
          <w:lang w:bidi="ar-SA"/>
        </w:rPr>
        <w:t xml:space="preserve">هو اعتبار التوقّف وعدمه بعد الامور العامّة ، والمعتبر فيما ذكره مطلق الامور ، فيكون الثاني أعمّ مطلقا ممّا ذكره العميدي بعد ملاحظة أنّ الإطلاق في الواجب </w:t>
      </w:r>
      <w:r>
        <w:rPr>
          <w:rStyle w:val="FootnoteAnchor"/>
          <w:rtl w:val="true"/>
        </w:rPr>
        <w:footnoteReference w:id="497"/>
      </w:r>
      <w:r>
        <w:rPr>
          <w:rFonts w:ascii="Amiri" w:hAnsi="Amiri" w:eastAsia="Amiri" w:cs="Amiri"/>
          <w:color w:val="111111"/>
          <w:sz w:val="28"/>
          <w:sz w:val="28"/>
          <w:szCs w:val="28"/>
          <w:rtl w:val="true"/>
          <w:lang w:bidi="ar-SA"/>
        </w:rPr>
        <w:t>إنّما هو بواسطة ملاحظة وروده في أصل الشرع من دون مدخليّة في خصوصيّات التكاليف المتعلّقة بآحاد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تطّلع </w:t>
      </w:r>
      <w:r>
        <w:rPr>
          <w:rStyle w:val="FootnoteAnchor"/>
          <w:rtl w:val="true"/>
        </w:rPr>
        <w:footnoteReference w:id="498"/>
      </w:r>
      <w:r>
        <w:rPr>
          <w:rFonts w:ascii="Amiri" w:hAnsi="Amiri" w:eastAsia="Amiri" w:cs="Amiri"/>
          <w:color w:val="111111"/>
          <w:sz w:val="28"/>
          <w:sz w:val="28"/>
          <w:szCs w:val="28"/>
          <w:rtl w:val="true"/>
          <w:lang w:bidi="ar-SA"/>
        </w:rPr>
        <w:t>على فساد ما ذكره في ساير النسب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والأسدّ الأخصر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والتقييد إن جعلناهما من الامور الإضافيّة ،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بالنسبة إلى كلّ شيء يلاحظه الملاحظ معه ، إمّا أن يكون وجوبه موقوفا عليه أو لا ، فعلى الأوّل هو واجب مشروط ، وعلى الثاني هو واجب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نجعلهما من الامور الإضافيّة ،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المطلق ما لا يتوقّف وجوبه على شيء والمشروط ما كان وجوبه موقوفا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يوجب أن لا يكون للواجب المطلق مصداق ، إذ لا أقلّ من الاشتراط بالامور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 ذلك بعد ما عرفت من أنّه الملائم لما هو المعهود من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المقام وعدم ثبوت وضع جديد له منهم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ولا بدّ فالأقرب هو ما عرّفه العميدي ، كما نبّهنا عليه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قد عرفت ذلك ، فهل النزاع المذكور يعمّ مقدّمة كلتا القبيلتين من الواجب ، أو يخصّ بمقدّمة الواجب المطلق؟ الّذي صرّح به غير واحد منهم هو الثاني ، فقالوا بأنّ مقدّمة الواجب المشروط ليست واجبة إجماعا </w:t>
      </w:r>
      <w:r>
        <w:rPr>
          <w:rStyle w:val="FootnoteAnchor"/>
          <w:rtl w:val="true"/>
        </w:rPr>
        <w:footnoteReference w:id="500"/>
      </w:r>
      <w:r>
        <w:rPr>
          <w:rFonts w:ascii="Amiri" w:hAnsi="Amiri" w:eastAsia="Amiri" w:cs="Amiri"/>
          <w:color w:val="111111"/>
          <w:sz w:val="28"/>
          <w:sz w:val="28"/>
          <w:szCs w:val="28"/>
          <w:rtl w:val="true"/>
          <w:lang w:bidi="ar-SA"/>
        </w:rPr>
        <w:t xml:space="preserve">؛ ولذلك اعتبر بعضهم </w:t>
      </w:r>
      <w:r>
        <w:rPr>
          <w:rStyle w:val="FootnoteAnchor"/>
          <w:rtl w:val="true"/>
        </w:rPr>
        <w:footnoteReference w:id="501"/>
      </w:r>
      <w:r>
        <w:rPr>
          <w:rFonts w:ascii="Amiri" w:hAnsi="Amiri" w:eastAsia="Amiri" w:cs="Amiri"/>
          <w:color w:val="111111"/>
          <w:sz w:val="28"/>
          <w:sz w:val="28"/>
          <w:szCs w:val="28"/>
          <w:rtl w:val="true"/>
          <w:lang w:bidi="ar-SA"/>
        </w:rPr>
        <w:t xml:space="preserve">الإطلاق في عنوان النزاع ورام بذلك التعريض على من لم يعتبره فيه ، بل صرّح بعضهم بلزوم التقييد واعترض على من لم يقيّد العنوان بذلك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عنهم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وإن كان في مقدّمات الواجب المطلق ، إلاّ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فيه ، فلا حاجة إلى التقييد ، لخروج الواجب </w:t>
      </w:r>
    </w:p>
    <w:p>
      <w:pPr>
        <w:pStyle w:val="BookText"/>
        <w:rPr/>
      </w:pPr>
      <w:r>
        <w:rPr>
          <w:rFonts w:ascii="Amiri" w:hAnsi="Amiri" w:eastAsia="Amiri" w:cs="Amiri"/>
          <w:color w:val="111111"/>
          <w:sz w:val="28"/>
          <w:sz w:val="28"/>
          <w:szCs w:val="28"/>
          <w:rtl w:val="true"/>
          <w:lang w:bidi="ar-SA"/>
        </w:rPr>
        <w:t xml:space="preserve">المشروط عن العنوان بواسطة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الحقيقة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على ذلك عدم الحاجة إلى ما أخذه بعضهم في العنوان من قيد القدرة </w:t>
      </w:r>
      <w:r>
        <w:rPr>
          <w:rStyle w:val="FootnoteAnchor"/>
          <w:rtl w:val="true"/>
        </w:rPr>
        <w:footnoteReference w:id="504"/>
      </w:r>
      <w:r>
        <w:rPr>
          <w:rFonts w:ascii="Amiri" w:hAnsi="Amiri" w:eastAsia="Amiri" w:cs="Amiri"/>
          <w:color w:val="111111"/>
          <w:sz w:val="28"/>
          <w:sz w:val="28"/>
          <w:szCs w:val="28"/>
          <w:rtl w:val="true"/>
          <w:lang w:bidi="ar-SA"/>
        </w:rPr>
        <w:t xml:space="preserve">؛ لأنّ الواجب بالنسبة إلى المقدّمة الغير المقدورة مشروط ولا نزاع في مقدّمات الواجب المشروط ، كما استكشفنا من أصالة الحقيقة المعمولة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حاجة إلى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باختصاص النزاع بمقدّمات الواجب المطلق إن حاولوا بذلك إخراج الواجب المشروط بالنسبة إلى مقدّماته الوجوبيّة مع عموم النزاع بالنسبة إلى مقدّمات وجوده فهو كلام سديد لا محيص عنه ، إلاّ أنّ ذلك تخصيص في المقدّمة لا في الواجب ؛ ولقد نبّهنا على خروج المقدّمات الوجوبيّة فيما مرّ </w:t>
      </w:r>
      <w:r>
        <w:rPr>
          <w:rStyle w:val="FootnoteAnchor"/>
          <w:rtl w:val="true"/>
        </w:rPr>
        <w:footnoteReference w:id="505"/>
      </w:r>
      <w:r>
        <w:rPr>
          <w:rFonts w:ascii="Amiri" w:hAnsi="Amiri" w:eastAsia="Amiri" w:cs="Amiri"/>
          <w:color w:val="111111"/>
          <w:sz w:val="28"/>
          <w:sz w:val="28"/>
          <w:szCs w:val="28"/>
          <w:rtl w:val="true"/>
          <w:lang w:bidi="ar-SA"/>
        </w:rPr>
        <w:t>، والمتراءى منهم تخصيص الواجب ، كما يظهر ممّا قدّمنا من أخذ بعضهم قيد الإطلاق في العنوان ؛ فإنّ الظاهر منه أنّ مقدّمة المشروط لا نزاع فيها سواء كانت وجوبيّة أو وجوديّة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في الغاية بملاحظة كلام المعترض ، ويتّضح غاية الوضوح من التأمّل فيما أورد المعتذر من إعمال أصالة الحقيقة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وكفاك شاهدا في المقام ملاحظة جميع عنواناتهم ، فإنّ المنساق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الواجب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يتوقّف عليه الوجود ، فإنّ المقدّمة الوجوبيّة يتوقّف عليها الوجوب لا الوجود ، فعلى ذلك لا وجه لقيد الإطلاق ؛ إذ ينحصر النزاع على تقديره في مقدّمات وجود الواجب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حاولوا إخراج المقدّمة الوجوبيّة لم يكن محتاجا إلى هذه التكلّفات ، كما هو ظاهر ؛ مع أنّ ذلك أمر سهل ، كما عرفت ممّا صنعنا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بذلك تعيين الواجب الذي يقع النزاع في وجوب مقدّماته ليكون الكلام في مقدّمات الواجب المشروط خارجا عمّا هو عقد الباب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ملاحظة كلماتهم في تعليلاتهم ذلك بأن وجوب المقدّمة تابع لوجوب ذيها وحيث لم يتعلّق الوجوب إلى ذيها لا يعقل وجوبها ، إلى غير ذلك ممّا هو صريح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تخصيص من دون ما يقضي بذلك ؛ إذ كما عرفت محصّل النزاع يرجع إلى ثبوت الملازمة العقليّة بين وجوب شيء ووجوب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في ذلك أنحاء الوجوب على تقدير أن يكون الطلب المتعلّق بشيء على نحو الإطلاق مغايرا له على نحو الاشتراط ؛ فكلّما ثبت الوجوب على أيّ نحو كان يمكن النزاع في وجوب مقدّمات المتّصف بذلك الوجوب ، فإنّه لا يراد من إثبات الوجوب لمقدّمة المشروط إثبات الوجوب المطلق لها ؛ فكما أنّ وجوب نفس الواجب مشروط بالمقدّمة الوجوبيّة ، كذا وجوب مقدّمته بمعنى تنجّزه وفعليّته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لم يكن للمكلّف بدّ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التعليل إنّما ينفي الوجوب الزائد على الوجوب الثابت لنفس الواجب ، لا وجوبا على نحو ذلك الوجوب إن مطلقا فمطلقا وإن مقيّدا فمقيّدا ، فالسعي للحجّ داخل في حريم الخلاف كالطهارة للصلاة ، مع أنّ الأوّل مشروط والثاني مطلق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عموم النزاع للمقدّمات الوجوديّة للواجب سواء كان مشروطا أو مطلقا لم يكن وجه لتحرير المسألة عن أصل ؛ إذ قد عرفت أنّ جميع الواجبات مشروط ولو بالامور العامّة التي هي شرائط التكليف ؛ اللّهمّ إلاّ أن يكون النزاع في المقدّمات بعد حصول شرائط الوجوب ، فيكون النزاع في وجوب السعي بعد </w:t>
      </w:r>
    </w:p>
    <w:p>
      <w:pPr>
        <w:pStyle w:val="BookText"/>
        <w:rPr/>
      </w:pPr>
      <w:r>
        <w:rPr>
          <w:rFonts w:ascii="Amiri" w:hAnsi="Amiri" w:eastAsia="Amiri" w:cs="Amiri"/>
          <w:color w:val="111111"/>
          <w:sz w:val="28"/>
          <w:sz w:val="28"/>
          <w:szCs w:val="28"/>
          <w:rtl w:val="true"/>
          <w:lang w:bidi="ar-SA"/>
        </w:rPr>
        <w:t xml:space="preserve">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الأجلّة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تقييد بارد وترويج </w:t>
      </w:r>
      <w:r>
        <w:rPr>
          <w:rStyle w:val="FootnoteAnchor"/>
          <w:rtl w:val="true"/>
        </w:rPr>
        <w:footnoteReference w:id="507"/>
      </w:r>
      <w:r>
        <w:rPr>
          <w:rFonts w:ascii="Amiri" w:hAnsi="Amiri" w:eastAsia="Amiri" w:cs="Amiri"/>
          <w:color w:val="111111"/>
          <w:sz w:val="28"/>
          <w:sz w:val="28"/>
          <w:szCs w:val="28"/>
          <w:rtl w:val="true"/>
          <w:lang w:bidi="ar-SA"/>
        </w:rPr>
        <w:t>كاسد لا يقضي به دليل ولا يساعده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الوجه في عدم تقييد العنوان في كلام جماعة من القدماء في تحرير المسألة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ما أورده المعتذر عذرا لعدم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حقيقة في الواجب المطلق فلا حاجة إلى التقييد </w:t>
      </w:r>
      <w:r>
        <w:rPr>
          <w:rStyle w:val="FootnoteAnchor"/>
          <w:rtl w:val="true"/>
        </w:rPr>
        <w:footnoteReference w:id="509"/>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ستعرف </w:t>
      </w:r>
      <w:r>
        <w:rPr>
          <w:rStyle w:val="FootnoteAnchor"/>
          <w:rtl w:val="true"/>
        </w:rPr>
        <w:footnoteReference w:id="510"/>
      </w:r>
      <w:r>
        <w:rPr>
          <w:rFonts w:ascii="Amiri" w:hAnsi="Amiri" w:eastAsia="Amiri" w:cs="Amiri"/>
          <w:color w:val="111111"/>
          <w:sz w:val="28"/>
          <w:sz w:val="28"/>
          <w:szCs w:val="28"/>
          <w:rtl w:val="true"/>
          <w:lang w:bidi="ar-SA"/>
        </w:rPr>
        <w:t xml:space="preserve">فساد نفس التعليل المذكور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ينادي باختصاص النزاع كما عرفت بالواجب المطلق ، مع أنّ كلماتهم خالية عنه ؛ اللّهم إلاّ أن يكون مراد المعتذر هو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بالقيد المذكور إخراج المقدّمة الوجوبيّة عن حريم الخلاف ، فيتوجّه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المذكور في كلامه ممّا لا مساس له بما نحن فيه ، كما هو ظاهر ؛ مضافا إلى أنّ التأويل المذكور مناف لتفريعه عدم الحاجة إلى التقييد بالمقدورة ، فإنّ ذلك إن </w:t>
      </w:r>
      <w:r>
        <w:rPr>
          <w:rStyle w:val="FootnoteAnchor"/>
          <w:rtl w:val="true"/>
        </w:rPr>
        <w:footnoteReference w:id="511"/>
      </w:r>
      <w:r>
        <w:rPr>
          <w:rFonts w:ascii="Amiri" w:hAnsi="Amiri" w:eastAsia="Amiri" w:cs="Amiri"/>
          <w:color w:val="111111"/>
          <w:sz w:val="28"/>
          <w:sz w:val="28"/>
          <w:szCs w:val="28"/>
          <w:rtl w:val="true"/>
          <w:lang w:bidi="ar-SA"/>
        </w:rPr>
        <w:t xml:space="preserve">أمكن تطبيقه على التأويل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ذلك إخراج نفس القدرة لا ذات المقدّمة الموصوفة بعدم القدرة إذ الواجب مشروط بالنسبة إلى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كلام عار عن التحصيل ؛ إذ لا يعقل وجوب القدرة ، فالمقصود من ذلك إخراج المقدّمة الغير المقدورة ، </w:t>
      </w:r>
    </w:p>
    <w:p>
      <w:pPr>
        <w:pStyle w:val="BookText"/>
        <w:rPr/>
      </w:pPr>
      <w:r>
        <w:rPr>
          <w:rFonts w:ascii="Amiri" w:hAnsi="Amiri" w:eastAsia="Amiri" w:cs="Amiri"/>
          <w:color w:val="111111"/>
          <w:sz w:val="28"/>
          <w:sz w:val="28"/>
          <w:szCs w:val="28"/>
          <w:rtl w:val="true"/>
          <w:lang w:bidi="ar-SA"/>
        </w:rPr>
        <w:t>من حيث إنّ الواجب قبل القدرة واجب مشروط ، ولا نزاع في مقدّمات الواجب المشروط ، لأنّ الواجب المأخوذ في العنوان واجب مطلقا بمقتضى أصالة الحقيقة ، كما هو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أوردنا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قاضي للتخصيص المذكور في كلامهم بعد عموم الدليل وشمول عناوين جماعة من القدماء لذلك ، كما ينادي به الاعتراض المذكور واعتذاره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كلام المعتذر موجّه على مذاق المشهور القائلين باختصاص النزاع ؛ وكأنّه منهم فنسج على منوالهم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الغير المقدورة على تقدير عموم النزاع لا ينبغي إخراجها عن النزاع ، لأنّ القدرة شرط الوجوب لا المقدّمة الغير المقدورة ، فإنّ المقدّمة ليست إلاّ ذات المقدّمة والواجب المشروط بالقدرة واجب مطلق بالنسبة إلى ذات المقدّمة ؛ غاية ما في الباب أنّ عدم القدرة المتعلّق بذيها بواسطة عدم الاقتدار عليها ، وذلك لا يقضي بأن لا تكون متّصفة بالوجوب على نحو اتّصاف ذيها بالوجوب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المقام كي لا يشتبه عليك حقيقة المرام فإنّه من مزالّ الأقدام ، وتهتدي إلى ما هو المقصود من هذا الكلام بعون اللّه الملك العلاّم</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6254_218493"/>
      <w:bookmarkStart w:id="180" w:name="pg16254_218493"/>
      <w:bookmarkEnd w:id="180"/>
    </w:p>
    <w:p>
      <w:pPr>
        <w:pStyle w:val="Heading3"/>
        <w:numPr>
          <w:ilvl w:val="2"/>
          <w:numId w:val="1"/>
        </w:numPr>
        <w:rPr/>
      </w:pPr>
      <w:bookmarkStart w:id="181" w:name="pg16254_218493"/>
      <w:bookmarkStart w:id="182" w:name="__RefHeading___Toc4418246_1280447820"/>
      <w:bookmarkStart w:id="183" w:name="_Toc60"/>
      <w:bookmarkEnd w:id="181"/>
      <w:bookmarkEnd w:id="182"/>
      <w:r>
        <w:rPr>
          <w:rtl w:val="true"/>
        </w:rPr>
        <w:t>هداية</w:t>
      </w:r>
      <w:bookmarkEnd w:id="183"/>
    </w:p>
    <w:p>
      <w:pPr>
        <w:pStyle w:val="BookText"/>
        <w:rPr/>
      </w:pPr>
      <w:r>
        <w:rPr>
          <w:rFonts w:ascii="Amiri" w:hAnsi="Amiri" w:eastAsia="Amiri" w:cs="Amiri"/>
          <w:color w:val="111111"/>
          <w:sz w:val="28"/>
          <w:sz w:val="28"/>
          <w:szCs w:val="28"/>
          <w:rtl w:val="true"/>
          <w:lang w:bidi="ar-SA"/>
        </w:rPr>
        <w:t xml:space="preserve">قد عرفت في كلام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الواجب حقيقة في المطلق منه وأنّه مجاز في المشروط </w:t>
      </w:r>
      <w:r>
        <w:rPr>
          <w:rStyle w:val="FootnoteAnchor"/>
          <w:rtl w:val="true"/>
        </w:rPr>
        <w:footnoteReference w:id="512"/>
      </w:r>
      <w:r>
        <w:rPr>
          <w:rFonts w:ascii="Amiri" w:hAnsi="Amiri" w:eastAsia="Amiri" w:cs="Amiri"/>
          <w:color w:val="111111"/>
          <w:sz w:val="28"/>
          <w:sz w:val="28"/>
          <w:szCs w:val="28"/>
          <w:rtl w:val="true"/>
          <w:lang w:bidi="ar-SA"/>
        </w:rPr>
        <w:t xml:space="preserve">، ويظهر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فيه هي المشارفة أو علاقة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كون التقييد مجازا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المشروط مجاز تقييدي ولا مدخل للأول والمشارفة فيه ؛ لأنّ المدار في صدق المشتقّ على وجه الحقيقة هو قيام المبدأ بمورده في الحال ، والوجوب في الواجب المشروط حاليّ إلاّ أنّ الواجب شيء مخصوص بتقدير خاصّ ، وذلك لا يوجب أن لا يتّصف المورد بالوجوب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 كما في سائر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 تجرّده عن القيود يحمل على أنّ المورد متّصف بالوجوب 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المطلقات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هيئة الأمر حقيقة في الطلب على وجه الإطلاق ومجاز في الطلب المشروط أو بالعكس؟ أو مشترك بينهما لفظا أو معنى؟ 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الإطلاق هل يحمل على الإطلاق أو يتوقّف؟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ذلك بواسطة الانصراف أو بواسطة عدم البيان؟ وجوه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فساد الأوّلين ولا سيّما الثاني منهما ؛ إذ لم يجوّزه عاقل ولا تعرّض للخلاف فيه ناقل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ويدلّ على فساد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موضوعا للطلب لا على وجه التقييد يلزم أن يكون جميع الأوامر مجازات ؛ إذ لا أقلّ من اشتراطها بالامور العامّة ، فلا يكون اللفظ مستعملا فيما وضع له من الطلب المطلق ؛ على أنّه غير معقول قطعا ، إذ لا فرق بين التقييد على وجه الاشتراط أو غيره من القيود المتعلّقة بالمأمور به بحسب القواعد العربيّة ؛ فهل ترى أنّ أحدا يقول بأنّ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في المسجد أو راكبا أو ضربا شديدا أو بالسوط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p>
    <w:p>
      <w:pPr>
        <w:pStyle w:val="BookText"/>
        <w:rPr/>
      </w:pPr>
      <w:r>
        <w:rPr>
          <w:rFonts w:ascii="Amiri" w:hAnsi="Amiri" w:eastAsia="Amiri" w:cs="Amiri"/>
          <w:color w:val="111111"/>
          <w:sz w:val="28"/>
          <w:sz w:val="28"/>
          <w:szCs w:val="28"/>
          <w:rtl w:val="true"/>
          <w:lang w:bidi="ar-SA"/>
        </w:rPr>
        <w:t xml:space="preserve">وتوضيح المقال وتفصيل هذا الإجمال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الأمر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النوعي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لخصوصيّات أفراد الطلب والإرادة الحتميّة الإلزاميّة التي يوقعها الآمر ويوجدها عند ما ينبعث في نفسه دواعي وجود الفعل المطلوب من المأمور ، ولا اختلاف في تلك الأفراد من حيث ذواتها إلاّ فيما يرجع إلى نفس تعدّد ذواتها من تعدّد الوجودات الخاصّة ، فإنّها يجمعها عنوان واحد هو الطلب والإرادة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الاختلاف إنّما هو فيما تعلّق به الطلب بعد اجتماع شرائط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الطالب والمطلوب والمطلوب منه في الجملة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شيئا عامّا ، كالضرب المطلق على أيّ نحو وقع وعلى أيّ وجه حدث زمانا ومكانا وآلة وحالة ووجها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المطلوب أمرا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مراتب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الأقسام صيغة الأمر وهيئته مستعملة في الطلب الواقع والإرادة الحادثة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 يكون الفرد الموجود من الطلب مطلقا ، إذ الإطلاق إنّما هو واسطة في التعقّل ، لا في الوجود ؛ والألفاظ إنّما تتّصف بالإطلاق والتقييد باعتبار المعنى ، وبعد ما فرضنا من أنّ المعنى المقصود بالهيئة هو خصوصيّات الطلب وأفراده فلا وجه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الهيئة مطلقة أو مقيّدة ، بل </w:t>
      </w:r>
    </w:p>
    <w:p>
      <w:pPr>
        <w:pStyle w:val="BookText"/>
        <w:rPr/>
      </w:pPr>
      <w:r>
        <w:rPr>
          <w:rFonts w:ascii="Amiri" w:hAnsi="Amiri" w:eastAsia="Amiri" w:cs="Amiri"/>
          <w:color w:val="111111"/>
          <w:sz w:val="28"/>
          <w:sz w:val="28"/>
          <w:szCs w:val="28"/>
          <w:rtl w:val="true"/>
          <w:lang w:bidi="ar-SA"/>
        </w:rPr>
        <w:t>المطلق والمقيّد هو الفعل الذي تعلّق به الطلب ؛ فإنّ معنى الضرب في حدّ ذاته معنى كليّ ، واللفظ الكاشف عنه مطلق ، والضرب الواقع في الدار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الهيئة ممّا لا يختلف باختلاف المطلوب وإن كان لهذه الاختلافات مدخل في تعدّد أفراد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دخل له بما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أيضا في أنّ الشرط أيضا من الامور الراجعة إلى المطلوب ، فإنّ الفعل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للطلب على جميع تقاديره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عمرو وقعود بكر وحياة زيد وموت خالد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للطلب على تقدير خاصّ ؛ فلا اختلاف في حقيقة الطلب ، كما لا اختلاف فيها عند اختلاف سائر قيود الفعل من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تحقّقت ذلك عرفت أنّه لا وجه للقول بكون هيئة الأمر حقيقة في الوجوب المطلق مجازا في المشروط ، فإنّ ذلك ممّا لا يرجع إلى طائل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بالوضع العامّ والموضوع له الخاصّ للأعمّ من الطلب الواقع على الماهيّة المطلقة أو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 عدم القيد بواسطة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شيّدنا أركانها في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الفعل المطلوب على المطلق من دون مدخل لذلك فيما دلّ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القائل بالاشتراك المعنوي ما ذكرنا فهو حقّ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بذلك الاشتراك المعنوي بمعنى أن يكون هيئة الأمر موضوعة لمفهوم الطلب الشامل للطلب المشروط والطلب المطلق فذلك ممّا لا يعقل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المعقول عندنا عدم اختلاف الطلب المشروط للطلب المطلق إلاّ بالإطلاق والتقييد ، فلا بدّ أن يكون الطلب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قسيما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w:t>
      </w:r>
    </w:p>
    <w:p>
      <w:pPr>
        <w:pStyle w:val="BookText"/>
        <w:rPr/>
      </w:pPr>
      <w:r>
        <w:rPr>
          <w:rFonts w:ascii="Amiri" w:hAnsi="Amiri" w:eastAsia="Amiri" w:cs="Amiri"/>
          <w:color w:val="111111"/>
          <w:sz w:val="28"/>
          <w:sz w:val="28"/>
          <w:szCs w:val="28"/>
          <w:rtl w:val="true"/>
          <w:lang w:bidi="ar-SA"/>
        </w:rPr>
        <w:t xml:space="preserve">له على نحو شمول الماهيّة المطلقة التي هي قسم </w:t>
      </w:r>
      <w:r>
        <w:rPr>
          <w:rStyle w:val="FootnoteAnchor"/>
          <w:rtl w:val="true"/>
        </w:rPr>
        <w:footnoteReference w:id="515"/>
      </w:r>
      <w:r>
        <w:rPr>
          <w:rFonts w:ascii="Amiri" w:hAnsi="Amiri" w:eastAsia="Amiri" w:cs="Amiri"/>
          <w:color w:val="111111"/>
          <w:sz w:val="28"/>
          <w:sz w:val="28"/>
          <w:szCs w:val="28"/>
          <w:rtl w:val="true"/>
          <w:lang w:bidi="ar-SA"/>
        </w:rPr>
        <w:t>للماهيّة المأخوذة بشرط شيء أو بشرط لا ، فيكون الاختلاف اعتباريّا ويكون هيئة الأمر موضوعة للطلب المقسم المخالف للقسم اعتبارا ، وذلك ممّا لا يقضي به دليل ولا يساعده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 الهيئة هو خصوصيّات الطلب والإرادة ، فلا وجه للقول بكونها موضوعة لمفهوم الطلب ؛ وذلك أمر ظاهر بعد تصوّر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فساد القول بالانصراف أيضا ؛ إذ لا إطلاق في الهيئة حتى يقال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الفعل المطلوب فالانصراف فيه إلى المطلق غير معقول ؛ إذ الانصراف إنّما هو يلاحظ فيه بالنسبة إلى أفراده ، والمطلق هو عين الفعل فلا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ممّا لا ينبغي أن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احتمال الاشتراك اللفظي في هيئة الأمر بالنسبة إلى الطلب المطلق والطلب المشروط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تارة لاحظ أفراد الطلب المتعلّق بالمطلوب المطلق وجعل هيئة الأمر لها ، واخرى لاحظ أفراد الطلب الواقع على الماهيّة المقيّدة وجعل الهيئة لها أيضا بوضع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في غاية الضعف والسقوط ؛ إذ نحن لا نجد من أنفسنا فرقا بين استكشافنا معنى الهيئة في المقامين ، ولو كان ذلك فيهما بوضعين يجب أن يكون الانتقال إلى أحدهما من اللفظ مغايرا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الانتقال إلى الآخر ، وهو ظاهر في الغاية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سنخ الطلب وماهيّته ممّا يختلف عند الإطلاق والاشتراط ، بحيث إنّه لا يجمعهما عنوان واحد في الملاحظة إلاّ مفهوم الطلب الشامل لهما ، فيكون المطلق والمشروط نوعين من مطلق الطلب ؛ وحيث قد ظهر لك أنّ الهيئة ليست </w:t>
      </w:r>
    </w:p>
    <w:p>
      <w:pPr>
        <w:pStyle w:val="BookText"/>
        <w:rPr/>
      </w:pPr>
      <w:r>
        <w:rPr>
          <w:rFonts w:ascii="Amiri" w:hAnsi="Amiri" w:eastAsia="Amiri" w:cs="Amiri"/>
          <w:color w:val="111111"/>
          <w:sz w:val="28"/>
          <w:sz w:val="28"/>
          <w:szCs w:val="28"/>
          <w:rtl w:val="true"/>
          <w:lang w:bidi="ar-SA"/>
        </w:rPr>
        <w:t>موضوعة لمفهوم الطلب ، فالموافق للاعتبار هو أن يكون الآلة في ملاحظة الواضع خصوصيّات أفراد الطلب في كلّ من النوعين هو ذلك النوع ، ولازم ذلك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تارة لخصوصيّات التبيين وتارة لأفراد التبعيض ؛ فالهيئة الأمريّة موضوعة للقبيلتين بوضعين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أنّ الطلب مختلف بحسب أصل الماهيّة في المقامين ، والوجه في هذا المنع يظهر عند ملاحظة نظير المقام في الجمل الإخباريّة ، فإنّ حقيقة التصديق في القضية الحمليّة والقضيّة الشرطيّة ليست مختلفة على وجه يكون أحدهما نوعا من العلم والآخر نوعا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رجوع القضية الشرطيّة إلى القضيّة الحمليّة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على ما يراه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المطلوب فيها هو الحكم بالملازمة وأنّ المقدّم ملزوم للتالي </w:t>
      </w:r>
      <w:r>
        <w:rPr>
          <w:rStyle w:val="FootnoteAnchor"/>
          <w:rtl w:val="true"/>
        </w:rPr>
        <w:footnoteReference w:id="517"/>
      </w:r>
      <w:r>
        <w:rPr>
          <w:rFonts w:ascii="Amiri" w:hAnsi="Amiri" w:eastAsia="Amiri" w:cs="Amiri"/>
          <w:color w:val="111111"/>
          <w:sz w:val="28"/>
          <w:sz w:val="28"/>
          <w:szCs w:val="28"/>
          <w:rtl w:val="true"/>
          <w:lang w:bidi="ar-SA"/>
        </w:rPr>
        <w:t xml:space="preserve">، وإن كان قد يناقش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بالإخبار في المقام ليس الإخبار عن الملازمة ، فإنّها ملحوظة تبعا ومرآة ، فلا يكون من موارد الحكم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ما زعمه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فيها هو التصديق بثبوت المحمول للموضوع في التالي على تقدير المقدّم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المخبر عن ثبوت شيء لشيء قد يكون في صدد الإخبار عن ثبوت المحمول للموضوع على جميع التقادير المتصوّرة لذلك الموضوع من الوقائع المربوطة به ، وقد يكون مقصوده الإخبار عنه لكن على تقدير خاصّ كطلوع الشمس للحكم بوجود النهار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من التعبير بالقضيّة الحمليّة ، فإنّها تفيد ثبوت المحمول للموضوع على أيّ </w:t>
      </w:r>
    </w:p>
    <w:p>
      <w:pPr>
        <w:pStyle w:val="BookText"/>
        <w:rPr/>
      </w:pPr>
      <w:r>
        <w:rPr>
          <w:rFonts w:ascii="Amiri" w:hAnsi="Amiri" w:eastAsia="Amiri" w:cs="Amiri"/>
          <w:color w:val="111111"/>
          <w:sz w:val="28"/>
          <w:sz w:val="28"/>
          <w:szCs w:val="28"/>
          <w:rtl w:val="true"/>
          <w:lang w:bidi="ar-SA"/>
        </w:rPr>
        <w:t>تقدير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فلا بدّ من إيراده على وجه الاشتراط ، وذلك أمر ظاهر فيهما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بملاحظة 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باختلاف حقيقة الطلب في الطلب المطلق والمشروط لا بيّن ولا مبيّن ، بل الوجدان الخالي عن شوائب الوهم قاض بعدم الاختلاف النوعي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التسليم فلا نسلّم أنّ ذلك يمنع عن الاشتراك المعنوي على وجه قلنا به ؛ إذ الآلة في الملاحظة قد يمكن أن يكون أعمّ من النوعين ، فيكون كلّ واحد من خصوصيّات الأفراد موضوعا له بوضع واحد ، 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الغلبة على خلافه بأنّ الغالب هو أنّ المرآة للمعنى هو القدر المشترك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دليل على اعتبارها ، فإنّه مبنيّ على اعتبار الظنّ المطلق في تشخيص الأوضاع ، وقد منعنا عن ذلك في محلّه </w:t>
      </w:r>
      <w:r>
        <w:rPr>
          <w:rStyle w:val="FootnoteAnchor"/>
          <w:rtl w:val="true"/>
        </w:rPr>
        <w:footnoteReference w:id="520"/>
      </w:r>
      <w:r>
        <w:rPr>
          <w:rFonts w:ascii="Amiri" w:hAnsi="Amiri" w:eastAsia="Amiri" w:cs="Amiri"/>
          <w:color w:val="111111"/>
          <w:sz w:val="28"/>
          <w:sz w:val="28"/>
          <w:szCs w:val="28"/>
          <w:rtl w:val="true"/>
          <w:lang w:bidi="ar-SA"/>
        </w:rPr>
        <w:t xml:space="preserve">، وإن بالغ فيه جماعة كثيرة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للقول المذكور في وجه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القول ممّا قد نسب إلى السيّد المرتضى </w:t>
      </w:r>
      <w:r>
        <w:rPr>
          <w:rStyle w:val="FootnoteAnchor"/>
          <w:rtl w:val="true"/>
        </w:rPr>
        <w:footnoteReference w:id="522"/>
      </w:r>
      <w:r>
        <w:rPr>
          <w:rFonts w:ascii="Amiri" w:hAnsi="Amiri" w:eastAsia="Amiri" w:cs="Amiri"/>
          <w:color w:val="111111"/>
          <w:sz w:val="28"/>
          <w:sz w:val="28"/>
          <w:szCs w:val="28"/>
          <w:rtl w:val="true"/>
          <w:lang w:bidi="ar-SA"/>
        </w:rPr>
        <w:t xml:space="preserve">ولعلّه بواسطة ما قد وجدوا من عادة السيّد </w:t>
      </w:r>
      <w:r>
        <w:rPr>
          <w:rStyle w:val="FootnoteAnchor"/>
          <w:rtl w:val="true"/>
        </w:rPr>
        <w:footnoteReference w:id="523"/>
      </w:r>
      <w:r>
        <w:rPr>
          <w:rFonts w:ascii="Amiri" w:hAnsi="Amiri" w:eastAsia="Amiri" w:cs="Amiri"/>
          <w:color w:val="111111"/>
          <w:sz w:val="28"/>
          <w:sz w:val="28"/>
          <w:szCs w:val="28"/>
          <w:rtl w:val="true"/>
          <w:lang w:bidi="ar-SA"/>
        </w:rPr>
        <w:t>الحكم بالاشتراك في أمثال المقام ، وإلاّ فكلام السيّد في الذريعة والشافي ممّا لا دليل فيه على هذه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بالشيء أمر بما لا يتمّ إلاّ به؟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تكلّم في هذا الباب أطلق القول بأنّ الأمر بالشيء هو بعينه أمر بما لا يتمّ ذلك الشيء إلاّ به ؛ والصحيح أنّه يقسّم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لا يتمّ ذلك الشيء إلاّ به سببا فالأمر بالسبب يجب أن يكون أمرا به ، وإن كان غير سبب وإنّما هو مقدّمة للفعل وشرط لم يجب أن يعقل من مجرّد الأمر به أنّه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صحّة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الأمر يقتضي ما تناوله لفظه ، وليس يجوز أن يفهم منه وجوب غيره ممّا لا يتناوله اللفظ إلاّ بدليل غير الظاهر ؛ لأنّه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يتناول الصلاة ، والوضوء الذي ليس بصلاة إنّما يعلم وجوبه بدليل غير الظاهر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الشريعة قد ورد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إيجاب الفعل دون إيجاب مقدّماته ، نحو الزكاة والحجّ ، فإنّه لا يجب علينا أن نكتسب المال لتحصيل النصاب أو نتمكّن به من الزاد والراحلة ، بل متى اتّفق لنا النصاب وحال عليه الحول وجب الزكاة ؛ وكذلك في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مقدّمة الفعل كما يجب هو نفسه ، وهو الوضوء للصلاة وما جرى مجراها ، فإذا انقسم الأمر في الشريعة إلى قسمين ، فكيف نجعلهما قسما واحدا؟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الأمر يقتضي تحصيل مقدّماته ، فأمّا ما كان مشروطا منه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 ما الفرق بينكم وبين من عكسها؟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الأمر يقتضي إيجابه دون غيره ، فإذا علمنا بوجوب المقدّمات كالوضوء في الصلاة علمناه بدليل خارج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الظاهر محتمل للأمرين احتمالا واحد وإنّما يعلم كلّ واحد منهما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تعلّقوا بالسبب والمسبّب وأنّ إيجاب المسبّب إيجاب السبب لا محالة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والفرق بين الأمرين أنّه محال أن يوجب علينا المسبّب بشرط اتّفاق وجود السبب ، </w:t>
      </w:r>
    </w:p>
    <w:p>
      <w:pPr>
        <w:pStyle w:val="BookText"/>
        <w:rPr/>
      </w:pPr>
      <w:r>
        <w:rPr>
          <w:rFonts w:ascii="Amiri" w:hAnsi="Amiri" w:eastAsia="Amiri" w:cs="Amiri"/>
          <w:color w:val="111111"/>
          <w:sz w:val="28"/>
          <w:sz w:val="28"/>
          <w:szCs w:val="28"/>
          <w:rtl w:val="true"/>
          <w:lang w:bidi="ar-SA"/>
        </w:rPr>
        <w:t>وإنّما فسد ذلك ، لأنّ مع وجود السبب لا بدّ من وجود المسبّب إلاّ لمنع ، ومحال أن يكلّفنا الفعل بشرط وجود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مقدّمات الأفعال ، لأنّه يجوز أن يكلّفنا الصلاة بشرط أن </w:t>
      </w:r>
      <w:r>
        <w:rPr>
          <w:rStyle w:val="FootnoteAnchor"/>
          <w:rtl w:val="true"/>
        </w:rPr>
        <w:footnoteReference w:id="524"/>
      </w:r>
      <w:r>
        <w:rPr>
          <w:rFonts w:ascii="Amiri" w:hAnsi="Amiri" w:eastAsia="Amiri" w:cs="Amiri"/>
          <w:color w:val="111111"/>
          <w:sz w:val="28"/>
          <w:sz w:val="28"/>
          <w:szCs w:val="28"/>
          <w:rtl w:val="true"/>
          <w:lang w:bidi="ar-SA"/>
        </w:rPr>
        <w:t xml:space="preserve">يكلّفنا الطهارة </w:t>
      </w:r>
      <w:r>
        <w:rPr>
          <w:rStyle w:val="FootnoteAnchor"/>
          <w:rtl w:val="true"/>
        </w:rPr>
        <w:footnoteReference w:id="525"/>
      </w:r>
      <w:r>
        <w:rPr>
          <w:rFonts w:ascii="Amiri" w:hAnsi="Amiri" w:eastAsia="Amiri" w:cs="Amiri"/>
          <w:color w:val="111111"/>
          <w:sz w:val="28"/>
          <w:sz w:val="28"/>
          <w:szCs w:val="28"/>
          <w:rtl w:val="true"/>
          <w:lang w:bidi="ar-SA"/>
        </w:rPr>
        <w:t xml:space="preserve">، كما جرى ذلك في الزكاة والحجّ ، فبان الفرق بين المقامين ، انتهى ما أفاده السيّد المرتضى ، عليه الرحمة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كلام السيّد صريح في أنّ المقدمة السببيّة واجبة ، وأنّ المقدّمة </w:t>
      </w:r>
      <w:r>
        <w:rPr>
          <w:rStyle w:val="FootnoteAnchor"/>
          <w:rtl w:val="true"/>
        </w:rPr>
        <w:footnoteReference w:id="527"/>
      </w:r>
      <w:r>
        <w:rPr>
          <w:rFonts w:ascii="Amiri" w:hAnsi="Amiri" w:eastAsia="Amiri" w:cs="Amiri"/>
          <w:color w:val="111111"/>
          <w:sz w:val="28"/>
          <w:sz w:val="28"/>
          <w:szCs w:val="28"/>
          <w:rtl w:val="true"/>
          <w:lang w:bidi="ar-SA"/>
        </w:rPr>
        <w:t>الغير السببيّة ممّا يحتمل الوجوب وعدم الوجوب ، وتشخيص ذلك موقوف على الدليل الخارج عن مقتضى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في هذا التوقّف ، فلا يظهر من كلامه شيء ، فيحتمل أن يكون الوجه في ذلك هو ما نسب إليه في حواشي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السيّد حيث ذهب إلى اشتراك الأمر بين المطلق والمشروط ، فبمجرّد ورود الأمر لا دليل على الحكم بوجوب مقدّماته ، إذ يحتمل أن يكون واجبا مشروطا ، والمقدّمة الوجوبيّة لا تقبل الوجوب كما عرفت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لا مانع من أن يكون الأمر بالشيء أمرا بما لا يتمّ إلاّ به إلاّ احتمال أن يكون الواجب مشروطا بوجود </w:t>
      </w:r>
      <w:r>
        <w:rPr>
          <w:rStyle w:val="FootnoteAnchor"/>
          <w:rtl w:val="true"/>
        </w:rPr>
        <w:footnoteReference w:id="529"/>
      </w:r>
      <w:r>
        <w:rPr>
          <w:rFonts w:ascii="Amiri" w:hAnsi="Amiri" w:eastAsia="Amiri" w:cs="Amiri"/>
          <w:color w:val="111111"/>
          <w:sz w:val="28"/>
          <w:sz w:val="28"/>
          <w:szCs w:val="28"/>
          <w:rtl w:val="true"/>
          <w:lang w:bidi="ar-SA"/>
        </w:rPr>
        <w:t xml:space="preserve">المقدّمة ، وحيث إنّه قد علم اشتراط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الوجوب بالمقدّمة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بوجوبه ، لعدم المانع من ذلك ، فيكون كلام السيّد راجعا إلى أنّ الواجب لا يمكن أن يكون بالنسبة إلى المقدّمة السببيّة واجبا مشروطا ، ويمكن أن يكون بالنسبة إلى غيرها مطلقا ومشروطا ، وحيث إنّه لا يعلم الاشتراط والإطلاق فلا يصحّ الحكم بالوجوب ؛ إذ لعلّه يكون الواجب مشروطا ولا يجب تحصيل المقدّمة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المستفاد من كلام السيّد أنّه لا مقتضي لوجوب المقدّمة في الأمر ، حيث إنّه يقتضي ما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حكمه بعدم الوجوب لعدم المقتضي له لا لوجود المانع ، وإن كان قد يوهم ذلك الفرق الذي أبداه بين السبب وغيره ؛ حيث إنّه اكتفى بمجرّد ارتفاع المانع والحكم بامتناع الاشتراط فيه ، فالوقف في وجوب غير السبب إنّما هو بواسطة عدم الدليل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مدخل للاشتراك اللفظي في كلامه ، بل الظاهر منه دعوى وجود الدليل في السبب دون غيره من حيث الملازمة الواقعيّة الموجودة بين السبب والفعل الواجب ، فيعقل أن يكون الأمر به دالاّ على الأمر به دلالة التزامية ، مع عدم </w:t>
      </w:r>
      <w:r>
        <w:rPr>
          <w:rStyle w:val="FootnoteAnchor"/>
          <w:rtl w:val="true"/>
        </w:rPr>
        <w:footnoteReference w:id="531"/>
      </w:r>
      <w:r>
        <w:rPr>
          <w:rFonts w:ascii="Amiri" w:hAnsi="Amiri" w:eastAsia="Amiri" w:cs="Amiri"/>
          <w:color w:val="111111"/>
          <w:sz w:val="28"/>
          <w:sz w:val="28"/>
          <w:szCs w:val="28"/>
          <w:rtl w:val="true"/>
          <w:lang w:bidi="ar-SA"/>
        </w:rPr>
        <w:t>احتمال وجود المانع في السبب ، لامتناع اشتراط وجوب الشيء بوجوده ؛ وحيث إنّ هذه الملازمة ليست متحقّقة بين الفعل وسائر المقدّمات لم يجب أن يعقل من مجرّد الأمر أنّه أمر به مع احتمال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 التفصيل في نفس المسألة إلى السيّد ، لعلّه في محلّه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بناء على ما حرّر النزاع في الملازمة العقليّة لا يعدّ قول السيّد فيها تفصيلا ؛ لأنّ الظاهر من تحريره أنّ النزاع في الدلالة اللفظيّة ، فلا ينطبق عليها على ظاهره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الوجه الذي أشار إليه في المعالم </w:t>
      </w:r>
      <w:r>
        <w:rPr>
          <w:rStyle w:val="FootnoteAnchor"/>
          <w:rtl w:val="true"/>
        </w:rPr>
        <w:footnoteReference w:id="532"/>
      </w:r>
      <w:r>
        <w:rPr>
          <w:rFonts w:ascii="Amiri" w:hAnsi="Amiri" w:eastAsia="Amiri" w:cs="Amiri"/>
          <w:color w:val="111111"/>
          <w:sz w:val="28"/>
          <w:sz w:val="28"/>
          <w:szCs w:val="28"/>
          <w:rtl w:val="true"/>
          <w:lang w:bidi="ar-SA"/>
        </w:rPr>
        <w:t>، فإسناد التفصيل إنّما هو مبنيّ على أن يكون المنع الصغروي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فكلام السيّد كما ترى خال عن الاشتراك اللفظي ، فلا يدرى من أين يستفاد ذلك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تنبّهوا لذلك من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قريبا أن يكون مراد السيّد الحكم بالوقف فيما إذا ثبت الاشتراط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يعلم أنّ الشرط من شرائط الوجوب أو شرائط الوجود ؛ فإنّ القائل بالاشتراك المعنوي أيضا لا بدّ من أن يتوقّف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أنّ الإقامة من شرائط وجود الصوم لمن يجب عليه الصوم مضيّقا كقضاء رمضان قبل دخول السنة اللاحقة ، أو من شرائط الوجوب ، فعلى الأوّل يجب تحصيله ، وعلى الثاني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أقام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موارد الأخذ بالإطلاق عند الشكّ في التقييد ؛ لدوران الأمر بين أن يكون القيد راجعا إلى الأمر أو إلى المأمور به ، ولا مزيّة لاحدهما على الآخر ، فلا بدّ من التوقّف بناء على مذهب المشهور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إلى هذا الاحتمال ما أورده السيّد في الشافي </w:t>
      </w:r>
      <w:r>
        <w:rPr>
          <w:rStyle w:val="FootnoteAnchor"/>
          <w:rtl w:val="true"/>
        </w:rPr>
        <w:footnoteReference w:id="533"/>
      </w:r>
      <w:r>
        <w:rPr>
          <w:rFonts w:ascii="Amiri" w:hAnsi="Amiri" w:eastAsia="Amiri" w:cs="Amiri"/>
          <w:color w:val="111111"/>
          <w:sz w:val="28"/>
          <w:sz w:val="28"/>
          <w:szCs w:val="28"/>
          <w:rtl w:val="true"/>
          <w:lang w:bidi="ar-SA"/>
        </w:rPr>
        <w:t xml:space="preserve">في نقض استدلال المعتزلة على أنّ نصب الإمام واجب على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إقامة الحدود واجب على الإمام لتوجّه الآيات الدالّة على وجوب إقامتها إلى الإمام ، ولا يمكن التوصّل إلى ذلك إلاّ بنصب الإمام ، إمّا من اللّه أو الرسول ، والمفروض انتفاؤه ، فلا بدّ من نصبنا الإمام ، لأنّ الأمر بالشيء أمر بما لا يتمّ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نصب الإمام مثل وجوب الإقامة للصوم ؛ فكما يحتمل أن يكون الإقامة واجبة ، فكذلك يحتمل أن </w:t>
      </w:r>
    </w:p>
    <w:p>
      <w:pPr>
        <w:pStyle w:val="BookText"/>
        <w:rPr/>
      </w:pPr>
      <w:r>
        <w:rPr>
          <w:rFonts w:ascii="Amiri" w:hAnsi="Amiri" w:eastAsia="Amiri" w:cs="Amiri"/>
          <w:color w:val="111111"/>
          <w:sz w:val="28"/>
          <w:sz w:val="28"/>
          <w:szCs w:val="28"/>
          <w:rtl w:val="true"/>
          <w:lang w:bidi="ar-SA"/>
        </w:rPr>
        <w:t>يكون نصب الإمام أيضا واجبا ، لاحتمال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لا يكونا واجبين لاحتمال إطلاق المادّة وتقييد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المراد من تقييد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فعلى ما ذكرنا سابقا لا وجه للقول بتقييد الهيئة ، إذ لا يتصوّر في مفاد الهيئة إطلاق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ففيما دار </w:t>
      </w:r>
      <w:r>
        <w:rPr>
          <w:rStyle w:val="FootnoteAnchor"/>
          <w:rtl w:val="true"/>
        </w:rPr>
        <w:footnoteReference w:id="534"/>
      </w:r>
      <w:r>
        <w:rPr>
          <w:rFonts w:ascii="Amiri" w:hAnsi="Amiri" w:eastAsia="Amiri" w:cs="Amiri"/>
          <w:color w:val="111111"/>
          <w:sz w:val="28"/>
          <w:sz w:val="28"/>
          <w:szCs w:val="28"/>
          <w:rtl w:val="true"/>
          <w:lang w:bidi="ar-SA"/>
        </w:rPr>
        <w:t>الأمر بين المتباينين لا يصحّ التمسّك بالإطلاق ؛ لعوده إلى الترجيح من دون ما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الهيئة يستلزم تقييد المادّة من دون عكس ، فتقييد المادّة أولى ، لقلّة التقييد على تقديره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يتمّ بناء على ما احتملنا من رجوع المقدّمة الشرعيّة إلى المقدّمة العقلية ، وأمّا على المشهور فلا وجه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ما يفيدك توضيح هذا المقال بتوفيق اللّه وهدايته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6254_218505"/>
      <w:bookmarkStart w:id="185" w:name="pg16254_218505"/>
      <w:bookmarkEnd w:id="185"/>
    </w:p>
    <w:p>
      <w:pPr>
        <w:pStyle w:val="Heading3"/>
        <w:numPr>
          <w:ilvl w:val="2"/>
          <w:numId w:val="1"/>
        </w:numPr>
        <w:rPr/>
      </w:pPr>
      <w:bookmarkStart w:id="186" w:name="pg16254_218505"/>
      <w:bookmarkStart w:id="187" w:name="__RefHeading___Toc4418248_1280447820"/>
      <w:bookmarkStart w:id="188" w:name="_Toc61"/>
      <w:bookmarkEnd w:id="186"/>
      <w:bookmarkEnd w:id="187"/>
      <w:r>
        <w:rPr>
          <w:rtl w:val="true"/>
        </w:rPr>
        <w:t>هداية</w:t>
      </w:r>
      <w:bookmarkEnd w:id="188"/>
    </w:p>
    <w:p>
      <w:pPr>
        <w:pStyle w:val="Heading4"/>
        <w:numPr>
          <w:ilvl w:val="3"/>
          <w:numId w:val="1"/>
        </w:numPr>
        <w:rPr/>
      </w:pPr>
      <w:bookmarkStart w:id="189" w:name="__RefHeading___Toc4418250_1280447820"/>
      <w:bookmarkStart w:id="190" w:name="_Toc62"/>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إذا ثبت وجوب شيء وشكّ في كونه مشروطا أو مطلقا بملاحظة أمر من الامور المحتملة لذلك ، فهل الأصل الإطلاق؟ أو الاشتراط؟ أو فيما إذا كان الوجوب ثابتا باللفظ فالأوّل ، وفيما إذا كان من الوجوه الراجعة إلى غير اللفظ فلا بدّ من التعلّق بما هو قضيّة الاصول العمليّة في مواردها؟ وجوه ، أقواها الأخير ، كما ستعرف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المقال في موردين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418252_1280447820"/>
      <w:bookmarkStart w:id="192" w:name="_Toc63"/>
      <w:bookmarkEnd w:id="191"/>
      <w:r>
        <w:rPr>
          <w:rtl w:val="true"/>
        </w:rPr>
        <w:t>الأوّل</w:t>
      </w:r>
      <w:bookmarkEnd w:id="192"/>
    </w:p>
    <w:p>
      <w:pPr>
        <w:pStyle w:val="BookText"/>
        <w:rPr/>
      </w:pPr>
      <w:r>
        <w:rPr>
          <w:rFonts w:ascii="Amiri" w:hAnsi="Amiri" w:eastAsia="Amiri" w:cs="Amiri"/>
          <w:color w:val="111111"/>
          <w:sz w:val="28"/>
          <w:sz w:val="28"/>
          <w:szCs w:val="28"/>
          <w:rtl w:val="true"/>
          <w:lang w:bidi="ar-SA"/>
        </w:rPr>
        <w:t xml:space="preserve">فيما إذا كان الدليل لفظيّا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الأمر بشيء ، فهناك وجوه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غير معلّق على صفة مع إطلاق الفعل المأمور به ، كأن يكون الأمر مطلقا مادّة وهيئة ، نحو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المقام ما يحتمل رجوعه بحسب القواعد العربيّة إلى الهيئة ليكون قيدا للأمر بحسب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راجعا إلى تقييد المادّة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يحتمل أوله إلى المادّة ، فعند الشكّ في قيد سواء كان قيدا للوجوب أو للفعل يجب التمسّك بالإطلاق في دفع الشكّ ، كما هو الشأن في الأخذ بالإطلاق عند احتمال التقييد فيما إذا كان المطلق في مورد البيان ؛ حذرا من الإغراء بالجهل القبيح ، فيحكم العقل بملاحظة ذلك بوجوب إكرام الرجل ، سواء طار الغراب أو جرى الميزاب أو أمطرت السحاب أم لا ؛ فإنّه لو كان الواجب هو وجوب إكرامه عند حدوث حادثة خاصّة </w:t>
      </w:r>
      <w:r>
        <w:rPr>
          <w:rStyle w:val="FootnoteAnchor"/>
          <w:rtl w:val="true"/>
        </w:rPr>
        <w:footnoteReference w:id="535"/>
      </w:r>
      <w:r>
        <w:rPr>
          <w:rFonts w:ascii="Amiri" w:hAnsi="Amiri" w:eastAsia="Amiri" w:cs="Amiri"/>
          <w:color w:val="111111"/>
          <w:sz w:val="28"/>
          <w:sz w:val="28"/>
          <w:szCs w:val="28"/>
          <w:rtl w:val="true"/>
          <w:lang w:bidi="ar-SA"/>
        </w:rPr>
        <w:t xml:space="preserve">كان على المتكلّم </w:t>
      </w:r>
    </w:p>
    <w:p>
      <w:pPr>
        <w:pStyle w:val="BookText"/>
        <w:rPr/>
      </w:pPr>
      <w:r>
        <w:rPr>
          <w:rFonts w:ascii="Amiri" w:hAnsi="Amiri" w:eastAsia="Amiri" w:cs="Amiri"/>
          <w:color w:val="111111"/>
          <w:sz w:val="28"/>
          <w:sz w:val="28"/>
          <w:szCs w:val="28"/>
          <w:rtl w:val="true"/>
          <w:lang w:bidi="ar-SA"/>
        </w:rPr>
        <w:t>الحكيم إيراد لفظ يكون وافيا بتمام مقصوده ، لا التكلّم بما لا يفيد إلاّ بعضا منه ، وذلك ظاهر في الغاية ؛ فيجب على المكلّف حينئذ إيجاد المقدّمات الوجوديّة للإكرام وتحصيل المأمور به ، من دون حالة منتظرة من الامور المحتملة اشتراطه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مذاق المشهور القائلين بالاشتراك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هو المنسوب إلى السيّد من الاشتراك اللفظي </w:t>
      </w:r>
      <w:r>
        <w:rPr>
          <w:rStyle w:val="FootnoteAnchor"/>
          <w:rtl w:val="true"/>
        </w:rPr>
        <w:footnoteReference w:id="536"/>
      </w:r>
      <w:r>
        <w:rPr>
          <w:rFonts w:ascii="Amiri" w:hAnsi="Amiri" w:eastAsia="Amiri" w:cs="Amiri"/>
          <w:color w:val="111111"/>
          <w:sz w:val="28"/>
          <w:sz w:val="28"/>
          <w:szCs w:val="28"/>
          <w:rtl w:val="true"/>
          <w:lang w:bidi="ar-SA"/>
        </w:rPr>
        <w:t xml:space="preserve">فيكون اللفظ مجملا ؛ لاحتمال إرادة وجوب الإكرام على تقدير خاصّ من تقادير الفعل المأمور به ، وعدم البيان لا يقضي بتعيّن المطلق ؛ فإنّ القرينة المعيّنة إذا انتفت يصير اللفظ مجملا بلا خفاء في ذلك ، من غير فرق بين اشتراك اللفظ بين معنيين لا ربط بينهما بالإطلاق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لفظ العين بالنسبة إلى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اشتراكه بين معنيين أحدهما أعمّ من الآخر ،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انتفاء قرينة الخاصّ لا يوجب تعيّن إرادة العامّ ، فإنّه في هذه الملاحظة في عرض الخاصّ ، فسقط ما قد ينساق </w:t>
      </w:r>
      <w:r>
        <w:rPr>
          <w:rStyle w:val="FootnoteAnchor"/>
          <w:rtl w:val="true"/>
        </w:rPr>
        <w:footnoteReference w:id="537"/>
      </w:r>
      <w:r>
        <w:rPr>
          <w:rFonts w:ascii="Amiri" w:hAnsi="Amiri" w:eastAsia="Amiri" w:cs="Amiri"/>
          <w:color w:val="111111"/>
          <w:sz w:val="28"/>
          <w:sz w:val="28"/>
          <w:szCs w:val="28"/>
          <w:rtl w:val="true"/>
          <w:lang w:bidi="ar-SA"/>
        </w:rPr>
        <w:t xml:space="preserve">إلى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الاشتراك اللفظي بين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هيئة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بالإجمال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الهيئة خالية عمّا يحتمل رجوعه إليها بحسب القواعد العربيّة ، لكنّ المطلوب فعل مقيّد بقيد خاصّ ، كما إذا أمر المولى بأداء فعل خاصّ في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المسجد أو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المخاطب بخطاب الحجّ السعي إليه لتحصيل الطواف المأمور به ، وعند الشكّ في قيد من القيود الغير الثابتة للمادّة فالحكم ما عرفت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إذا شكّ في اشتراط الوجوب بالقيد المذكور أيضا ، فإنّ الأصل في المقام هو الإطلاق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وجوه مصالح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عندنا من اختلاف الحسن والقبح في الأفعال الاختياريّة بالاعتبارات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مع قطع النظر عن التكليف به حسنا مقتضيا للأمر به أو قبيحا موجبا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على وجه لو امر به وأتى به المكلّف امتثالا لأمر المولى صار حسنا ؛ وحيث إنّه لا يعقل الأمر بالفعل أوّلا على ذلك الوجه ، فما يحمله في إيصال المكلّف إلى المصلحة المكنونة في الفعل على الوجه المذكور أن يأمر بالفعل أوّلا تحصيلا لموضوع الفعل الحسن ، ثمّ تنبيه المكلّف بأن يأتي بالفعل المذكور على وجه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حسنا على تقدير عدم الإلزام به ، فيختلف حكمه بحسب اختلاف مراتب 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الفعل المقيّد بقيد ذا مصلحة ملزمة على وجه يكون متعلّق التكليف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ذا مصلحة لكن على تقدير وقوع القيد لا على وجه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من هذه الصور ينبغي للحكيم أن يعبّر عن المقصود بلفظ يكون وافيا لمقصوده ، فيستكشف من اختلاف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عقلنا اختلاف </w:t>
      </w:r>
      <w:r>
        <w:rPr>
          <w:rStyle w:val="FootnoteAnchor"/>
          <w:rtl w:val="true"/>
        </w:rPr>
        <w:footnoteReference w:id="538"/>
      </w: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المولى هو ما يمكن أن يكون مفاد ذلك التعبير بحسب القواعد الثابتة في اللغة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إذا كان مشروطا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الدار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وجوب الفعل المتعقّب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الدالّ عليه </w:t>
      </w:r>
    </w:p>
    <w:p>
      <w:pPr>
        <w:pStyle w:val="BookText"/>
        <w:rPr/>
      </w:pPr>
      <w:r>
        <w:rPr>
          <w:rFonts w:ascii="Amiri" w:hAnsi="Amiri" w:eastAsia="Amiri" w:cs="Amiri"/>
          <w:color w:val="111111"/>
          <w:sz w:val="28"/>
          <w:sz w:val="28"/>
          <w:szCs w:val="28"/>
          <w:rtl w:val="true"/>
          <w:lang w:bidi="ar-SA"/>
        </w:rPr>
        <w:t xml:space="preserve">هو حرف الشرط المستفاد منه في العرف واللغة العلقة الذاتيّة بين وجود الشرط والمشروط وبين عدمهما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ذلك الفعل عند حصول الشرط ، فلا يجب عند عدمه بمقتضى اللفظ ، فيكشف ذلك عن وجود المصلحة في الفعل المقيّد بالقيد المذكور ، لكن </w:t>
      </w:r>
      <w:r>
        <w:rPr>
          <w:rStyle w:val="FootnoteAnchor"/>
          <w:rtl w:val="true"/>
        </w:rPr>
        <w:footnoteReference w:id="539"/>
      </w:r>
      <w:r>
        <w:rPr>
          <w:rFonts w:ascii="Amiri" w:hAnsi="Amiri" w:eastAsia="Amiri" w:cs="Amiri"/>
          <w:color w:val="111111"/>
          <w:sz w:val="28"/>
          <w:sz w:val="28"/>
          <w:szCs w:val="28"/>
          <w:rtl w:val="true"/>
          <w:lang w:bidi="ar-SA"/>
        </w:rPr>
        <w:t xml:space="preserve">على وجه كان وجوده غير متعلّق للتكليف ، وإذا عبّر عن القيد المذكور لا على هذا الوجه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ذلك عن وجود المصلحة في الفعل المقيّد بالقيد المذكور مطلقا ، بمعنى أنّ عدم التكليف ممّا لا مدخليّة له في إيراث الفعل حسنا ، فيكون من المقدّمات الوجوديّة ويجب تحصيلها عند إرادة امتثال تكليف ذيها ، فالآمر لا بدّ أن يكشف عن مقصوده في جميع هذه المراتب بلفظ قابل لذلك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بصدده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المأمور به ثابت وتقييد الأمر ليس ثابتا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قيد الأمر يرجع إلى المأمور به ، فإنّ المقصود بالأصل المذكور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التقييد ثابت على الوجه الذي لا يستفاد منه عدم الوجوب عند عدم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الجمل الشرطيّة أو فيما يقوم مقامها في الإفادة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منه هو الوجوب المطلق التابع للمصلحة على وجه الإطلاق ، فظهر المراد بأصالة الإطلاق في المقام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 ، كأن يكون الهيئة مقيّدة دون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 المادّة بقيد لا يحسن أن يكون القيد موردا للتكليف ، فالواجب المشروط بالنسبة إلى المقدّمة الوجوبيّة والواجب التعبّدي في طرفي الخلاف ، فإنّ المصلحة في الأوّل على وجه لا يكون المقدّمة المقدورة موردا للتكليف ، والمصلحة في الثاني على وجه يحتاج إحرازها للمكلّف وإيصاله إليها إلى التكليف لطفا ، كما ستعرفه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شكّ في اشتراط المادّة بشيء آخر على ذلك أو على وجه آخر ، فالمرجع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القيدان ، والحكم يظهر ممّا مرّ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قيد ، ولكن لا يعلم أنّه من القيود الّتي يجب الإتيان بها حتّى يكون من قيود الفعل مطلقا ، أو من القيود التي لا يجب الإتيان بها حتّى يكون من قيود الفعل بوجه خاصّ ، وهو اعتبار وجوده لا على وجه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هي ما قلنا بأنّها يحتمل أن يكون مراد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يظهر من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التوقّف في مقام الاجتهاد ، ويجب الرجوع إلى ما هو قضيّة الاصول في العمل ، بل لعلّه عليه المشهور </w:t>
      </w:r>
      <w:r>
        <w:rPr>
          <w:rStyle w:val="FootnoteAnchor"/>
          <w:rtl w:val="true"/>
        </w:rPr>
        <w:footnoteReference w:id="5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فللقطع بورود المقيّد على أحد الإطلاقين ، ولا مرجّح لأحدهما ، فلا مناص من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فستعرف الوجه فيه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بأصالة الإطلاق في جانب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تقييد المادّة معلوم على الوجهين ، إذ تقييد الهيئة لا ينفكّ عن تقييد المادّة ، بخلاف تقييد المادّة ، فينبغي </w:t>
      </w:r>
      <w:r>
        <w:rPr>
          <w:rStyle w:val="FootnoteAnchor"/>
          <w:rtl w:val="true"/>
        </w:rPr>
        <w:footnoteReference w:id="541"/>
      </w:r>
      <w:r>
        <w:rPr>
          <w:rFonts w:ascii="Amiri" w:hAnsi="Amiri" w:eastAsia="Amiri" w:cs="Amiri"/>
          <w:color w:val="111111"/>
          <w:sz w:val="28"/>
          <w:sz w:val="28"/>
          <w:szCs w:val="28"/>
          <w:rtl w:val="true"/>
          <w:lang w:bidi="ar-SA"/>
        </w:rPr>
        <w:t xml:space="preserve">إطلاق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تقييد المادّة غير معقول بما هو مقيّد للهيئة ، لأنّ موضوع التكليف والأمر لا بدّ أن يكون قبل تحقّق الأمر متحقّقا ، وإذا فرض تقييد المأمور به بشيء فلا يتعقّل اعتباره في الوجوب ؛ لأنّه يلزم إتيانه بمقتضى تقييد المادّة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نحوه من 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الإتيان به بمقتضى كونه من قيود الهيئة ، فلا يصحّ اعتبار شيء واحد في المادّة والهيئة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التقييد بالنسبة إلى المقدّمة الوجوديّة الواقعيّة ، لكن لا على وجه يكون تلك المقدّمة معتبرا في المادّة في نظر الآمر ، لما عرفت من التناقض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المعتبرة في المأمور به حكمها من حيث الوجود مثل نفس المأمور به ، فلا يجب الإتيان بالقيد ما لم يتحقّق شرط الوجوب ، والمفروض أنّ من القيود المعتبرة في الفعل نفس المقدّمة الوجوبيّة ، فيلزم وجوبها على تقدير وجودها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ذلك إنّما يتمّ بناء على ما احتملناه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المقدّمة الشرعيّة المأخوذة في المأمور به إلى المقدّمة العقليّة المحضة على وجه لا يكون من قيود الفعل المأمور به ، فلا يجب إيجادها بما هو مفاد الأمر ، وحيث إنّها من المقدّمة العقليّة الواقعيّة صحّ التقييد بها ، فلا يجب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بالنسبة إلى القدرة ، فإنّ من شرائط وجود الفعل المأمور به في الواقع هو التمكّن ، مع أنّه من شرائط الوجوب أيضا ، ولكن ذلك خلاف ما يظهر منهم في الموارد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ما كان ، ففي هذه الصورة بناء على مذاق القوم لا بدّ من الأخذ بالإطلاق في جانب الهيئة والحكم بتقييد المادّة بوجهين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الهيئة وإن كان راجعا إلى تقييد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بين إطلاق المادّة على الوجهين فرقا ، إذ على تقدير إطلاقه من جهة الهيئة يكون إطلاقه شموليّا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شمول العامّ لأفراده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الإكرام على تقدير الإطلاق يشمل جميع تقادير الإكرام من الامور التي يمكن أن يكون تقديرا للإكرام ، وإطلاق المادّة من غير جهة الأمر إطلاق بدلي ، فإنّ المطلق غير شامل للفردين في </w:t>
      </w:r>
    </w:p>
    <w:p>
      <w:pPr>
        <w:pStyle w:val="BookText"/>
        <w:rPr/>
      </w:pPr>
      <w:r>
        <w:rPr>
          <w:rFonts w:ascii="Amiri" w:hAnsi="Amiri" w:eastAsia="Amiri" w:cs="Amiri"/>
          <w:color w:val="111111"/>
          <w:sz w:val="28"/>
          <w:sz w:val="28"/>
          <w:szCs w:val="28"/>
          <w:rtl w:val="true"/>
          <w:lang w:bidi="ar-SA"/>
        </w:rPr>
        <w:t>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الإطلاق الملحوظ في الأحوال أو في الأفراد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الهيئة وإن لم يستلزم تقييد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فالحكم بتقييد المادّة أولى ، لدوران الأمر بين تقييدين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يبطل محلّ الإطلاق في الآخر ويرتفع به مورده ، والآخر لا يؤثّر شيئا في مورد إطلاقه ، ولا شكّ أنّ التقييد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فلنا في المقام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إثبات أنّه متى ما دار الأمر بين هذين التقييدين فالثاني أولى ، وثانيهما إثبات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فلا يكاد يستريب أحد فيه بعد ما هو المدار في أمثال المقام من الرجوع إلى قاعدة العرف واللغة ، ولا شكّ أنّ التقييد وإن لم يكن مجازا ، إلاّ أنّه خلاف الأصل ، ولا فرق في لبّ المعنى بين تقييد الإطلاق وبين أن يعمل فيه عملا يشرك مع التقييد في الأثر وإن لم يكن تقييدا ، مثل ارتفاع محلّ بيانه الّذي هو العمدة في الأخذ بالإطلاق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إثبات أنّ المقام من هذا القبيل ، فقد عرفت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بالإطلاق ليس إلاّ بواسطة قبح تأخير البيان عن مورد الحاجة ، فإذا فرضنا أنّ مطلقا من المطلقات ليس له محلّ بيان ، فلا يمكن الأخذ بإطلاقه ، فإذا قلنا بتقييد الهيئة لزم أن لا يكون لإطلاق المادّة محلّ حاجة وبيان ، لأنّها لا محالة مقيّدة به ، بمعنى أنّ وجودها لا ينفكّ عن وجود قيد الهيئة ، فبذلك لا محلّ 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تقييد المادّة ، فإنّ الأخذ بإطلاق الهيئة مع ذلك في محلّه ، فيمكن الحكم بوجوب الفعل على تقدير وجود القيد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قلناه من رجوع قيد الهيئة إلى المادّة أيضا ، لما عرفت من الاختلاف بين جهتي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ترتّب على إطلاق المادّة على تقدير رجوع القيد إلى الهيئة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لا يستلزم ذلك التقييد ارتفاع محلّ بيانه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التوقّف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يحتمل أن يكون قيدا للمادّة أو للهيئة قد يكون وجه اشتراطهما به واحدا ، كأن يكون حدوثه شرطا فيهما أو يكون وجوده مستمرّا شرطا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يحتمل أن يكون شرطا في المادّة هو حدوث الشيء وهو بعينه يحتمل أن يكون شرطا في الهيئة ، أو يكون ما يحتمل القيديّة في المادّة </w:t>
      </w:r>
      <w:r>
        <w:rPr>
          <w:rStyle w:val="FootnoteAnchor"/>
          <w:rtl w:val="true"/>
        </w:rPr>
        <w:footnoteReference w:id="542"/>
      </w:r>
      <w:r>
        <w:rPr>
          <w:rFonts w:ascii="Amiri" w:hAnsi="Amiri" w:eastAsia="Amiri" w:cs="Amiri"/>
          <w:color w:val="111111"/>
          <w:sz w:val="28"/>
          <w:sz w:val="28"/>
          <w:szCs w:val="28"/>
          <w:rtl w:val="true"/>
          <w:lang w:bidi="ar-SA"/>
        </w:rPr>
        <w:t>هو البقاء وهذا بعينه يحتمل القيديّة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وجه اشتراطهما به </w:t>
      </w:r>
      <w:r>
        <w:rPr>
          <w:rStyle w:val="FootnoteAnchor"/>
          <w:rtl w:val="true"/>
        </w:rPr>
        <w:footnoteReference w:id="543"/>
      </w:r>
      <w:r>
        <w:rPr>
          <w:rFonts w:ascii="Amiri" w:hAnsi="Amiri" w:eastAsia="Amiri" w:cs="Amiri"/>
          <w:color w:val="111111"/>
          <w:sz w:val="28"/>
          <w:sz w:val="28"/>
          <w:szCs w:val="28"/>
          <w:rtl w:val="true"/>
          <w:lang w:bidi="ar-SA"/>
        </w:rPr>
        <w:t>متعدّدا ، كأن يكون الشرط في أحدهما حدوث ذلك الشيء وفي الآخر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إذا كان وجه الاشتراط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الشرط فيهما هو الحدوث أو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أولوية تقييد المادّة من تقييد الهيئة ؛ إذ العكس يوجب ارتفاع الإطلاقين وإن كان في أحدهما التقييد حكميّا ، وذلك كما فيما إذا شكّ في أنّ الصوم الواجب هل وجوبه مشروط بالإقامة الدائمة أو الحادثة أو وجوده موقوف على أحدهما ، فإنّ تقييد الصوم لا يوجب تقييد الوجوب ، وتقييد الوجوب سواء كان بحدوث الإقامة أو بقائها يوجب تقييد الصوم ولو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تحقّق الصوم بدون الإقامة حينئذ</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إذا كان وجه الاشتراط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الشرط ما يحتمل الاشتراط في الهيئة هو الحدوث وفي المادّة هو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 هذه الصورة هو التوقّف ؛ لأنّ تقييد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تقييد الهيئة ، وتقييد الهيئة أيضا لا يوجب تقييد المادّة ، لكن بالنسبة إلى استمرار وجود ذلك القيد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حدوثه فالتقييد ولو معنى لازم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فيمكن التمسّك بإطلاق </w:t>
      </w:r>
      <w:bookmarkStart w:id="193" w:name="pg16254_218513"/>
    </w:p>
    <w:p>
      <w:pPr>
        <w:pStyle w:val="BookText"/>
        <w:rPr/>
      </w:pPr>
      <w:bookmarkEnd w:id="193"/>
      <w:r>
        <w:rPr>
          <w:rFonts w:ascii="Amiri" w:hAnsi="Amiri" w:eastAsia="Amiri" w:cs="Amiri"/>
          <w:color w:val="111111"/>
          <w:sz w:val="28"/>
          <w:sz w:val="28"/>
          <w:szCs w:val="28"/>
          <w:rtl w:val="true"/>
          <w:lang w:bidi="ar-SA"/>
        </w:rPr>
        <w:t>المادّة ، ففي المثال المذكور يحكم بوجوب الصوم ولو بعد ارتفاع الإقامة ، ويحكم بوجوب الحجّ ولو بعد ارتفاع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عكس هذه الصورة فالتقييد أيضا لازم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الحكم بعدم التوقّف في الجميع ؛ لأنّ التقييد ولو في وقت ما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المقام من مضطرب الأفهام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418254_1280447820"/>
      <w:bookmarkStart w:id="195" w:name="_Toc64"/>
      <w:bookmarkEnd w:id="194"/>
      <w:r>
        <w:rPr>
          <w:rtl w:val="true"/>
        </w:rPr>
        <w:t>المورد الثاني</w:t>
      </w:r>
      <w:bookmarkEnd w:id="195"/>
    </w:p>
    <w:p>
      <w:pPr>
        <w:pStyle w:val="BookText"/>
        <w:rPr/>
      </w:pPr>
      <w:r>
        <w:rPr>
          <w:rFonts w:ascii="Amiri" w:hAnsi="Amiri" w:eastAsia="Amiri" w:cs="Amiri"/>
          <w:color w:val="111111"/>
          <w:sz w:val="28"/>
          <w:sz w:val="28"/>
          <w:szCs w:val="28"/>
          <w:rtl w:val="true"/>
          <w:lang w:bidi="ar-SA"/>
        </w:rPr>
        <w:t xml:space="preserve">فيما إذا كان الدليل الدالّ على الوجوب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 والشهرة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الأصل هو الإطلاق أو الاشتراط؟</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في ذلك مختلفة باختلاف صور الشكّ ، فإنّ أحكام الشكّ متفاوتة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بالاشتراط ، كما إذا ثبت وجوب شيء إجمالا مع القطع بعدم اشتراطه باستمرار الشيء المشكوك اشتراطه حدوثا </w:t>
      </w:r>
      <w:r>
        <w:rPr>
          <w:rStyle w:val="FootnoteAnchor"/>
          <w:rtl w:val="true"/>
        </w:rPr>
        <w:footnoteReference w:id="544"/>
      </w:r>
      <w:r>
        <w:rPr>
          <w:rFonts w:ascii="Amiri" w:hAnsi="Amiri" w:eastAsia="Amiri" w:cs="Amiri"/>
          <w:color w:val="111111"/>
          <w:sz w:val="28"/>
          <w:sz w:val="28"/>
          <w:szCs w:val="28"/>
          <w:rtl w:val="true"/>
          <w:lang w:bidi="ar-SA"/>
        </w:rPr>
        <w:t xml:space="preserve">في المأمور به ، لأنّ عند عدم الشرط </w:t>
      </w:r>
      <w:r>
        <w:rPr>
          <w:rStyle w:val="FootnoteAnchor"/>
          <w:rtl w:val="true"/>
        </w:rPr>
        <w:footnoteReference w:id="545"/>
      </w:r>
      <w:r>
        <w:rPr>
          <w:rFonts w:ascii="Amiri" w:hAnsi="Amiri" w:eastAsia="Amiri" w:cs="Amiri"/>
          <w:color w:val="111111"/>
          <w:sz w:val="28"/>
          <w:sz w:val="28"/>
          <w:szCs w:val="28"/>
          <w:rtl w:val="true"/>
          <w:lang w:bidi="ar-SA"/>
        </w:rPr>
        <w:t>يرجع الشكّ في الحقيقة إلى ثبوت التكليف مع عدم ما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المقام البراءة ، إلاّ أنّ بعد الوجود لا بدّ من الإتيان بالواجب وإن طرأ له العدم ، لأنّ المفروض حصول العلم بعدم اشتراط الواجب ببقائه وأنّ حدوثه يكفي في ثبوت التكليف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شكّ في اشتراطه ببقائه أيضا ، فعند عدم الشرط ولو كان عدمه حادثا بعد وجوده فالأصل أيضا البراءة ؛ لرجوعه إلى الشكّ في نفس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ذلك يتمّ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الاستناد إلى الاستصحاب في مثل المقام ، لاختلاف القضيّة المشكوكة مع القضية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مذاق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أمر الاستصحاب في وحدة القضيّة موكول إلى العرف ويكفي في وحدة الموضوع اتّحاده العرفي ، فالمورد حينئذ من موارد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أصالة البراءة كما قرّرنا في محلّه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كون الشيء شرطا للوجوب حدوثا أو شرطا للوجود بقاء ، فعند عدم ذلك الشيء لا إشكال في الأخذ بالبراءة إذا لم يكن مسبوقا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الوجود فمع بقائه أيضا لا إشكال في الوجوب ، وأمّا مع عدمه ثانيا فهل يجب إيجاده في المأمور به أولا؟ وجهان مبنيّان على الأخذ بالبراءة أو الاشتغال فيما إذا شكّ في اشتراط الواجب بشيء ، ونحن رجّحنا القول بالبراءة في محلّه </w:t>
      </w:r>
      <w:r>
        <w:rPr>
          <w:rStyle w:val="FootnoteAnchor"/>
          <w:rtl w:val="true"/>
        </w:rPr>
        <w:footnoteReference w:id="547"/>
      </w:r>
      <w:r>
        <w:rPr>
          <w:rFonts w:ascii="Amiri" w:hAnsi="Amiri" w:eastAsia="Amiri" w:cs="Amiri"/>
          <w:color w:val="111111"/>
          <w:sz w:val="28"/>
          <w:sz w:val="28"/>
          <w:szCs w:val="28"/>
          <w:rtl w:val="true"/>
          <w:lang w:bidi="ar-SA"/>
        </w:rPr>
        <w:t>، فلا يجب إيجاده ثانيا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الاشتراط في الجملة ولكن لا يدرى المشروط به ، فلا إشكال قبل الوجود ، لأنّ الأصل الاشتراط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حدوثه فالحكم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الأمر إلى الشكّ في الجزئيّة والشرطيّة فيما إذا انعدم ثانيا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اشتراط الواجب بشيء مع كون نفس الواجب من أطراف العلم الإجمالي ، كما إذا علمنا إجمالا بوجوب الظهر أو الجمعة مع الشكّ في اشتراط الأخير بوجود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الأخذ بالاحتياط والجمع بين الصلاتين ، ولا وجه لإعمال البراءة ؛ لأنّ الاصول العمليّة ممّا لا حكم لها في قبال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بالبراءة في أحد أطراف العلم الإجمالي ممّا لا ضير فيه إذا لم يكن العمل بها من حيث الشكّ الموجود في أطراف العلم الإجمالي ، كما في المقام ، فإنّ إعمال البراءة في صلاة الجمعة ليس من حيث إنّها واقعة في أطراف العلم الإجمالي ، بل من حيث الاشتراط بشيء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ففيما إذا كان الدليل غير اللفظ لا بدّ من الاقتصار على المعلوم في مقام الاجتهاد والعمل بالاصول المشهورة في الشريعة للشاكّ على حسب مواردها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إطلاق الدليل كما يعتبر في جانب الواجب فكذلك يعتبر بالنسبة إلى الدليل الدالّ على الاشتراط عند الشكّ في وجوه الاشتراط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254_218517"/>
      <w:bookmarkStart w:id="197" w:name="pg16254_218517"/>
      <w:bookmarkEnd w:id="197"/>
    </w:p>
    <w:p>
      <w:pPr>
        <w:pStyle w:val="Heading3"/>
        <w:numPr>
          <w:ilvl w:val="2"/>
          <w:numId w:val="1"/>
        </w:numPr>
        <w:rPr/>
      </w:pPr>
      <w:bookmarkStart w:id="198" w:name="pg16254_218517"/>
      <w:bookmarkStart w:id="199" w:name="__RefHeading___Toc4418256_1280447820"/>
      <w:bookmarkStart w:id="200" w:name="_Toc65"/>
      <w:bookmarkEnd w:id="198"/>
      <w:bookmarkEnd w:id="199"/>
      <w:r>
        <w:rPr>
          <w:rtl w:val="true"/>
        </w:rPr>
        <w:t>هداية</w:t>
      </w:r>
      <w:bookmarkEnd w:id="200"/>
    </w:p>
    <w:p>
      <w:pPr>
        <w:pStyle w:val="Heading4"/>
        <w:numPr>
          <w:ilvl w:val="3"/>
          <w:numId w:val="1"/>
        </w:numPr>
        <w:rPr/>
      </w:pPr>
      <w:bookmarkStart w:id="201" w:name="__RefHeading___Toc4418258_1280447820"/>
      <w:bookmarkStart w:id="202" w:name="_Toc66"/>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قد عرفت في تضاعيف ما قدّمنا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الوجوديّة للواجبات المشروطة ممّا يتّصف بالوجوب على نحو اتّصاف ذيها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عدم وجوب الإتيان بها قبل وجوب الإتيان بذيها ؛ إذ لا يعقل أن يكون المقدّمة أعلى شأنا من ذيها ، كأن يكون موردا للوجوب التخييري من دون اتّصاف ذيها بالوجوب التخييري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يظهر منهم في موارد مختلفة الحكم بوجوب الاتيان بالمقدّمة قبل اتّصاف ذيها بذلك ، كحكمهم بوجوب الغسل قبل الصبح في ليالي رمضان </w:t>
      </w:r>
      <w:r>
        <w:rPr>
          <w:rStyle w:val="FootnoteAnchor"/>
          <w:rtl w:val="true"/>
        </w:rPr>
        <w:footnoteReference w:id="549"/>
      </w:r>
      <w:r>
        <w:rPr>
          <w:rFonts w:ascii="Amiri" w:hAnsi="Amiri" w:eastAsia="Amiri" w:cs="Amiri"/>
          <w:color w:val="111111"/>
          <w:sz w:val="28"/>
          <w:sz w:val="28"/>
          <w:szCs w:val="28"/>
          <w:rtl w:val="true"/>
          <w:lang w:bidi="ar-SA"/>
        </w:rPr>
        <w:t xml:space="preserve">، وقولهم بوجوب السعي إلى الحجّ قبل أن يهلّ هلال ذي الحجّة </w:t>
      </w:r>
      <w:r>
        <w:rPr>
          <w:rStyle w:val="FootnoteAnchor"/>
          <w:rtl w:val="true"/>
        </w:rPr>
        <w:footnoteReference w:id="550"/>
      </w:r>
      <w:r>
        <w:rPr>
          <w:rFonts w:ascii="Amiri" w:hAnsi="Amiri" w:eastAsia="Amiri" w:cs="Amiri"/>
          <w:color w:val="111111"/>
          <w:sz w:val="28"/>
          <w:sz w:val="28"/>
          <w:szCs w:val="28"/>
          <w:rtl w:val="true"/>
          <w:lang w:bidi="ar-SA"/>
        </w:rPr>
        <w:t xml:space="preserve">، وحكمهم بوجوب تحصيل العلم بأجزاء الصلاة وشرائطها قبل دخول الوقت </w:t>
      </w:r>
      <w:r>
        <w:rPr>
          <w:rStyle w:val="FootnoteAnchor"/>
          <w:rtl w:val="true"/>
        </w:rPr>
        <w:footnoteReference w:id="551"/>
      </w:r>
      <w:r>
        <w:rPr>
          <w:rFonts w:ascii="Amiri" w:hAnsi="Amiri" w:eastAsia="Amiri" w:cs="Amiri"/>
          <w:color w:val="111111"/>
          <w:sz w:val="28"/>
          <w:sz w:val="28"/>
          <w:szCs w:val="28"/>
          <w:rtl w:val="true"/>
          <w:lang w:bidi="ar-SA"/>
        </w:rPr>
        <w:t xml:space="preserve">، وحكمهم بوجوب حفظ الماء وإحرازه للعالم بتعذّره له بعد دخول وقت الصلاة </w:t>
      </w:r>
      <w:r>
        <w:rPr>
          <w:rStyle w:val="FootnoteAnchor"/>
          <w:rtl w:val="true"/>
        </w:rPr>
        <w:footnoteReference w:id="552"/>
      </w:r>
      <w:r>
        <w:rPr>
          <w:rFonts w:ascii="Amiri" w:hAnsi="Amiri" w:eastAsia="Amiri" w:cs="Amiri"/>
          <w:color w:val="111111"/>
          <w:sz w:val="28"/>
          <w:sz w:val="28"/>
          <w:szCs w:val="28"/>
          <w:rtl w:val="true"/>
          <w:lang w:bidi="ar-SA"/>
        </w:rPr>
        <w:t xml:space="preserve">، كما هو صريح الاستاذ الأكبر في شرح المفاتيح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وحكمهم بوجوب معرفة القبلة لمن حاول المسافرة إلى البلدان النائية ، كما يظهر من الشهيد الثاني فيما حكي </w:t>
      </w:r>
    </w:p>
    <w:p>
      <w:pPr>
        <w:pStyle w:val="BookText"/>
        <w:rPr/>
      </w:pPr>
      <w:r>
        <w:rPr>
          <w:rFonts w:ascii="IRNazanin" w:hAnsi="IRNazanin" w:eastAsia="IRNazanin"/>
          <w:color w:val="111111"/>
          <w:sz w:val="28"/>
          <w:sz w:val="28"/>
          <w:szCs w:val="28"/>
          <w:rtl w:val="true"/>
          <w:lang w:bidi="fa-IR"/>
        </w:rPr>
        <w:t xml:space="preserve">عن الروض </w:t>
      </w:r>
      <w:r>
        <w:rPr>
          <w:rStyle w:val="FootnoteAnchor"/>
          <w:rtl w:val="true"/>
        </w:rPr>
        <w:footnoteReference w:id="554"/>
      </w:r>
      <w:r>
        <w:rPr>
          <w:rFonts w:ascii="Amiri" w:hAnsi="Amiri" w:eastAsia="Amiri" w:cs="Amiri"/>
          <w:color w:val="111111"/>
          <w:sz w:val="28"/>
          <w:sz w:val="28"/>
          <w:szCs w:val="28"/>
          <w:rtl w:val="true"/>
          <w:lang w:bidi="ar-SA"/>
        </w:rPr>
        <w:t xml:space="preserve">، ومنها حكمهم بوجوب تعلّم مسائل القصر والإتمام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تظهر جملة منها للمتتبّع في مطاوي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التفصّي عن هذه العويصة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بعض أعاظم المحقّقين في تعليقاته على المعالم ، ولعلّه تبع في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الإتيان بهذه المقدّمات ليس من حيث استلزام وجوب ذيها وجوبها كما هو المراد بوجوب المقدّمة ، بل وجوبها نفسيّ وإن كانت المصلحة في وجوبها النفسي إمكان التوصّل بها إلى ذيها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فسّر الوجوب الغيري بما يكون وجوب الفعل منوطا بوجوب غيره وحاصلا من جهة حصوله من غير أن يكون له مطلوبيّة بحسب ذاته بل يكون مطلوبيّته لأجل مطلوبيّة غيره ، لم يتعلّق وجوبه الغيري قبل حصول الوجوب النفسي للغير ؛ لتفرّع حصوله على حصوله وتقوّيه به وإن تعلّق به أمر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 الوجوب الغيري بما لا يكون المصلحة الداعية إلى وجوبه حاصلة في نفسه بل يكون تعلّق الطلب له لأجل مصلحة تحصل بفعل غيره لا يجوز تفويت المكلّف لها فيجب عليه ذلك ليتمكّن من إتيانه بذلك الغير ، أمكن القول بوجوبها قبل وجوب ذيها ، لا من جهة الأمر الذي تعلّق بذيها ، بل بأمر أصلي يتعلّق به ، ويكون الحكمة الباعثة على تعلّق الطلب به تحصيل الفائدة المترتّبة على فعل آخر يكون ذلك الفعل موصلا إليه إن بقي المكلّف على حال يصحّ تعلّق التكليف به عند حضور وقته ، وقضيّة ذلك استحقاق المكلّف للعقاب عند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 ذلك من الوجوب الغيري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من الوجوب النفسي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الغيري على التفسير الثاني ، إمّا أن يكون من لوازم نفس المقدّميّة ووجوبها كأن يكون وجوب ذي المقدّمة يلازم هذا النحو من الوجوب في المقدّمة ، وإمّا أن لا يكون هذا النحو من الوجوب من لوازم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وجه لاختصاص ذلك ببعض المقدّمات بعد استوائها فيما هو المناط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مدخل له في المقام ؛ إذ الإشكال ناش من جهة وجوبها الغيري على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الوجوب النفسي لا يدفع الإشكال الناشئ من جهة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الأجلّة ، من الفرق بين الواجب المشروط والواجب المعلّق ، وما يجب فيه الإتيان بالمقدّمة قبل ذيها إنّما هو في الواجب المعلّق دون المشروط ، ولا محذور ؛ لأنّ المعلّق وجوبه حالي ، دون المشروط فإنّ الطلب فيه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جملة كلام له في إبداء الفرق بين هذين النوعين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الموقوف عليه في المشروط شرط الوجوب وفي المعلّق شرط الفعل ، فلا تكليف في الأوّل بالفعل ولا وجوب قبله ، بخلاف الثاني كما أشرنا إليه ، ففرق إذن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كذا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الاولى جملة شرطيّة مفادها تعلّق الأمر والإلزام بالمكلّف عند دخول الوقت ، وهذا قد يقارن وقت الأداء فيه لوقت تعلّق الوجوب وقد يتأخّر عنه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زارك زيد في الغداة فزره في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والثانية جملة طلبيّة مفادها إلزام المكلّف بالفعل في الوقت الآتي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ينشئ في الأوّل طلبا مشروطا حصوله بمجيء وقت كذا ، وفي الثاني طلبا حاليّا والمطلوب فعل مقيّد بكونه في وقت كذا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نقله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وتوضيح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الفعل إلى الزمان والمكان متساوية ، فكما أنّه يمكن أن يكون الفعل المطلوب مقيّدا بوقوعه في مكان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يمكن أن يكون وجوبه مشروطا بوقوعها في 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فاللفظ الكاشف عن ذلك الطلب لا بدّ أن يكون على وجه الإطلاق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بدّ أن يكون على وجه الاشتراط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بعينهما جاريان في الزمان أيضا ، فيمكن أن يلاحظ الآمر </w:t>
      </w:r>
      <w:r>
        <w:rPr>
          <w:rStyle w:val="FootnoteAnchor"/>
          <w:rtl w:val="true"/>
        </w:rPr>
        <w:footnoteReference w:id="557"/>
      </w:r>
      <w:r>
        <w:rPr>
          <w:rFonts w:ascii="Amiri" w:hAnsi="Amiri" w:eastAsia="Amiri" w:cs="Amiri"/>
          <w:color w:val="111111"/>
          <w:sz w:val="28"/>
          <w:sz w:val="28"/>
          <w:szCs w:val="28"/>
          <w:rtl w:val="true"/>
          <w:lang w:bidi="ar-SA"/>
        </w:rPr>
        <w:t xml:space="preserve">المقيّد بوقوعه في زمان خاصّ ، فيطلب على هذا الوجه من المكلّف ، ولا بدّ أن يكون التعبير عن ذلك المعنى على وجه الإطلاق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واقعة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يلاحظ الفعل المطلق </w:t>
      </w:r>
      <w:r>
        <w:rPr>
          <w:rStyle w:val="FootnoteAnchor"/>
          <w:rtl w:val="true"/>
        </w:rPr>
        <w:footnoteReference w:id="558"/>
      </w:r>
      <w:r>
        <w:rPr>
          <w:rFonts w:ascii="Amiri" w:hAnsi="Amiri" w:eastAsia="Amiri" w:cs="Amiri"/>
          <w:color w:val="111111"/>
          <w:sz w:val="28"/>
          <w:sz w:val="28"/>
          <w:szCs w:val="28"/>
          <w:rtl w:val="true"/>
          <w:lang w:bidi="ar-SA"/>
        </w:rPr>
        <w:t>لكن وجوبه المتعلّق به وطلبه مشروط بمجيء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على الأوّل فعليّ ، ولا بأس باتّصاف مقدّمات الفعل الواجب على هذا الوجه بالوجوب ، إذ لا خلف حينئذ ، لأنّ ذاها أيضا متّصف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الوجوب على الوجه الثاني ، فإنّ الفعليّة إنّما هي منتفية في الواجب المشروط ، فيمتنع اتّصاف مقدّماته بالوجوب الفعلي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الموارد التي حكموا فيها بوجوب المقدّمة قبل وجوب ذيها يلتزم بأنّ الواجب </w:t>
      </w:r>
      <w:r>
        <w:rPr>
          <w:rStyle w:val="FootnoteAnchor"/>
          <w:rtl w:val="true"/>
        </w:rPr>
        <w:footnoteReference w:id="559"/>
      </w:r>
      <w:r>
        <w:rPr>
          <w:rFonts w:ascii="Amiri" w:hAnsi="Amiri" w:eastAsia="Amiri" w:cs="Amiri"/>
          <w:color w:val="111111"/>
          <w:sz w:val="28"/>
          <w:sz w:val="28"/>
          <w:szCs w:val="28"/>
          <w:rtl w:val="true"/>
          <w:lang w:bidi="ar-SA"/>
        </w:rPr>
        <w:t xml:space="preserve">معلّق ، بمعنى أنّ المطلوب هو الفعل المقيّد بوقت كذا ، ووجوب المقدّمة تابع لوجوب ذيها ، لا أنّه تابع لنفس الواجب ، فيمكن أن يكون وقت إيقاعها قبل زمان إيجاده ، لأنّ زمان اتّصاف الفعل المقيّد بالوجوب ليس متأخّرا عن زمان </w:t>
      </w:r>
    </w:p>
    <w:p>
      <w:pPr>
        <w:pStyle w:val="BookText"/>
        <w:rPr/>
      </w:pPr>
      <w:r>
        <w:rPr>
          <w:rFonts w:ascii="Amiri" w:hAnsi="Amiri" w:eastAsia="Amiri" w:cs="Amiri"/>
          <w:color w:val="111111"/>
          <w:sz w:val="28"/>
          <w:sz w:val="28"/>
          <w:szCs w:val="28"/>
          <w:rtl w:val="true"/>
          <w:lang w:bidi="ar-SA"/>
        </w:rPr>
        <w:t>اتّصاف المقدّمة بالوجوب ، بل يقارنه وإن كان زمان وقوع الفعل متأخّرا عن زمان وقوع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توضيح ما أفاده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موقوف على بيان 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على القول به وجوب عقليّ تابع للوجوب المتعلّق بذيها ، بمعنى أنّه بعد ما أدرك العقل تعلّق الطلب بشيء يتوقّف ذلك الشيء على امور عديدة يحكم بتعلّق ذلك الطلب في مرتبة من المراتب وطور من الأطوار على تلك الامور ، ولا يختلف ذلك باختلاف كواشف الطلب من اللفظ وما يصلح لأن يكون كاشفا عنه ، فالوجوب المنتزع من المقدّمة بواسطة مطلوبيّتها المتفرّعة على مطلوبيّة ذيها ، ويتبع نفس الطلب المتعلّق بذيها وواقعه وإن كان التعبير في ذلك أيضا مختلفا ما لم يؤدّ إلى اختلاف معنى الطلب ولبّه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الأمر المنقدح في نفس الطالب ممّا لا يختلف باختلاف ما يكشف عنه من الألفاظ ، فلا يعقل اختلاف الطلب المتعلّق بالمقدّمة ، إذ المدار في وجوبها وإيجاد وجوبه هو وجوب ذيها المفروض عدم اختلافه في نفس الأمر باختلاف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ممّا لا ينبغي أن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قد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لنا بعد التأمّل في موارد استعمال العبارتين اللتين أوردهما المجيب في بيان الفرق بين ما تخيّله من نوعي الوجوب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نفس الآمر والطالب شيء واحد لا اختلاف فيه على الوجهين ، وإنّما الاختلاف راجع في الحقيقة إلى التعبير وإن استلزم ذلك اختلاف ملاحظات المعنى المعبّر عنه بهذه التعبيرات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يظهر عند ملاحظة اختلاف وجوه التراكيب اللغويّة والنحويّة ، فإنّ الموجود في الواقع هو أمر واحد ، لكنّه تختلف عباراته بوجوه مختلفة ، كما يرى ذلك فيما هو ثابت لشيء ، كالركوب لزيد ، فإنّه قد يلاحظ خبرا عنه محمولا عليه ، وقد يلاحظ صفة له ونعتا منه ، وقد يعتبر حالا عنه ، مع أنّ الواقع في جميع هذه الصور هو ثبوت الركوب وحصوله لزيد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نحن فيه بعينه من هذا القبيل ، فإنّه لا يفرق عندنا فيما ينقدح في أنفسنا عند طلبنا شيئا في زمان ، بين أن يجعل الزمان بحسب القواعد النحويّة قيدا للحكم الذي هو الوجوب ، وبين أن يجعل قيدا للفعل الذي تعلّق به الحكم ، وذلك ظاهر لمن راجع وجدانه وأنصف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غاية الظهور فيما لو تجرّد الطلب من الكواشف اللفظيّة وثبت تحقّقه في نفس الطالب بدليل لبّي ، فهل تجد من نفسك فرقا فيما علمت بوجوب شيء في زمان بين الوجهين؟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محصّل المعنى بين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كذا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كذا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المعنى الموجود الذي يدعو إلى إظهاره وداعي الأمر فيهما أمر واحد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التعبير عنه بأحد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تابعة لما يستفاد من عنوان الدليل ، واختلاف ورود الأدلّة فيما نحن فيه بصدده يكفي ، كما قد سبق نظيره في الفرق بين الواجب المطلق والواجب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ظاهر الفساد بعد ما قرّرنا في التمهيد ، من أنّ وجوب المقدّمة تابع لما هو واقع الطلب ولبّه </w:t>
      </w:r>
      <w:r>
        <w:rPr>
          <w:rStyle w:val="FootnoteAnchor"/>
          <w:rtl w:val="true"/>
        </w:rPr>
        <w:footnoteReference w:id="560"/>
      </w:r>
      <w:r>
        <w:rPr>
          <w:rFonts w:ascii="Amiri" w:hAnsi="Amiri" w:eastAsia="Amiri" w:cs="Amiri"/>
          <w:color w:val="111111"/>
          <w:sz w:val="28"/>
          <w:sz w:val="28"/>
          <w:szCs w:val="28"/>
          <w:rtl w:val="true"/>
          <w:lang w:bidi="ar-SA"/>
        </w:rPr>
        <w:t>، وبعد تسليم اتّحاده لا وجه لاختلاف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 المشروط والمطلق فنحن بعد ما بيّنّا اختلاف المعنى فيهما استكشفنا من كلّ لفظ وارد في مقام البيان ما يناسبه من المعنى ، ولم نقل بأنّ مجرّد الاختلاف في العبارة كاف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يعقل أن يكون ذلك مناطا فيما هو راجع إلى المعنى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المعنى الواحد المعبّر عنه بالعبارتين لا محالة يختلف وجوبه واعتباراته عند اختلاف العبارة ، كما يظهر ذلك عند ورود الركوب حالا أو صفة أو خبرا ، إذ لا شكّ في اختلاف ملاحظات ذلك المعنى الموجود المحكيّ عنه بهذه الخطابات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ممّا لا مدخل فيه لما نحن بصدده ، لاختصاص التبعيّة بما هو واقع المعنى ، كما يظهر ذلك فيما هو متعلّق بما هو الواقع في المثال المذكور ، فإنّ حقيقة ثبوت الركوب لزيد يقتضي اتّحاد الركوب المأخوذ لا بشرط شيء أو المشتقّ منه مع زيد في الوجود ، وذلك لمّا كان من لوازم ذلك المعنى فلا يختلف باختلاف ملاحظاته ولا باختلاف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الامور الراجعة إلى الألفاظ أو ملاحظات المعنى كالأحكام اللفظيّة من الرفع والنصب والتنكير والتعريف يختلف باختلاف العبارات ، وقد عرفت في التمهيد أنّ الوجوب العارض للمقدّمة من لوازم واقع الطلب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كلامه </w:t>
      </w:r>
      <w:r>
        <w:rPr>
          <w:rStyle w:val="FootnoteAnchor"/>
          <w:rtl w:val="true"/>
        </w:rPr>
        <w:footnoteReference w:id="561"/>
      </w:r>
      <w:r>
        <w:rPr>
          <w:rFonts w:ascii="Amiri" w:hAnsi="Amiri" w:eastAsia="Amiri" w:cs="Amiri"/>
          <w:color w:val="111111"/>
          <w:sz w:val="28"/>
          <w:sz w:val="28"/>
          <w:szCs w:val="28"/>
          <w:rtl w:val="true"/>
          <w:lang w:bidi="ar-SA"/>
        </w:rPr>
        <w:t xml:space="preserve">أنّ نسبة الفعل إلى الزمان والمكان متساوية ، والفعل قد يؤخذ المكان فيه قيدا على وجه يختلف المعنى الموجود في نفس الطالب فيه إذا كان المطلوب ممّا يختصّ بكونه وحصوله في ذلك المكان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بالبطّيخ الموجود في بلد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التقييد على ذلك الوجه يغاير التقييد على وجه آخر ، كما إذا لم يكن المطلوب ممّا يختصّ بكونه في مكان خاصّ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بالبطّيخ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المأمور به على الأوّل هو البطّيخ الحاصل في ذلك المكان ، بحيث لو أتى بدلا عنه ما يكون في بلد آخر لم يكن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هو مطلق البطيّخ ، ولكنّه يريده منه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يؤخذ المكان في الفعل على وجه لا يختلف المعنى فيه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في مكان كذا فجئني بالبطّيخ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بالبطّيخ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نسبة الفعل إلى الزمان والمكان متساوية ، فيمكن أن يكون الزمان قيدا على وجه يختلف المأمور به فيه ، كما عرفت في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إبداء الفرق بين هذين الوجهين من التعبير ، فالتكليف المذكور لعلّه ممّا لا يرضى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والمكان قد يؤخذان ظرفين لنفس الفعل المأمور به ، كما إذا أخذ المكان ظرفا للصلاة التي هي عبارة عن فعل خاصّ وحركة مخصوصة ، أو اخذ الزمان ظرفا له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يؤخذان ظرفين لما يتعلّق به الفعل المأمور به ، كما في مثال البطّيخ ، فإنّ المكان فيه ليس ظرفا للفعل الذي أمر به الآمر وطلبه منه وهو الإتيان ، وإن أمكن تقييد الفعل بالمكان المذكور أيضا ، والكلام إنّما هو فيما إذا كان الزمان قيدا لنفس الفعل لا لمتعلّقه ، كما يظهر ذلك من الأمثلة التي فيها الإشكال ، كما في الغسل للصوم وتعلّم المسائل للصلاة ، وغير ذلك ممّا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فالاحتمال المذكور ممّا لا مساس له بكلام المجيب ، وإنّما يحتمله من لا خبرة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ينهض وجها من وجوه اختلاف الفعل المطلوب ، إذ باختلاف المتعلّق عموما وخصوصا يختلف الفعل أيضا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فرق فيما ينقدح في نفس الآمر بين أن يكون الزمان بحسب القواعد اللغويّة قيدا للفعل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وللحكم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وقت كذا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من أنّه هو المناط في الأحكام التي نحن بصددها من لوازم الوجوب ينبغي العلم بفساد الوجه المذكور في مقام دفع الإشكال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اتّحاد المعنى على الوجهين ظاهر ، بناء على ما ذهب إليه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الأحكام للمصالح والمفاسد ؛ إذ الفعل يختلف مصالحه ومفاسده باعتبار قيوده الطارئة عليه ووجوهه اللاحقة له ، ومن جملة وجوهه وقوعه في زمان خاصّ ، فالطالب إذا تصوّر الفعل المطلوب فهو إمّا أن يكون المصلحة الداعية إلى طلبه </w:t>
      </w:r>
    </w:p>
    <w:p>
      <w:pPr>
        <w:pStyle w:val="BookText"/>
        <w:rPr/>
      </w:pPr>
      <w:r>
        <w:rPr>
          <w:rFonts w:ascii="Amiri" w:hAnsi="Amiri" w:eastAsia="Amiri" w:cs="Amiri"/>
          <w:color w:val="111111"/>
          <w:sz w:val="28"/>
          <w:sz w:val="28"/>
          <w:szCs w:val="28"/>
          <w:rtl w:val="true"/>
          <w:lang w:bidi="ar-SA"/>
        </w:rPr>
        <w:t>موجودة فيه على تقدير وجوده في ذلك الزمان فقط ، أو لا يكون كذلك بل المصلحة فيه تحصل على تقدير خلافه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فلا بدّ من أن يتعلّق الأمر بذلك الفعل على الوجه الذي يشتمل على المصلحة ، كأن يكون المأمور به هو الفعل المقيّد بحصوله في الزمان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يجب أن يتعلّق الأمر بالفعل المطلق بالنسبة إلى خصوصيّات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هناك قسم ثالث يكون القيد الزماني راجعا إلى نفس الطلب دون الفعل المطلوب ، فإنّ تقييد الطلب حقيقة ممّا لا معنى له ؛ إذ لا إطلاق في الفرد الموجود منه المتعلّق بالفعل حتّى يصحّ القول بتقييده بالزمان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يحتمل رجوعه إلى الطلب الذي يدلّ عليه الهيئة فهو عند التحقيق راجع إلى نفس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يظهر عدم اختلاف المعنى الذي هو المناط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ذلك غير مبنيّ على مذهب العدليّة ، إذ على القول بانتفاء المصلحة والمفسدة أيضا يتمّ ما ذكرنا ؛ فإنّ العاقل إذا توجّه إلى أمر والتفت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يتعلّق طلبه بذلك الشيء أو لا يتعلّق طلبه به ، لا كلام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 فإمّا أن يكون ذلك الأمر موردا لأمره وطلبه مطلقا على جميع اختلاف طوارئه أو على تقدير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التقدير الخاصّ قد يكون شيئا من الامور الاختياريّة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دخلت الدار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الامور التي لا مدخل للمأمور فيه لعدم ارتباطه بما هو مناط تكليفه ، كما في الزمان وأمثاله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فيما إذا كان المطلوب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مقيّدا بتقدير خاصّ راجع إلى الأفعال الاختياريّة فقد عرفت فيما تقدّم اختلاف وجوه مصالح الفعل ، إذ قد يكون المصلحة في الفعل على وجه يكون ذلك القيد خارجا عن المكلّف به ، بمعنى أنّ المصلحة في الفعل المقيّد لكن على وجه لا يكون ذلك القيد أيضا موردا للتكليف ، هذا على القول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فالطلب </w:t>
      </w:r>
    </w:p>
    <w:p>
      <w:pPr>
        <w:pStyle w:val="BookText"/>
        <w:rPr/>
      </w:pPr>
      <w:r>
        <w:rPr>
          <w:rFonts w:ascii="Amiri" w:hAnsi="Amiri" w:eastAsia="Amiri" w:cs="Amiri"/>
          <w:color w:val="111111"/>
          <w:sz w:val="28"/>
          <w:sz w:val="28"/>
          <w:szCs w:val="28"/>
          <w:rtl w:val="true"/>
          <w:lang w:bidi="ar-SA"/>
        </w:rPr>
        <w:t>متعلّق بالفعل على هذا الوجه فيصير واجبا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المصلحة في الفعل المقيّد مطلقا فيصير واجبا مطلقا ، لكن المطلوب شيء خاصّ يجب تحصيل تلك الخصوصيّة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في المشروط يظهر الإطلاق أيضا بناء على عدم المصلحة لتعلّق الطلب بالفعل على الوجه المذكور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لم يكن راجعا إلى الامور الاختيارية فالمطلوب في الواقع هو الفعل المقيّد بذلك التقدير الخاصّ ، ولا يعقل فيه الوجهان كما إذا كان فعلا اختياريّا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 التقييد تارة إلى الفعل واخرى إلى الحكم بحسب القواعد العربيّة ممّا لا يجدي </w:t>
      </w:r>
      <w:r>
        <w:rPr>
          <w:rStyle w:val="FootnoteAnchor"/>
          <w:rtl w:val="true"/>
        </w:rPr>
        <w:footnoteReference w:id="563"/>
      </w:r>
      <w:r>
        <w:rPr>
          <w:rFonts w:ascii="Amiri" w:hAnsi="Amiri" w:eastAsia="Amiri" w:cs="Amiri"/>
          <w:color w:val="111111"/>
          <w:sz w:val="28"/>
          <w:sz w:val="28"/>
          <w:szCs w:val="28"/>
          <w:rtl w:val="true"/>
          <w:lang w:bidi="ar-SA"/>
        </w:rPr>
        <w:t>بعد اتّحاد المناط في هذه المسألة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جميع ما مرّ أنّ سلوك هذا الطريق ممّا لا يجدي في 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المقام مسلك آخر لعلّه حاسم لمادّة الشبهة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بعضهم أيضا ، كما نشير إليهم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الحاكم بوجوب المقدّمة إنّما هو العقل على القول بالوجوب ، فالقاضي في أمثال هذه الاختلافات الواقعة فيه هو ذلك الحاكم ، ولا بدّ من ملاحظة حكم العقل الخالي عن شوائب الوهم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الواجب الموقوف على حضور زمان تارة يكون ذلك الزمان واسعا صالحا لوقوع الفعل بجميع مقدّماته فيه ، وتارة يكون بقدر وقوع ذات الفعل فقط من غير أن يصلح لوقوع المقدّمات أيضا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كما في الصلاة بالنسبة إلى الطهارة ، والثاني كما في الصوم بالنسبة إلى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 إمّا أن يكون المكلّف عالما باقتداره من المكلّف به وقت حضور زمانه بإتيانه على جميع أجزائه وشرائطه ولواحقه ، أو يشكّ في ذلك ، أو يعلم بعدم اقتداره له في ذلك الزمان ، لكنّه قادر على تمهيد مقدّماته قبل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جواز التأخير عند علمه باقتداره من المكلّف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الشكّ أيضا ممّا لا دخل لها بالمقام ؛ لأنّ المرجع في ذلك إلى الاصول العمليّة ، ولعلّ الأصل عدم الوجوب في ذلك الزمان ، والظنّ به ملحق إمّا بالعلم أو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العلم بعدم اقتداره في ذلك الوقت مع تمكّنه من المقدّمات قبله ، كما إذا أمر المولى عبده بالمسافرة بعد الزوال مع علمه بعدم تمكّنه من الراحلة بعده وتمكّنه قبله ، فإن تهيّأ الإتيان </w:t>
      </w:r>
      <w:r>
        <w:rPr>
          <w:rStyle w:val="FootnoteAnchor"/>
          <w:rtl w:val="true"/>
        </w:rPr>
        <w:footnoteReference w:id="565"/>
      </w:r>
      <w:r>
        <w:rPr>
          <w:rFonts w:ascii="Amiri" w:hAnsi="Amiri" w:eastAsia="Amiri" w:cs="Amiri"/>
          <w:color w:val="111111"/>
          <w:sz w:val="28"/>
          <w:sz w:val="28"/>
          <w:szCs w:val="28"/>
          <w:rtl w:val="true"/>
          <w:lang w:bidi="ar-SA"/>
        </w:rPr>
        <w:t>بذلك الواجب بترتيب مقدّماته من شراء الزاد وإجارة الراحلة ونحو ذلك ، فلا ينبغي أن يتأمّل في أنّ ذلك العبد مطيع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تخلّف عنها ولم يتهيّأ للواجب وأهمل في تمهيد المقدّمات ، فالعقل المستقيم حاكم جزما باستحقاقه العقاب المترتّب على ترك الواجب عند تركه ما يمكن التوصّل به إليه ، ولا يتوقّف ذلك على حضور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عمّا ذكرنا ملاحظة الوجدان الخالي عن الاعتساف وملاحظة طريقة العقلاء أيضا ، فإنّه يحسن من المولى ذمّ العبد حينئذ ، ولو اعتذر بعدم حضور الوقت فلا يستحقّ أن يصغى إلى اعتذاره ، كيف وهو عاص قطعا ومخالف جدّا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لم يكن الزمان واسعا للمقدّمة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 المخالفة عند تركه المقدّمة أظهر ولا قبح في عقابه عند العقل ، وحيث إنّك قد عرفت أنّ القاضي بالوجوب فيما نحن بصدده هو العقل ، فلا مانع من اتّصاف المقدّمة </w:t>
      </w:r>
    </w:p>
    <w:p>
      <w:pPr>
        <w:pStyle w:val="BookText"/>
        <w:rPr/>
      </w:pPr>
      <w:r>
        <w:rPr>
          <w:rFonts w:ascii="Amiri" w:hAnsi="Amiri" w:eastAsia="Amiri" w:cs="Amiri"/>
          <w:color w:val="111111"/>
          <w:sz w:val="28"/>
          <w:sz w:val="28"/>
          <w:szCs w:val="28"/>
          <w:rtl w:val="true"/>
          <w:lang w:bidi="ar-SA"/>
        </w:rPr>
        <w:t>بالوجوب قبل حضور زمان الواجب ، لأنّ العلم بمجيء زمان الفعل الواجب مع عدم اقتداره عليه بدون إحراز المقدّمة قبله كاف في انتزاع المطلوبيّة والوجوب من المقدّمة عند العقل ، فيحكم بوجوب إتيانها وإحرازها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يرتفع الإشكال عن أصله ؛ إذ لا محذور في أن يكون الشيء الواجب موقوفا على مقدّمة يجب تحصيلها قبل زمان الواجب بعد ما هو المفروض من تعلّق الوجوب بذلك الشيء على ما حقّقنا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في الواجب المشروط أيضا وجوب فعلي ، غاية الأمر أنّ الواجب فعل مخصوص على تقدير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بمزيّة الفرع على الأصل ؛ فإنّ مراعاة المقدّمة عين مراعاة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الواجب المشروط يتعلّق بالفعل بعد حضور زمانه ووجود الشرط ، فليس وجوبه فعليّا ، ومع ذلك لا يعقل الوجوب الفعلي في المقدّمة ؛ إذ لو كان فيلزم مزيّة الفرع على الأصل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صفة منتزعة من الفعل الواجب الذي تعلّق به الطلب في نظر الطالب ، وبعد تحقّق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لعدم اتّصاف ذلك الفعل بالوجوب ، لوجوب ما هو المناط في انتزاعه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الطلب ليس علّة تامّة لانتزاع تلك الصفة عن محلّها ، بل هو مقتض له فلا ينافي وجود المانع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حضور زمان الواجب أو وجود الشرط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في محلّه ؛ إذ لا نعني بالوجوب إلاّ كون الفعل على أيّ وجه فرض في تعلّق الطلب به غير جائز الترك إن مطلقا فمطلقا وإن مشروطا فمشروطا ، وهو حاصل في الواجب الموقوف على حصول شيء زمانا كان أو غيره ، لأنّ المناط في ذلك هو الإنشاء والطلب ، والمفروض أنّ الطالب قد تعلّق طلبه بالفعل وأقام بجميع وظائف الطالبيّة ، ويكفي ذلك في انتزاع الصفة المذكورة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المطلوب إمّا أن يكون قبل الوقت جائز الترك أو لا ، فعلى </w:t>
      </w:r>
    </w:p>
    <w:p>
      <w:pPr>
        <w:pStyle w:val="BookText"/>
        <w:rPr/>
      </w:pPr>
      <w:r>
        <w:rPr>
          <w:rFonts w:ascii="Amiri" w:hAnsi="Amiri" w:eastAsia="Amiri" w:cs="Amiri"/>
          <w:color w:val="111111"/>
          <w:sz w:val="28"/>
          <w:sz w:val="28"/>
          <w:szCs w:val="28"/>
          <w:rtl w:val="true"/>
          <w:lang w:bidi="ar-SA"/>
        </w:rPr>
        <w:t>الأوّل يلزم اتّصاف المقدّمة بالوجوب وعدم جواز الترك قبل ذيها ، وعلى الثاني يلزم اتّصاف الفعل المذكور بجواز الترك قبله كما هو المفروض أوّلا ، وعدمه كما هو اللازم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الفعل في الحال بالوجوب في وقته يكفي في اتّصاف المقدّمة بعدم </w:t>
      </w:r>
      <w:r>
        <w:rPr>
          <w:rStyle w:val="FootnoteAnchor"/>
          <w:rtl w:val="true"/>
        </w:rPr>
        <w:footnoteReference w:id="566"/>
      </w:r>
      <w:r>
        <w:rPr>
          <w:rFonts w:ascii="Amiri" w:hAnsi="Amiri" w:eastAsia="Amiri" w:cs="Amiri"/>
          <w:color w:val="111111"/>
          <w:sz w:val="28"/>
          <w:sz w:val="28"/>
          <w:szCs w:val="28"/>
          <w:rtl w:val="true"/>
          <w:lang w:bidi="ar-SA"/>
        </w:rPr>
        <w:t>جواز الترك فيما لو علمنا بأنّ تركها يفضي إلى تركه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على الفعل في زمانه شرط لوجوب الفعل ، إذ القدرة من شرائط الوجوب ، وبعد تركه في الحال مقدّمة الفعل يصير المكلّف داخلا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تكليف على العاجز ، فلا مخالفة ؛ لأنّها فرع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بلزوم تحصيل القدرة يوجب القول بوجوب المقدّمة الوجوبيّة ، ولعلّه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باشتراط الوجوب بالقدرة هو العقل ، لامتناع التكليف بما لا يطاق في حقّ الحكيم العدل ، وليس يمتنع التكليف بالفعل مع تمكّنه واقتداره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منعه نفسه من تعلّق التكليف به فهو أمر راجع إلى المعصية الحكميّة ؛ إذ كما أنّ العقل حاكم بقبح المخالفة كذلك أيضا حاكم بقبح تفويت التكليف ، كما يظهر من ملاحظة </w:t>
      </w:r>
      <w:r>
        <w:rPr>
          <w:rStyle w:val="FootnoteAnchor"/>
          <w:rtl w:val="true"/>
        </w:rPr>
        <w:footnoteReference w:id="567"/>
      </w:r>
      <w:r>
        <w:rPr>
          <w:rFonts w:ascii="Amiri" w:hAnsi="Amiri" w:eastAsia="Amiri" w:cs="Amiri"/>
          <w:color w:val="111111"/>
          <w:sz w:val="28"/>
          <w:sz w:val="28"/>
          <w:szCs w:val="28"/>
          <w:rtl w:val="true"/>
          <w:lang w:bidi="ar-SA"/>
        </w:rPr>
        <w:t>إطباق العدليّة على استحقاق العقاب لمن سمع دعوى النبوّة ولم ينظر في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يظهر ذلك فيما إذا أراد المولى إعلام عبده لمراده مع امتناع العبد من أن يصغى إلى أمره ، بل وذلك ربما يكون أعظم مخالفة من تفويت المكلّف به ، كما لا يخفى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العاجز المذكور حينئذ مكلّف بالفعل واقعا وإن لم يكن قادرا عليه ، لأنّ الممتنع بالاختيار لا ينافي الاختيار ، إذ لا اختصاص لهذا القول </w:t>
      </w:r>
    </w:p>
    <w:p>
      <w:pPr>
        <w:pStyle w:val="BookText"/>
        <w:rPr/>
      </w:pPr>
      <w:r>
        <w:rPr>
          <w:rFonts w:ascii="Amiri" w:hAnsi="Amiri" w:eastAsia="Amiri" w:cs="Amiri"/>
          <w:color w:val="111111"/>
          <w:sz w:val="28"/>
          <w:sz w:val="28"/>
          <w:szCs w:val="28"/>
          <w:rtl w:val="true"/>
          <w:lang w:bidi="ar-SA"/>
        </w:rPr>
        <w:t>عند أصحابه بما إذا كان التكليف منجّزا كما إذا قطع يده بعد الزوال ، بل يجري مناط كلامهم فيما إذا صار المكلّف سببا لارتفاع نفس التكليف على أيّ وجه كان ، فيشمل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بالاختيار ينافي الاختيار تكليفا وخطابا ولو كان ابتلائيّا ، لعلم الممتنع عليه بامتناعه في حقّه ، فلا يصلح للخطاب أصلا ، وإنّما لا ينافي الاختيار عقابا ، كما ستعرف الوجه في ذلك فيما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فالتارك المذكور معاقب ، ولكنّه ليس مخاطبا ، وعقابه إنّما هو عقاب تفويته التكليف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يلازم القول بوجوب جميع المقدّمات قبل الوقت مع العلم بعدم تمكّنه منها بعد الوقت ، مع أنّ الظاهر عدم وجوب بعض المقدّمات قبل الوقت وإن أدّى ذلك إلى ترك ذيها في الوقت ، كما في إحراز الماء قبل الظهر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الماء يجب إحرازه قبل الوقت ، كما صرّح بذلك الوحيد البهبهاني </w:t>
      </w:r>
      <w:r>
        <w:rPr>
          <w:rStyle w:val="FootnoteAnchor"/>
          <w:rtl w:val="true"/>
        </w:rPr>
        <w:footnoteReference w:id="568"/>
      </w:r>
      <w:r>
        <w:rPr>
          <w:rFonts w:ascii="Amiri" w:hAnsi="Amiri" w:eastAsia="Amiri" w:cs="Amiri"/>
          <w:color w:val="111111"/>
          <w:sz w:val="28"/>
          <w:sz w:val="28"/>
          <w:szCs w:val="28"/>
          <w:rtl w:val="true"/>
          <w:lang w:bidi="ar-SA"/>
        </w:rPr>
        <w:t>، ووجهه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فكلّما علمنا بجواز ترك المقدّمة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استفدنا ذلك من إجماع أو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الوجوب في ذلك الواجب هو القدرة على ذلك الواجب وشرائطه في زمان وجوبه ، فيكون من الشروط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تخصيصا لحكم العقل ، إذ القدرة المعتبرة في الفعل إذا قدرة خاصّة بحسب حكم الشرع ، فلا يجب تحصيل الراحلة قبل حصول الاستطاعة وإن علم باستطاعته فيما بعد ، ولا يجب إحراز الماء أيضا ، كما قد يمكن استفادة ذلك من دليل الوضوء ، فإنّ إقامة الصلاة إنّما هي بعد الوقت وقد توقّف وجوب الوضوء </w:t>
      </w:r>
      <w:r>
        <w:rPr>
          <w:rStyle w:val="FootnoteAnchor"/>
          <w:rtl w:val="true"/>
        </w:rPr>
        <w:footnoteReference w:id="569"/>
      </w:r>
      <w:r>
        <w:rPr>
          <w:rFonts w:ascii="Amiri" w:hAnsi="Amiri" w:eastAsia="Amiri" w:cs="Amiri"/>
          <w:color w:val="111111"/>
          <w:sz w:val="28"/>
          <w:sz w:val="28"/>
          <w:szCs w:val="28"/>
          <w:rtl w:val="true"/>
          <w:lang w:bidi="ar-SA"/>
        </w:rPr>
        <w:t>بوجدان الماء حال إرادة الإقامة التي هي توجد بعد الوقت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فإن دلّ دليل على عدم الوجوب ، فلا بدّ من القول بأنّ الشرط هو القدرة الخاصّة ، وإلاّ فيجب الإتيان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في ذلك بين ما إذا كان الأمر الموقوف عليه الوجوب صفة راجعة إلى جنس المكلّف على وجه يختلف بها أنواعه كالمسافر والحاضر والمستطيع وغيره وواجد النصاب وغيره ، وبين 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بعدم وجوب المقدّمة الوجوديّة في مثل الأوّل ؛ لأنّ التكليف غير متوجّه إلى غير المستطيع ، لأنّه لا يكون عرضة للتكليف حال عدم الاستطاعة ، فلو أخلّ بشرط من شروط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يحصّل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ذلك تفويت التكليف ، فلا مخالفة لا حقيقة ولا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تراهم يقولون بأنّ إدخال المكلّف نفسه في موضع التكليف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بالوجوب فيما لا يرجع إلى اختلاف موضوع </w:t>
      </w:r>
      <w:r>
        <w:rPr>
          <w:rStyle w:val="FootnoteAnchor"/>
          <w:rtl w:val="true"/>
        </w:rPr>
        <w:footnoteReference w:id="570"/>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تارة تؤخذ عنوانا في الحكم على وجه لا مدخل للوصف العنواني في موضوع </w:t>
      </w:r>
      <w:r>
        <w:rPr>
          <w:rStyle w:val="FootnoteAnchor"/>
          <w:rtl w:val="true"/>
        </w:rPr>
        <w:footnoteReference w:id="571"/>
      </w:r>
      <w:r>
        <w:rPr>
          <w:rFonts w:ascii="Amiri" w:hAnsi="Amiri" w:eastAsia="Amiri" w:cs="Amiri"/>
          <w:color w:val="111111"/>
          <w:sz w:val="28"/>
          <w:sz w:val="28"/>
          <w:szCs w:val="28"/>
          <w:rtl w:val="true"/>
          <w:lang w:bidi="ar-SA"/>
        </w:rPr>
        <w:t>المكلّفين ، فيكون قيدا للفعل المكلّف به ، فيكون المكلّف حينئذ هو الذات التي تكون تلك الصفة عنوانا فيها ، وانتفاء الشرط في الفعل وإن كان يوجب انتفاء التكليف ، إلاّ أنّ ذلك لا يوجب انتفاء موضوع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يؤخذ قيدا للمكلّف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دخلت الدار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الملحوظ تنويع المكلّفين ، بل كان المقصود تقسيم الفعل المكلّف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محلّ تأمّل ؛ إذ لا نجد فرقا في محصّل المعنى </w:t>
      </w:r>
    </w:p>
    <w:p>
      <w:pPr>
        <w:pStyle w:val="BookText"/>
        <w:rPr/>
      </w:pPr>
      <w:r>
        <w:rPr>
          <w:rFonts w:ascii="Amiri" w:hAnsi="Amiri" w:eastAsia="Amiri" w:cs="Amiri"/>
          <w:color w:val="111111"/>
          <w:sz w:val="28"/>
          <w:sz w:val="28"/>
          <w:szCs w:val="28"/>
          <w:rtl w:val="true"/>
          <w:lang w:bidi="ar-SA"/>
        </w:rPr>
        <w:t>بين العبارتين على ما هو المناط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الفرق ففي الموارد ما لا يمكن استفادة ذلك الفرق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ما نحن بصدده من حرمة تفويت التكليف ببعض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زيادات التهذيب عن محمد بن الحسن ، عن صفوان ، عن العلاء ، عن محمد بن مسلم ، عن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الرجل يقيم في البلاد الأشهر ، ليس فيها ماء ، من أجل المراعي وصلاح الإبل؟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منعه عليه‌السلام الإقامة في مثل ذلك المكان إنّما هو تفويته التكليف على نفسه قبل مجيء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العبيدي ، عن حمّاد بن عيسى ، عن حريز ، عن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الرجل يجنب في السفر فلا يجد إلاّ الثلج أو ماء جامدا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الضرورة يتيمّم ، ولا أرى أن يعود إلى هذه الأرض التي توبق دينه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والظاهر منه أيضا المنع من تفويت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جواز الإقامة في البلاد التي لا يتمكّن المكلّف فيها من إقامة أحكام اللّه وحدوده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المفتري بالرؤيا يؤمر بأن يعقد شعيرة وما هو بعاقدها </w:t>
      </w:r>
      <w:r>
        <w:rPr>
          <w:rStyle w:val="FootnoteAnchor"/>
          <w:rtl w:val="true"/>
        </w:rPr>
        <w:footnoteReference w:id="575"/>
      </w:r>
      <w:r>
        <w:rPr>
          <w:rFonts w:ascii="Amiri" w:hAnsi="Amiri" w:eastAsia="Amiri" w:cs="Amiri"/>
          <w:color w:val="111111"/>
          <w:sz w:val="28"/>
          <w:sz w:val="28"/>
          <w:szCs w:val="28"/>
          <w:rtl w:val="true"/>
          <w:lang w:bidi="ar-SA"/>
        </w:rPr>
        <w:t>، فإنّه يدلّ على أنّ التكليف الذي نشأ من المكلّف امتناعه لا ضير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هذه الروايات ممّا لا ربط لها بما نحن بصدده ، لعدم التعويل عليها في مواردها ، وإنّما أوردناها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هو ما عرفت من حكم العقل باستحقاق العقاب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والخبير بمطاوي كلمات الأساطين يطّلع على أمثال ما ذكرنا ، فممّن تنبّه لمثل ما ذكرنا استاذ الكلّ في الكلّ </w:t>
      </w:r>
      <w:r>
        <w:rPr>
          <w:rStyle w:val="FootnoteAnchor"/>
          <w:rtl w:val="true"/>
        </w:rPr>
        <w:footnoteReference w:id="576"/>
      </w:r>
      <w:r>
        <w:rPr>
          <w:rFonts w:ascii="Amiri" w:hAnsi="Amiri" w:eastAsia="Amiri" w:cs="Amiri"/>
          <w:color w:val="111111"/>
          <w:sz w:val="28"/>
          <w:sz w:val="28"/>
          <w:szCs w:val="28"/>
          <w:rtl w:val="true"/>
          <w:lang w:bidi="ar-SA"/>
        </w:rPr>
        <w:t xml:space="preserve">المحقّق السبزواري </w:t>
      </w:r>
      <w:r>
        <w:rPr>
          <w:rStyle w:val="FootnoteAnchor"/>
          <w:rtl w:val="true"/>
        </w:rPr>
        <w:footnoteReference w:id="577"/>
      </w:r>
      <w:r>
        <w:rPr>
          <w:rFonts w:ascii="Amiri" w:hAnsi="Amiri" w:eastAsia="Amiri" w:cs="Amiri"/>
          <w:color w:val="111111"/>
          <w:sz w:val="28"/>
          <w:sz w:val="28"/>
          <w:szCs w:val="28"/>
          <w:rtl w:val="true"/>
          <w:lang w:bidi="ar-SA"/>
        </w:rPr>
        <w:t xml:space="preserve">والسيّد العلاّمة بحر العلوم في المصابيح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ذلك من أصحابنا في الفروع الفقهيّة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المرتدّ الفطري مأمور بالعبادات المشروطة صحّتها بالإسلام </w:t>
      </w:r>
      <w:r>
        <w:rPr>
          <w:rStyle w:val="FootnoteAnchor"/>
          <w:rtl w:val="true"/>
        </w:rPr>
        <w:footnoteReference w:id="579"/>
      </w:r>
      <w:r>
        <w:rPr>
          <w:rFonts w:ascii="Amiri" w:hAnsi="Amiri" w:eastAsia="Amiri" w:cs="Amiri"/>
          <w:color w:val="111111"/>
          <w:sz w:val="28"/>
          <w:sz w:val="28"/>
          <w:szCs w:val="28"/>
          <w:rtl w:val="true"/>
          <w:lang w:bidi="ar-SA"/>
        </w:rPr>
        <w:t xml:space="preserve">الغير الممكن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قبول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لذلك وجه إلاّ عقابه على تفويته التكليف على نفسه قبل مجيء زمان التكليف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بعقاب الكافر على ترك قضاء عباداته </w:t>
      </w:r>
      <w:r>
        <w:rPr>
          <w:rStyle w:val="FootnoteAnchor"/>
          <w:rtl w:val="true"/>
        </w:rPr>
        <w:footnoteReference w:id="580"/>
      </w:r>
      <w:r>
        <w:rPr>
          <w:rFonts w:ascii="Amiri" w:hAnsi="Amiri" w:eastAsia="Amiri" w:cs="Amiri"/>
          <w:color w:val="111111"/>
          <w:sz w:val="28"/>
          <w:sz w:val="28"/>
          <w:szCs w:val="28"/>
          <w:rtl w:val="true"/>
          <w:lang w:bidi="ar-SA"/>
        </w:rPr>
        <w:t>مع أنّه غير ممكن في حقّه ، إذ هو مشروط بالإسلام ، فإمّا يراد امتثال التكليف بالقضاء بدون الإسلام أو مع الإسلام ، فعلى الأوّل فهو تكليف بما لا يطاق ، إذ التكليف بالشيء المشروط بدون الشرط 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يراد منه ، لأنّ المفروض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عمّا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فعقابه على ترك مثل التكليف ليس إلاّ بواسطة تفويته التكليف على نفسه بإدخاله في الكفّار الممتنع في حقّهم أداء تكليف </w:t>
      </w:r>
    </w:p>
    <w:p>
      <w:pPr>
        <w:pStyle w:val="BookText"/>
        <w:rPr/>
      </w:pPr>
      <w:r>
        <w:rPr>
          <w:rFonts w:ascii="Amiri" w:hAnsi="Amiri" w:eastAsia="Amiri" w:cs="Amiri"/>
          <w:color w:val="111111"/>
          <w:sz w:val="28"/>
          <w:sz w:val="28"/>
          <w:szCs w:val="28"/>
          <w:rtl w:val="true"/>
          <w:lang w:bidi="ar-SA"/>
        </w:rPr>
        <w:t>القضاء ، إذ لو كان مسلما صحّ منه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صحّة الأمر بالقضاء فله محلّ آخر لعلّك تطّلع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بعقاب الجاهل المقصّر </w:t>
      </w:r>
      <w:r>
        <w:rPr>
          <w:rStyle w:val="FootnoteAnchor"/>
          <w:rtl w:val="true"/>
        </w:rPr>
        <w:footnoteReference w:id="581"/>
      </w:r>
      <w:r>
        <w:rPr>
          <w:rFonts w:ascii="Amiri" w:hAnsi="Amiri" w:eastAsia="Amiri" w:cs="Amiri"/>
          <w:color w:val="111111"/>
          <w:sz w:val="28"/>
          <w:sz w:val="28"/>
          <w:szCs w:val="28"/>
          <w:rtl w:val="true"/>
          <w:lang w:bidi="ar-SA"/>
        </w:rPr>
        <w:t>، سواء كان من جملة من يعلم إجمالا بوجود أحكام في الشريعة ولم يبذل جهده في تحصيلها ولا يبال بفوتها منه أو كان شاكّا صرفا ، فإنّ الظاهر منهم حكمهم بترتّب عقاب نفس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الفيض </w:t>
      </w:r>
      <w:r>
        <w:rPr>
          <w:rStyle w:val="FootnoteAnchor"/>
          <w:rtl w:val="true"/>
        </w:rPr>
        <w:footnoteReference w:id="582"/>
      </w:r>
      <w:r>
        <w:rPr>
          <w:rFonts w:ascii="Amiri" w:hAnsi="Amiri" w:eastAsia="Amiri" w:cs="Amiri"/>
          <w:color w:val="111111"/>
          <w:sz w:val="28"/>
          <w:sz w:val="28"/>
          <w:szCs w:val="28"/>
          <w:rtl w:val="true"/>
          <w:lang w:bidi="ar-SA"/>
        </w:rPr>
        <w:t xml:space="preserve">وأمين الأخباريّة </w:t>
      </w:r>
      <w:r>
        <w:rPr>
          <w:rStyle w:val="FootnoteAnchor"/>
          <w:rtl w:val="true"/>
        </w:rPr>
        <w:footnoteReference w:id="583"/>
      </w:r>
      <w:r>
        <w:rPr>
          <w:rFonts w:ascii="Amiri" w:hAnsi="Amiri" w:eastAsia="Amiri" w:cs="Amiri"/>
          <w:color w:val="111111"/>
          <w:sz w:val="28"/>
          <w:sz w:val="28"/>
          <w:szCs w:val="28"/>
          <w:rtl w:val="true"/>
          <w:lang w:bidi="ar-SA"/>
        </w:rPr>
        <w:t xml:space="preserve">والمحدّث البحراني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الكافر باللّه مكلّف بالإيمان به ، وحين كفره باللّه لا يكون مكلّفا بنبوّة نبيّنا صلى‌اللّه‌عليه‌وآله ، والمؤمن باللّه مكلّف بالإيمان بالرسول ، والمؤمن بالرسول مكلّف بالإيمان بالإمامة ، والمكلّف بالإمامة مكلّف بالأحكام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إلى بعض الروايات ، وتعلّقوا بذيل التأويل في قوله تعالى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وَلَمْ نَكُ نُطْعِمُ الْمِسْكِينَ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 الجاهل المقصّر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له علم إجمالي أيضا فظاهر أنّ عقابه بالامور الواقعيّة ليس إلاّ بواسطة تفويت التكليف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مع العلم الإجمالي فإن كان يمكن القول بالعقاب على ترك تكليفه المعلوم له ، فإنّه يجب عليه الاحتياط ، إلاّ أنّ الواقع أنّ الاحتياط أيضا واجب إرشادي لا عقاب على تركه ، وإنّما العقاب على ترك الواجبات ، فيكون العقاب عليها مع عدم العلم بها تفصيلا وامتناع امتثالها في حقّه بواسطة تفويت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بعقاب من توسّط أرضا مغصوبة حال الخروج منها </w:t>
      </w:r>
      <w:r>
        <w:rPr>
          <w:rStyle w:val="FootnoteAnchor"/>
          <w:rtl w:val="true"/>
        </w:rPr>
        <w:footnoteReference w:id="586"/>
      </w:r>
      <w:r>
        <w:rPr>
          <w:rFonts w:ascii="Amiri" w:hAnsi="Amiri" w:eastAsia="Amiri" w:cs="Amiri"/>
          <w:color w:val="111111"/>
          <w:sz w:val="28"/>
          <w:sz w:val="28"/>
          <w:szCs w:val="28"/>
          <w:rtl w:val="true"/>
          <w:lang w:bidi="ar-SA"/>
        </w:rPr>
        <w:t>مع أنّه يمتنع تكليفه بعدم الغصب حال الأمر بخروجه الذي هو غصب ، وليس ذلك إلاّ بواسطة أنّه فوّت التكليف على نفسه حال الدخول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الشهيدان ، من حرمة النوم الثاني في ليلة الصيام لمن لم يعزم على الانتباه ولم يكن معتادا </w:t>
      </w:r>
      <w:r>
        <w:rPr>
          <w:rStyle w:val="FootnoteAnchor"/>
          <w:rtl w:val="true"/>
        </w:rPr>
        <w:footnoteReference w:id="587"/>
      </w:r>
      <w:r>
        <w:rPr>
          <w:rFonts w:ascii="Amiri" w:hAnsi="Amiri" w:eastAsia="Amiri" w:cs="Amiri"/>
          <w:color w:val="111111"/>
          <w:sz w:val="28"/>
          <w:sz w:val="28"/>
          <w:szCs w:val="28"/>
          <w:rtl w:val="true"/>
          <w:lang w:bidi="ar-SA"/>
        </w:rPr>
        <w:t xml:space="preserve">، مع ذهابهما إلى المضايقة في حديث الغسل قبل الفجر ، إذ لو قيل بالمواسعة يمكن القول بالحرمة ، لأنّ زمان النوم زمان التكليف ، وأمّا على المضايقة فليس الحرمة إلاّ بواسطة احتمال تفويت التكليف في حقّه ، وإلاّ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النوم ليس زمان التكليف ولا يجب إبقاء القدرة فلا يحرم النوم وإن علم بعدم الانتباه قبل الفجر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منهم </w:t>
      </w:r>
      <w:r>
        <w:rPr>
          <w:rStyle w:val="FootnoteAnchor"/>
          <w:rtl w:val="true"/>
        </w:rPr>
        <w:footnoteReference w:id="588"/>
      </w:r>
      <w:r>
        <w:rPr>
          <w:rFonts w:ascii="Amiri" w:hAnsi="Amiri" w:eastAsia="Amiri" w:cs="Amiri"/>
          <w:color w:val="111111"/>
          <w:sz w:val="28"/>
          <w:sz w:val="28"/>
          <w:szCs w:val="28"/>
          <w:rtl w:val="true"/>
          <w:lang w:bidi="ar-SA"/>
        </w:rPr>
        <w:t xml:space="preserve">، من أنّه متى نذر واحد التصدّق بشاة مخصوصة على تقدير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حاجته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التصرّف فيها من نقل ونحوه مطلقا أو فيما إذا علم تحقّق المنذور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يخفى على المتتبّع في كلماتهم</w:t>
      </w:r>
      <w:r>
        <w:rPr>
          <w:rFonts w:eastAsia="Amiri" w:cs="Amiri" w:ascii="Amiri" w:hAnsi="Amiri"/>
          <w:color w:val="111111"/>
          <w:sz w:val="28"/>
          <w:szCs w:val="28"/>
          <w:rtl w:val="true"/>
          <w:lang w:bidi="ar-SA"/>
        </w:rPr>
        <w:t xml:space="preserve">. </w:t>
      </w:r>
      <w:bookmarkStart w:id="203" w:name="pg16254_218536"/>
    </w:p>
    <w:p>
      <w:pPr>
        <w:pStyle w:val="BookText"/>
        <w:rPr/>
      </w:pPr>
      <w:bookmarkEnd w:id="203"/>
      <w:r>
        <w:rPr>
          <w:rFonts w:ascii="Amiri" w:hAnsi="Amiri" w:eastAsia="Amiri" w:cs="Amiri"/>
          <w:color w:val="111111"/>
          <w:sz w:val="28"/>
          <w:sz w:val="28"/>
          <w:szCs w:val="28"/>
          <w:rtl w:val="true"/>
          <w:lang w:bidi="ar-SA"/>
        </w:rPr>
        <w:t>وبالجملة ، فلا قبح في العقول فيما إذا عاقب المولى عبده عند تقصيره فيما أمره به ولو بواسطة تفويته التكليف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إطباقهم على عدم وجوب مقدّمة الواجب المشروط ؛ لما عرفت من أنّ المقدّمة الوجوبيّة مع كونها من قيود الفعل لا ينبغي أن تكون موردا للتكليف ؛ لأنّ الطلب إنّما يتعلّق بالفعل الملحوظ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المقدّمات الوجوديّة الأخر ، فتارة نقول بأنّها لو قام الدليل على عدم وجوبها قبل الوقت فلا بدّ من الالتزام بأنّ القدرة المعتبرة في هذه الواجبات التي يتوصّل إليها بهذه المقدّمات قدرة خاصّة ، لا مطلق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نقول بأنّ ذلك يتمّ فيما لم يكن الشرط راجعا إلى تقسيم موضوع المكلّف ، كأن كان راجعا إلى تقسيم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تفصيل ذلك ، فلا نطيل بالإعادة ، فتدبّر في المقام ، فإنّه حقيق بذلك جدّا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418260_1280447820"/>
      <w:bookmarkStart w:id="205" w:name="_Toc67"/>
      <w:bookmarkEnd w:id="204"/>
      <w:r>
        <w:rPr>
          <w:rtl w:val="true"/>
        </w:rPr>
        <w:t xml:space="preserve">تتميم تحصيليّ </w:t>
      </w:r>
      <w:r>
        <w:rPr>
          <w:rtl w:val="true"/>
        </w:rPr>
        <w:t>:</w:t>
      </w:r>
      <w:bookmarkEnd w:id="20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وجوب المقدّمة على القول به وجوب يدعو إليه العقل بعد اطّلاعه على وجوب ذيها ، وبذلك يرتفع الإشكال في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العقل يدعو إلى الإتيان بالمقدّمة قبل زمان ذيها في كلّ زمان يقتدر عليه ولا يفرق بين الزمان المقارن لزمان ذيها وبين غيره ، أو يقتصر حكمه به في آخر زمان لا يتمكّن بعده من الامتثال؟ وجهان بل قولان ، كما يظهر ذلك من ملاحظة أقوالهم في الغسل قبل الفجر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هو الغسل في زمان يمكن أن يقع فيه قبل الفجر ، وهو المنسوب إلى المشهور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الغسل في أيّ جزء من أجزاء الليل كان ، وهو خيرة المحقّق الخونساري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ويمكن أن يكون مستند المشهور امورا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الغسل قبل زمان التضيّق ليس مقدّمة للواجب ولا شرطا له ؛ فإنّ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تحديده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من عدمه العدم ولا يلزم من وجوده الوجود ، ولا يلزم من عدم الغسل في غير آخر الوقت عدم المشروط ، إذ لو عدم في الأوّل يمكن إيجاده في آخر الوقت ، فلا يلزم من عدمه عدمه ، فلا يكون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أفاده بعض مشايخنا المعاصرين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أنّه ليس في محلّه ؛ فإنّ المراد بالعدم المأخوذ في تعريف الشرط الذي يلزم منه عدم المشروط هو عدمه مطلقا في جميع الأزمان ، لا عدمه في زمان خاصّ ، وإلاّ فعدمه في الزمان الآخر أيضا لا يلزم منه العدم إذا كان مسبوقا بوجود الشرط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فإن أراد أنّ عدمه في الجزء الأخير يلزم منه العدم وإن سبقه الوجود ، فهو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عدمه فيه مع عدمه في زمان قبله يلزم منه العدم ، فهو مسلّم لكنّه لا يجديه ، إذ عدمه في الجزء الأوّل مع عدمه في باقي الأجزاء أيضا يلزم منه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وجوب المقدّمة قبل الوقت لا يدلّ على أزيد من الزمان الذي يمكن أن يقع فيه الفعل المقدّمي قبل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اعتمد عليه الاستاذ في مباحث الطهارة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إيجاد المقدّمة في الخارج قبل الوقت ليس إلاّ العقل ، وهو لا يظهر منه التحريك إلى الفعل قبله ، لاطمئنانه بفعله بعده ، فلا دليل على الوجوب فيما عدا زمان التضيّق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بالوجوب في تمام الزمان ، إلاّ أنّ التوسعة فيه هو الباعث على اطمئنانه وعدم اضطرابه ، كما إذا كان الوجوب متعلّقا بماهيّة ذات أفراد مجتمعة في الوجود ، فإنّ العقل لا يبالي بترك بعض الأفراد ما لم ينحصر في الفرد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يمكن القول بأنّ الواجب من هذه الأفراد المجتمعة هو الفرد الأخير ، فكذا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 فإنّ التخيير في الأفراد المجتمعة في الوجود ممّا لا ضير فيه ، بخلاف التخيير بين غيرها كما في الأفراد المختلفة بحسب اختلاف مراتب الزمان تقدّما وتأخّرا ، فإنّ ذلك يشبه أن يكون التخيير بينها في الواجبات العقليّة تخييرا بين الواجب وما هو مسقط عنه ، كما إذا جعل التخيير بين الصوم والسفر المسقط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ذلك أيضا ممّا لا وجه له ؛ إذ لا نجد فرقا بين الأفراد المجتمعة وبين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التخيير بين الواجب ومسقطه ، فإنّ المصلحة الداعية إلى طلب الشيء في العقل حاصلة في جميع أفراد الواجب ، كما هو المعنيّ من الواجب الموسّع شرعا أيضا ، ولو لم يكن دليل على عدم وجوبه قبل الليل لكنّا نفتي بذلك في ذلك الزمان أيضا ، ولكنّ الإجماع متحقّق ظاهرا على عدم الوجوب قبل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عقليّ يمتنع تخصيصه ، فكيف يقول بقيام الإجماع؟</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الدليل المذكور يكشف عن أنّ الشرط هو القدرة في زمان خاصّ ، فلا غائلة في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يحكم بوجوب مقدّمة الواجب المشروط قبل الوقت ، ولكن ضيقه وعدم اتّساعه للفعل ومقدّماته يقوم مقام دخول الوقت ، فلا بدّ من الاقتصار على ما هو القدر المعلوم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ضير في وجوب المقدّمة قبل مجيء زمان ذيها ، فإنّه تابع للإرادة المتعلّقة بذيها قبل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يتعقّل ذلك قبل علمه بتحقّق إرادته ، بل لا يبعد ذلك فيما إذا علم العبد تعلّق إرادة المولى بعد ذلك بفعل لا يمكن امتثاله له إلاّ بإحراز مقدّمته في الحال ، كما لا يخفى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الضيق مقام دخول الوقت لو كان بلا دليل ففساده ممّا لا يحتاج إلى البيان ، وإن كان القاضي بذلك العقل فأوله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نظر العقل بين أجزاء الزمان الذي يمكن أن يقع فيه المقدّمة كائنا ما كان ، فالتحقيق في المقام هو القول بالتوسعة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والهداية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254_218541"/>
      <w:bookmarkStart w:id="207" w:name="pg16254_218541"/>
      <w:bookmarkEnd w:id="207"/>
    </w:p>
    <w:p>
      <w:pPr>
        <w:pStyle w:val="Heading3"/>
        <w:numPr>
          <w:ilvl w:val="2"/>
          <w:numId w:val="1"/>
        </w:numPr>
        <w:rPr/>
      </w:pPr>
      <w:bookmarkStart w:id="208" w:name="pg16254_218541"/>
      <w:bookmarkStart w:id="209" w:name="__RefHeading___Toc4418262_1280447820"/>
      <w:bookmarkStart w:id="210" w:name="_Toc68"/>
      <w:bookmarkEnd w:id="208"/>
      <w:bookmarkEnd w:id="209"/>
      <w:r>
        <w:rPr>
          <w:rtl w:val="true"/>
        </w:rPr>
        <w:t>هداية</w:t>
      </w:r>
      <w:bookmarkEnd w:id="210"/>
    </w:p>
    <w:p>
      <w:pPr>
        <w:pStyle w:val="BookText"/>
        <w:rPr/>
      </w:pPr>
      <w:r>
        <w:rPr>
          <w:rFonts w:ascii="Amiri" w:hAnsi="Amiri" w:eastAsia="Amiri" w:cs="Amiri"/>
          <w:color w:val="111111"/>
          <w:sz w:val="28"/>
          <w:sz w:val="28"/>
          <w:szCs w:val="28"/>
          <w:rtl w:val="true"/>
          <w:lang w:bidi="ar-SA"/>
        </w:rPr>
        <w:t>يصحّ اشتراط الوجوب عقلا بفعل محرّم مقدّم عليه زمانا ، سواء كان من المقدّمات الوجوديّة لذلك أم لا ، بل ذلك واقع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المشروط بطيّ المسافة على دابّة مغصوبة ، فإنّه من مقدّماته الوجوديّة ، ومع ذلك فعل محرّم ويشترط وجوب الحجّ بوقوعه عند انحصاره في وجه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 ، إذ قبل وقوعه لا وجوب وبعده يجب ، والمحرّم واقع عند ذلك ،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الكفّارات المترتّبة على الأفعال المحرّمة ، من الإفطار والاصطياد في الإحرام والظهار وغير ذلك ممّا لا يمكن الإحاطة بها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أن يكون الواجب مشروطا بمقدّمة محرّمة مقارنة للفعل في الوجود أولا؟ وجهان ، بل قولان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ثاني المحقّقين في جامع المقاصد هو الأوّل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الشيخ الأجلّ الفيلسوف </w:t>
      </w:r>
      <w:r>
        <w:rPr>
          <w:rStyle w:val="FootnoteAnchor"/>
          <w:rtl w:val="true"/>
        </w:rPr>
        <w:footnoteReference w:id="595"/>
      </w:r>
      <w:r>
        <w:rPr>
          <w:rFonts w:ascii="Amiri" w:hAnsi="Amiri" w:eastAsia="Amiri" w:cs="Amiri"/>
          <w:color w:val="111111"/>
          <w:sz w:val="28"/>
          <w:sz w:val="28"/>
          <w:szCs w:val="28"/>
          <w:rtl w:val="true"/>
          <w:lang w:bidi="ar-SA"/>
        </w:rPr>
        <w:t xml:space="preserve">في مقدّمات الكشف </w:t>
      </w:r>
      <w:r>
        <w:rPr>
          <w:rStyle w:val="FootnoteAnchor"/>
          <w:rtl w:val="true"/>
        </w:rPr>
        <w:footnoteReference w:id="596"/>
      </w:r>
      <w:r>
        <w:rPr>
          <w:rFonts w:ascii="Amiri" w:hAnsi="Amiri" w:eastAsia="Amiri" w:cs="Amiri"/>
          <w:color w:val="111111"/>
          <w:sz w:val="28"/>
          <w:sz w:val="28"/>
          <w:szCs w:val="28"/>
          <w:rtl w:val="true"/>
          <w:lang w:bidi="ar-SA"/>
        </w:rPr>
        <w:t xml:space="preserve">وتبعه في ذلك صهره الصفيّ التقيّ في تعليقاته على المعالم </w:t>
      </w:r>
      <w:r>
        <w:rPr>
          <w:rStyle w:val="FootnoteAnchor"/>
          <w:rtl w:val="true"/>
        </w:rPr>
        <w:footnoteReference w:id="597"/>
      </w:r>
      <w:r>
        <w:rPr>
          <w:rFonts w:ascii="Amiri" w:hAnsi="Amiri" w:eastAsia="Amiri" w:cs="Amiri"/>
          <w:color w:val="111111"/>
          <w:sz w:val="28"/>
          <w:sz w:val="28"/>
          <w:szCs w:val="28"/>
          <w:rtl w:val="true"/>
          <w:lang w:bidi="ar-SA"/>
        </w:rPr>
        <w:t xml:space="preserve">وتبعه أخوه الجليل في الفصول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فحكم فيه بصحّة الوضوء فيما إذا انحصر الماء في آنية مغصوبة وتوقّف الوضوء على الاغتراف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الثاني ، فحكموا بفساد الوضوء ؛ لعدم الأمر به حال انحصار مقدّمته في فعل محرّم ، إذ لا يعقل طلب فعل مع تحريم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انحصرت مقدّمة الواجب في فعل محرّم ، فتارة يعلم تخصيص 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قابلا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الحرمة ، فينحصر الوجوب بموارد لا يكون ذلك الواجب فيها موقوفا على 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يعلم تخصيص دليل الحرمة بما دلّ على الوجوب ، فلا يكون ذلك الفعل حراما فيما إذا توقّف عليه فعل الواجب ، كما في حفظ النفس الموقوف على التصرّف في ملك الغير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لا يعلم تخصيص أحدهما بالآخر ، لعدم ما يقضى بتخصيص أحدهما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فالمقدّمة إمّا أن يكون الاشتغال بها قبل الاشتغال بذيها ، لأنّها مقدّمة عليه زمانا أيضا ، كغسل الثوب للصلاة وطيّ المسافة للحج ونصب السلّم للصعود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الاشتغال بها حال الاشتغال بذيها ، كترك أحد الضدّين مقدّمة لفعل الآخر وكالاغتراف من الآنية المغصوبة حال الاشتغال بالوضوء ، وإن كان بين هذين المثالين فرق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ولا إشكال فيما إذا كان دليل الوجوب مخصّصا لدليل الحرمة ؛ إذ لا مانع في ذلك لا عقلا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ينبغي أن يرتاب في عدم الوجوب إذا كان دليل التحريم مخصّصا لدليل الوجوب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الأخيرة ، فلا إشكال أيضا في وجوب الفعل الموقوف على المقدّمة المحرّمة فيما إذا أقدم المكلّف بسوء اختياره على ارتكاب الفعل المحرّم وكانت المقدّمة مفارقة لذيها زمانا ، إذ لا محذور على ذلك التقدير ، فإنّ قبل وجودها لا </w:t>
      </w:r>
    </w:p>
    <w:p>
      <w:pPr>
        <w:pStyle w:val="BookText"/>
        <w:rPr/>
      </w:pPr>
      <w:r>
        <w:rPr>
          <w:rFonts w:ascii="Amiri" w:hAnsi="Amiri" w:eastAsia="Amiri" w:cs="Amiri"/>
          <w:color w:val="111111"/>
          <w:sz w:val="28"/>
          <w:sz w:val="28"/>
          <w:szCs w:val="28"/>
          <w:rtl w:val="true"/>
          <w:lang w:bidi="ar-SA"/>
        </w:rPr>
        <w:t>تكليف وبعدها لا توقّف للفعل الواجب على فعل محرّم ، فلا ضير في التكليف بالحجّ فيما إذا توقّف على ركوب دابّة مغصوبة موصلة إلى الميقات بعد وجود الموقوف عليه باختيار المكلّف الفعل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العقل ولا في الشرع ما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فلاشتراط الوجوب شرعا بنفس المعصية ، فعند عدم الشرط لا تكليف بالمشروط من دون تعلّق التكليف والوجوب بالمقدّمة الوجوبيّة أيضا ، وبعد وجوب المعصية وحصول الشرط يجب المشروط ولا يعقل تعلّق الطلب بالحاصل ، فلا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توقّف الواجب على فعل محرّم مقارن له في الوجود ، كترك أحد الضدّين الموقوف عليه فعل الآخر ، وكالاغتراف من الآنية المغصوبة للوضوء الموقوف على ذلك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على سقوط التكليف في هذه الصورة ؛ إذ لو كان الفعل الموقوف على المقدّمة المحرّمة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وجوبه مشروطا بحصول الشرط أو مطلقا أو معلّقا ، ولا رابع بحسب الفرض ، وإن كان الثالث أيضا فاسدا ؛ لما عرفت في الهداية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المفروض عدم تحقق الشرط قبل زمان الاشتغال بالفعل ، فلا تكليف بالفعل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التكليف بالفعل الموقوف على مقدّمة محرّمة تكليف بما لا يطاق ، لامتناع ارتكاب مقدّمته الوجوديّة شرعا ، والمانع الشرعي كالمانع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واجبا مطلقا يلزم أن يكون المقدّمة الوجوديّة المفضية إليه واجبة مع أنّها محرّمة ، والتالي واضح الفساد ، والملازمة ظاهرة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فلأنّ الواجب المعلّق على تقدير تعقّله فهو إنّما يثمر في غير ما هو المعلّق عليه ، وأمّا في نفس المقدّمة المعلّق عليها ، فالأمر فيها لا يخلو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w:t>
      </w:r>
      <w:r>
        <w:rPr>
          <w:rStyle w:val="FootnoteAnchor"/>
          <w:rtl w:val="true"/>
        </w:rPr>
        <w:footnoteReference w:id="599"/>
      </w:r>
      <w:r>
        <w:rPr>
          <w:rFonts w:ascii="Amiri" w:hAnsi="Amiri" w:eastAsia="Amiri" w:cs="Amiri"/>
          <w:color w:val="111111"/>
          <w:sz w:val="28"/>
          <w:sz w:val="28"/>
          <w:szCs w:val="28"/>
          <w:rtl w:val="true"/>
          <w:lang w:bidi="ar-SA"/>
        </w:rPr>
        <w:t>أن يكون متعلّقا للتكليف كما في المقدّمات الوجودية المحضة ، أولا يكون كما في المقدّمات الوجوبيّة ، وعلى التقديرين لا يعقل التكليف بالفعل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 فلما عرفت من اجتماع الحرمة والوجوب في شيء واحد ، مضافا إلى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أنّه فاسد في أصله ، لأنّ هذه المقدّمة المعلّق عليها من الأفعال الاختياريّة وطلب ذيها قاض بطلبها أيضا ، فيلزم المحذور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باشتراط الوجوب بوجوده ، فيكون من المقدّمات الوجوبيّة ، ولا يعقل التكليف قبل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الأجلّة زعموا عدم سقوط التكليف في هذه الصورة على اختلاف يسير في ذلك بينهم ،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الثاني في شرح قول العلاّمة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يصحّ الصلاة في أوّل وقتها ممّن عليه دين واجب الأداء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الحكم المذكور بأنّ الأمر بالأداء على الفور يقتضي النهي عن ضدّه ، والنهي في العبادة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المقدّمتين مبيّن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القول بالصحّة وأبطل الاستدلال بمنع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جملة كلام له في ذلك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الاحتجاج بأنّ أداء الدين مأمور به على الفور ، ولا يتمّ إلاّ بترك العبادة الموسّعة ، وما لا يتمّ الواجب إلاّ به واجب ، وما وجب تركه ففعله منهيّ عنه فتثبت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 يتمّ الواجب إلاّ به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 فإنّه إن اريد بذلك العموم منع ، لأنّ الواجب الموسّع لم يقم دليل على أنّ تركه يكون مقدّمة لواجب آخر مضيّق ، وظاهر الأوامر الواردة به الإطلاق في جميع وقته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ما سوى ترك الواجب فهو حقّ ، إلاّ أنّ المتنازع فيه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على الفور ينافي وجوب الصلاة في الوقت الموسّع ، لأنّه حين وجوب الصلاة إذا تحقّق وجوب القضاء على الفور يلزم التكليف بما لا يطاق ، وإن لم يبق خرج الواجب عمّا ثبت له من صفة الوجوب 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لزوم التكليف بما لا يطاق ، إذ لا يمتنع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كلاّ من الأمرين ، لكن أحدهما مضيّق والآخر موسّع فإن قدّمت المضيّق فقد امتثلت وسلمت من الإثم ، وإن قدّمت الموسّع فقد امتثلت وأثمت بالمخالفة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الأمر يرجع إلى وجوب التقديم وكونه غير شرط في الصحّة ، انتهى ما أفاده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مراده إجمالا ممّا أفاده الشيخ في الكشف ، قال في مبحث اقتضاء الأمر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المقدّمة بالحرام بعد شغل الذمّة لا ينافي الصحّة وإن استلزم المعصية ، وأيّ مانع من أن يقول الآمر المطاع لمأموره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عزمت معصيتي في ترك كذا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أقوى الوجوه في حكم جاهل الجهر والإخفات والقصر والإتمام ، فاستفادته من مقتضى الخطاب ، لا من دخوله تحت الخطاب ، فالقول بالاقتضاء وعدم الفساد أقرب إلى الصواب والسداد </w:t>
      </w:r>
      <w:r>
        <w:rPr>
          <w:rStyle w:val="FootnoteAnchor"/>
          <w:rtl w:val="true"/>
        </w:rPr>
        <w:footnoteReference w:id="6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أقوى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 المعروف بينهم ، من صحّة صلاة الجاهل بهما ولو كان مقصّرا مع التكليف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بالواقع مقدّم على تكليفه بما يخالفه ، فعلى تقدير المخالفة يصحّ صلاته وإن كان آثما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التوهّم هو الخلط بين اشتراط الوجوب بمقدّمة محرّمة مقدّمة على الواجب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طيّ المسافة إلى الميقات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اشتراطه بمقدّمة مقارنة له في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للمطلب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في المقام ، وهو أنّه لا يمتنع عند العقل أن يقول المولى الحكيم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احرّم عليك الكون في دار زيد ، ولكن لو عصيتني وكنت فيها فيجب عليك الكون في زاوية خاصة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حال كونه في تلك الزاوية منهيّ عن الكون فيه مطلقا ومأمور به بشرط الكون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غير خفيّ ، إذ لا يعقل أن يكون الأمر متعلّقا بالكون الخاص على تقدير تعلّق النهي بمطلق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يرى من تجويز ذلك في بعض المراتب ، فذلك ممّا لا يجدي ، إذ الموارد التي لا يستقبح فيها ذلك إنّما هي فيما إذا كانت المراتب المنهيّ عنها مختلفة شدّة وضعفا بواسطة اختلاف المفسدة الموجودة فيها ، ألا ترى أنّ مراتب الضرر الواردة على الإنسان كلّها مكروهة له ، ومع ذلك فلو خيّرنا بين الأقلّ والأكثر فالمختار هو الأقلّ ، وليس في ذلك محبوبيّة أبدا ، بل الأقلّ أيضا مكروه جدّا ، وحيث إنّه لا سبيل إلى دفعه يختار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اعتبار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لقياس ما نحن فيه بذلك ، إذ المقصود هو حصول الامتثال بالواجب الموسّع وموافقة الأمر وتحصيل المطلوب ، وامتناع هذه الامور ضروري فيما إذا كانت المقدمة منهيّة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سلك بعض أصحاب هذا القول مسلكا آخر في تعليقاته على المعالم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أنّ العصيان إنّما هو من مقدّمات الوجوب فلا يتّصف بالوجوب ، لما عرفت من أنّ المقدّمة الوجوبيّة غير واجبة ، فالأمر بالصلاة ليس منجّزا ما لم يحصل الشرط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استقام كلامه بما زعمه من جهة عدم لزوم التكليف بما لا يطاق ولا اجتماع الأمر والنهي في المقدّمة ، إلاّ أنّه مع ذلك غير مستقيم ، إذ الكلام في جواز </w:t>
      </w:r>
    </w:p>
    <w:p>
      <w:pPr>
        <w:pStyle w:val="BookText"/>
        <w:rPr/>
      </w:pPr>
      <w:r>
        <w:rPr>
          <w:rFonts w:ascii="Amiri" w:hAnsi="Amiri" w:eastAsia="Amiri" w:cs="Amiri"/>
          <w:color w:val="111111"/>
          <w:sz w:val="28"/>
          <w:sz w:val="28"/>
          <w:szCs w:val="28"/>
          <w:rtl w:val="true"/>
          <w:lang w:bidi="ar-SA"/>
        </w:rPr>
        <w:t>الدخول في الفعل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واستغربه ودفعه بأمر غير معقول عندنا ، وهو جواز تأخّر الشرط عن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جملة كلام له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الأهمّ لمّا كان مقدّمة للإتيان بغير الأهمّ وكان وجوب الشيء مستلزما في حكم العقل لوجوب مقدّمته بحيث يستحيل الانفكاك بينهما ، كما مرّ الكلام فيه ، وكيف يعقل وجوب غير الأهمّ مع انحصار مقدّمته إذا في الحرام؟ فيلزم حينئذ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الوجوب والحرمة في المقدّمة المفروضة أو القول بانفكاك وجوب المقدّمة عن ذيها ، ولا ريب في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تعلّق الطلب على فرض عصيان الأهمّ إنّما يفيد كون الطلب المتعلّق به مشروطا بذلك ، فيكون وجوب غير الأهمّ مشروطا بترك الأهمّ وإخلاء ذلك الزمان عن اشتغاله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عدم وجوب مقدّمة الواجب المشروط ، فلا مانع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وجود الواجب على المقدّمة المحرّمة إذا توقّف وجوبه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المقدّمة المفروضة متقدّمة على الفعل المفروض تمّ ما ذكر ، لتعلّق الوجوب به بعد تحقّق شرطه فيصحّ 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حصول المقدّمة مقارنة لحصول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ذلك ، إذ لا وجوب للفعل المفروض قبل حصول مقدّمة وجوبه ، فلا يصحّ صدوره من المكلّف ، وقد مرّت الإشارة إلى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إذا قيل بلزوم تقدّم حصول الشرط على المشروط بحسب الوجود وعدم جواز توقّف الشيء على الشرط المتأخّر بأن يكون وجوده في الجملة كافيا في حصول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قيل بجواز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الإجازة </w:t>
      </w:r>
    </w:p>
    <w:p>
      <w:pPr>
        <w:pStyle w:val="BookText"/>
        <w:rPr/>
      </w:pPr>
      <w:r>
        <w:rPr>
          <w:rFonts w:ascii="Amiri" w:hAnsi="Amiri" w:eastAsia="Amiri" w:cs="Amiri"/>
          <w:color w:val="111111"/>
          <w:sz w:val="28"/>
          <w:sz w:val="28"/>
          <w:szCs w:val="28"/>
          <w:rtl w:val="true"/>
          <w:lang w:bidi="ar-SA"/>
        </w:rPr>
        <w:t xml:space="preserve">المتأخّرة الكاشفة عن صحّة عقد الفضولي ، وتوقّف صحّة الأجزاء المتقدّمة من الصلاة على الأجزاء المتأخّرة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ذلك أصلا ، فإذا تيقّن المكلّف على حسب العادة بحصول الشرط المذكور تعلّق به الوجوب وصحّ عنه 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يستفاد كون الشرط الحاصل في المقام من هذا القبيل حتّى يصحّ الحكم بصحّة العمل مع 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قضيّة إطلاق الأمر المتعلّق بالفعل ، إذ أقصى ما يلزم في حكم العقل تقييده بصورة الإتيان بالأهمّ ، وأمّا مع خلوّ زمان الفعل عن الاشتغال به بحسب الواقع فلا مانع من تعلّق التكليف بغير الأهمّ ، فالتقييد حينئذ ممّا لا قاضي به </w:t>
      </w:r>
      <w:r>
        <w:rPr>
          <w:rStyle w:val="FootnoteAnchor"/>
          <w:rtl w:val="true"/>
        </w:rPr>
        <w:footnoteReference w:id="604"/>
      </w:r>
      <w:r>
        <w:rPr>
          <w:rFonts w:ascii="Amiri" w:hAnsi="Amiri" w:eastAsia="Amiri" w:cs="Amiri"/>
          <w:color w:val="111111"/>
          <w:sz w:val="28"/>
          <w:sz w:val="28"/>
          <w:szCs w:val="28"/>
          <w:rtl w:val="true"/>
          <w:lang w:bidi="ar-SA"/>
        </w:rPr>
        <w:t>، انتهى موضع الحاجة من كلامه بتفاوت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اشتراط الشيء بالشرط المتأخّر ، إذ حال عدم الشرط يمتنع وجود المشروط ، وإلاّ لم يكن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الإجازة في الفضولي فقد بيّنّا في محلّه </w:t>
      </w:r>
      <w:r>
        <w:rPr>
          <w:rStyle w:val="FootnoteAnchor"/>
          <w:rtl w:val="true"/>
        </w:rPr>
        <w:footnoteReference w:id="605"/>
      </w:r>
      <w:r>
        <w:rPr>
          <w:rFonts w:ascii="Amiri" w:hAnsi="Amiri" w:eastAsia="Amiri" w:cs="Amiri"/>
          <w:color w:val="111111"/>
          <w:sz w:val="28"/>
          <w:sz w:val="28"/>
          <w:szCs w:val="28"/>
          <w:rtl w:val="true"/>
          <w:lang w:bidi="ar-SA"/>
        </w:rPr>
        <w:t xml:space="preserve">أنّ القاعدة تقضي بالنقل فيها ، وعلى القول بالكشف لا بدّ من الكشف الحكمي ، وأمّا الكشف الحقيقي فممّا لا واقع له وإن بالغ فيه بعض الأفاضل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فنحن لا نؤمن بما لا نعقله بعد كونه من الامور التي من شأنها التعقّل كما في المقام ؛ ولذلك قد أعرض عن هذا المسلك أيضا بعض من تبعهم في أصل المطلب </w:t>
      </w:r>
      <w:r>
        <w:rPr>
          <w:rStyle w:val="FootnoteAnchor"/>
          <w:rtl w:val="true"/>
        </w:rPr>
        <w:footnoteReference w:id="607"/>
      </w:r>
      <w:r>
        <w:rPr>
          <w:rFonts w:ascii="Amiri" w:hAnsi="Amiri" w:eastAsia="Amiri" w:cs="Amiri"/>
          <w:color w:val="111111"/>
          <w:sz w:val="28"/>
          <w:sz w:val="28"/>
          <w:szCs w:val="28"/>
          <w:rtl w:val="true"/>
          <w:lang w:bidi="ar-SA"/>
        </w:rPr>
        <w:t xml:space="preserve">وزعم تفريع ذلك على ما توهّمه من الفرق بين الواجب </w:t>
      </w:r>
    </w:p>
    <w:p>
      <w:pPr>
        <w:pStyle w:val="BookText"/>
        <w:rPr/>
      </w:pPr>
      <w:r>
        <w:rPr>
          <w:rFonts w:ascii="Amiri" w:hAnsi="Amiri" w:eastAsia="Amiri" w:cs="Amiri"/>
          <w:color w:val="111111"/>
          <w:sz w:val="28"/>
          <w:sz w:val="28"/>
          <w:szCs w:val="28"/>
          <w:rtl w:val="true"/>
          <w:lang w:bidi="ar-SA"/>
        </w:rPr>
        <w:t xml:space="preserve">المشروط والواجب المعلّق ، وتصدّى لدفع ما ذكرنا من عدم معقوليّة تأخّر الشرط عن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هو الوصف الاعتباري المنتزع عن الشيء باعتبار لحوق الشرط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إبداء الفرق بين ما تخيّله من نوعي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كما يصحّ أن يكون وجوب الواجب على تقدير حصول أمر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أن يكون وجوبه على تقدير حصول أمر مقدور ، فيكون بحيث لا يجب على تقدير عدم حصوله ، وعلى تقدير حصوله يكون واجبا قبل حصوله ، وذلك كما لو توقّف الحجّ المنذور على ركوب دابّة مغصوبة ، فالتحقيق أنّ وجوب الواجب حينئذ ثابت على تقدير حصول تلك المقدّمة ، وليس مشروطا بحصولها ، كما سبق إلى كثير من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على ذلك صحّة العبادة الموقوفة على المقدّمة المحرّمة الأثنائيّة </w:t>
      </w:r>
      <w:r>
        <w:rPr>
          <w:rStyle w:val="FootnoteAnchor"/>
          <w:rtl w:val="true"/>
        </w:rPr>
        <w:footnoteReference w:id="608"/>
      </w:r>
      <w:r>
        <w:rPr>
          <w:rFonts w:ascii="Amiri" w:hAnsi="Amiri" w:eastAsia="Amiri" w:cs="Amiri"/>
          <w:color w:val="111111"/>
          <w:sz w:val="28"/>
          <w:sz w:val="28"/>
          <w:szCs w:val="28"/>
          <w:rtl w:val="true"/>
          <w:lang w:bidi="ar-SA"/>
        </w:rPr>
        <w:t>واستدلّ على ذلك بإطلاق الأدلّة الواردة في هذه العبادات مع عدم ما يقضي بتقييدها من العقل وغيره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الواجب على حصول هذه المقدّمة الاختياريّة من قبيل توقّفه على حصول المقدّمة الغير الاختياريّة ، كتذكّر المكلّف وقت الفعل ، وقدرته فيه بمعنى خلوّه في تمام الوقت من الموانع الاضطراريّة بالنسبة إلى زمن التكليف مع ثبوت الوجوب على تقدير حصولها قبله أيضا ، وأمّا القدرة مطلقا فليس حصولها معتبرا ؛ لجواز أن يمتنع الفعل في الوقت مع ثبوت التكليف قبله ، كما في المتقاعد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فالموقوف عليه في الحقيقة في هذه الصورة هو كون المكلّف بحيث يأتي بالمقدّمة ولو في زمن لا حق ، أو كونه بحيث يكون وقت الفعل متذكّرا خاليا من الموانع الغير </w:t>
      </w:r>
    </w:p>
    <w:p>
      <w:pPr>
        <w:pStyle w:val="BookText"/>
        <w:rPr/>
      </w:pPr>
      <w:r>
        <w:rPr>
          <w:rFonts w:ascii="Amiri" w:hAnsi="Amiri" w:eastAsia="Amiri" w:cs="Amiri"/>
          <w:color w:val="111111"/>
          <w:sz w:val="28"/>
          <w:sz w:val="28"/>
          <w:szCs w:val="28"/>
          <w:rtl w:val="true"/>
          <w:lang w:bidi="ar-SA"/>
        </w:rPr>
        <w:t>المستندة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وصف اعتباريّ ينتزع من المكلّف باعتبار ما يطرأ عليه في الزمن المستقبل من هذه الصفات ، وهو غير متأخّر عن زمن الوجوب ، وإن تأخّرت عن الصفة التي ينتزع عنه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نفس العلم والخلوّ من الموانع شرطا لتأخّر زمن الوجوب عن زمن الفعل ، فلا يبقى مورد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كلّ شيء يكون وقوعه مراعى بحصول شيء آخر ، كالصحّة المراعاة بالإجازة في الفضولي ، فإنّ شرط الصحّة فيه كون العقد بحيث يتعقّبه الإجازة ، وليست مشروطة بنفس الإجازة ، وإلاّ لامتنعت قبلها </w:t>
      </w:r>
      <w:r>
        <w:rPr>
          <w:rStyle w:val="FootnoteAnchor"/>
          <w:rtl w:val="true"/>
        </w:rPr>
        <w:footnoteReference w:id="609"/>
      </w:r>
      <w:r>
        <w:rPr>
          <w:rFonts w:ascii="IRNazanin" w:hAnsi="IRNazanin" w:eastAsia="IRNazanin"/>
          <w:color w:val="111111"/>
          <w:sz w:val="28"/>
          <w:sz w:val="28"/>
          <w:szCs w:val="28"/>
          <w:rtl w:val="true"/>
          <w:lang w:bidi="fa-IR"/>
        </w:rPr>
        <w:t>، انتهى ما أفاده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فساد أصل المبنى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تناقض صريح كلماته ؛ إذ الكلام إنّما هو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يغاير المشروط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والموقوف عليه في الحقيقة هو كون المكلّف بحيث يأتي بالمقدّمة؟</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إنّما يتصوّر في الامور الغير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الأفعال الاختياريّة ، فالتعليق فيها غير معقول ؛ لأنّ الواجب إمّا أن يكون على وجه يجب مقدّماته الاختياريّة كما في الواجب المطلق ، وإمّا أن يكون على وجه لا يجب مقدّمته لكونها من شروط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الفعل الاختياري الذي يتوقّف عليه الواجب خاليا عن هذين القسمين ، فعلى الأوّل يلزم التكليف بما لا يطاق واجتماع الحرمة والوجوب فيه ، وعلى الثاني يلزم عدم صحّة العبادة لعدم تحقّق الشرط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الشرط هو الصفة الانتزاعية ، وإن احتمل استقامته على تقدير التعقّل من حيث اندفاع ما أوردنا عليهم من بطلان تأخّر الشرط عن </w:t>
      </w:r>
    </w:p>
    <w:p>
      <w:pPr>
        <w:pStyle w:val="BookText"/>
        <w:rPr/>
      </w:pPr>
      <w:r>
        <w:rPr>
          <w:rFonts w:ascii="Amiri" w:hAnsi="Amiri" w:eastAsia="Amiri" w:cs="Amiri"/>
          <w:color w:val="111111"/>
          <w:sz w:val="28"/>
          <w:sz w:val="28"/>
          <w:szCs w:val="28"/>
          <w:rtl w:val="true"/>
          <w:lang w:bidi="ar-SA"/>
        </w:rPr>
        <w:t>المشروط ، إلاّ أنّه لا يجدي في دفع الإشكال بالنسبة إلى نفس العصيان الذي ينتزع باعتبار لحوقه الشرط المذكور ، فإنّ ذلك فعل اختياريّ مقدّمة لفعل واجب ، ووجوب ذيها دليل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الاستناد في ذلك إلى إطلاق الأدلّة الدالّة على تلك الامور الموقوفة على المقدّمات المحرّمة فإنّما يصحّ التعويل عليها فيما أمكن التكليف بها عقلا ، وأمّا عند امتناعه فالتقييد لازم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على مثل ذلك في بعض مباحث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أنّه بعد القول بوجوب المقدّمة واقتضاء الأمر بشيء النهي عن ضدّه الخاصّ وتسليم مقدّميّة ترك أحد الضدّين لفعل الضدّ الآخر ، يشكل تصحيح العبادة الموسّعة ؛ لبطلان جميع أقسام التكليف المتصوّرة فيها ، إذ التكليف التنجيزي ظاهر البطلان ، والتكليف التعليقي بقسميه أيضا باطل ، أمّا الشرطي فلامتناع تحقّق المشروط قبل حصول الشرط ، وأما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الصفة المنتزعة من لحوق العصيان فهو مشروط ، كما صرّح به في العبارة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نفس العصيان فكأنّه غفل عنه ، مع أنّه هو منشأ الإشكال ، فلا بدّ من أوله إمّا إلى الوجوب المطلق أو إلى المشروط ، وعلى كلّ تقدير يلحقهما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أبعده عن الواقع ؛ حيث إنّ الفعل الاختياري الذي يتوقّف عليه الواجب لا يخلو عن القسمين ، كما هو غير خفيّ على أوائل العقول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تصحيح التكليف في المقام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الطلب بشيء إنّما يكون بواسطة حثّ المطلوب منه على الفعل المطلوب وحمله عليه ، وعلى تقدير علم الطالب بأنّ المطلوب منه لا محالة يشتغل بما هو مطلوبه فلا وجه لطلبه منه ، لكونه لغوا ، إلاّ إذا كان المقصود التعبّد بذلك المطلوب ، فلا ضير في الأمر به وحمله عليه ، إذ على تقدير عدم الطلب والأمر يمتنع أن يكون الداعي إليه هو الأمر كما هو المقصود ، وحيث إنّ الطلب المتعلّق بالمقدّمة ليس إلاّ طلبا توصّليّا لا يحتمل </w:t>
      </w:r>
    </w:p>
    <w:p>
      <w:pPr>
        <w:pStyle w:val="BookText"/>
        <w:rPr/>
      </w:pPr>
      <w:r>
        <w:rPr>
          <w:rFonts w:ascii="Amiri" w:hAnsi="Amiri" w:eastAsia="Amiri" w:cs="Amiri"/>
          <w:color w:val="111111"/>
          <w:sz w:val="28"/>
          <w:sz w:val="28"/>
          <w:szCs w:val="28"/>
          <w:rtl w:val="true"/>
          <w:lang w:bidi="ar-SA"/>
        </w:rPr>
        <w:t>فيه التعبّد ، فعند علم الطالب بتحقّق المطلوب لا يتعلّق به الطلب حذرا عن اللغويّة ، ففيما إذا توقّف الفعل على المقدّمة المحرّمة مع علم الطالب بأنّ تلك المقدّمة ممّا تقع لا محالة ولو عصيانا ، ليس تلك المقدمة موردا للطلب اللازم من طلب ذيها ، فلا يلزم 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تقدير التسليم إنّما يجدي بالنسبة إلى لزوم اجتماع الأمر والنهي ، وأمّا بالنسبة إلى المحذور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قطعا ، إذ التكليف بالفعل حال تحريم مقدّمته تكليف بما لا يطاق ، إذ لا كلام في حرمة المقدّمة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لذلك زيادة تحقيق في بعض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بنيت عليه الأمر في الهداية السابقة من وجوب المقدّمة قبل مجيء زمان ذيها ، لا مانع من التكليف المذكور ؛ إذ نلتزم بأنّ الوجوب فيه وجوب شرطي وشرطه العصيان ، وبعد علم المكلّف بتحقّق الشرط يجب عليه الإتيان بمقدّمات المشروط فيما إذا انحصرت ،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مقدّمات ذلك الواجب المشروط ، بل المقصود هو الاشتغال بنفس الواجب ، ولا يعقل الاشتغال بالواجب قبل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القول بامتناع اشتراط الواجب بمقدّمة محرّمة مقارنة لذيها في الوجود ، حيث إنّ تمام الشرط لا يمكن إلاّ بتمام الفعل ، كما في مثال الاغتراف وكذلك في مثال الصلاة والإزالة ، وذلك ظاهر ، فلا يجب المقدّمات أيضا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يرد على أصحاب هذه المقالة الفاسدة أمران آخران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تعدّد العقاب في المسألة المفروضة ؛ لأنّه إذا غصب </w:t>
      </w:r>
      <w:r>
        <w:rPr>
          <w:rStyle w:val="FootnoteAnchor"/>
          <w:rtl w:val="true"/>
        </w:rPr>
        <w:footnoteReference w:id="611"/>
      </w:r>
      <w:r>
        <w:rPr>
          <w:rFonts w:ascii="Amiri" w:hAnsi="Amiri" w:eastAsia="Amiri" w:cs="Amiri"/>
          <w:color w:val="111111"/>
          <w:sz w:val="28"/>
          <w:sz w:val="28"/>
          <w:szCs w:val="28"/>
          <w:rtl w:val="true"/>
          <w:lang w:bidi="ar-SA"/>
        </w:rPr>
        <w:t>ولم يتوضأ فقد ارتكب فعلا محرّما وترك أمرا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ترك الواجبين المضيّقين مع أهميّة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صحّة العمل فيما إذا تعلّق النهي بنفس العمل والعبادة ؛ ضرورة ممانعة غير الأهم عن فعل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تركه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عن العبادة منهيّ عنه ، فغير الأهمّ بنفسه منهيّ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تصدّى لدفعه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التحقيق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التوفيق والهداية</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6254_218555"/>
      <w:bookmarkStart w:id="212" w:name="pg16254_218555"/>
      <w:bookmarkEnd w:id="212"/>
    </w:p>
    <w:p>
      <w:pPr>
        <w:pStyle w:val="Heading3"/>
        <w:numPr>
          <w:ilvl w:val="2"/>
          <w:numId w:val="1"/>
        </w:numPr>
        <w:rPr/>
      </w:pPr>
      <w:bookmarkStart w:id="213" w:name="pg16254_218555"/>
      <w:bookmarkStart w:id="214" w:name="__RefHeading___Toc4418264_1280447820"/>
      <w:bookmarkStart w:id="215" w:name="_Toc69"/>
      <w:bookmarkEnd w:id="213"/>
      <w:bookmarkEnd w:id="214"/>
      <w:r>
        <w:rPr>
          <w:rtl w:val="true"/>
        </w:rPr>
        <w:t>هداية</w:t>
      </w:r>
      <w:bookmarkEnd w:id="215"/>
    </w:p>
    <w:p>
      <w:pPr>
        <w:pStyle w:val="BookText"/>
        <w:rPr/>
      </w:pPr>
      <w:r>
        <w:rPr>
          <w:rFonts w:ascii="Amiri" w:hAnsi="Amiri" w:eastAsia="Amiri" w:cs="Amiri"/>
          <w:color w:val="111111"/>
          <w:sz w:val="28"/>
          <w:sz w:val="28"/>
          <w:szCs w:val="28"/>
          <w:rtl w:val="true"/>
          <w:lang w:bidi="ar-SA"/>
        </w:rPr>
        <w:t xml:space="preserve">قد عرفت فيما سبق أنّ للواجب أقساما عديدة باعتبارات مختلفة ، وقد عرفت الكلام في تحقيق الواجب المطلق و </w:t>
      </w:r>
      <w:r>
        <w:rPr>
          <w:rStyle w:val="FootnoteAnchor"/>
          <w:rtl w:val="true"/>
        </w:rPr>
        <w:footnoteReference w:id="612"/>
      </w:r>
      <w:r>
        <w:rPr>
          <w:rFonts w:ascii="Amiri" w:hAnsi="Amiri" w:eastAsia="Amiri" w:cs="Amiri"/>
          <w:color w:val="111111"/>
          <w:sz w:val="28"/>
          <w:sz w:val="28"/>
          <w:szCs w:val="28"/>
          <w:rtl w:val="true"/>
          <w:lang w:bidi="ar-SA"/>
        </w:rPr>
        <w:t>المشروط وما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باعتبار آخر إلى تعبّدي وتوصّلي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الأوّل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 انحصار مصلحته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يعلم انحصارها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منعكس ؛ لخروج جملة من التوصّليّات التي لا يعلم وجه المصلحة فيها فضلا عن انحصارها في شيء ، كتوجيه الميّت حال الاحتضار إلى القبلة ، ومواراته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فالأوجه أن يعرّف أنّ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فيه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يشترط فيه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كون الواجب من الماهيات المخترعة كالصلاة والحجّ ونحوهما ، أو لا كالذبح والنحر والحلق والتقصير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كلّ من التعبّدي والتوصّلي والنفسي والغيري عموم من وجه ، والصور أربع ، والأمثلة ظاهرة غير خارجة عن الوضوء والصلاة وتوجيه الميّت إلى القبلة وغسل الثوب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فساد ما قد زعمه بعضهم </w:t>
      </w:r>
      <w:r>
        <w:rPr>
          <w:rStyle w:val="FootnoteAnchor"/>
          <w:rtl w:val="true"/>
        </w:rPr>
        <w:footnoteReference w:id="613"/>
      </w:r>
      <w:r>
        <w:rPr>
          <w:rFonts w:ascii="Amiri" w:hAnsi="Amiri" w:eastAsia="Amiri" w:cs="Amiri"/>
          <w:color w:val="111111"/>
          <w:sz w:val="28"/>
          <w:sz w:val="28"/>
          <w:szCs w:val="28"/>
          <w:rtl w:val="true"/>
          <w:lang w:bidi="ar-SA"/>
        </w:rPr>
        <w:t xml:space="preserve">في تحديدهما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التوصّلي ما كان الغرض من الأمر به الأمر بشيء آخر ، والتعبّدي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ذلك سهو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تشابه الأمر عليه في إملاء التوصّل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التوسّل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يساوق الوجوب الغيري ، وإلاّ فكيف يعقل أن يكون تغسيل الأموات وتكفينها ودفنها من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الفرق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 مشروط بالقربة والتوصّلي لا يشترط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بينهما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المباشرة في الأوّل بخلاف الثاني ، إذ يجري فيه حصول الفعل في الخارج ولو بمباشرة من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الثاني مع الحرام بخلاف الأوّل ، إذ لا يعقل أن يكون العبادة </w:t>
      </w:r>
      <w:r>
        <w:rPr>
          <w:rStyle w:val="FootnoteAnchor"/>
          <w:rtl w:val="true"/>
        </w:rPr>
        <w:footnoteReference w:id="614"/>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فاسدان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بالفرق المذكور إن أراد به أن ظاهر الأوامر التوصّلية يقضي بعدم لزوم المباشرة من المخاطب بالخطابات الدالّة على هذه الواجبات ، فهو ممّا لا ينبغي أن يصغى إليه ؛ ضرورة أنّ ظاهر الصيغ الأمريّة توجّه التكليف المستفاد منها إلى خصوص المخاطب بها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الفاعل ونفس الفعل سواء ، فلو احتمل أن لا يكون الفاعل المخاطب مباشرا له ، فيحتمل أن لا يكون نفس الفعل مأمورا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جدّا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بذلك أنّ مجرّد كون الواجب توصّليّا يقضي بأن لا يكون المباشرة للفعل المأمور به واجبا وإن كان ظاهرا في المباشرة بحسب القواعد اللفظيّة ، فهو </w:t>
      </w:r>
    </w:p>
    <w:p>
      <w:pPr>
        <w:pStyle w:val="BookText"/>
        <w:rPr/>
      </w:pPr>
      <w:r>
        <w:rPr>
          <w:rFonts w:ascii="Amiri" w:hAnsi="Amiri" w:eastAsia="Amiri" w:cs="Amiri"/>
          <w:color w:val="111111"/>
          <w:sz w:val="28"/>
          <w:sz w:val="28"/>
          <w:szCs w:val="28"/>
          <w:rtl w:val="true"/>
          <w:lang w:bidi="ar-SA"/>
        </w:rPr>
        <w:t>أوضح فسادا من سابقه ؛ إذ ليس فيها ما يقضي بذلك ، إذ لا نعني بالتوصّليّة إلاّ ما لا يكون قصد القربة معتبرا فيه ، وذلك لا يقتضي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أنّ أدلّة جواز الاستنابة إنّما هي حاكمة على ظاهر الأوامر الواردة في الأفعال الخاصّة ، وهي لا تجري في التعبّديّات ، فهو منقوض بجملة من التوصّليّات التي لا يجوز فيها الاستنابة كالمضاجعة والجماع ، وبجملة من التعبّديّات التي يصحّ الاستنابة فيها كالحجّ والزيارة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أدلّة النيابة لا اختصاص لها بواجب دون واجب ، ففيما يكون محلّه لا يفرق بين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إنكار عدم لزوم المباشرة في الواجبات التوصّلية ، ضرورة حصول الواجب فيها بفعل الغير ، كما في غسل الثوب إذا التزم غسله غير المكلّف ، بل ولو حصل من دون مباشرة آدميّ أيضا كان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حصول الواجب في الخارج وبين ارتفاع موضوعه ومحلّه في الخارج ، وما يرى من الأمثلة إنّما هي من قبيل الثاني ، كما إذا ارتفع موضوع التعبّدي أيضا ، مثل ما إذا احترق الميّت فلا يجب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ظاهر الأمر هو المباشرة ، والقائل بعدم لزوم المباشرة إنّما اختلط عليه الأمر بين الوجهين مع ظهور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المقام توجيها لكلامه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وإن كان ظاهرا في تعلّق الطلب بشخص خاصّ ، إلاّ أنّ الغرض تعلّقه بحصول الفعل في الخارج على أيّ وجه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فاسد جدّا ، إذ حقّ التعبير حينئذ هو التأدية بكلام لا يكون مفاده التخصيص بالمخاطب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المراد بالأمر إيجاد المأمور به ولو بفعل غيره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بذلك من غير تأويل في نفس الفعل فهو فاسد قطعا ، لامتناع إرادة فعل الغير عن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ذلك مع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المراد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مجاز لا ينبغي أن يصار إليه من دون دليل ، على ما صرّح به جماعة في أمثال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هامانُ ابْنِ لِي صَرْحاً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الفرق المذكور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فروع الفرق الأوّل ، وهو اشتراط التعبّدي بالنيّة دون التوصّلي ، وليس بفرق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فاعلم أنّه متى ما علمنا بامتياز أحدهما عن الآخر مصداقا فلا إشكال ، فإنّه يجب الإتيان بالتعبّدي على وجه الامتثال ، كأن يكون الداعي إلى إيجاد الفعل في الخارج هو الأمر ، وهو المراد بالقربة التي قلنا باعتبارها في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الإتيان بالتوصّلي على وجه الامتثال ، فلو أتى بالفعل المأمور به في الخارج لا بداعي الأمر ، بل بواسطة الدواعي الموجودة في نفسه ممّا لا يتعلّق بالأمر ، لم يجز في الأوّل ويجزئ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فللإخلال بما هو المقصود من الفعل وعدم وقوعه على وجهه ، فيجب الإتيان به ثانيا على 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المفروض حصول المطلوب من المكلّف في الخارج على وجهه ، فلا بدّ من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استحقاق العبد للثواب المترتّب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أتى بالفعل على وجه الامتثال والقربة ، والكلام ليس في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شكّ في واجب من الواجبات أنّه من الأوّل أو من الثاني ، فهل ظاهر الأمر قاض بأيّهما؟ </w:t>
      </w:r>
    </w:p>
    <w:p>
      <w:pPr>
        <w:pStyle w:val="BookText"/>
        <w:rPr/>
      </w:pPr>
      <w:r>
        <w:rPr>
          <w:rFonts w:ascii="Amiri" w:hAnsi="Amiri" w:eastAsia="Amiri" w:cs="Amiri"/>
          <w:color w:val="111111"/>
          <w:sz w:val="28"/>
          <w:sz w:val="28"/>
          <w:szCs w:val="28"/>
          <w:rtl w:val="true"/>
          <w:lang w:bidi="ar-SA"/>
        </w:rPr>
        <w:t xml:space="preserve">ذهب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بعض الأفاضل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ظاهر الأمر قاض بالتعبّديّة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جماعة اخرى أنّ الأمر ظاهر في التوصّليّة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واحتجّوا في ذلك بامور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قاض بوجوب الامتثال بعد العلم بالأمر ، ولا يتحقّق إلاّ بقصد القربة والإطاعة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محضة ؛ إذ الكلام إنّما هو في وجوب الامتثال ، فإن اريد بالامتثال مجرّد عدم المخالفة والإتيان بالفعل فهو مسلّم ، لكنّه ليس 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الإتيان بالفعل على وجه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الداعي إلى الفعل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العقل قاض بذلك ليس بسديد ، إذ غاية ما يحكم به العقل بعد العلم بالأمر هو عدم المخالفة وعدم ترك المأمور به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استند في ذلك إلى أنّ الإتيان بنفس الفعل في الخارج على تقدير أن يكون الامتثال به مطلوبا للآمر يعدّ من المخالفة التي يحكم بقبحها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الكلام بعد في اعتبار الامتثال في المأمور به ، وليس المستفاد من الأمر إلاّ مطلوبيّة الفعل فقط ، فلا مخالفة على تقدير الإتيان به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المذكور خارج عمّا نحن بصدده ، إذ الكلام إنّما هو في أنّ الأمر ظاهر في الوجوب التعبّدي أو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المذكور ممّا لا مساس له به على ما هو غير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بعض موافقينا </w:t>
      </w:r>
      <w:r>
        <w:rPr>
          <w:rStyle w:val="FootnoteAnchor"/>
          <w:rtl w:val="true"/>
        </w:rPr>
        <w:footnoteReference w:id="619"/>
      </w:r>
      <w:r>
        <w:rPr>
          <w:rFonts w:ascii="Amiri" w:hAnsi="Amiri" w:eastAsia="Amiri" w:cs="Amiri"/>
          <w:color w:val="111111"/>
          <w:sz w:val="28"/>
          <w:sz w:val="28"/>
          <w:szCs w:val="28"/>
          <w:rtl w:val="true"/>
          <w:lang w:bidi="ar-SA"/>
        </w:rPr>
        <w:t xml:space="preserve">على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الأمر قاض بالتوصّليّة ، إذ الشكّ إنّما هو في تقييد الأمر ، والإطلاق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الدليل الدالّ على الوجوب إجماعا أو نحوه من الأدلّة اللبّية لا وجه للاستناد إلى الإطلاق ، فيكون الأمر راجعا إلى الخلاف المقرّر في محلّه من الشكّ في الشرطيّة والجزئيّة </w:t>
      </w:r>
      <w:r>
        <w:rPr>
          <w:rStyle w:val="FootnoteAnchor"/>
          <w:rtl w:val="true"/>
        </w:rPr>
        <w:footnoteReference w:id="620"/>
      </w:r>
      <w:r>
        <w:rPr>
          <w:rFonts w:ascii="Amiri" w:hAnsi="Amiri" w:eastAsia="Amiri" w:cs="Amiri"/>
          <w:color w:val="111111"/>
          <w:sz w:val="28"/>
          <w:sz w:val="28"/>
          <w:szCs w:val="28"/>
          <w:rtl w:val="true"/>
          <w:lang w:bidi="ar-SA"/>
        </w:rPr>
        <w:t>، فإن قلنا بالاشتغال لا بدّ من القول بالتعبّديّة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ليس في محلّه ؛ إذ الاستناد إلى إطلاق الأمر في دفع مثل هذا التقييد فاسد ، إذ القيد ممّا لا يتحقّق إلاّ بعد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إنّما ينهض دليلا فيما إذا كان القيد ممّا يصحّ أن يكون قيدا له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يكون المطلق في المثالين مقيّدا بالإيمان والكفر والسواد والبياض ونحوها من أنواع القيود التي لا مدخل للأمر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القيد من القيود التي لا تتحقّق إلاّ بعد اعتبار الأمر في المطلق فلا يصحّ الاستناد إلى إطلاق اللفظ في دفع الشكّ في مثل التقييد المذكور ، وما نحن بصدده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لنا في المقام من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يتكفّل بيان الصغرى ، والآخر بيان الكبرى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القربة عبارة عن الإتيان بالفعل المأمور به على وجه يكون الداعي إليه هو الأمر ، فهذه من الاعتبارات اللاحقة للفعل بعد ملاحظة كونه مأمورا به ، وأمّا قبل أن يعقل الفعل مأمورا به لا وجه لأن يلاحظ مقيّدا بالقربة أو مطلقا ، كما يصحّ أن يلاحظ مقيّدا بوقوعه في زمان كذا أو مكان كذا أو عن آلة كذا ونحوها وأن يلاحظ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ظاهر لمن له أدنى فطانة ولطافة قريحة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كان القيد من القيود التي يعتور على المطلق بعد لحوق الأمر له لا يصحّ دفعه عند الشكّ بالإطلاق ، فلأنّ المراد به إمّا الإطلاق المعتبر في المادّة ، أو الإطلاق المتوهّم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عرفت من معنى القربة ممّا لا ينبغي الإشكال فيه ، لأنّ المفروض أنّها ليست من قيوده مع قطع النظر عن الأمر ، فالقول بارتفاع الشكّ في التقييد المذكور بالاستناد إلى إطلاق المادّة في نفسها مع عدم ملاحظة الأمر فيها يستلزم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الأمر ليصحّ اعتبار القيد فيها ، ومن عدمه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في بعض المباحث المتقدّمة بأنّ الطالب لو حاول طلب شيء على وجه الامتثال لا بدّ له من أن يحتال في ذلك ، بأن يأمر بالفعل المقصود إتيانه على وجه القربة أوّلا ، ثم ينبّه على أنّ المقصود هو الامتثال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الكلام الملقى لإفادة نفس المطلوبيّة مفيدا للوجه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معنى لإطلاق الهيئة ، إذ مفادها ممّا لا يتصوّر فيه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بإطلاق المادّة في محلّه ؛ إذ يصحّ أن يقيّد الفعل بعدم الدواعي المنتقشة في النفس باعتبار قواها الشهوانيّة وغيرها ممّا لا يرجع إلى الأمر ، وحيث إنّ المفروض استحالة صدور الفعل الاختياري من الفاعل من دون ما يدعوه إلى الفعل ، فلا مناص للمكلّف إلاّ إتيانه بداعي الأمر ، ففيما إذا شكّ في التعبّديّة والتوصّليّة يمكن الأخذ بإطلاق الفعل المحتمل تقيّده بعدم الدواعي النفسانيّة ؛ لأنّا نقول ذلك وهم فاسد ، إذ لا فرق فيما يمتنع تقييده بشيء بين أن يكون القيد هو ذلك الشيء أو عدم أضداده على وجه يفضي بالأخرة إليه ، وعلى تقدير عدم الإفضاء لا يجدي شيئا ، إذ لعلّه يكتفى بغيره ، كما هو ظاهر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فالفعل الملحوظ فيه لحوق الأمر موضوع للامتثال ، ولا يعقل اعتبار شيء في نفس الفعل فيما إذا كان عروضه عليه بواسطة الأمر المتأخّر عنه 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يعرف أنّ التفصيل بين ما إذا كان الكاشف عن الطلب هو اللفظ وما إذا كان الطلب مدلولا عليه بوجه من الوجوه اللبّية ممّا لا وجه له ؛ إذ الدالّ على التقييد المذكور على تقدير وجوده ممّا لا يفرق فيه الأدلّة اللفظيّة واللبّية على نحو اختلاف فيهما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عدمه فلا فرق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الحقيق بالتصديق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الأمر يقتضي التوصّليّة ، إذ ليس المستفاد من الأمر إلاّ 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الهيئة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مدلول المادّة ، وبعد إيجاد المكلّف نفس الفعل في الخارج لا مناص من سقوط الطلب ، لامتناع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الأدلّة اللفظيّة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كان الدليل هو الإجماع ، ففيه أيضا يقتصر على ما هو المعلوم استكشافه منه ، والمفروض أنّه ليس إلاّ مطلوبيّة الفعل فقط ، وبعد حصوله لا بدّ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التقييد المذكور فبعد ما عرفت من أنّه لا يعقل أن يكون مفادا بالكاشف عن الطلب لا بدّ له من بيان زائد على بيان نفس الطلب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العقاب على ترك الامتثال يدفع بقبح العقاب 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المحرّر في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الكواشف اللفظيّة أو غيرها ، ومن غير ابتناء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من الخلاف المشهور بينهم في البراءة والاشتغال عند الشكّ في الجزئيّة والشرطيّة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ينبغي للقائل بالاشتغال فيما إذا كان المكلّف به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على الصحيح مع الشكّ في اعتبار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 فيما إذا كان المطلوب أمرا معلوما مع الشك في اعتبار أمر آخر فيه ، كما فيما نحن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فساد ما قرّره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أن يكون الدليل لبّيا يكون الأمر راجعا إلى الخلاف المقرّر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قد يمكن القول بالاشتغال فيما يكون الشكّ في كيفيّة الامتثال بعد معلوميّة وجوب نفس الامتثال من الشرع ، لأنّ الكيفيّات المتعلّقة بالامتثال من الامور التي وكلها الشارع إلى العقل ولا يحتاج إلى بيان منه في ذلك ، فلا قبح في العقاب عليه بعد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القول بالاشتغال فيما إذا لم يكن الامتثال معلوما أيضا ، نظرا إلى أنّ الشكّ في المكلّف به ، حيث إنّ المقصود في الواقع هو أمر واحد وإن احتاج بيانه على تقدير التعبّدية إلى أمر زائد على بيان نفس مطلوبيّة الفعل ظاهرا ، كما لا يخفى ،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ما ذكرنا من احتياج التعبّد إلى بيان زائد غير ما دلّ على الطلب لا يلازم أن يكون للفعل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لنفس الفعل وثانيهما للامتثال ، لتعدّد الأمر الملحوظ فيهما ، كما توهّمه بعض من لا درية </w:t>
      </w:r>
      <w:r>
        <w:rPr>
          <w:rStyle w:val="FootnoteAnchor"/>
          <w:rtl w:val="true"/>
        </w:rPr>
        <w:footnoteReference w:id="622"/>
      </w:r>
      <w:r>
        <w:rPr>
          <w:rFonts w:ascii="Amiri" w:hAnsi="Amiri" w:eastAsia="Amiri" w:cs="Amiri"/>
          <w:color w:val="111111"/>
          <w:sz w:val="28"/>
          <w:sz w:val="28"/>
          <w:szCs w:val="28"/>
          <w:rtl w:val="true"/>
          <w:lang w:bidi="ar-SA"/>
        </w:rPr>
        <w:t>له ، لما عرفت من أنّ المقصود حقيقة واحدة ، فلا يعقل تعدّد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والهداية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254_218565"/>
      <w:bookmarkStart w:id="217" w:name="pg16254_218565"/>
      <w:bookmarkEnd w:id="217"/>
    </w:p>
    <w:p>
      <w:pPr>
        <w:pStyle w:val="Heading3"/>
        <w:numPr>
          <w:ilvl w:val="2"/>
          <w:numId w:val="1"/>
        </w:numPr>
        <w:rPr/>
      </w:pPr>
      <w:bookmarkStart w:id="218" w:name="pg16254_218565"/>
      <w:bookmarkStart w:id="219" w:name="__RefHeading___Toc4418266_1280447820"/>
      <w:bookmarkStart w:id="220" w:name="_Toc70"/>
      <w:bookmarkEnd w:id="218"/>
      <w:bookmarkEnd w:id="219"/>
      <w:r>
        <w:rPr>
          <w:rtl w:val="true"/>
        </w:rPr>
        <w:t>هداية</w:t>
      </w:r>
      <w:bookmarkEnd w:id="220"/>
    </w:p>
    <w:p>
      <w:pPr>
        <w:pStyle w:val="BookText"/>
        <w:rPr/>
      </w:pPr>
      <w:r>
        <w:rPr>
          <w:rFonts w:ascii="IRNazanin" w:hAnsi="IRNazanin" w:eastAsia="IRNazanin"/>
          <w:color w:val="111111"/>
          <w:sz w:val="28"/>
          <w:sz w:val="28"/>
          <w:szCs w:val="28"/>
          <w:rtl w:val="true"/>
          <w:lang w:bidi="fa-IR"/>
        </w:rPr>
        <w:t xml:space="preserve">بعد ما عرفت من أنّ ظاهر الأوامر قاض </w:t>
      </w:r>
      <w:r>
        <w:rPr>
          <w:rStyle w:val="FootnoteAnchor"/>
          <w:rtl w:val="true"/>
        </w:rPr>
        <w:footnoteReference w:id="623"/>
      </w:r>
      <w:r>
        <w:rPr>
          <w:rFonts w:ascii="Amiri" w:hAnsi="Amiri" w:eastAsia="Amiri" w:cs="Amiri"/>
          <w:color w:val="111111"/>
          <w:sz w:val="28"/>
          <w:sz w:val="28"/>
          <w:szCs w:val="28"/>
          <w:rtl w:val="true"/>
          <w:lang w:bidi="ar-SA"/>
        </w:rPr>
        <w:t xml:space="preserve">بالتوصّليّة ، فهل هناك ما يقضي بخلافه من الأدلّة الخارجة عن مقتضى الأمر؟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للأوّل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بعض الأجلّة </w:t>
      </w:r>
      <w:r>
        <w:rPr>
          <w:rStyle w:val="FootnoteAnchor"/>
          <w:rtl w:val="true"/>
        </w:rPr>
        <w:footnoteReference w:id="626"/>
      </w:r>
      <w:r>
        <w:rPr>
          <w:rFonts w:ascii="Amiri" w:hAnsi="Amiri" w:eastAsia="Amiri" w:cs="Amiri"/>
          <w:color w:val="111111"/>
          <w:sz w:val="28"/>
          <w:sz w:val="28"/>
          <w:szCs w:val="28"/>
          <w:rtl w:val="true"/>
          <w:lang w:bidi="ar-SA"/>
        </w:rPr>
        <w:t>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من كلامه في المنتهى </w:t>
      </w:r>
      <w:r>
        <w:rPr>
          <w:rStyle w:val="FootnoteAnchor"/>
          <w:rtl w:val="true"/>
        </w:rPr>
        <w:footnoteReference w:id="627"/>
      </w:r>
      <w:r>
        <w:rPr>
          <w:rFonts w:ascii="Amiri" w:hAnsi="Amiri" w:eastAsia="Amiri" w:cs="Amiri"/>
          <w:color w:val="111111"/>
          <w:sz w:val="28"/>
          <w:sz w:val="28"/>
          <w:szCs w:val="28"/>
          <w:rtl w:val="true"/>
          <w:lang w:bidi="ar-SA"/>
        </w:rPr>
        <w:t xml:space="preserve">يخالف ذلك ، حيث إنّ المطلوب في المقام هو إثبات الأصل في الأوامر ، وما رام به العلاّمة فيه إثبات اشتراط العبادة بنيّة القربة قبالا لأبي حنيفة حيث زعم عدم اشتراط الوضوء بالقربة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تبع في ذلك المحقّق في المعتبر ، حيث أفاد في بحث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استحضار نيّة القربة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الإخلاص إلاّ مع قصد القربة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فالاستدلال بالآية على وجه ينطبق على المدّعى في المقام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تبارك وتعالى حصر المأمور به لأهل الكتاب في العبادة ، ولا يتحقّق العبادة إلاّ بقصد الامتثال ، فيجب عليهم الامتثال وينسحب هذا الحكم في شريعتنا أيضا ، لما قرّر من جواز استصحاب الأحكام الثابتة في الشرائع الماضية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ذلك فيدلّ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أي المستقرّة الثابتة التي لا ينالها </w:t>
      </w:r>
      <w:r>
        <w:rPr>
          <w:rStyle w:val="FootnoteAnchor"/>
          <w:rtl w:val="true"/>
        </w:rPr>
        <w:footnoteReference w:id="632"/>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امروا بالإخلاص في الدين ، وهو عبارة عن مجموع الأعمال والعقائد الشرعيّة ، والإخلاص بها لا يتمّ إلاّ عند قصد الامتثال ، ويتمّ في حقّنا بالوجهين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الوجه الأوّل ، فبأنّه إن اريد من حصر المأمور به في العبادة أنّ التعبّد بالأوامر الواردة في الإنجيل والتوراة تنحصر غاياتها بالتعبّد ، على أن 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استدلال بعض أصحابنا بالآية في قبال الأشعري القائل بالجزاف في أفعاله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فاسد جدّا ، لأنّ المنساق من الآية أنّها ليست للغاية ، بل من المعلوم بواسطة ملاحظة نظائره في الآيات القرآنيّة أنّها لام الإرادة </w:t>
      </w:r>
      <w:r>
        <w:rPr>
          <w:rStyle w:val="FootnoteAnchor"/>
          <w:rtl w:val="true"/>
        </w:rPr>
        <w:footnoteReference w:id="633"/>
      </w:r>
      <w:r>
        <w:rPr>
          <w:rFonts w:ascii="Amiri" w:hAnsi="Amiri" w:eastAsia="Amiri" w:cs="Amiri"/>
          <w:color w:val="111111"/>
          <w:sz w:val="28"/>
          <w:sz w:val="28"/>
          <w:szCs w:val="28"/>
          <w:rtl w:val="true"/>
          <w:lang w:bidi="ar-SA"/>
        </w:rPr>
        <w:t xml:space="preserve">الداخلة على المراد </w:t>
      </w:r>
      <w:r>
        <w:rPr>
          <w:rStyle w:val="FootnoteAnchor"/>
          <w:rtl w:val="true"/>
        </w:rPr>
        <w:footnoteReference w:id="634"/>
      </w:r>
      <w:r>
        <w:rPr>
          <w:rFonts w:ascii="Amiri" w:hAnsi="Amiri" w:eastAsia="Amiri" w:cs="Amiri"/>
          <w:color w:val="111111"/>
          <w:sz w:val="28"/>
          <w:sz w:val="28"/>
          <w:szCs w:val="28"/>
          <w:rtl w:val="true"/>
          <w:lang w:bidi="ar-SA"/>
        </w:rPr>
        <w:t xml:space="preserve">،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وَأُمِرْنا لِنُسْلِمَ لِرَبِّ الْعالَمِينَ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أَكُونَ أَوَّلَ مَنْ أَسْلَمَ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لِأَعْدِلَ بَيْنَكُمُ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فمدخول اللام هذه يكون مفعولا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بعضهم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المصرّح به في كلام ابن هشام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القائل بعدم التقوية في مثل هذه إنّما زعم ذلك لعدم قصور الفعل وعدم الحاجة إلى التقوية ، فالمفعول به عنده مقدّر ، لكنّه لا يخالف المذكور ، بل يكون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الإذهاب ليذهب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أن اللام هذه ليست للغاية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استقامة العطف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وَيُقِيمُوا الصَّلاةَ وَيُؤْتُوا الزَّكاةَ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فإنّهما معطوفان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ذلك تكرار العامل كما يؤذن به حذف النون </w:t>
      </w:r>
      <w:r>
        <w:rPr>
          <w:rStyle w:val="FootnoteAnchor"/>
          <w:rtl w:val="true"/>
        </w:rPr>
        <w:footnoteReference w:id="642"/>
      </w:r>
      <w:r>
        <w:rPr>
          <w:rFonts w:ascii="Amiri" w:hAnsi="Amiri" w:eastAsia="Amiri" w:cs="Amiri"/>
          <w:color w:val="111111"/>
          <w:sz w:val="28"/>
          <w:sz w:val="28"/>
          <w:szCs w:val="28"/>
          <w:rtl w:val="true"/>
          <w:lang w:bidi="ar-SA"/>
        </w:rPr>
        <w:t>منهما أيضا ، مع أنّهما ليسا غايتين بل هما مأمور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التنزّل فلا دلالة في الآية على المطلوب ، لاحتمال أن يكون الأوامر المتعلّقة بهم لطفا في التعبّد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فتكون العبادة والتذلّل من الغايات المترتّبة على الأوامر ، سواء كانت تعبّدية أو توصّليّة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اريد </w:t>
      </w:r>
      <w:r>
        <w:rPr>
          <w:rStyle w:val="FootnoteAnchor"/>
          <w:rtl w:val="true"/>
        </w:rPr>
        <w:footnoteReference w:id="644"/>
      </w:r>
      <w:r>
        <w:rPr>
          <w:rFonts w:ascii="Amiri" w:hAnsi="Amiri" w:eastAsia="Amiri" w:cs="Amiri"/>
          <w:color w:val="111111"/>
          <w:sz w:val="28"/>
          <w:sz w:val="28"/>
          <w:szCs w:val="28"/>
          <w:rtl w:val="true"/>
          <w:lang w:bidi="ar-SA"/>
        </w:rPr>
        <w:t xml:space="preserve">من حصر المأمور به في العبادة أنّ العبادة هي المأمور بها فقط على وجه لا يكون غيرها مأمورا به كأن يكون اللام للصلة والتقوية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بالعبادة على وجه الإخلاص ليس إلاّ التوحيد ، كما فسّرت بذلك في لسان بعض أهل التفسير ، فعن الطبرسي أنّه قال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لم يأمرهم اللّه تعالى إلاّ لأن يعبدوا اللّه وحده لا يشركون بعبادته ، فهو ممّا لا يختلف فيه ملّة ولا يقع فيه التبدّل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يشير بذلك إلى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أيضا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يخلطون بعبادته عبادة ما سواه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الصافي بعد ذكر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يشركون به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ويساعد ذلك ورودها في مقابلة المشركين ، ويعاضده نظائرها من الآيات القرآنيّة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 xml:space="preserve">) </w:t>
      </w:r>
      <w:r>
        <w:rPr>
          <w:rStyle w:val="FootnoteAnchor"/>
          <w:rtl w:val="true"/>
        </w:rPr>
        <w:footnoteReference w:id="649"/>
      </w:r>
      <w:r>
        <w:rPr>
          <w:rStyle w:val="FootnoteAnchor"/>
          <w:rtl w:val="true"/>
        </w:rPr>
        <w:footnoteReference w:id="650"/>
      </w: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فإنّ ملاحظة مساقها يكفي عن الاستدلال في إرادة التوحيد منها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فالآية مفادها نفي الشرك ، فهي مشتملة على أمّ المسائل الإلهية </w:t>
      </w:r>
    </w:p>
    <w:p>
      <w:pPr>
        <w:pStyle w:val="BookText"/>
        <w:rPr/>
      </w:pPr>
      <w:r>
        <w:rPr>
          <w:rFonts w:ascii="Amiri" w:hAnsi="Amiri" w:eastAsia="Amiri" w:cs="Amiri"/>
          <w:color w:val="111111"/>
          <w:sz w:val="28"/>
          <w:sz w:val="28"/>
          <w:szCs w:val="28"/>
          <w:rtl w:val="true"/>
          <w:lang w:bidi="ar-SA"/>
        </w:rPr>
        <w:t>والأحكام الشرعيّة الفرعيّة ، وهي الصلاة والزكاة ، على حسب ما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جمع بين التوحيد وحقوق الوالدين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 فالمنصف لا مجال له من تسليم ذلك ؛ إذ العبادة ليست على ما اصطلح عليها الفقهاء بحسب اللغة ، فإنّ المراد بها لغة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 والانقياد ، ويعبّر عنه بالفارسيّة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وبندگى كردن ، وستودن وستايش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لا مدخل لها بالأفعال التي اصطلح عليها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ظاهر لا ينبغي الإطالة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الجواب عن الوجه الثاني </w:t>
      </w:r>
      <w:r>
        <w:rPr>
          <w:rStyle w:val="FootnoteAnchor"/>
          <w:rtl w:val="true"/>
        </w:rPr>
        <w:footnoteReference w:id="653"/>
      </w:r>
      <w:r>
        <w:rPr>
          <w:rFonts w:ascii="Amiri" w:hAnsi="Amiri" w:eastAsia="Amiri" w:cs="Amiri"/>
          <w:color w:val="111111"/>
          <w:sz w:val="28"/>
          <w:sz w:val="28"/>
          <w:szCs w:val="28"/>
          <w:rtl w:val="true"/>
          <w:lang w:bidi="ar-SA"/>
        </w:rPr>
        <w:t xml:space="preserve">، فبأنّ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احتمالات وإطلاقات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به ما عرفت من معنى العبادة ، كما يظهر من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به الطاعة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يَدِينُونَ دِينَ الْحَقِ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أي لا يطيعون طاعة الحق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به الجزاء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به الإسلام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إلهيّ لاولي الألباب يتناول الاصول والفروع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أنّ المراد به في الآية ليس هو الجزاء ، لعدم تعقّله فيها على ما هو ظاهر ، والكلّ محتمل ، وعلى التقادير لا يتمّ التقريب ، إذ الاستدلال موقوف على أن 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الأعمال الفرعيّة المأمور بها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أنّ المراد به في المقام هو خصوص ذلك مع كونه معنى مجازيّا غير ظاهر من مساق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التقريب على تقدير إرادة المعنى الأعمّ من الأعمال الفرعيّة والعقائد الأصليّة ، كما هو أحد الوجوه المحتملة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يتمّ على تقدير أن يكون المراد بالإخلاص هو قصد التقرّب ، وهو غير معقول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الأعمال التي يجزى بها ، تسمية للسبب باسم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مجازا لا يصار إليه إلاّ بعد دلالة ، لا يجديك شيئا ؛ إذ يكون محصّل مفاد الآية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إلاّ بالعبادة والانقياد حال كونهم قاصدين للتقرّب بالأعمال التي يجزى بها ، فيكون قصد القربة معتبرا فيما يترتّب عليه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استحقاق الثواب مشروط بالامتثال ، كما نبّهنا على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اشتراط سقوط التكليف بالقصد ، وأين أحدهما من الآخر؟ لجواز سقوط التكليف مع عدم ترتّب الثواب والجزاء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العبادة التي يرادف الانقياد ، والإخلاص فيه عبارة عن عدم اختلاطه بالانقياد لغير وجهه الكريم ، فيكون المراد </w:t>
      </w:r>
    </w:p>
    <w:p>
      <w:pPr>
        <w:pStyle w:val="BookText"/>
        <w:rPr/>
      </w:pPr>
      <w:r>
        <w:rPr>
          <w:rFonts w:ascii="Amiri" w:hAnsi="Amiri" w:eastAsia="Amiri" w:cs="Amiri"/>
          <w:color w:val="111111"/>
          <w:sz w:val="28"/>
          <w:sz w:val="28"/>
          <w:szCs w:val="28"/>
          <w:rtl w:val="true"/>
          <w:lang w:bidi="ar-SA"/>
        </w:rPr>
        <w:t>به أنّهم مأمورون بالانقياد والتذلّل حال كونهم مخلصين له التعبّد والانقياد من غير اختلاطه بانقياد غيره ، كما ينظر إلى ذلك التفاسير المنقولة والآيات المشابهة لها في المساق ،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وأغمضنا عن ذلك كلّه ، فيجب حمل الآية على الاستحباب ، إذ على تقدير إرادة وجوب نيّة القربة يلزم تخصيص مستبشع لا يمكن التزامه ، إذ الأغلب في الأوامر الواردة في شريعتنا أنّها واجبات 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ممّا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ممّا قد امر بها في هذه الآية ، ولا تصدق إلاّ بقصد الامتثال ، فيجب ذلك في الأوامر نظرا إلى وجوب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الآية حاكمة على ظواهر الأوامر الواردة في المقامات الخاصّة ، نظير ورود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على الأوامر الخاصّة على القول بدلالتها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تارة تطلق ويراد بها ما لا يصدق بدون قصد الامتثال على ما هو مناط الاستدلال ، وتارة يطلق ويراد بها مجرّد عدم المعصية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يجوز أن يكون المراد بها في المقام هو الأوّل ، إذ على تقديره يلزم أن يكون إطاعة الرسول واجبة أيضا بمعنى قصد التقرّب إليه تعالى ، مع أنّ الإجماع قائم بعدم وجوب إطاعة الرسول بهذا المعنى ، إذ لم يقل بوجوب قصد التقرّب إليه تعالى أحد من العلماء ، ولا يكفي في ذلك أنّ إطاعة اللّه بعينها هي إطاعة الرسول ، إذ الظاهر من تكرار الأمر في الآية تكرار المأمور به ، ولذلك أوردنا في الاستدلال هذه الآية ، مع أنّه يمكن الاستدلال بآية لم يكرّر فيها الإطاعة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 ولكنّه تخصيص للأكثر على وجه لا يكاد يلتزم به المنصف ، فلا بدّ من أن يحمل على المعنى الثاني ، كما يشعر بذلك ورودها بهذا المعنى في كثير من الموارد في القرآن الكريم وغيره ، كما في الأمر بإطاعة الوالدين </w:t>
      </w:r>
      <w:r>
        <w:rPr>
          <w:rStyle w:val="FootnoteAnchor"/>
          <w:rtl w:val="true"/>
        </w:rPr>
        <w:footnoteReference w:id="661"/>
      </w:r>
      <w:r>
        <w:rPr>
          <w:rFonts w:ascii="Amiri" w:hAnsi="Amiri" w:eastAsia="Amiri" w:cs="Amiri"/>
          <w:color w:val="111111"/>
          <w:sz w:val="28"/>
          <w:sz w:val="28"/>
          <w:szCs w:val="28"/>
          <w:rtl w:val="true"/>
          <w:lang w:bidi="ar-SA"/>
        </w:rPr>
        <w:t>، إذ ليس المراد بها فيه إلاّ مجرّد 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فإنّ مقابلة التولّي بالإطاعة من أقوى الشواهد على أنّ المراد بها في الآية عدم المخالفة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فَإِنْ تَوَلَّوْا فَإِنَّما عَلَيْهِ ما حُمِّلَ وَعَلَيْكُمْ ما حُمِّلْتُمْ وَإِنْ تُطِيعُوهُ تَهْتَدُوا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وفي الزيارات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أطاعكم فقد أطاع اللّه ومن عصاكم فقد عصى اللّه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فإنّ مقابلة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كمقابلة التولّي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أنّ المراد بالإطاعة هو عدم المعصية ، ليس على وجه المجازيّة ، لما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يمكن أن يكون المقصود أعمّ من مدلول اللفظ بحسب الظاهر ، على وجه لا سبيل إلى التأدية عن ذلك المعنى المقصود الأعمّ إلاّ على الوجه الغير المفيد لخصوص المراد ، على خلاف الواجبات التعبّديّة ، فإنّ المقصود منها التعبّد بها ، مع أنّه لا يمكن أن يكون المفاد للأمر الدالّ عليه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فالمقصود بهذه الأوامر ليس إلاّ مجرّد عدم الترك ، إلاّ أنّ اللفظ المفيد لذلك المعنى يفيد معنى آخر ليس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ذلك فالمجاز ممّا يجب </w:t>
      </w:r>
    </w:p>
    <w:p>
      <w:pPr>
        <w:pStyle w:val="BookText"/>
        <w:rPr/>
      </w:pPr>
      <w:r>
        <w:rPr>
          <w:rFonts w:ascii="Amiri" w:hAnsi="Amiri" w:eastAsia="Amiri" w:cs="Amiri"/>
          <w:color w:val="111111"/>
          <w:sz w:val="28"/>
          <w:sz w:val="28"/>
          <w:szCs w:val="28"/>
          <w:rtl w:val="true"/>
          <w:lang w:bidi="ar-SA"/>
        </w:rPr>
        <w:t>أن يصار إليه إذا دلّ عليه الدليل كما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أغمضنا عن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الإطاعة معناها الحقيقي ، فلا نسلّم أنّها حاكمة على الأدلّة الخاصّة ؛ إذ لعلّها واجبة في حدّ ذاتها من غير أن يكون مناطا لأمر آخر ، فالامتثال واجب مستقلّ وفعل الصلاة واجب آخر ، ويمكن سقوط الأمر الأوّل مع عدم سقوط الأمر الثاني بمعنى حصول المكلّف به فيها ، إذ الأمر الأوّل موضوع للإطاعة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سقوط الأمر الأوّل رافعا للعقاب المترتّب على مخالفته وإن كان موجبا للعقاب المترتّب على العصيان بواسطة الأمر بالإطاعة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خلاف الإنصاف ، إذ الالتزام بمثل ذلك لعلّه خلاف الإجماع ، فإنّ سقوط الواجب لو كان موجبا لعدم ترتّب العقاب المترتّب على تركه ، لا يعقل أن يكون موجبا للعقاب المترتّب على ترك الإطاعة بواسطة ارتفاع موضوعه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المقام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ونظيره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قول إلاّ بالعمل ، ولا عمل إلاّ بالنيّة ، ولا نيّة إلاّ بإصابة السنّة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عبارة عن مطلق الأفعال التي يتعلّق بها الأمر والطلب من الامور الواجبة ، والنيّة عبارة عن قصد القربة ، ونفي العمل بدون النيّة يوجب الكذب ، فلا بدّ من حمله على نفي الأثر كما في روادفه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w:t>
      </w:r>
    </w:p>
    <w:p>
      <w:pPr>
        <w:pStyle w:val="BookText"/>
        <w:rPr/>
      </w:pPr>
      <w:r>
        <w:rPr>
          <w:rFonts w:ascii="Amiri" w:hAnsi="Amiri" w:eastAsia="Amiri" w:cs="Amiri"/>
          <w:color w:val="111111"/>
          <w:sz w:val="28"/>
          <w:sz w:val="28"/>
          <w:szCs w:val="28"/>
          <w:rtl w:val="true"/>
          <w:lang w:bidi="ar-SA"/>
        </w:rPr>
        <w:t xml:space="preserve">إلاّ بطهور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يترتّب على واجب من الواجبات أثر من الآثار المطلوبة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الأمر وفراغ الذمّة واستحقاق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من العمل مطلق الأفعال الواجبة ، بل الظاهر بملاحظة ورود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عديدة نظائر </w:t>
      </w:r>
      <w:r>
        <w:rPr>
          <w:rStyle w:val="FootnoteAnchor"/>
          <w:rtl w:val="true"/>
        </w:rPr>
        <w:footnoteReference w:id="671"/>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بالعمل خصوص العبادات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والعالمون كلّهم هالكون إلاّ العاملون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لي أستحقّ به الجنّة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وإن أبيت عن ذلك فلا بدّ من حمله على ظاهره لغة ، وهو مطلق الأفعال من دون اختصاص له بالواجبات ، ولازمه عدم ترتيب الأثر على كلّ فعل ولو كان من الأفعال المحرّمة إلاّ بنيّة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غنيّ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 المراد بالنيّة هو قصد القربة ، إذ المقصود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ليس إلاّ مجرّد القصد إلى الفعل ، ولا دليل على أنّ المراد بها في المقام هو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دلالته حينئذ على اعتبار قصد العنوان في العمل ، فما لم يتحقّق قصد الفاعل إلى عنوان الفعل والعمل لا يتحقّق عمل منه ولا فعل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فليس يجوز حمله على هذا المعنى أيضا ، ضرورة وجود ذات العمل مع عدم القصد إلى عنوان الفعل ، فلا يصحّ رجوع النفي إلى الذات ، </w:t>
      </w:r>
    </w:p>
    <w:p>
      <w:pPr>
        <w:pStyle w:val="BookText"/>
        <w:rPr/>
      </w:pPr>
      <w:r>
        <w:rPr>
          <w:rFonts w:ascii="Amiri" w:hAnsi="Amiri" w:eastAsia="Amiri" w:cs="Amiri"/>
          <w:color w:val="111111"/>
          <w:sz w:val="28"/>
          <w:sz w:val="28"/>
          <w:szCs w:val="28"/>
          <w:rtl w:val="true"/>
          <w:lang w:bidi="ar-SA"/>
        </w:rPr>
        <w:t xml:space="preserve">فلا بدّ أن يحمل العمل على الأفعال الاختياريّة من حيث إنّها اختياريّة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الفعل الاختياري موجودا ما 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 فلا يجوز حمله على هذا المعنى أيضا ، ضرورة وجود الفعل الاختياري من غير قصد إلى عنوان الفعل إذا كان له عناوين متعدّدة مع تعلّق القصد بأحدها ، فإنّه يكفي في وقوع الفعل اختيارا أن يكون أحد عناوينه مقصودا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يكون اختياريّا باعتبار عنوانه الغير الملتفت إليه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تحمل الرواية على أنّ الفعل الاختياري بعنوانه الاختياري غير واقع إلاّ بالقصد إلى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قواعد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استظهاره من الرواية فهو ما عرفت من أنّ المراد بها خصوص الأفعال العباديّة ، ويدلّ على اعتبار القربة فيها ، فلا دلالة فيها على المطلوب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حمل على ما زعم يلزم تخصيص بشيع </w:t>
      </w:r>
      <w:r>
        <w:rPr>
          <w:rStyle w:val="FootnoteAnchor"/>
          <w:rtl w:val="true"/>
        </w:rPr>
        <w:footnoteReference w:id="674"/>
      </w:r>
      <w:r>
        <w:rPr>
          <w:rFonts w:ascii="Amiri" w:hAnsi="Amiri" w:eastAsia="Amiri" w:cs="Amiri"/>
          <w:color w:val="111111"/>
          <w:sz w:val="28"/>
          <w:sz w:val="28"/>
          <w:szCs w:val="28"/>
          <w:rtl w:val="true"/>
          <w:lang w:bidi="ar-SA"/>
        </w:rPr>
        <w:t>لا يكاد يلتزم به من له مسكة ، فالأمر دائر بين التصرّف في الرواية بأحد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لو لم ندّع ظهور الاحتمال الأخير لا نسلّم ظهورها في غيره ، فلا وجه للاستدلال ؛ لمكان الإجمال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ادّعي تواتره لفظا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أصحابنا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باتّصال إسناده إلى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فهو بمنزلة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عمل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وينعكس بعكس النقيض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ليس متلبّسا بالنيّة ليس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مفادها مفاد الرواية السابقة في الاحتمالات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الرواية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عدم انتهاضه بشيء من المقصود ، فلا وجه للاستناد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مقتضى الأوامر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التوصّليّة ، والأدلّة المذكورة لا تنهض حجّة على إثبات الأصل الثانوي ، فعند الشكّ لا بدّ من الأخذ بمقتضى أصالة البراءة أو أصالة العدم ، على ما نبّهنا عليه في الهداية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221" w:name="pg16254_218577"/>
    </w:p>
    <w:p>
      <w:pPr>
        <w:pStyle w:val="Heading3"/>
        <w:numPr>
          <w:ilvl w:val="2"/>
          <w:numId w:val="1"/>
        </w:numPr>
        <w:rPr/>
      </w:pPr>
      <w:bookmarkStart w:id="222" w:name="__RefHeading___Toc4418268_1280447820"/>
      <w:bookmarkStart w:id="223" w:name="_Toc71"/>
      <w:bookmarkEnd w:id="221"/>
      <w:bookmarkEnd w:id="222"/>
      <w:r>
        <w:rPr>
          <w:rtl w:val="true"/>
        </w:rPr>
        <w:t>هداية</w:t>
      </w:r>
      <w:bookmarkEnd w:id="223"/>
    </w:p>
    <w:p>
      <w:pPr>
        <w:pStyle w:val="Heading4"/>
        <w:numPr>
          <w:ilvl w:val="3"/>
          <w:numId w:val="1"/>
        </w:numPr>
        <w:rPr/>
      </w:pPr>
      <w:bookmarkStart w:id="224" w:name="__RefHeading___Toc4418270_1280447820"/>
      <w:bookmarkStart w:id="225" w:name="_Toc72"/>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بعد ما عرفت من أنّه لا دليل على لزوم قصد القربة في الأوامر ، فهل هناك ما يدلّ على اعتبار قصد العنوان في المأمور به ، أم لا؟ وجهان ، بل قولان ، فذهب جماعة إلى الأوّل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الاستدلال ينبغي أن يعلم أنّه لا إشكال في أنّ الفعل إذا لم يصحّ استناده إلى المكلّف بوجه من الوجوه ليس مجزيا في الأمر ، مثل ما إذا فرض الإكراه والإجبار في صدور الفعل ، دون ما إذا حصل له الداعي إكراها ، للفرق الظاهر بين الوجهين ؛ وذلك لأنّ المنساق من الفعل المأمور به هو ما يكون مستندا إلى المكلّف ، إمّا بدعوى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فيما يصحّ انتسابه إليه وإن كان بعيدا عن التحقيق ، لما قرّر في مقامه من تقسيم الفعل إلى الأفعال الاختياريّة الصادرة عن الفاعل المختار وغيرها ممّا يصدر عن الفاعل الموجب ؛ مضافا إلى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كونه حقيقة ، إذ ليس المأمور به عنوان الفعل بل مصاديقه كالضرب ونحوه ، فلا بدّ من التكلّم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بواسطة أنّ الضرب المأمور به منصرف عرفا إلى ضرب يصحّ استناده إلى الضارب ، فلو أمر المولى عبده بالضرب مثلا وأخذ يده واحد من غلمانه وأوقعها على واحد لم يكن العبد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مفروغ عنه عندهم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بذلك ما إذا صحّ استناده إليه ولكن لم يكن الفعل واقعا على شعور ، </w:t>
      </w:r>
    </w:p>
    <w:p>
      <w:pPr>
        <w:pStyle w:val="BookText"/>
        <w:rPr/>
      </w:pPr>
      <w:r>
        <w:rPr>
          <w:rFonts w:ascii="Amiri" w:hAnsi="Amiri" w:eastAsia="Amiri" w:cs="Amiri"/>
          <w:color w:val="111111"/>
          <w:sz w:val="28"/>
          <w:sz w:val="28"/>
          <w:szCs w:val="28"/>
          <w:rtl w:val="true"/>
          <w:lang w:bidi="ar-SA"/>
        </w:rPr>
        <w:t>كما إذا وقع منه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أدلّة الضمانات ، إذ الفعل لا يصحّ سلبه عنه حينئذ ، وهو كاف في تصحيح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الواقع في تلو الأوامر التكليفيّة لعلّه ينصرف إلى ما هو مقصود </w:t>
      </w:r>
      <w:r>
        <w:rPr>
          <w:rStyle w:val="FootnoteAnchor"/>
          <w:rtl w:val="true"/>
        </w:rPr>
        <w:footnoteReference w:id="679"/>
      </w:r>
      <w:r>
        <w:rPr>
          <w:rFonts w:ascii="Amiri" w:hAnsi="Amiri" w:eastAsia="Amiri" w:cs="Amiri"/>
          <w:color w:val="111111"/>
          <w:sz w:val="28"/>
          <w:sz w:val="28"/>
          <w:szCs w:val="28"/>
          <w:rtl w:val="true"/>
          <w:lang w:bidi="ar-SA"/>
        </w:rPr>
        <w:t>له ولو بوجه ، فلو وقع من غير أن يكون مشعورا به لا يبعد دعوى عدم الإجزاء فيه وإن لم يكن في الظهور بمرتبة القسم الأوّل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أيضا في لزوم القصد إذا كان الفعل ممّا لا يقع إلاّ بالالتفات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ذاته عبارة عن الحركة والسكون والاجتماع والافتراق مثلا ، وتحقّق تلك الذات لا يتوقّف على قصد ، إلاّ أنّ لذلك الفعل وجوها واعتبارات ، يلحقها بعضها من غير أن يكون مقصودا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اسم للحركة المخصوصة وإن لم يقع على وجه الضرب ، ويلحقها بعضها إذا كان ذلك الوجه مقصودا ، فلا يقال للحركة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تعظيم ، ما لم يكن التعظيم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 الأمر بمثل هذا العنوان فلا مناص من القصد إليه تحصيلا للموافقة بعد العلم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الضرب وبين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بدون القصد صادق ، فيمكن القول بالإجزاء ، بخلاف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أيضا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عنوان يقع على وجه الاختيار مع وقوع ذات الفعل ولو بعنوان آخر اختياريّا وصدق العنوان الذي لم يقع على وجه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فاحتجّ الذاهب إلى اعتبار القصد بوجوه ، أقواها امور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تبادر الفعل الواقع على وجه </w:t>
      </w:r>
      <w:r>
        <w:rPr>
          <w:rStyle w:val="FootnoteAnchor"/>
          <w:rtl w:val="true"/>
        </w:rPr>
        <w:footnoteReference w:id="680"/>
      </w:r>
      <w:r>
        <w:rPr>
          <w:rFonts w:ascii="Amiri" w:hAnsi="Amiri" w:eastAsia="Amiri" w:cs="Amiri"/>
          <w:color w:val="111111"/>
          <w:sz w:val="28"/>
          <w:sz w:val="28"/>
          <w:szCs w:val="28"/>
          <w:rtl w:val="true"/>
          <w:lang w:bidi="ar-SA"/>
        </w:rPr>
        <w:t>الاختيار بعنوانه من الفعل الواقع في تلو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منه أنّ الضرب حقيقة في الواقع مقصودا منه فذلك دعوى محالة ، وإن اريد الانصراف وإن كان يمكن ذلك إلاّ أنّه ممنوع أشدّ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الامور المقرّرة في محلّه أنّ الأفعال الاختياريّة لا تقع اختيارية إلاّ بالقصد إليها ، وهي محالّ التكاليف الشرعيّة ؛ إذ الأفعال الاضطرارية خارجة عن مقدور المكلّف ، ويمتنع تعلّق التكليف بالأفعال الغير المقدورة ، فيجب أن يكون متعلّق التكليف هي العناوين المقصودة ، وهو المطلوب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نهجه بعض الأفاضل في مناهجه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w:t>
      </w:r>
      <w:r>
        <w:rPr>
          <w:rStyle w:val="FootnoteAnchor"/>
          <w:rtl w:val="true"/>
        </w:rPr>
        <w:footnoteReference w:id="682"/>
      </w:r>
      <w:r>
        <w:rPr>
          <w:rFonts w:ascii="Amiri" w:hAnsi="Amiri" w:eastAsia="Amiri" w:cs="Amiri"/>
          <w:color w:val="111111"/>
          <w:sz w:val="28"/>
          <w:sz w:val="28"/>
          <w:szCs w:val="28"/>
          <w:rtl w:val="true"/>
          <w:lang w:bidi="ar-SA"/>
        </w:rPr>
        <w:t>نسبة العمل إلى شيء من كونه مؤثّرا فيه ، وهذا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والتأثير قد يكون مع المباشرة ، وقد يكون بالأمر والبعث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السلطان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والأفعال المطلوبة من المكلّف لمّا كانت مطلوبة ممّا هو انسان ، يعني النفس دون البدن ، وتأثيره لا يكون إلاّ بالأمر والبعث للبدن ، وهما لا يتصوّران إلاّ مع القصد والشعور ، فيلزم أن لا يصدر عمل عمّا هو المكلّف حقيقة إلاّ بالقصد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المراد من نفي العمل نفي الآثار بالنسبة إلى عنوانه الغير المقصود ، كسقوط التكليف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 فقد 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الثاني فيحتاج إلى تمهيد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العارضة للمأمور به والقيود اللاحقة له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فيه قبل لحوق الطلب به ، كتخصيص الضرب بمكان أو زمان أو فاعل أو نحو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يلحقه بعد ملاحظة لحوق الطلب به ، كالامتثال على ما عرفته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فيه بعروض نفس الطلب والأمر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فالقيود التي من قبيل الأوّل لا مجال من اعتبارها في المأمور به ، على 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والقيود التي تعرضه بعد الأمر أيضا يلحقها حكمها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القيود التي تحدث بنفس الطلب في المأمور به فلا وجه لاعتبارها فيه ، إذ المطلوب إنّما هو الفعل من غير تقييد ، غاية الأمر أنّ الطلب حينما يتعلّق به يحدث فيه قيدا ، ولا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المعتبرة في المأمور به تارة تكون معتبرة فيه مع قطع النظر عن قبح تعلّق الطلب بالفعل الغير المقدور ، وتارة تكون بواسطة امتناع تعلّق الطلب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القسم الأوّل لا بدّ من القول بعدم الاكتفاء فيما إذا أتى المكلّف بالغير المقدور ، لأنّ الواقع غير مأمور به ، والمأمور به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القسم الثاني فعلى ما عرفت لا يؤثّر في التقييد بعد إطلاق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إذا تصوّر فعلا غير مقيّد بقيد ولاحظ فيه ما يوجب وقوعه من المكلّف على وجه الإطلاق بالنسبة إلى ذلك القيد ، يتعلّق طلبه بذلك الفعل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وفاء نفس الطلب بجميع أفراده لا يؤثّر في دفع الإطلاق ، لأنّه قصور في الطلب لا تقييد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العناوين التي يقع مأمورا بها على الأفعال الواقعة من جهة من الجهات اختياريّة ، لا ينبغي الإشكال في كفاية كلّ فرد من الأفراد التي ينطبق عليها عنوان المأمور به ، لسقوط التكليف وحصول المأمور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فالمستدلّ إن أراد من امتناع تعلّق الطلب بغير المقدور أنّ مقصود الآمر هو الفعل المقيّد بالقدرة فلا سبيل له إلى إثباته ،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عدم تعلّق الطلب به بواسطة مضايقة حاصلة في نفس الطلب وقصور موجود فيه فهو مسلّم ، لكنّه لا </w:t>
      </w:r>
    </w:p>
    <w:p>
      <w:pPr>
        <w:pStyle w:val="BookText"/>
        <w:rPr/>
      </w:pPr>
      <w:r>
        <w:rPr>
          <w:rFonts w:ascii="Amiri" w:hAnsi="Amiri" w:eastAsia="Amiri" w:cs="Amiri"/>
          <w:color w:val="111111"/>
          <w:sz w:val="28"/>
          <w:sz w:val="28"/>
          <w:szCs w:val="28"/>
          <w:rtl w:val="true"/>
          <w:lang w:bidi="ar-SA"/>
        </w:rPr>
        <w:t>يجديه ، إذ قد يكون ما أراد أن يطلبه الطالب أمرا عامّا لا يمكن أن يقع عليه الطلب على عمومه ، كما أنّه يمكن أن يكون أمرا مخصوصا لا يمكن إظهاره أوّلا بنفس الطلب ، كما في الأوامر التعبّديّة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لا يكون واجبا إلاّ بالطلب ، والمفروض عدم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الفعل الشامل للمقدور ولغير المقدور ، فلا يكون الفعل بعمومه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معنى لسقوط التكليف به ، وإنّ </w:t>
      </w:r>
      <w:r>
        <w:rPr>
          <w:rStyle w:val="FootnoteAnchor"/>
          <w:rtl w:val="true"/>
        </w:rPr>
        <w:footnoteReference w:id="684"/>
      </w:r>
      <w:r>
        <w:rPr>
          <w:rFonts w:ascii="Amiri" w:hAnsi="Amiri" w:eastAsia="Amiri" w:cs="Amiri"/>
          <w:color w:val="111111"/>
          <w:sz w:val="28"/>
          <w:sz w:val="28"/>
          <w:szCs w:val="28"/>
          <w:rtl w:val="true"/>
          <w:lang w:bidi="ar-SA"/>
        </w:rPr>
        <w:t>سقوط التكليف بغير الواجب لا بدّ له من دليل ،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التكليف بغير الواجب فيما إذا كان ذلك بواسطة قصور الطلب بعد معلوميّة أنّ ما أراد أن يطلبه هو الفعل المطلق ، ممّا لا يحتاج إلى دليل ، لحصول المقصود الحقيقي بذلك ، ولا يعقل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المطلوب مطلق ، ولكنّه يجب الأخذ بمقتضى الطلب وتقييداته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ظاهر الفساد بعد أنّ الوجدان قاض بأنّ المطلوب هو الفعل المطلق فيما إذا كان القيد غير مأخوذ في المطلوب ، ضرورة لزوم اختلاف نسبة الطالب إلى الأفراد ولو </w:t>
      </w:r>
      <w:r>
        <w:rPr>
          <w:rStyle w:val="FootnoteAnchor"/>
          <w:rtl w:val="true"/>
        </w:rPr>
        <w:footnoteReference w:id="685"/>
      </w:r>
      <w:r>
        <w:rPr>
          <w:rFonts w:ascii="Amiri" w:hAnsi="Amiri" w:eastAsia="Amiri" w:cs="Amiri"/>
          <w:color w:val="111111"/>
          <w:sz w:val="28"/>
          <w:sz w:val="28"/>
          <w:szCs w:val="28"/>
          <w:rtl w:val="true"/>
          <w:lang w:bidi="ar-SA"/>
        </w:rPr>
        <w:t>كان المطلوب مقيّدا ، والمفروض خلافه لإطلاق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بأنّ المقصود هو الأعمّ كان الوجه ما ذكر ، ومن أين لك العلم بالمقصود؟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ذلك من إطلاق المادّة ، حيث إنّ المقصود لو كان أمرا مخصوصا لكان على المتكلّم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الإطلاق إنّما يعتبر بواسطة قبح ترك البيان مع ورود الكلام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المقام ما يصلح لأن يكون بيانا ، فهل ترى صحّة الاستناد إلى الإطلاق؟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بصدده ، فإنّه لو كان المقصود هو الفعل الخاصّ المقيّد بالقدرة لا ضير في ترك التقييد به ، لجواز الاعتماد على ما يستفاد من نفس الطلب ، إذ المفروض أنّ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تعلّقه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القول بأنّ القدرة مأخوذة في نفس الفعل قبل لحوق الطلب في الأحكام الشرعيّة ، لما تقرّر عند العدليّة من تبعيّة الأحكام الشرعيّة للصفات المحسّنة والمقبّحة ، فما لم يكن الفعل موردا للحسن لا يصير متعلّقا للطلب ولا يكون موردا للحسن إلاّ إذا كان فعلا اختياريّا ، فإنّه مهبط للحسن والقبح اتّفاقا ، ولا يكون فعلا اختياريّا إلاّ إذا كان مقدورا ، ولا يكون مقدورا إلاّ أن يكون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بأنّ الحسن والقبح أيضا يقتضيان الاختياريّة في الأفعال كنفس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أفاده الاستاذ بعد ما أوردت عليه ذلك ، إلاّ أنّه بعد في إجمال لا بدّ له من التأمّل ، فتأمّل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فاسد عن أصله ؛ إذ نسبة النفس إلى الجوارح العمّالة ليست نسبة البعث والأمر ، بل إنّما هي آلات لوقوع أفاعيلها على حسب اختلاف دواعيها ، فالمباشر حقيقة في الأفعال الصادرة عنّا إنّما هو نفوسنا الناطقة بواسطة آلاتها الظاهريّة أو الباطنيّة ، دون الآلات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أغمضنا عن ذلك ، ولكن يتمّ ما ذكره فيما إذا قيل بأنّ النفس مأمور بالأمر بالجوارح على أن يقع منها الأفعال ، حيث إنّ الأمر لا بدّ له من ملاحظة المأمور به ، </w:t>
      </w:r>
    </w:p>
    <w:p>
      <w:pPr>
        <w:pStyle w:val="BookText"/>
        <w:rPr/>
      </w:pPr>
      <w:r>
        <w:rPr>
          <w:rFonts w:ascii="Amiri" w:hAnsi="Amiri" w:eastAsia="Amiri" w:cs="Amiri"/>
          <w:color w:val="111111"/>
          <w:sz w:val="28"/>
          <w:sz w:val="28"/>
          <w:szCs w:val="28"/>
          <w:rtl w:val="true"/>
          <w:lang w:bidi="ar-SA"/>
        </w:rPr>
        <w:t>إذ لولاه لامتنع أمره به ، إذ عند عدم تصوّره لا يجد من نفسه ما يدعوه إلى طلبه ، فلا يقع الطلب من دون تصوّر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بمراحل عن التحقيق ، لإمكان أن يقال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مأمور بالتسبّب وليس يلزم من التسبّب تصوّر الفعل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إذ بعد فرض أنّ المباشر هو الآلة دون النفس وأنّ نسبة النفس إليها نسبة التسبّب </w:t>
      </w:r>
      <w:r>
        <w:rPr>
          <w:rStyle w:val="FootnoteAnchor"/>
          <w:rtl w:val="true"/>
        </w:rPr>
        <w:footnoteReference w:id="687"/>
      </w:r>
      <w:r>
        <w:rPr>
          <w:rFonts w:ascii="Amiri" w:hAnsi="Amiri" w:eastAsia="Amiri" w:cs="Amiri"/>
          <w:color w:val="111111"/>
          <w:sz w:val="28"/>
          <w:sz w:val="28"/>
          <w:szCs w:val="28"/>
          <w:rtl w:val="true"/>
          <w:lang w:bidi="ar-SA"/>
        </w:rPr>
        <w:t xml:space="preserve">، لا يعقل التسبّب </w:t>
      </w:r>
      <w:r>
        <w:rPr>
          <w:rStyle w:val="FootnoteAnchor"/>
          <w:rtl w:val="true"/>
        </w:rPr>
        <w:footnoteReference w:id="688"/>
      </w:r>
      <w:r>
        <w:rPr>
          <w:rFonts w:ascii="Amiri" w:hAnsi="Amiri" w:eastAsia="Amiri" w:cs="Amiri"/>
          <w:color w:val="111111"/>
          <w:sz w:val="28"/>
          <w:sz w:val="28"/>
          <w:szCs w:val="28"/>
          <w:rtl w:val="true"/>
          <w:lang w:bidi="ar-SA"/>
        </w:rPr>
        <w:t xml:space="preserve">مع عدم ملاحظة عنوان المأمور به ، إذ لا فرق بين التسبيب والبعث والأمر ، فإنّ دواعي التسبّب </w:t>
      </w:r>
      <w:r>
        <w:rPr>
          <w:rStyle w:val="FootnoteAnchor"/>
          <w:rtl w:val="true"/>
        </w:rPr>
        <w:footnoteReference w:id="689"/>
      </w:r>
      <w:r>
        <w:rPr>
          <w:rFonts w:ascii="Amiri" w:hAnsi="Amiri" w:eastAsia="Amiri" w:cs="Amiri"/>
          <w:color w:val="111111"/>
          <w:sz w:val="28"/>
          <w:sz w:val="28"/>
          <w:szCs w:val="28"/>
          <w:rtl w:val="true"/>
          <w:lang w:bidi="ar-SA"/>
        </w:rPr>
        <w:t>ليس يدعو إلاّ بالتسبيب بالنسبة إلى عنوان المأمور به ، لا مطلق الفعل ولو بعنوان آخر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مرّ في الهداية السابقة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يستفاد من الرواية بعد تعدّد الوجوه المحتملة فيها شيء ، بل لو كان ولا بدّ فيدلّ على اعتبار القصد في الأعمال العباديّة فقط ، ومن البيّن اعتبار القصد إلى العنوان فيها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التي ثبت في الشرع أنّها من العبادات يجب فيها قصد العنوان ، لأنّ الداعي فيها لا بدّ وأن يكون هو الأمر ، وهو لا يدعو إلاّ بالعنوان الذي تعلّق به الطلب ، فلو فرض وجود الفعل في الخارج من غير أن يكون عنوان المأمور به مقصودا لا يعقل أن يكون هو الداعي إلى إيجاده ، فلا يتحقّق القربة ، والمفروض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عدم صدق الامتثال عرفا عند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يثبت كونها من العبادات فلا يجب فيها قصد القربة على ما عرفت ، ولا قصد العنوان ؛ لعدم دليل يدلّ على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اريد الامتثال بالأوامر التوصّلية يجب قصد العنوان ، لتوقّف قصد القربة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 xml:space="preserve">. </w:t>
      </w:r>
      <w:bookmarkStart w:id="226" w:name="pg16254_218584"/>
    </w:p>
    <w:p>
      <w:pPr>
        <w:pStyle w:val="Heading4"/>
        <w:numPr>
          <w:ilvl w:val="3"/>
          <w:numId w:val="1"/>
        </w:numPr>
        <w:rPr/>
      </w:pPr>
      <w:bookmarkStart w:id="227" w:name="__RefHeading___Toc4418272_1280447820"/>
      <w:bookmarkStart w:id="228" w:name="_Toc73"/>
      <w:bookmarkEnd w:id="226"/>
      <w:bookmarkEnd w:id="227"/>
      <w:r>
        <w:rPr>
          <w:rtl w:val="true"/>
        </w:rPr>
        <w:t xml:space="preserve">تذنيب </w:t>
      </w:r>
      <w:r>
        <w:rPr>
          <w:rtl w:val="true"/>
        </w:rPr>
        <w:t>:</w:t>
      </w:r>
      <w:bookmarkEnd w:id="228"/>
    </w:p>
    <w:p>
      <w:pPr>
        <w:pStyle w:val="BookText"/>
        <w:rPr/>
      </w:pPr>
      <w:r>
        <w:rPr>
          <w:rFonts w:ascii="Amiri" w:hAnsi="Amiri" w:eastAsia="Amiri" w:cs="Amiri"/>
          <w:color w:val="111111"/>
          <w:sz w:val="28"/>
          <w:sz w:val="28"/>
          <w:szCs w:val="28"/>
          <w:rtl w:val="true"/>
          <w:lang w:bidi="ar-SA"/>
        </w:rPr>
        <w:t xml:space="preserve">قد قرع سمعك فيما تقدّم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المعاصرين تخيّل جواز اجتماع الحرام مع الواجب التوصّلي </w:t>
      </w:r>
      <w:r>
        <w:rPr>
          <w:rStyle w:val="FootnoteAnchor"/>
          <w:rtl w:val="true"/>
        </w:rPr>
        <w:footnoteReference w:id="692"/>
      </w:r>
      <w:r>
        <w:rPr>
          <w:rFonts w:ascii="Amiri" w:hAnsi="Amiri" w:eastAsia="Amiri" w:cs="Amiri"/>
          <w:color w:val="111111"/>
          <w:sz w:val="28"/>
          <w:sz w:val="28"/>
          <w:szCs w:val="28"/>
          <w:rtl w:val="true"/>
          <w:lang w:bidi="ar-SA"/>
        </w:rPr>
        <w:t>، وبذلك توهّم امتيازه عن التعبّدي ، وقد نبّهنا فيما تقدم أنّ ذلك على تقدير صحّته ليس فرقا جديدا ، بل ويتفرّع على اعتبار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ونزيدك في المقام بما هو التحقيق عندنا في ذلك ، فإنّ ذلك كان منّا على سبيل التنزّل ومعارضة الباطل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حصول الامتثال في الواجب التعبّدي بالإتيان بالفرد المحرّم ؛ إذ مع كونه حراما لا يعقل توجّه الأمر إليه ، ومع عدم الأمر يمتنع أن يكون الداعي في الإتيان 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 التوصّلي فلا إشكال أيضا في عدم حصول الامتثال به إذا اريد الإتيان على ذلك الوجه ، وهل هو مسقط للتكليف لارتفاع موضوع الواجب إذا أوجده المكلّف في الفرد المحرّم أو أنّه الواجب حقيقة وإن لم يكن على وجه الامتثال؟ وجهان ، ظاهر المتوهّم المذكور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هو الأوّل ؛ إذ لا وجه لإرادة الفرد المحرّم بالأمر الدالّ </w:t>
      </w:r>
      <w:r>
        <w:rPr>
          <w:rStyle w:val="FootnoteAnchor"/>
          <w:rtl w:val="true"/>
        </w:rPr>
        <w:footnoteReference w:id="693"/>
      </w:r>
      <w:r>
        <w:rPr>
          <w:rFonts w:ascii="Amiri" w:hAnsi="Amiri" w:eastAsia="Amiri" w:cs="Amiri"/>
          <w:color w:val="111111"/>
          <w:sz w:val="28"/>
          <w:sz w:val="28"/>
          <w:szCs w:val="28"/>
          <w:rtl w:val="true"/>
          <w:lang w:bidi="ar-SA"/>
        </w:rPr>
        <w:t>على الوجوب ، لأدائه إلى اجتماع الإرادة والكراهة في شيء واحد ، وستعرف في محلّه بطلانه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يصحّ ذلك على القول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يفرق بين التعبّدي والتوصّلي ، فإنّ القائل بالجواز يدّعي حصول الامتثال في التعبّديات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فعلى القول بالامتناع لا وجه للفرق بين أقسام الطلب على أيّ وجه يفرض ، كما ستقف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القول بأنّ الإتيان بالفرد المحرّم ليس مسقطا بواسطة انتفاء الموضوع ، بل هو الإتيان بالواجب نظرا إلى ما تقدّم من إمكان أن يكون المقصود أعمّ من المطلوب ، فيحتمل أن يكون عدم إرادة الفرد المحرّم بواسطة قصور الطلب مع وجود المصلحة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وإن كان يبدو في ظاهر النظر ، إلاّ أنّ الواقع خلافه ، فإنّ المتراءى من أوامرنا هو تقييد العنوان أوّلا بغير المحرّم ثمّ يعرضه الطلب ، لا أنّه يخرج الفرد المحرّم بعروض الطلب كما قلنا بذلك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الثمرة فيما لو أتى بالفرد المحرّم نسيانا ، كأن صلّى في الدار المغصوبة مع عدم التفاته إلى الغصبيّة والحرمة ، فعلى ما ذكرنا لا يصحّ صلاته فيها ؛ لخروج الصلاة الواقعة في الدار المغصوبة من عنوان الأمر بالصلاة ، ويصحّ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لذلك بالتوصّلي حينئذ كما لا يخفى ، لجريانه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فالظاهر أنّ الامور الراجعة إلى تصرّف الآمر على وجه لو لم نقل بذلك التصرّف يلزم نسبة القبح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كإرادة الفرد المحرّم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في المأمور به مع قطع النظر عن لحوق الأمر ، وإلاّ يلزم اجتماع الإرادة والكراهة في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الامور التي لا مدخل لإرادة الآمر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العجز والجهل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اختصاص المطلوب بالمعلوم والمقدور بواسطة امتناع تعلّق الطلب من جهة قصور في نفس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الفرق ، وفسد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تعلّق الطلب بالقدر المشترك بين الواجب والحرام ، إذ القبح إنّما يتأتّى بملاحظة خصوص الفرد المحرّم ، وبطلان الخاص من حيث الخصوصيّة لا يستلزم بطلان العامّ من حيث إنّه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التسرية إلى الفرد المحرّم بذلك 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مجرّد العموم وإن لم يسر الحكم إلى الفرد المحرّم فغير مفيد ، كما هو ظاهر لمن تبصّر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 المقام موكول إلى بعض المباحث الآتية ، إن شاء اللّه تعالى</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254_218587"/>
      <w:bookmarkStart w:id="230" w:name="pg16254_218587"/>
      <w:bookmarkEnd w:id="230"/>
    </w:p>
    <w:p>
      <w:pPr>
        <w:pStyle w:val="Heading3"/>
        <w:numPr>
          <w:ilvl w:val="2"/>
          <w:numId w:val="1"/>
        </w:numPr>
        <w:rPr/>
      </w:pPr>
      <w:bookmarkStart w:id="231" w:name="pg16254_218587"/>
      <w:bookmarkStart w:id="232" w:name="__RefHeading___Toc4418274_1280447820"/>
      <w:bookmarkStart w:id="233" w:name="_Toc74"/>
      <w:bookmarkEnd w:id="231"/>
      <w:bookmarkEnd w:id="232"/>
      <w:r>
        <w:rPr>
          <w:rtl w:val="true"/>
        </w:rPr>
        <w:t>هداية</w:t>
      </w:r>
      <w:bookmarkEnd w:id="233"/>
    </w:p>
    <w:p>
      <w:pPr>
        <w:pStyle w:val="Heading4"/>
        <w:numPr>
          <w:ilvl w:val="3"/>
          <w:numId w:val="1"/>
        </w:numPr>
        <w:rPr/>
      </w:pPr>
      <w:bookmarkStart w:id="234" w:name="__RefHeading___Toc4418276_1280447820"/>
      <w:bookmarkStart w:id="235" w:name="_Toc75"/>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ينقسم الواجب باعتبار اختلاف دواعي الطلب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غيريّ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في تحديدهما موقوف على تمهيد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متعلّق الطلب قد يكون أمرا مطلوبا في ذاته على وجه يكفي في تعلّق الطلب تصوّره من غير حاجة إلى غاية خارجة عن حقيقة المطلوب ، فلا بدّ أن يكون ذلك غاية الغايات ، فإذن هو الداعي إلى كلّ شيء وهو المدعوّ بنفسه ، كما في المعرفة باللّه الكريم والتقرّب إليه بارتكاب ما يرضيه والاجتناب عمّا يسخطه ، فإنّه هو الباعث على فعل الطاعات والداعي إلى ترك المناهي والسيّئات ، ويلزمه أن يكون المطلوب في الأمر حصوله في نفسه ، لا حصوله لأجل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أمرا يترتّب عليه فائدة خارجة عن حقيقة المطلوب ، وهذا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يترتّب عليه أمرا لا يكون متعلّقا لطلب في الظاهر ، فيكون من قبيل الخواصّ المترتّبة على الأفعال التي ليست داخلة تحت قدرة المكلّف حتّى يتعلّق الأمر بها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الغاية الملحوظة فيه تمكّن المكلّف من فعل واجب آخر ، فالغاية فيه هو الوصول إلى واجب آخر بالأخرة وإن كانت الغاية الأوّليّة هو التمكّن المذكور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أيضا يتصوّر على قسمين ؛ لأنّ الفعل الآخر الذي يتوقّف على وجود الفعل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مطلوبا حال تعلّق الطلب بالفعل الأوّل ، كما في </w:t>
      </w:r>
    </w:p>
    <w:p>
      <w:pPr>
        <w:pStyle w:val="BookText"/>
        <w:rPr/>
      </w:pPr>
      <w:r>
        <w:rPr>
          <w:rFonts w:ascii="Amiri" w:hAnsi="Amiri" w:eastAsia="Amiri" w:cs="Amiri"/>
          <w:color w:val="111111"/>
          <w:sz w:val="28"/>
          <w:sz w:val="28"/>
          <w:szCs w:val="28"/>
          <w:rtl w:val="true"/>
          <w:lang w:bidi="ar-SA"/>
        </w:rPr>
        <w:t>جميع المقدّمات الوجودية للواجب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مطلوبا بعد وجود الفعل الأوّل في الحال ، كما في المقدّمات التي يجب إيجادها قبل دخول وقت الواجب ، مثل ما عرفت في بعض المباحث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في هذين القسمين أن يكون الغير مطلوبا إمّا في وقت تعلّق الطلب بالفعل أو بعده ؛ إذ لا يعقل أن يتعلّق الطلب بفعل بواسطة التوصّل إلى فعل آخر مع عدم تعلّق الطلب بذلك الآخر أصلا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قد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فسّر في كلام غير واحد منهم الواجب النفسي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امر 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امر به لأجل غيره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وعلى ما ذكرنا في التمهيد </w:t>
      </w:r>
      <w:r>
        <w:rPr>
          <w:rStyle w:val="FootnoteAnchor"/>
          <w:rtl w:val="true"/>
        </w:rPr>
        <w:footnoteReference w:id="696"/>
      </w:r>
      <w:r>
        <w:rPr>
          <w:rFonts w:ascii="Amiri" w:hAnsi="Amiri" w:eastAsia="Amiri" w:cs="Amiri"/>
          <w:color w:val="111111"/>
          <w:sz w:val="28"/>
          <w:sz w:val="28"/>
          <w:szCs w:val="28"/>
          <w:rtl w:val="true"/>
          <w:lang w:bidi="ar-SA"/>
        </w:rPr>
        <w:t>يلزم أن يكون جميع الواجبات الشرعيّة أو أكثرها من الواجبات الغيريّة ، إذ المطلوب النفسي قلّ ما يوجد في الأوامر ، بل جلّها مطلوبات لأجل الغايات التي هي خارجة عن حقيقتها ، فيكون أحدهما غير منعكس ، ويلزمه أن يكون الآخر غير مطّرد ، لانتفاء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مطلوب لأجل مصلحة حاصلة في نفسه ، فيكون المراد بالغيري ما امر به لأجل مصلحة حاصلة في غيره ، فيتمّ عكس الأوّل ، وبه يصحّ طرد الآخر أيضا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فاسد جدّا ، ضرورة امتناع أن يكون المصلحة الداعية إلى طلب الشيء حاصلة في غيره ، غاية ما في الباب أنّ المصلحة في فعل المقدّمة هو الوصول إلى الغير الحاصل في نفسه ، وفي ذيها القرب الحاصل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في تحديدهما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الغيري ما امر به للتوصّل إلى واجب آخر ، والنفسي ما لم يكن كذلك ، فيتمّ العكس والطرد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النفسي بهذا المعنى يشمل الواجب الذي امر به للغير مع عدم وجوب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ينقدح لك أنّه لو لم يؤخذ في التحديد صفة الوجوب لكان كافيا ، إذ الأمر بالمقدّمة لأجل الغير لا ينفكّ عن وجوب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نبّهنا فيما تقدّم أنّ النسبة بين كلّ من النفسي والغيري هو التباين ، وبين كلّ واحد منهما مع كلّ واحد من التوصّلي والتعبّدي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الأربعة </w:t>
      </w:r>
      <w:r>
        <w:rPr>
          <w:rStyle w:val="FootnoteAnchor"/>
          <w:rtl w:val="true"/>
        </w:rPr>
        <w:footnoteReference w:id="698"/>
      </w:r>
      <w:r>
        <w:rPr>
          <w:rFonts w:ascii="Amiri" w:hAnsi="Amiri" w:eastAsia="Amiri" w:cs="Amiri"/>
          <w:color w:val="111111"/>
          <w:sz w:val="28"/>
          <w:sz w:val="28"/>
          <w:szCs w:val="28"/>
          <w:rtl w:val="true"/>
          <w:lang w:bidi="ar-SA"/>
        </w:rPr>
        <w:t xml:space="preserve">غير خارجة عن الصلاة الصادق عليها النفسي والتعبّدي ، ومواراة الميّت الصادق عليها التوصّلي والنفسي </w:t>
      </w:r>
      <w:r>
        <w:rPr>
          <w:rStyle w:val="FootnoteAnchor"/>
          <w:rtl w:val="true"/>
        </w:rPr>
        <w:footnoteReference w:id="699"/>
      </w:r>
      <w:r>
        <w:rPr>
          <w:rFonts w:ascii="Amiri" w:hAnsi="Amiri" w:eastAsia="Amiri" w:cs="Amiri"/>
          <w:color w:val="111111"/>
          <w:sz w:val="28"/>
          <w:sz w:val="28"/>
          <w:szCs w:val="28"/>
          <w:rtl w:val="true"/>
          <w:lang w:bidi="ar-SA"/>
        </w:rPr>
        <w:t xml:space="preserve">، وغسل الثوب الصادق عليه الغيري والتوصّلي ، والوضوء الجامع للتعبّدي والغيري على إشكال ستعرفه في محلّه ، إلى غير ذلك من الصور المفروضة فيها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إذا علمنا بأحد القسمين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واجب أنّه من الواجبات الغيريّة أو النفسيّة فهناك صور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يعلم أنّ صور الشكّ في النفسية والغيرية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يتعلّق القصد بتشخيص حال الغير الذي يشكّ في وجوب الواجب لأجله ، واخرى بتشخيص حال نفس الواجب الذي يشكّ في وجوبه للغير أو لأجل نفسه</w:t>
      </w:r>
      <w:r>
        <w:rPr>
          <w:rFonts w:eastAsia="Amiri" w:cs="Amiri" w:ascii="Amiri" w:hAnsi="Amiri"/>
          <w:color w:val="111111"/>
          <w:sz w:val="28"/>
          <w:szCs w:val="28"/>
          <w:rtl w:val="true"/>
          <w:lang w:bidi="ar-SA"/>
        </w:rPr>
        <w:t xml:space="preserve">. </w:t>
      </w:r>
      <w:bookmarkStart w:id="236" w:name="pg16254_218590"/>
    </w:p>
    <w:p>
      <w:pPr>
        <w:pStyle w:val="BookText"/>
        <w:rPr/>
      </w:pPr>
      <w:bookmarkEnd w:id="236"/>
      <w:r>
        <w:rPr>
          <w:rFonts w:ascii="Amiri" w:hAnsi="Amiri" w:eastAsia="Amiri" w:cs="Amiri"/>
          <w:color w:val="111111"/>
          <w:sz w:val="28"/>
          <w:sz w:val="28"/>
          <w:szCs w:val="28"/>
          <w:rtl w:val="true"/>
          <w:lang w:bidi="ar-SA"/>
        </w:rPr>
        <w:t>وحيث إنّ مرجع الأوّل إلى الشكّ في اشتراط الغير بشيء فلا بدّ من إعمال الاصول التي تجري عند الشكّ في الاشتراط والإطلاق من الأخذ بإطلاق اللفظ الدالّ على الوجوب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مرجع الثاني إلى أنّ وجوب الشيء هل يقتضي النفسيّة أو الغيريّة ، فلا بدّ من إعمال الاصول التي تجري عند ذلك من الأخذ بإطلاق اللفظ</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418278_1280447820"/>
      <w:bookmarkStart w:id="238" w:name="_Toc76"/>
      <w:bookmarkEnd w:id="237"/>
      <w:r>
        <w:rPr>
          <w:rtl w:val="true"/>
        </w:rPr>
        <w:t xml:space="preserve">وتحقيق الكلام في مقامين </w:t>
      </w:r>
      <w:r>
        <w:rPr>
          <w:rtl w:val="true"/>
        </w:rPr>
        <w:t>:</w:t>
      </w:r>
      <w:bookmarkEnd w:id="23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قضيّة الاصول اللفظيّة هل هي النفسيّة أو الغيرية؟</w:t>
      </w:r>
    </w:p>
    <w:p>
      <w:pPr>
        <w:pStyle w:val="BookText"/>
        <w:rPr/>
      </w:pPr>
      <w:r>
        <w:rPr>
          <w:rFonts w:ascii="Amiri" w:hAnsi="Amiri" w:eastAsia="Amiri" w:cs="Amiri"/>
          <w:color w:val="111111"/>
          <w:sz w:val="28"/>
          <w:sz w:val="28"/>
          <w:szCs w:val="28"/>
          <w:rtl w:val="true"/>
          <w:lang w:bidi="ar-SA"/>
        </w:rPr>
        <w:t>فعلى الأوّل فالدليل الدالّ على وجوب الغير والدالّ على وجوب الواجب الذي شكّ في غيريّته متطابقان في نفي الغيريّة ، إذ كلّ منهما ظاهر في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ينفرد دليل الواجب بإفادة الغيريّة ، ولا يعارضه إطلاق دليل الغير ؛ لأنّ اعتبار الإطلاق من جهة عدم البيان والأمر الدالّ على وجوب الواجب الظاهر في الغيريّة بيان لذلك ، فلا بدّ من الحكم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 فيحتمل أن يكون ظاهر الأمر هو الوجوب النفسي فيكون مجازا في الغيري ، أو العكس ، أو الاشتراك لفظا أو معنى مع انصراف الأمر إلى أحدهما ، أو مع عدمه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بأنّ هيئة الأمر موضوعة لخصوصيّات الطلب المنقدحة في نفس الطالب باعتبار دواعيها التي تدعو إليها ، ولا يختلف تلك الأفراد باختلاف الدواعي اختلافا يرجع إلى اختلاف الطلب نوعا حتّى يقال بالاشتراك المعنوي بين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التنزّل فليس مشتركا معنويّا ، إلاّ أن يراد به أنّ آلة الملاحظة حين الوضع هو القدر المشترك بين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القائل بالاشتراك المعنوي في المقام ما ذكرنا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آلة الملاحظة حين الوضع فهو ، وإلاّ فلا نعرف له وجها ، ولا حاجة إلى إقامة دليل على ذلك بعد شهادة الوجدان بأنّ </w:t>
      </w:r>
    </w:p>
    <w:p>
      <w:pPr>
        <w:pStyle w:val="BookText"/>
        <w:rPr/>
      </w:pPr>
      <w:r>
        <w:rPr>
          <w:rFonts w:ascii="Amiri" w:hAnsi="Amiri" w:eastAsia="Amiri" w:cs="Amiri"/>
          <w:color w:val="111111"/>
          <w:sz w:val="28"/>
          <w:sz w:val="28"/>
          <w:szCs w:val="28"/>
          <w:rtl w:val="true"/>
          <w:lang w:bidi="ar-SA"/>
        </w:rPr>
        <w:t xml:space="preserve">المستفاد من الأمر خصوص أفراد الطلب ، من غير فرق بين اختلاف الدواعي التي تعتور باعتبارها </w:t>
      </w:r>
      <w:r>
        <w:rPr>
          <w:rStyle w:val="FootnoteAnchor"/>
          <w:rtl w:val="true"/>
        </w:rPr>
        <w:footnoteReference w:id="701"/>
      </w:r>
      <w:r>
        <w:rPr>
          <w:rFonts w:ascii="Amiri" w:hAnsi="Amiri" w:eastAsia="Amiri" w:cs="Amiri"/>
          <w:color w:val="111111"/>
          <w:sz w:val="28"/>
          <w:sz w:val="28"/>
          <w:szCs w:val="28"/>
          <w:rtl w:val="true"/>
          <w:lang w:bidi="ar-SA"/>
        </w:rPr>
        <w:t>النفسيّة والغيريّة ، فلا وجه للاستناد إلى إطلاق الهيئة لدفع الشك المذكور بعد كون مفادها الأفراد التي لا يعقل فيها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مفاد الأمر هو مفهوم الطلب صحّ القول بالإطلاق ، لكنّه بمراحل عن الواقع ؛ إذ لا شك في اتّصاف الفعل بالمطلوبيّة بالطلب المستفاد من الأمر ، ولا يعقل اتّصاف المطلوب بالمطلوبيّة بواسطة مفهوم الطلب ، فانّ الفعل يصير مرادا بواسطة تعلّق واقع الإرادة وحقيقتها لا بواسطة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ظاهر لا يكاد يعتريه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التمسّك بالإطلاق من جهة المادّة ، حيث إنّ المطلوب لو كان هو الفعل على وجه يكون شرطا للغير يجب التنبيه عليه من المتكلّم الحكيم ، وحيث ليس ما يصلح أن يكون بيانا فيجب الأخذ بالإطلاق ويحكم بأنّ الواجب نفسيّ غير منوط بالغير على وجه لو فرض امتناع الغير يجب الإتيان به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تعلم ضعف الاحتمالات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الحقيقة والمجاز في النفسيّة والغيريّة ، فإن اريد في مدلول الهيئة فقد عرفت أنّه لا فرق فيها إلاّ اختلاف أفرادها التي لا يعقل مدخليّة الدواعي في كونها حقيقة ومجازا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في مدلول المادّة فهو مبنيّ على ما تقرّر في محلّه من أنّ التقييد حقيقة أو مجاز</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الاشتراك اللفظي ، ففساده ظاهر ؛ لعدم ما يقضي به في مدلول الهيئة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جعل الهيئة تارة بإزاء خصوصيّات الطلب التي تدعو إليها دواعي الوجوب النفسي ، واخرى جعلها لخصوصيّات الأفراد التي تدعو إليها </w:t>
      </w:r>
    </w:p>
    <w:p>
      <w:pPr>
        <w:pStyle w:val="BookText"/>
        <w:rPr/>
      </w:pPr>
      <w:r>
        <w:rPr>
          <w:rFonts w:ascii="Amiri" w:hAnsi="Amiri" w:eastAsia="Amiri" w:cs="Amiri"/>
          <w:color w:val="111111"/>
          <w:sz w:val="28"/>
          <w:sz w:val="28"/>
          <w:szCs w:val="28"/>
          <w:rtl w:val="true"/>
          <w:lang w:bidi="ar-SA"/>
        </w:rPr>
        <w:t>دواعي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مدلول المادّة ، فقلّ من احتمله ، بل لم يحتمله من يعتدّ بشأنه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الانصراف ، فلا معنى له في مدلول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المادّة فلا دليل عليه ، إذ التقييد على وجه الغيريّة كثير جدّا فلا شيوع حتّى يقال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حقيقة في الواجب النفسي مجاز في الغيري ، أو مشترك بينهما معنى أو لفظا؟ وعلى الأوّل ، فهل ينصرف إلى النفسي أو لا؟ وجوه ، أقواها الاشتراك المعنوي ، فيكون مطلقا على نحو سائر المطلقات ، وعند عدم القيد ظاهر في المعنى المطلق ، فيكون المراد به النفسي ، إذ لو كان غيره لوجب أن يكون مقيّدا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واجب عند إرادة الصلاة ، ولا يصحّ إطلاق الواجب عليه من دون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من مادّة الوجوب مفهومها ، ولازم ذلك أن يكون الجمل التي يقع لفظ الوجوب فيها جملا إخباريّة دون الإنشائيّة ، إذ على تقدير إرادة الإنشاء من مادّة الوجوب لا يفرق مدلول الهيئة ، كما لا يخفى على المتفطّن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التفصيل بين المادّة والهيئة ، فقال بالظهور في النفسي من حيث الإطلاق وعدم البيان في مادّة الوجوب ، وبالانصراف في مدلول الهيئة ، ورام بذلك ظهور الثمرة فيما إذا وقع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تلو الشرط ، فإنّه ينفي </w:t>
      </w:r>
      <w:r>
        <w:rPr>
          <w:rStyle w:val="FootnoteAnchor"/>
          <w:rtl w:val="true"/>
        </w:rPr>
        <w:footnoteReference w:id="702"/>
      </w:r>
      <w:r>
        <w:rPr>
          <w:rFonts w:ascii="Amiri" w:hAnsi="Amiri" w:eastAsia="Amiri" w:cs="Amiri"/>
          <w:color w:val="111111"/>
          <w:sz w:val="28"/>
          <w:sz w:val="28"/>
          <w:szCs w:val="28"/>
          <w:rtl w:val="true"/>
          <w:lang w:bidi="ar-SA"/>
        </w:rPr>
        <w:t>الوجوب النفسي في طرف المفهوم فيما إذا كان الحكم في المنطوق إيجابيّا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وقع الأمر في تلو الشرط ، فإنّ المتبادر من المنطوق حينئذ بواسطة الانصراف هو الوجوب النفسي ، بخلاف الوجوب المنفيّ في طرف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وفساده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المادّة والهيئة فيما إذا كان المراد منها إنشاء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الكلمات لعلّها ناشئة من سوء التدبّر أو قلّته ، وإلاّ فما الّذي أوجب ارتكاب هذه المفاسد؟</w:t>
      </w:r>
    </w:p>
    <w:p>
      <w:pPr>
        <w:pStyle w:val="BookText"/>
        <w:rPr/>
      </w:pPr>
      <w:r>
        <w:rPr>
          <w:rFonts w:ascii="Amiri" w:hAnsi="Amiri" w:eastAsia="Amiri" w:cs="Amiri"/>
          <w:color w:val="111111"/>
          <w:sz w:val="28"/>
          <w:sz w:val="28"/>
          <w:szCs w:val="28"/>
          <w:rtl w:val="true"/>
          <w:lang w:bidi="ar-SA"/>
        </w:rPr>
        <w:t xml:space="preserve">فظهر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دليل الواجبين لفظيّا ؛ نظرا إلى الأخذ بإطلاق المادّة يجب الحكم بكونهما واجبين نفسيّين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أحد الدليلين لفظيّا فيلحقه حكمه من الأخذ بإطلاق المادّة ، ويلزمه الحكم بالنفسيّة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أن يكون دليل الواجب المفروض لفظيّا فيحكم بكونه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الغير ، فإن ثبت فهو تابع لدليله المفيد لوجوبه ، فإن كان الإجماع المفيد لوجوبه متحقّقا عند عدم الواجب أيضا فهو واجب نفسي أيضا ، وإلاّ فعند عدم الواجب الذي يحتمل اشتراطه به يحكم بعدم الوجوب ؛ لأصالة البراءة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دليل الغير لفظيّا دون دليل الواجب ، فإن تحقّق الإجماع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سقوط التكليف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كونه واجبا نفسيّا ، وإن لم يقم إجماع على وجوبه ولو حال سقوط التكليف عن الغير ، فمرجع الشك إلى ثبوت التكليف به ،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إثبات الوجوب النفسي للواجب بعد العلم بوجوبه في الجملة مع الشكّ في كونه غيريّا أو نفسيّا بإطلاق الدليل الدالّ على وجوب الغير ، إذ لو كان ذلك واجبا غيريّا لوجب تقييد الإطلاق الأوّل ، وهو خلاف الأصل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أفاده الاستاذ ، ولعلّه لا يتمّ ، لا لما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عدم التقييد لا يؤثّر في إثبات عنوان الوجوب النفسي للواجب لأنّها من الاصول التي يعوّل عليها وإن كانت مثبتة لما تقرّر في محلّه ، بل لأنّ الإطلاق لمّا كان ظهوره في الأفراد بواسطة عدم البيان فلا ينهض فيما إذا كان ما يصلح أن يكون بيانا موجودا في المقام ، فتأمّل</w:t>
      </w:r>
      <w:r>
        <w:rPr>
          <w:rFonts w:eastAsia="Amiri" w:cs="Amiri" w:ascii="Amiri" w:hAnsi="Amiri"/>
          <w:color w:val="111111"/>
          <w:sz w:val="28"/>
          <w:szCs w:val="28"/>
          <w:rtl w:val="true"/>
          <w:lang w:bidi="ar-SA"/>
        </w:rPr>
        <w:t xml:space="preserve">. </w:t>
      </w:r>
      <w:bookmarkStart w:id="239" w:name="pg16254_218594"/>
    </w:p>
    <w:p>
      <w:pPr>
        <w:pStyle w:val="BookText"/>
        <w:rPr/>
      </w:pPr>
      <w:bookmarkEnd w:id="239"/>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الاصول العمليّة تقضي بالنفسيّة أو الغيريّة فيما إذا كان دليل الواجب ودليل الغير كلاهما لبّيين؟</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تختلف الصور أيضا في ذلك ، فربّما يقضى بالنفسيّة ، كما إذا قلنا بالبراءة عند الشكّ في الشرطيّة والجزئيّة ، فيثبت عدم اشتراط الواجب به ، فنقول بالبراءة قبل دخول الوقت وبالاشتغال بعده ، إذ هو واجب قطعا بعد دخول وقته ، إمّا لنفسه وإمّا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ترتّب فائدة على اشتراط الغيريّة </w:t>
      </w:r>
      <w:r>
        <w:rPr>
          <w:rStyle w:val="FootnoteAnchor"/>
          <w:rtl w:val="true"/>
        </w:rPr>
        <w:footnoteReference w:id="703"/>
      </w:r>
      <w:r>
        <w:rPr>
          <w:rFonts w:ascii="Amiri" w:hAnsi="Amiri" w:eastAsia="Amiri" w:cs="Amiri"/>
          <w:color w:val="111111"/>
          <w:sz w:val="28"/>
          <w:sz w:val="28"/>
          <w:szCs w:val="28"/>
          <w:rtl w:val="true"/>
          <w:lang w:bidi="ar-SA"/>
        </w:rPr>
        <w:t>لا يحكم بواسطة حكمنا بالبراءة ، مثل بطلان الواجب على تقدير تأخّره عن الغير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انقضى وقت الغير وشكّ في وجوب الواجب باعتبار النفسيّة والغيريّة ، فالاستصحاب قاض بوجوبه على مذاق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الأخذ بالاحتياط بالجمع بين ما علم بوجوب أحدهما نفسا والآخر بواسطة الغير مع اشتباه أحدهما بالآخر في الوقت أو بعده مع وجوب قضاء الآخر ، وإلاّ فيرجع الأمر إلى البراءة ، كما لا يخفى وذلك ظاهر جدّا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418280_1280447820"/>
      <w:bookmarkStart w:id="241" w:name="_Toc77"/>
      <w:bookmarkEnd w:id="240"/>
      <w:r>
        <w:rPr>
          <w:rtl w:val="true"/>
        </w:rPr>
        <w:t xml:space="preserve">تنبيه </w:t>
      </w:r>
      <w:r>
        <w:rPr>
          <w:rtl w:val="true"/>
        </w:rPr>
        <w:t>:</w:t>
      </w:r>
      <w:bookmarkEnd w:id="241"/>
    </w:p>
    <w:p>
      <w:pPr>
        <w:pStyle w:val="BookText"/>
        <w:rPr/>
      </w:pPr>
      <w:r>
        <w:rPr>
          <w:rFonts w:ascii="Amiri" w:hAnsi="Amiri" w:eastAsia="Amiri" w:cs="Amiri"/>
          <w:color w:val="111111"/>
          <w:sz w:val="28"/>
          <w:sz w:val="28"/>
          <w:szCs w:val="28"/>
          <w:rtl w:val="true"/>
          <w:lang w:bidi="ar-SA"/>
        </w:rPr>
        <w:t>هل يجوز اتّصاف الواجب الغيري بالوجوب قبل وجوب الغير أو لا؟</w:t>
      </w:r>
    </w:p>
    <w:p>
      <w:pPr>
        <w:pStyle w:val="BookText"/>
        <w:rPr/>
      </w:pPr>
      <w:r>
        <w:rPr>
          <w:rFonts w:ascii="Amiri" w:hAnsi="Amiri" w:eastAsia="Amiri" w:cs="Amiri"/>
          <w:color w:val="111111"/>
          <w:sz w:val="28"/>
          <w:sz w:val="28"/>
          <w:szCs w:val="28"/>
          <w:rtl w:val="true"/>
          <w:lang w:bidi="ar-SA"/>
        </w:rPr>
        <w:t>وجهان ، قد تقدّم التحقيق فيهما فيما مرّ في الهدايات المتعلّقة بالوجوب الشرطي ،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إطالة الكلام بإعادتها في المقام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والموفّق هو اللّه وهو الهادي</w:t>
      </w:r>
      <w:r>
        <w:rPr>
          <w:rFonts w:eastAsia="Amiri" w:cs="Amiri" w:ascii="Amiri" w:hAnsi="Amiri"/>
          <w:color w:val="111111"/>
          <w:sz w:val="28"/>
          <w:szCs w:val="28"/>
          <w:rtl w:val="true"/>
          <w:lang w:bidi="ar-SA"/>
        </w:rPr>
        <w:t xml:space="preserve">. </w:t>
      </w:r>
      <w:bookmarkStart w:id="242" w:name="pg16254_218595"/>
    </w:p>
    <w:p>
      <w:pPr>
        <w:pStyle w:val="Heading3"/>
        <w:numPr>
          <w:ilvl w:val="2"/>
          <w:numId w:val="1"/>
        </w:numPr>
        <w:rPr/>
      </w:pPr>
      <w:bookmarkStart w:id="243" w:name="__RefHeading___Toc4418282_1280447820"/>
      <w:bookmarkStart w:id="244" w:name="_Toc78"/>
      <w:bookmarkEnd w:id="242"/>
      <w:bookmarkEnd w:id="243"/>
      <w:r>
        <w:rPr>
          <w:rtl w:val="true"/>
        </w:rPr>
        <w:t>هداية</w:t>
      </w:r>
      <w:bookmarkEnd w:id="244"/>
    </w:p>
    <w:p>
      <w:pPr>
        <w:pStyle w:val="Heading4"/>
        <w:numPr>
          <w:ilvl w:val="3"/>
          <w:numId w:val="1"/>
        </w:numPr>
        <w:rPr/>
      </w:pPr>
      <w:bookmarkStart w:id="245" w:name="__RefHeading___Toc4418284_1280447820"/>
      <w:bookmarkStart w:id="246" w:name="_Toc7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لا ريب في استحقاق العقاب عقلا على مخالفة الواجب النفسي ، ولا إشكال في ترتّب الثواب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بين العدليّة ، وإن كان قد يمكن المناقشة بعدم استقلال العقل على استحقاق الثواب على الامتثال فيما إذا فسّر الثواب بما يرجع إلى المنافع الاخرويّة ، لجواز الاكتفاء عنه بالنعم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منع في العقل عن ترتّبه في الآخرة ، فتحمل الأدلّة الدالّة على الثواب على ظاهرها من غير منافرة ولا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ترتّب الثواب والعقاب على الواجبات الغيريّة ، بمعنى استحقاق الآتي بالواجب الغيري وتاركه على وجه الامتثال والمخالفة للثواب والعقاب عقلا مطلقا ، أو لا يترتّب مطلقا ، أو يفصّل بين ما إذا كان الوجوب الغيري مستفادا من خطاب أصليّ فيترتّب أو تبعي </w:t>
      </w:r>
      <w:r>
        <w:rPr>
          <w:rStyle w:val="FootnoteAnchor"/>
          <w:rtl w:val="true"/>
        </w:rPr>
        <w:footnoteReference w:id="704"/>
      </w:r>
      <w:r>
        <w:rPr>
          <w:rFonts w:ascii="Amiri" w:hAnsi="Amiri" w:eastAsia="Amiri" w:cs="Amiri"/>
          <w:color w:val="111111"/>
          <w:sz w:val="28"/>
          <w:sz w:val="28"/>
          <w:szCs w:val="28"/>
          <w:rtl w:val="true"/>
          <w:lang w:bidi="ar-SA"/>
        </w:rPr>
        <w:t>فلا يترتّب ، أو يفصّل بين الثواب والعقاب ويقال بعدمه في الأوّل وبترتّبه في الثاني؟ وجوه ، بل لعلّه أقوال ؛ حيث ذهب جماعة إلى الأوّل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بعض أفاضل المتأخّرين في إشاراته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الاصوليّين ترتّب العقاب على ترك المأمور به شرعا على تقدير كون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بآية الإطاعة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 الواجبات الغيريّة واجبات اصطلاحيّة ومع ذلك لا عقاب عليها أصلا ،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عاصرناهم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الواجب إلى الواجب لنفسه ولغيره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الأوّل موجب للعقاب على نفس الترك ، وأمّا الواجب الغيري فالّذي يقتضيه النظر أنّ تركه يوجب العقاب من حيث إفضائه إلى ترك ما هو علّة في إيجابه ، لا على تركه في نفسه ، لأنّ المطلوب حقيقة هو الواجب النفسي الّذي يتوقّف عليه ، وإنّما وجب هذا لأجل التوقّف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رحمه‌اللّه بعد ما نقل كلام معاصره إلى حيث ما أراد ،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 ما دلّ على ترتّب العقاب على مخالفة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القسمين ، فإنّ بحصول المخالفة فيهما يحصل العصيان وعدم الطاعة ، وهو المناط في ترتّب العقاب نظرا إلى ظاهر الأدلّة ، مع تأيّدها بالشهرة التامّة ، مع عدم مانع من بقائه على حاله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بقاء الظواهر بحالها كما في الوضوء ونحوه ، فلو تركه وترك الصلاة يترتّب عليه عقابان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كون المصلحة في الواجب الغيري في الغير ، فإنّ المفروض أنّه مطلوب في مرتبة ذاته ، غاية الأمر مصلحته في الغير ونحوه يأتي في الواجب لنفسه ، انتهى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تعدّد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الجليل البارع في المناهل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مقام إثبات الوجوب الشرعي للطهارات ونفي الوجوب الشرطي ، استند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الأئمّة واصطلاح الفقهاء هو المعنى المصطلح عليه ممّا يترتّب على تركه الذمّ والعقاب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هو الوجوب الشرطي لم يستقم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للصلاة الواجبة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الاشتراط به ثابت في المندوب منها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من المحتمل في كلامه أن يكون مراده نفي الوجوب الشرطي وإثبات الوجوب الشرعي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مطلوب طلبا حتميّا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إثبات 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المحقّق القمّي التفصيل بين الخطاب الأصلي والتبعي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ينافي التفصيل بين الثواب والعقاب ، كما يشعر به أيضا كلامه ، لكنّه على خلاف ما اختاره الغزالي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نضايق في ترتّب العقاب على ترك الوضوء من جهة خصوص الأمر به وإن كان وجوبه للغير ، كما هو مدلول أصل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بكلامه هذا ما هو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ينادي بأنّ مرادهم في الوجوب الغيري هو الوجوب المصطلح وأنّه يترتّب على ترك المقدّمة العقاب إذا تعلّق به خطاب على حدة ، أنّهم قسّموا الوضوء والغسل وغيرهما إلى واجب ومندوب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دفع توهّم ما يقال بصدق الوجوب المصطلح على المقدّمة باعتبار ترتّب العقاب على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ترتّبه على نفس الواجب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التفصيل المذكور مع إشعار بالتفصيل الآتي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الغزالي التفصيل بين الثواب والعقاب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المدح والثواب على فعلها فنقله بعض المحقّقين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غائلة فيه ظاهرا ، إلاّ أنّه قول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 إلاّ أن يقال باندراجه تحت الخبر العام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ثواب على عمل فعمله </w:t>
      </w:r>
    </w:p>
    <w:p>
      <w:pPr>
        <w:pStyle w:val="BookText"/>
        <w:rPr/>
      </w:pPr>
      <w:r>
        <w:rPr>
          <w:rFonts w:ascii="Amiri" w:hAnsi="Amiri" w:eastAsia="Amiri" w:cs="Amiri"/>
          <w:color w:val="111111"/>
          <w:sz w:val="28"/>
          <w:sz w:val="28"/>
          <w:szCs w:val="28"/>
          <w:rtl w:val="true"/>
          <w:lang w:bidi="ar-SA"/>
        </w:rPr>
        <w:t xml:space="preserve">التماس ذلك الثواب أوتيه وإن لم يكن كما بلغه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فإنّه يعمّ جميع أقسام البلوغ ، حتّى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فيما علّق على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يخرج عن المستحبّ المصطلح الّذي تسامح في أدلّته ، لكنّه لا مانع من التزامه إلاّ تسديس الأحكام أو تسبيعه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هو في الأحكام الأصليّة فلا يضرّ حصول ذلك في التبعيّات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فهذه جملة ما حضر عندنا من كلمات القائلين بالثواب والعقاب على اختلاف مشاربهم وتباعد مذاقهم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عندنا هو القول الثاني ، والّذي يدلّ على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بالثواب والعقاب إمّا العقل أو النقل ، وليس في شيء منهما دلالة على ذلك في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 فهو مستقلّ بعدم استحقاق الآتي بالمقدّمة للثواب غير ما يترتّب على ذيها ، فضلا عن حكمه باستحقاقه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على ما هو المعقول عندنا هو النفع المترتّب جزاء على فعل الطاعات ، فهو إذا من فروع الامتثال ، والمعقول من الامتثال هو الإتيان بالمأمور به على وجه يكون الداعي إلى إيجاده هو الأمر ، والأمر الغيري لا يصلح لأن يكون هو الداعي إلى إيجاد ما تعلّق به ، فإنّ الشيء المطلوب بواسطة الغير من حيث إنّه مطلوب بالغير لا داعي إلى إيجاده إلاّ التوصّل إلى ذلك الغير ، فالمطلوب الحقيقي هو الغير والامتثال بمقدّماته ليس الامتثال بذلك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لمن راجع وجدانه وأنصف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ويستكشف ذلك بملاحظة أوامر الموالي المتعلّقة بمراداتهم في الموارد المختلفة ، فإنّ </w:t>
      </w:r>
    </w:p>
    <w:p>
      <w:pPr>
        <w:pStyle w:val="BookText"/>
        <w:rPr/>
      </w:pPr>
      <w:r>
        <w:rPr>
          <w:rFonts w:ascii="Amiri" w:hAnsi="Amiri" w:eastAsia="Amiri" w:cs="Amiri"/>
          <w:color w:val="111111"/>
          <w:sz w:val="28"/>
          <w:sz w:val="28"/>
          <w:szCs w:val="28"/>
          <w:rtl w:val="true"/>
          <w:lang w:bidi="ar-SA"/>
        </w:rPr>
        <w:t>العقلاء بكافّتهم مطبقون على أنّ الإتيان بواجب واحد يتوقّف على مقدّمات عديدة ولو بلغ ما بلغت إطاعة واحدة وامتثال واحد ، والتارك لواجب واحد وإن تعدّدت مقدّماته لم يعص إلاّ معصية واحدة ، ولا يترتّب على إطاعة واحدة أو معصية واحدة إلاّ جزاء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في نظر العقل بين أن يكون المقدّمة ملحوظة في نفسها في ضمن خطاب أصليّ وبين أن لا يكون مدلولا عليها إلاّ بخطاب تبعيّ ، إذ تأثير الملاحظة التفصيليّة والتعبير عن مطلوبيّتها بعبارة مستقلّة فيما نحن بصدده غير معقول ، فإنّ مناط استحقاق الثواب والعقاب متعدّد بتعدّد </w:t>
      </w:r>
      <w:r>
        <w:rPr>
          <w:rStyle w:val="FootnoteAnchor"/>
          <w:rtl w:val="true"/>
        </w:rPr>
        <w:footnoteReference w:id="714"/>
      </w:r>
      <w:r>
        <w:rPr>
          <w:rFonts w:ascii="Amiri" w:hAnsi="Amiri" w:eastAsia="Amiri" w:cs="Amiri"/>
          <w:color w:val="111111"/>
          <w:sz w:val="28"/>
          <w:sz w:val="28"/>
          <w:szCs w:val="28"/>
          <w:rtl w:val="true"/>
          <w:lang w:bidi="ar-SA"/>
        </w:rPr>
        <w:t>الإطاعة والعصيان ، والمفروض أنّهما متّحدان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ذلك يوجب التعدّد فاسد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تفصيل في نفس الأمر بالنسبة إلى سائر المقدّمات على القول بوجوبها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في المقام نكتة التصريح بالبعض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فيه من أسهل الخطوب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التفرقة بين الثواب والعقاب فلعلّه ممّا لا يرجع إلى طائل بالنظر إلى حكم العقل ، لما عرفت من إمكان المناقشة في استحقاق الثواب على فعل الطاعات النفسيّة ، فكيف يقال باستحقاق الثواب في الغيري دون العقاب؟</w:t>
      </w:r>
    </w:p>
    <w:p>
      <w:pPr>
        <w:pStyle w:val="BookText"/>
        <w:rPr/>
      </w:pPr>
      <w:r>
        <w:rPr>
          <w:rFonts w:ascii="Amiri" w:hAnsi="Amiri" w:eastAsia="Amiri" w:cs="Amiri"/>
          <w:color w:val="111111"/>
          <w:sz w:val="28"/>
          <w:sz w:val="28"/>
          <w:szCs w:val="28"/>
          <w:rtl w:val="true"/>
          <w:lang w:bidi="ar-SA"/>
        </w:rPr>
        <w:t xml:space="preserve">وأمّا النقل فغاية ما يمكن الاستناد إليه أمران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ترتّب الثواب والعقاب بوجوب </w:t>
      </w:r>
      <w:r>
        <w:rPr>
          <w:rStyle w:val="FootnoteAnchor"/>
          <w:rtl w:val="true"/>
        </w:rPr>
        <w:footnoteReference w:id="715"/>
      </w:r>
      <w:r>
        <w:rPr>
          <w:rFonts w:ascii="Amiri" w:hAnsi="Amiri" w:eastAsia="Amiri" w:cs="Amiri"/>
          <w:color w:val="111111"/>
          <w:sz w:val="28"/>
          <w:sz w:val="28"/>
          <w:szCs w:val="28"/>
          <w:rtl w:val="true"/>
          <w:lang w:bidi="ar-SA"/>
        </w:rPr>
        <w:t xml:space="preserve">الإطاعة والعصيان ، الشاملين بعمومها لجميع المطلوبات الشرعيّة غيريّا كان أو نفسيّا ،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وَيَتَعَدَّ حُدُودَهُ يُدْخِلْهُ ناراً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ظاهر بعد ما عرفت من عدم صدق الإطاعة والمعصية في الواجبات الغيريّة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ترتّب الثواب في خصوص بعض المقدّمات ، ويستكشف عن ذلك جواز ترتّبه عليها مطلقا ، فيكون من الطاعات ، أو يستند في الباقي إلى دعوى عدم الفصل ، وذلك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دلالة الآية على ترتّب الثواب على المقدّمات التي يترتّب عليها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البوادي وإنفاق الأموال وصرف المؤنات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إنكارها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ورد في زيارة مولانا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قدم ثواب عتق عبد من أولاد إسماعيل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وغيره من الأخبار الصريحة في ذلك على ما أوردها غوّاص بحار أنوار الأئمّة فيها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ورد في ثواب الوضوء والغسل </w:t>
      </w:r>
      <w:r>
        <w:rPr>
          <w:rStyle w:val="FootnoteAnchor"/>
          <w:rtl w:val="true"/>
        </w:rPr>
        <w:footnoteReference w:id="72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منع ظهور هذه الروايات أو دلالتها على ترتّب الثواب على فعل المقدّمات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لا دلالة فيها على المدعى ، إذ المقصود في المقام إثبات الاستحقاق ، ولا أثر من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مستند إلى فضل الربّ الكريم ، فإنّ الفضل بيده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المحتمل أن يقال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المترتّب عليها في هذه المقامات في الحقيقة هو الثواب المترتّب على فعل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إذا وزّع على الأفعال الصادرة من المكلّف في تحصيله يكون لكلّ واحد من أفعاله شيء من الثواب ، نظير ما يقول التاجر المسافر الساعي في تحصيل الأرباح عند توزيعه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له على أيّام مسافرته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احتمال قريب </w:t>
      </w:r>
      <w:r>
        <w:rPr>
          <w:rStyle w:val="FootnoteAnchor"/>
          <w:rtl w:val="true"/>
        </w:rPr>
        <w:footnoteReference w:id="724"/>
      </w:r>
      <w:r>
        <w:rPr>
          <w:rFonts w:ascii="Amiri" w:hAnsi="Amiri" w:eastAsia="Amiri" w:cs="Amiri"/>
          <w:color w:val="111111"/>
          <w:sz w:val="28"/>
          <w:sz w:val="28"/>
          <w:szCs w:val="28"/>
          <w:rtl w:val="true"/>
          <w:lang w:bidi="ar-SA"/>
        </w:rPr>
        <w:t xml:space="preserve">، وممّا يؤيد ذلك 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الثواب على الأقدام بعد المراجعة من الزيارة الحسينيّة عليه‌السلام </w:t>
      </w:r>
      <w:r>
        <w:rPr>
          <w:rStyle w:val="FootnoteAnchor"/>
          <w:rtl w:val="true"/>
        </w:rPr>
        <w:footnoteReference w:id="725"/>
      </w:r>
      <w:r>
        <w:rPr>
          <w:rFonts w:ascii="Amiri" w:hAnsi="Amiri" w:eastAsia="Amiri" w:cs="Amiri"/>
          <w:color w:val="111111"/>
          <w:sz w:val="28"/>
          <w:sz w:val="28"/>
          <w:szCs w:val="28"/>
          <w:rtl w:val="true"/>
          <w:lang w:bidi="ar-SA"/>
        </w:rPr>
        <w:t>، فإنّها ليست من المقدّمات جدّا ولا سيّما بملاحظة أنّ ثوابها ضعف ثواب الرواح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الثواب المترتّب على فعل المقدّمات هو الثواب المترتّب على ذويها من دون مدخليّة لها فيه يلزم مساواة زيارة البعيد والقريب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عسر المقدّمات يوجب ازدياد ثواب الواجب ، فانّ أفضل الأعمال أشقّها ، ولعلّ ذلك أمر ظاهر لا سترة عليه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استحقاق المدح لمن ارتكب المقدّمات وإن لم يات بالواجب ، وذلك يكشف عن خلاف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لا يجديك شيئا ، إذ العقلاء يحاولون بمدحهم الآتي بالمقدّمة الكشف عن حسن سريرته وعدم كدورة طينته ، وأين ذلك من استحقاق الثواب على فعل المقدّمة؟ وذلك نظير ما نبّهناك عليه في الانقياد والتجرّي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 المتكلّمين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قصد به الإطاعة ففاعله يستحقّ الثواب عليه ، والمقدّمة لا تنقص عن أحد الأفعال المباحة ، فإذا فرض ترتّب الثواب عليها فترتّبه عليها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بذلك من حيث دخول المباح تحت عنوان المطلوب نفسا فهو مسلّم ولكنّه غير مفيد إذ لا إشكال في ترتّب الثواب على المطلوبات النفسيّة ، فالمضاجعة مثلا تصير مطلوبة نفسيّة </w:t>
      </w:r>
      <w:r>
        <w:rPr>
          <w:rStyle w:val="FootnoteAnchor"/>
          <w:rtl w:val="true"/>
        </w:rPr>
        <w:footnoteReference w:id="728"/>
      </w:r>
      <w:r>
        <w:rPr>
          <w:rFonts w:ascii="Amiri" w:hAnsi="Amiri" w:eastAsia="Amiri" w:cs="Amiri"/>
          <w:color w:val="111111"/>
          <w:sz w:val="28"/>
          <w:sz w:val="28"/>
          <w:szCs w:val="28"/>
          <w:rtl w:val="true"/>
          <w:lang w:bidi="ar-SA"/>
        </w:rPr>
        <w:t>لو وقعت على وجه قضاء حاجة الزوجة المؤمنة ، إلى غير ذلك من العناوين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بذلك ولو مع قطع النظر عن اندراجه تحت عنوان مطلوب فغير سديد ، ضرورة عدم تحقّق الإطاعة إلاّ بعد تحقّق الأمر والإرادة ، وعند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التزام وجود الإطاعة وصدقها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جنح إلى إثبات الثواب بمثل ما ذكرناه في السؤال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تقدر على استخراج مواضع النظر فيما أفاده بعض الأجلّة ، حيث إنّه ردّد في المقام بين أن يكون المراد بالثواب هو الاجرة أو المدح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w:t>
      </w:r>
    </w:p>
    <w:p>
      <w:pPr>
        <w:pStyle w:val="BookText"/>
        <w:rPr/>
      </w:pPr>
      <w:r>
        <w:rPr>
          <w:rFonts w:ascii="Amiri" w:hAnsi="Amiri" w:eastAsia="Amiri" w:cs="Amiri"/>
          <w:color w:val="111111"/>
          <w:sz w:val="28"/>
          <w:sz w:val="28"/>
          <w:szCs w:val="28"/>
          <w:rtl w:val="true"/>
          <w:lang w:bidi="ar-SA"/>
        </w:rPr>
        <w:t xml:space="preserve">بالثواب أمرا غير المدح والقرب فربّما كان له وجه ؛ نظرا إلى أنّ العقل لا يستقلّ بإثباته في جميع موارده ، وثبوته في بعض الموارد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 إلى الجهاد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الكلّيّة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أُضِيعُ عَمَلَ عامِلٍ مِنْكُمْ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لا دلالة له على تعيين أثر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الأعمّ فترتّب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 بشهادة العقل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لذلك بحسن تعليل المدح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الثاني أعني القرب ، واستند في ذلك إلى صدق الإطاعة والانقياد المستلزمين للقرب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النظر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أجاد في حكمه بعدم استقلال العقل على ترتّب الثواب بمعنى الأجر ، إذ التحقيق على ما عرفته هو استقلاله بعدمه ؛ على أنّ الترديد في الثواب في غير محلّه ، فإنّ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صريح المتكلّمين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 فيكون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نفي ظهور الآية في الأجر على تقدير عدم استقلال العقل خلاف الإنصاف ، كما ارتكبه ، فإنّ ظهورها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في 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لزوم تأويلها بعد مخالفتها لصريح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الوجه في ترتّب المدح هو ما عرفته من ملاحظة العقلاء في ذاته سريرة طيّبة ، وذلك ظاهر بعد ما عرفته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المقدّمة يوجب الثواب وتركها لا يورث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باستحباب المقدّمة ، إذ لا يعقل أن يكون الفعل موجبا لاستحقاق الثواب وتركه لا يوجب عقابا مع كونه واجبا ، فهو إمّا قول بالاستحباب وهو باطل ، إذ لا قاضي به ، فإنّ الطلب الاستحبابي لا يستفاد من </w:t>
      </w:r>
    </w:p>
    <w:p>
      <w:pPr>
        <w:pStyle w:val="BookText"/>
        <w:rPr/>
      </w:pPr>
      <w:r>
        <w:rPr>
          <w:rFonts w:ascii="Amiri" w:hAnsi="Amiri" w:eastAsia="Amiri" w:cs="Amiri"/>
          <w:color w:val="111111"/>
          <w:sz w:val="28"/>
          <w:sz w:val="28"/>
          <w:szCs w:val="28"/>
          <w:rtl w:val="true"/>
          <w:lang w:bidi="ar-SA"/>
        </w:rPr>
        <w:t>وجوب ذيها ولا من غيره لانتفائه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قول بتسبيع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732"/>
      </w:r>
      <w:r>
        <w:rPr>
          <w:rFonts w:ascii="Amiri" w:hAnsi="Amiri" w:eastAsia="Amiri" w:cs="Amiri"/>
          <w:color w:val="111111"/>
          <w:sz w:val="28"/>
          <w:sz w:val="28"/>
          <w:szCs w:val="28"/>
          <w:rtl w:val="true"/>
          <w:lang w:bidi="ar-SA"/>
        </w:rPr>
        <w:t xml:space="preserve">أفاده المحقّق القمّي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القاضي بالحكم المذكور هو وجوب ذيها ، وحيث إنّه ليس وجوبا لعدم استحقاق العقاب على فعله بنفسه ، ولا ندبا لعدم ما يقضي به ، فلا بدّ أن يكون قسما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نقول في الموانع ، فلا يكون محرّما لعدم ترتّب العقاب على فعلها امتثالا </w:t>
      </w:r>
      <w:r>
        <w:rPr>
          <w:rStyle w:val="FootnoteAnchor"/>
          <w:rtl w:val="true"/>
        </w:rPr>
        <w:footnoteReference w:id="734"/>
      </w:r>
      <w:r>
        <w:rPr>
          <w:rFonts w:ascii="Amiri" w:hAnsi="Amiri" w:eastAsia="Amiri" w:cs="Amiri"/>
          <w:color w:val="111111"/>
          <w:sz w:val="28"/>
          <w:sz w:val="28"/>
          <w:szCs w:val="28"/>
          <w:rtl w:val="true"/>
          <w:lang w:bidi="ar-SA"/>
        </w:rPr>
        <w:t>وترتّب الثواب على تركها ، ولا مكروها لعدم ما يقضي به ، فهو قسم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مراده أنّه وجوب ظاهريّ لا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في بعض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تقديره فاللازم تعشير الأحكام ، مع أنّه لا محذور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يدفع عن ذلك باختلاف حدّي الوجوب الغيري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تكلّفه بعض الأجلّة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يجدي شيئا بعد ما عرفت أنّ الكلام في الاستحقاق ، ولا يعقل التفرقة في الوجوب بين أحد لازميه كما صنعه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w:t>
      </w:r>
      <w:r>
        <w:rPr>
          <w:rStyle w:val="FootnoteAnchor"/>
          <w:rtl w:val="true"/>
        </w:rPr>
        <w:footnoteReference w:id="736"/>
      </w:r>
      <w:r>
        <w:rPr>
          <w:rFonts w:ascii="Amiri" w:hAnsi="Amiri" w:eastAsia="Amiri" w:cs="Amiri"/>
          <w:color w:val="111111"/>
          <w:sz w:val="28"/>
          <w:sz w:val="28"/>
          <w:szCs w:val="28"/>
          <w:rtl w:val="true"/>
          <w:lang w:bidi="ar-SA"/>
        </w:rPr>
        <w:t xml:space="preserve">من استناد استحباب المقدّمة إلى قاعدة التسامح فهو تسامح في إصابة الواقع ، إذ بعد الغضّ عن شمول الأخبار لمثل فتوى الفقيه أوّلا ثمّ لفتوى مثل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تفطّن له ،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ليس ينبغي ، إذ الكلام مع الغزالي القائل بهذه المقالة الفاسدة ، فالنزاع إنّما هو في أمر واقعي يدّعيه الغزالي ، ونحن ندّعي أنّ الواقع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موارد إثبات الحكم المتنازع فيه بالتسامح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فرض البحث مع غيره فيمكن لمدّعي الاستحباب الاستناد إلى قول </w:t>
      </w:r>
      <w:bookmarkStart w:id="247" w:name="pg16254_218605"/>
    </w:p>
    <w:p>
      <w:pPr>
        <w:pStyle w:val="BookText"/>
        <w:rPr/>
      </w:pPr>
      <w:bookmarkEnd w:id="247"/>
      <w:r>
        <w:rPr>
          <w:rFonts w:ascii="Amiri" w:hAnsi="Amiri" w:eastAsia="Amiri" w:cs="Amiri"/>
          <w:color w:val="111111"/>
          <w:sz w:val="28"/>
          <w:sz w:val="28"/>
          <w:szCs w:val="28"/>
          <w:rtl w:val="true"/>
          <w:lang w:bidi="ar-SA"/>
        </w:rPr>
        <w:t>الغزالي به ، من حيث إنّه قد أفتى بالاستحباب لا من حيث إنّه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التزم به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مانع من التسبيع في الأحكام التبعيّة ، فممّا لا يرجع إلى طائل ؛ لعدم الفرق بين الأحكام الأصليّة وغيرها أصلا ، إذ الحصر في الخمسة بعد ملاحظة الاستحقاق واقعي ، فلا يعقل قسم سادس أو سابع</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418286_1280447820"/>
      <w:bookmarkStart w:id="249" w:name="_Toc80"/>
      <w:bookmarkEnd w:id="248"/>
      <w:r>
        <w:rPr>
          <w:rtl w:val="true"/>
        </w:rPr>
        <w:t xml:space="preserve">وينبغي التنبيه على أمرين </w:t>
      </w:r>
      <w:r>
        <w:rPr>
          <w:rtl w:val="true"/>
        </w:rPr>
        <w:t>:</w:t>
      </w:r>
      <w:bookmarkEnd w:id="2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يستبعد دعوى معلوميّة ترتّب الثواب على فعل الطهارات الثلاث شرعا ، فإنّ الأخبار في ذلك فوق حدّ الاستفاضة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ممّا لم يقع فيه الخلاف أيضا ، فيشكل الأمر نظرا إلى ما مرّ من استقلال العقل بعدم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دفعه بمثل ما دفعناه في مطلق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التفضّل أو التوزيع ، إذ لعلّه يأباه مساق الأخبار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توهّم الفرق بين الخطاب الأصلي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الطهارات ليس ممحّضة في التوصّليّة ، بل لها جهات نفسيّة ؛ فإنّها عبادات في أنفسها مستحبّة في حدود ذواتها ، وإن كان قد يعرض لها الوجوب التبعي ، فلا ينافي ترتّب الثواب عليها على وجه الاستحقاق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ذلك لا ينهض بدفع الإشكال ، إذ ليس الكلام في الطهارة التي تقع على وجه المطلوبيّة النفسيّة ، بل الكلام فيما هي مقدّمة للصلاة الواجبة مثلا ، وبعد عروض الوجوب على ما هو المفروض يمتنع بقاء المطلوبيّة النفسيّة ، لطريان ما هو أقوى منها </w:t>
      </w:r>
    </w:p>
    <w:p>
      <w:pPr>
        <w:pStyle w:val="BookText"/>
        <w:rPr/>
      </w:pPr>
      <w:r>
        <w:rPr>
          <w:rFonts w:ascii="Amiri" w:hAnsi="Amiri" w:eastAsia="Amiri" w:cs="Amiri"/>
          <w:color w:val="111111"/>
          <w:sz w:val="28"/>
          <w:sz w:val="28"/>
          <w:szCs w:val="28"/>
          <w:rtl w:val="true"/>
          <w:lang w:bidi="ar-SA"/>
        </w:rPr>
        <w:t xml:space="preserve">تأثيرا وأشدّ مطلوبيّة ، فلا يعقل ترتّب الثواب عليها بعد عروض الوجوب ، إذ لو لم يكن قاصدا إلى الجهة النفسيّة لم يقع على وجه الامتثال ، فلا يستحقّ ثوابا عليها ، وبعد ارتفاع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طريان الأمر الوجوبي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الداعي إليها هو الأمر ؛ لانتفائه ، فلا 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ارتفاع الطلب تارة يكون بواسطة ارتفاع ما هو الوجه في طلبه كانقلاب المصلحة الموجبة له مفسدة ، واخرى يكون بواسطة طريان ما هو أقوى منه ، فإنّ ارتفاعه إنّما يكون بواسطة امتناع اجتماع الأمثال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الوجهين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المسلّم من عدم استحقاق الثواب عند ارتفاع الطلب إنّما هو فيما إذا كان ارتفاعه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الوجه الثاني فلا نسلّم أنّه لا يستلزم ثوابا ؛ لأنّ لحوق المرتبة القويّة للمرتبة الضعيفة إنّما ينافيها من حيث تحدّدها بحدّ ضعيف وتشخيصها بتشخيص قاصر ، وذلك لا مدخل له فيما هو مناط الطلب على 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فعروض الوجوب لا ينافي الطلب الموجود بواسطة جهة نفسيّة ، بل يؤكّده ، فيصحّ القصد إليه بوجوده ولو على وجه قويّ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أيضا لا يدفع الإشكال ؛ إذ لا أقلّ من أن يكون اللازم على ذلك التقدير هو القصد إلى الطلب النفسي ولو في ضمن الطلب الوجوبي ، والمعلوم من طريقة الفقهاء هو القول بترتّب الثواب على الطهارات وإن انحصر الداعي إلى إيجادها في الأمر المقدّمي على وجه لو لم يعلم باستحبابها النفسي أيضا يكون كافيا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الاستحباب النفسي في التيمّم لعلّه ممّا لا دليل عليه وإن كان قد يستفاد من بعض الروايات ، إلاّ أنّه ممّا لم يعتمد عليه أحد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فالقول بأنّ الثواب من جهة عموم فضله وسعة رحمته أو احتمال التوزيع لعلّه أقرب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أنّ النسبة بين الواجب الغيري والتعبّدي عموم وخصوص من وجه ؛ لافتراق الأوّل في غسل الثوب ، والثاني في الصلاة ، واجتماعهما في المقدّمات العباديّة التي يشترط فيها نيّة القربة كالطهارات الثلاث ، فإنّها كما أطبقوا على كونها ممّا يترتّب عليها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منشأ الإشكال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أطبقوا على كونها عبادة مشروطة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القربة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الإتيان بالفعل بواسطة الأمر ، ولا مصحّح لها في الأوامر المقدّميّة ، إذ الأمر المقدّمي لا يعقل أن يكون مستتبعا لذلك ، ضرورة معلوميّة الغرض الداعي إلى المقدّمة ، وهو التوصّل بها إلى ذيها ، وبعد العلم بأنّ المقصود والغرض هو التوصّل لا معنى للقول بوجوب الإتيان بالمقدّمة على وجه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أيضا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امتثالها تابع لامتثال ذيها ، كما أنّ وجوبها على القول به وجوب تبعي منتزع من وجوب ذيها ، وهو لا يستتبع امتثالا ولا قربة ، كما لا يوجب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 هذا الإشكال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مطلوبات نفسيّة ومندوبات ذاتيّة يصحّ قصد التعبّد بها من حيث مطلوبيّتها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فاسد جدّا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يقم دليل على كونه مطلوبا نفسيّا ، فالإشكال فيه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غير مجد فيما نحن بصدده ، إذ لا إشكال في صحّة قصد القربة فيما هو المطلوب النفسي ، والكلام إنّما هو في قصد التعبّد بالمقدّمة من حيث إنّها مقدّمة ، فالوضوء لأجل الصلاة لا بدّ وأن يكون على وجه القربة بواسطة الأمر المقدّمي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يستشكل في أنّ العبادة كيف تكون مقدّمة مع تنافي </w:t>
      </w:r>
    </w:p>
    <w:p>
      <w:pPr>
        <w:pStyle w:val="BookText"/>
        <w:rPr/>
      </w:pPr>
      <w:r>
        <w:rPr>
          <w:rFonts w:ascii="Amiri" w:hAnsi="Amiri" w:eastAsia="Amiri" w:cs="Amiri"/>
          <w:color w:val="111111"/>
          <w:sz w:val="28"/>
          <w:sz w:val="28"/>
          <w:szCs w:val="28"/>
          <w:rtl w:val="true"/>
          <w:lang w:bidi="ar-SA"/>
        </w:rPr>
        <w:t>قضيّة كلّ منهما للآخر ، حيث إنّ المقدّميّة لا تقتضي إلاّ التوصّليّة ، والعباديّة قاضية بالتعبّديّة ، وهما متنافيان متباينان ، على ما عرفت في تحديدهما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بأن لا تنافي بينهما لاختلاف الجهة ، حيث إنّ الأمر المقدّمي متأخّر اعتباره في العبادة عن الأمر الّذي تعلّق بها وبه صارت عبادة ، كما لو فرض اشتراط الصلاة بعبادة خارجة مستقلّة مأمور بها في حيال ذاتها كالصوم مثلا ، إذ لا ضير في ذلك ، فإنّ المصحّح للعباديّة فيها هو الأمر الأوّل ، والاشتراط قاض بمقدّميّة العبادة المفروضة من غير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يستشكل في أنّ الأمر المقدّمي كيف يقضي بالتعبّديّة من حيث إنّها مقدّمة بعد معلوميّة الغرض من الأمر بها كما هو مناط الإشكال في المقام؟ والجواب المذكور لا ينهض بدفعه ، لاتّحاد جهتي التعبّد والتوصّل حينئذ ، كما لا يخفى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التي تكون عبادة ليست من الأفعال العاديّة </w:t>
      </w:r>
      <w:r>
        <w:rPr>
          <w:rStyle w:val="FootnoteAnchor"/>
          <w:rtl w:val="true"/>
        </w:rPr>
        <w:footnoteReference w:id="738"/>
      </w:r>
      <w:r>
        <w:rPr>
          <w:rFonts w:ascii="Amiri" w:hAnsi="Amiri" w:eastAsia="Amiri" w:cs="Amiri"/>
          <w:color w:val="111111"/>
          <w:sz w:val="28"/>
          <w:sz w:val="28"/>
          <w:szCs w:val="28"/>
          <w:rtl w:val="true"/>
          <w:lang w:bidi="ar-SA"/>
        </w:rPr>
        <w:t xml:space="preserve">التي تعلم بارتباط ذيها بها على نحو معلوميّة ارتباط الصعود على السطح بمقدّماته التي يتوقّف عليها ، فإنّ المعلوم عندنا من الصلاة ليس إلاّ نفس الحركات والسكنات ، ونحن لا نعقل توقّفا لهذه الصورة على الأفعال الواقعة عند تحصيل الطهارات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بعد ما كشف الشارع الحكيم عن توقّف الصلاة عليها لا بدّ من إيجادها للتوصّل بها إليها ، وحيث إنّ الأفعال الواقعة في الطهارات أيضا ممّا لا نعرف منها إلاّ الحركة الخاصّة ، فلا بدّ أن يكون الداعي إلى إيجادها هو توقّف الصلاة عليها في نظر الآمر ، كما أنّه لا بدّ من إيجاد هذه الحركات على وجه يكون في الواقع ممّا يترتّب عليها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لنا إلى العلم بذلك إلاّ أن تقع هذه الحركات على وجه تعلّق الأمر بها ، ولا نعني بالقربة إلاّ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الواحد قد يختلف وجوهه ، وذلك يلازم اختلاف مصالحه ومفاسده كما هو المقرّر في مقامه ، فتارة يكون الفعل معنونا بعنوان حسنا وبعنوان آخر قبيحا ، فإن علمنا بالعنوان القبيح والحسن فهو ، ويكون الفعل حينئذ من الواجبات العقليّة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نعلم بذلك مع العلم بأنّ الشارع لا يأمرنا إلاّ بما هو الحسن واقعا من عناوين معتورة على ذات الفعل ، وحيث إنّه لا علم لنا به بخصوصه فيجب اتّباع الأمر في ذلك للوصول إلى العنوان الحسن واقعا ، لأنّ الأمر حينئذ مرآة لذلك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 ذلك عنوان المقدّميّة ، فإنّ ذوات الحركات الخاصّة ربّما لا تكون محصّلة لما هو المقصود بالأمر بها ، فلا بدّ من قصد الحركة التي امر بها لأجل الصلاة تحصيلا للمقدّمة لأن يلاحظ مطلوبيّة تلك المقدّمة ، وتوقّف المأمور به عليها عنوان إجمالي لما هو المتوقّف عليها ومرآة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لا ندّعي في الطهارات أنّ الأمر المقدّمي فيها يقضي بالتعبّديّة حتّى يقال بفساده قطعا ، مع أنّه لو صحّ ذلك لكان جاريا في المقدّمات التي نقطع بانتفاء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من قبل نفس المقدّمة ، حيث إنّها لا نعرف وجه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افيد ، ولكنّه منقوض بجملة من المقدّمات الشرعيّة التي لا نعرف وجه التوقّف فيها أيضا ، فإنّ ذلك غير مختصّ بالطهارات كما لا يخفى ، فتدبّر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فيما تقدّم </w:t>
      </w:r>
      <w:r>
        <w:rPr>
          <w:rStyle w:val="FootnoteAnchor"/>
          <w:rtl w:val="true"/>
        </w:rPr>
        <w:footnoteReference w:id="740"/>
      </w:r>
      <w:r>
        <w:rPr>
          <w:rFonts w:ascii="Amiri" w:hAnsi="Amiri" w:eastAsia="Amiri" w:cs="Amiri"/>
          <w:color w:val="111111"/>
          <w:sz w:val="28"/>
          <w:sz w:val="28"/>
          <w:szCs w:val="28"/>
          <w:rtl w:val="true"/>
          <w:lang w:bidi="ar-SA"/>
        </w:rPr>
        <w:t>أنّ الأوامر العباديّة من حيث تعلّقها بمتعلّقاتها يغاير الأوامر التوصّلية ، حيث إنّ نفس الأمر واف بتمام المقصود في الثاني دون الأوّل ، فلا بدّ فيه من بيان زائد على أصل الفعل المطلوب بالطلب المستفاد من الأمر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المقدّمة وذيها ، فما هو المصحّح لأحدهما مصحّح للآخر من غير حاجة إلى القول باستفادة التعبّديّة من الأمر المقدّمي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أن يكون الفعل ذا مصلحة على تقدير الامتثال به ، فيجب على المريد لإيصال تلك المصلحة إلى المكلّف أن يأمره أوّلا بذلك الفعل ثم يبيّن له أنّ المقصود هو الامتثال بذلك الأمر ، كذلك يمكن أن يكون الفعل موقوفا على عنوان بشرط أن يكون الداعي إلى إيجاد ذلك العنوان هو توقّف ذلك الفعل عليه ، فهو بحيث لو وجد في الخارج ولم يكن الداعي إليه ترتّب الغير عليه لا يكون موقوفا عليه ، وإذا وجد في الخارج على الوجه المذكور يترتّب عليه الغير ، فالطالب لوجود ذي المقدّمة ، له أن يحتال في ذلك بأن يأمر أولا بذيها ويلزم من ذلك الأمر بما هو مقدّمة له في الواقع ، وهو الفعل المقدّمي على الوجه المذكور ، إلاّ أنّه حيث لا يمكن له الاكتفاء بذلك الأمر فيحتال بالقول بأنّ المطلوب موقوف على ذلك الفعل على وجه يكون الداعي إلى إيجاده هو التوقّف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يقتضيه الأمر </w:t>
      </w:r>
      <w:r>
        <w:rPr>
          <w:rStyle w:val="FootnoteAnchor"/>
          <w:rtl w:val="true"/>
        </w:rPr>
        <w:footnoteReference w:id="741"/>
      </w:r>
      <w:r>
        <w:rPr>
          <w:rFonts w:ascii="Amiri" w:hAnsi="Amiri" w:eastAsia="Amiri" w:cs="Amiri"/>
          <w:color w:val="111111"/>
          <w:sz w:val="28"/>
          <w:sz w:val="28"/>
          <w:szCs w:val="28"/>
          <w:rtl w:val="true"/>
          <w:lang w:bidi="ar-SA"/>
        </w:rPr>
        <w:t xml:space="preserve">المقدّمي في الحقيقة ليس هو إلاّ التوصّل بالموقوف الذي هو الواجب النفسي ، غاية الأمر أنّ ذات المقدّمة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حصولها وتكوّنها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القصد المذكور ، فلا بدّ من طلب آخر من سنخ طلب المقدّمة ، لا أن يكون طلبا نفسيّا ليلزم ما أوردناه على الوجه الأوّل ليصحّ الطلب المذكور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على بصيرة من ذلك لعلّك تطّلع على وجه آخر في التقصّي عن هذه 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التوفيق والهداية</w:t>
      </w:r>
      <w:r>
        <w:rPr>
          <w:rFonts w:eastAsia="Amiri" w:cs="Amiri" w:ascii="Amiri" w:hAnsi="Amiri"/>
          <w:color w:val="111111"/>
          <w:sz w:val="28"/>
          <w:szCs w:val="28"/>
          <w:rtl w:val="true"/>
          <w:lang w:bidi="ar-SA"/>
        </w:rPr>
        <w:t xml:space="preserve">. </w:t>
      </w:r>
      <w:bookmarkStart w:id="250" w:name="pg16254_218611"/>
    </w:p>
    <w:p>
      <w:pPr>
        <w:pStyle w:val="Heading3"/>
        <w:numPr>
          <w:ilvl w:val="2"/>
          <w:numId w:val="1"/>
        </w:numPr>
        <w:rPr/>
      </w:pPr>
      <w:bookmarkStart w:id="251" w:name="__RefHeading___Toc4418288_1280447820"/>
      <w:bookmarkStart w:id="252" w:name="_Toc81"/>
      <w:bookmarkEnd w:id="250"/>
      <w:bookmarkEnd w:id="251"/>
      <w:r>
        <w:rPr>
          <w:rtl w:val="true"/>
        </w:rPr>
        <w:t>هداية</w:t>
      </w:r>
      <w:bookmarkEnd w:id="252"/>
    </w:p>
    <w:p>
      <w:pPr>
        <w:pStyle w:val="BookText"/>
        <w:rPr/>
      </w:pPr>
      <w:r>
        <w:rPr>
          <w:rFonts w:ascii="Amiri" w:hAnsi="Amiri" w:eastAsia="Amiri" w:cs="Amiri"/>
          <w:color w:val="111111"/>
          <w:sz w:val="28"/>
          <w:sz w:val="28"/>
          <w:szCs w:val="28"/>
          <w:rtl w:val="true"/>
          <w:lang w:bidi="ar-SA"/>
        </w:rPr>
        <w:t xml:space="preserve">زعم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يوهمه ظاهر عبارته في 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وجوب الواجب الغيري على إرادة الغير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فحجّة القول بوجوب المقدّمة على تقدير تسليمها إنّما ينهض دليلا على الوجوب في حال كون المكلّف مريدا للفعل المتوقّف عليها ، كما لا يخفى على من أعطاها حقّ النظر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لمّا كان متمحّضا في التوصّليّة نظرا إلى انحصار حكمة وجوبه في التوصّل بها إلى ذيها ، فعند وجود الصارف وعدم الداعي إلى المأمور به لا دليل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بعد ما أعطينا النظر في الأدلّة الناهضة على وجوب المقدّمة حقّ النظر واستقصينا التأمّل فيها ما وجدنا رائحة من ذلك فيها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وجوب المقدّمة واشتراطها تابع لإطلاق وجوب ذيها واشتراطه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اشتراط وجوب الواجب بإرادته ؛ لأدائه إلى إباحة الواجب ، فما يدلّ على وجوب ذيها عند عدم إرادته فهو دليل على وجوب المقدّمة أيضا ، والحجّة المفروضة القائمة على وجوب المقدّمة جارية بعينها حال الإرادة وعدمها من غير 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إشكال في فساد التوهّم المذكور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وقوعه على صفة الوجوب أن يكون الإتيان بالواجب الغيري لأجل التوصّل به إلى الغير أو لا؟ وجهان ، أقواهما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الأمر الغيري لا يستلزم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الهداية السابقة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منه مجرّد التوصّل به إلى الغير ، وقضيّة ذلك هو قيام ذات الواجب مقامه وإن لم يكن المقصود منه التوصّل به إلى الواجب ، كما إذا أمر المولى عبده بشراء اللحم من السوق ، الموقوف على تحصيل الثمن ، ولكنّ العبد حصّل الثمن لا لأجل شراء اللحم بل بواسطة ما ظهر له من الامور الموقوفة عليه ، ثمّ بدا له الامتثال لأمر المولى ، فيكفي له في مقام المقدّميّة الثمن المذكور من غير إشكال في ذلك ، ولا حاجة إلى إعادة التحصيل ، كما هو ظاهر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أنّ المقدّمة إذا كانت من الأعمال العباديّة التي يجب وقوعها على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الوجه فيها بأحد الوجوه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في وقوعها على جهة الوجوب أن لا يكون الآتي بها قاصدا للإتيان بذيها؟</w:t>
      </w:r>
    </w:p>
    <w:p>
      <w:pPr>
        <w:pStyle w:val="BookText"/>
        <w:rPr/>
      </w:pPr>
      <w:r>
        <w:rPr>
          <w:rFonts w:ascii="Amiri" w:hAnsi="Amiri" w:eastAsia="Amiri" w:cs="Amiri"/>
          <w:color w:val="111111"/>
          <w:sz w:val="28"/>
          <w:sz w:val="28"/>
          <w:szCs w:val="28"/>
          <w:rtl w:val="true"/>
          <w:lang w:bidi="ar-SA"/>
        </w:rPr>
        <w:t xml:space="preserve">ومن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على المكلّف فائتة </w:t>
      </w:r>
      <w:r>
        <w:rPr>
          <w:rStyle w:val="FootnoteAnchor"/>
          <w:rtl w:val="true"/>
        </w:rPr>
        <w:footnoteReference w:id="744"/>
      </w:r>
      <w:r>
        <w:rPr>
          <w:rFonts w:ascii="Amiri" w:hAnsi="Amiri" w:eastAsia="Amiri" w:cs="Amiri"/>
          <w:color w:val="111111"/>
          <w:sz w:val="28"/>
          <w:sz w:val="28"/>
          <w:szCs w:val="28"/>
          <w:rtl w:val="true"/>
          <w:lang w:bidi="ar-SA"/>
        </w:rPr>
        <w:t xml:space="preserve">، فتوضّأ قبل الوقت غير قاصد لأدائها ولا قاصدا لإحدى غاياته المترتّبة عليه ، فيما إذا جوّزنا قصدها في وقت التكليف به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المختار لا يجوز الدخول به في الصلاة الحاضرة ولا الفائتة إذا بدا له الدخول إليها ، وعلى الثاني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اشتبهت القبلة في جهات وقلنا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في جهة غير قاصد للإتيان بها بالجهات الباقية ، على ما اخترناه يجب عليه العود إلى تلك الجهة ، وعلى الثاني يجزئ في مقام الامتثال إذا لحقها الجهات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الثاني إلى المشهور ، ولم نتحقّقه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يمكن الاستناد إليه في تقريب مرادهم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ليس إلاّ مثل </w:t>
      </w:r>
    </w:p>
    <w:p>
      <w:pPr>
        <w:pStyle w:val="BookText"/>
        <w:rPr/>
      </w:pPr>
      <w:r>
        <w:rPr>
          <w:rFonts w:ascii="Amiri" w:hAnsi="Amiri" w:eastAsia="Amiri" w:cs="Amiri"/>
          <w:color w:val="111111"/>
          <w:sz w:val="28"/>
          <w:sz w:val="28"/>
          <w:szCs w:val="28"/>
          <w:rtl w:val="true"/>
          <w:lang w:bidi="ar-SA"/>
        </w:rPr>
        <w:t>الصلاة في لحوق الطلب الإيجابي بهما ، غاية الأمر أنّ الداعي إلى إيجاب الواجب الغيري هو التوصّل به إلى الغير ، والداعي إلى إيجاب الصلاة هو وجوب نفس الصلاة ، ولا دليل على لزوم قصد دواعي الأمر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فاسد ؛ إذ بعد ما عرفت من تخصيص النزاع بما إذا اريد الامتثال بالمقدّمة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قصد عنوان الواجب فيما إذا اريد الامتثال بالواجب وإن لم يجب الامتثال ، ولا ريب في عدم تعلّق القصد بعنوان الواجب فيما إذا لم يكن الآتي بالواجب الغيري قاصدا للإتيان بذلك الغير ، فلا يتحقّق الامتثال بالواجب الغيري إذا لم يكن قاصدا للإتيان بذلك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فقد عرفت فيما تقدّم أنّ الامتثال لا نعني به إلاّ أن يكون الداعي إلى إيجاد الفعل هو الأمر ، ويمتنع دعاء الأمر إلى عنوان آخر غير ما تعلّق به الأمر ، لعدم الارتباط بينهما ، فلو كان الداعي هو الأمر يجب قصد المأمور به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الحاكم بالوجوب الغيري ليس إلاّ العقل ، وليس الملحوظ عنده في عنوان حكمه بالوجوب إلاّ عنوان المقدميّة والموقوف عليه ، وهذه الجهة لا تلحق ذات المقدّمة إلاّ بملاحظة ذيها ، ضرورة كونها من العناوين الملحوظة باعتبار الغير ، فالإتيان بشيء على جهة المقدميّة للغير يمتنع انفكاكه عن قصد الغير ، وإلاّ لم يكن الداعي هو الأمر اللازم من أمر الغير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المقدّمة معنونة بعنوانات كثيرة ، منها المقدميّة ، وهذا هو عنوان وجوبها الغيري ، فلا بدّ عند إرادة الامتثال بالمقدّمة من قصد هذا العنوان ، لما قرّر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عنوان المقدّمة </w:t>
      </w:r>
      <w:r>
        <w:rPr>
          <w:rStyle w:val="FootnoteAnchor"/>
          <w:rtl w:val="true"/>
        </w:rPr>
        <w:footnoteReference w:id="745"/>
      </w:r>
      <w:r>
        <w:rPr>
          <w:rFonts w:ascii="Amiri" w:hAnsi="Amiri" w:eastAsia="Amiri" w:cs="Amiri"/>
          <w:color w:val="111111"/>
          <w:sz w:val="28"/>
          <w:sz w:val="28"/>
          <w:szCs w:val="28"/>
          <w:rtl w:val="true"/>
          <w:lang w:bidi="ar-SA"/>
        </w:rPr>
        <w:t xml:space="preserve">على وجه يكون الداعي إلى إيجاده ملاحظة المنفعة في هذا العنوان لا يعقل بدون قصد الغير ، إذ لا يعقل القصد </w:t>
      </w:r>
    </w:p>
    <w:p>
      <w:pPr>
        <w:pStyle w:val="BookText"/>
        <w:rPr/>
      </w:pPr>
      <w:r>
        <w:rPr>
          <w:rFonts w:ascii="Amiri" w:hAnsi="Amiri" w:eastAsia="Amiri" w:cs="Amiri"/>
          <w:color w:val="111111"/>
          <w:sz w:val="28"/>
          <w:sz w:val="28"/>
          <w:szCs w:val="28"/>
          <w:rtl w:val="true"/>
          <w:lang w:bidi="ar-SA"/>
        </w:rPr>
        <w:t>إلى شيء يترتّب عليه فائدة لأجل تلك الفائدة بدون أن يكون تلك الفائدة مقصودة ، لكونه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مراد كلّ من حكم بوجوب قصد الاستباحة في الوضوء ، إذ لا يظهر من الاستدلال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الإتيان بالوضوء لأجل الصلاة </w:t>
      </w:r>
      <w:r>
        <w:rPr>
          <w:rStyle w:val="FootnoteAnchor"/>
          <w:rtl w:val="true"/>
        </w:rPr>
        <w:footnoteReference w:id="747"/>
      </w:r>
      <w:r>
        <w:rPr>
          <w:rFonts w:ascii="Amiri" w:hAnsi="Amiri" w:eastAsia="Amiri" w:cs="Amiri"/>
          <w:color w:val="111111"/>
          <w:sz w:val="28"/>
          <w:sz w:val="28"/>
          <w:szCs w:val="28"/>
          <w:rtl w:val="true"/>
          <w:lang w:bidi="ar-SA"/>
        </w:rPr>
        <w:t xml:space="preserve">، ولا يظهر </w:t>
      </w:r>
      <w:r>
        <w:rPr>
          <w:rStyle w:val="FootnoteAnchor"/>
          <w:rtl w:val="true"/>
        </w:rPr>
        <w:footnoteReference w:id="748"/>
      </w:r>
      <w:r>
        <w:rPr>
          <w:rFonts w:ascii="Amiri" w:hAnsi="Amiri" w:eastAsia="Amiri" w:cs="Amiri"/>
          <w:color w:val="111111"/>
          <w:sz w:val="28"/>
          <w:sz w:val="28"/>
          <w:szCs w:val="28"/>
          <w:rtl w:val="true"/>
          <w:lang w:bidi="ar-SA"/>
        </w:rPr>
        <w:t>منها الدلالة على قصد الاستباحة مع عدم إرادة الصلاة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رفع الحدث ، فمرجعه أيضا إلى ذلك لو لم نقل بأنّ الحدث هي الحالة المانعة عن الدخول فيما يشترط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بأنّها من الامور الانتزاعيّة عن الأحكام التكليفيّة فرجوعه إلى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نسبة القول الثاني إلى المشهور لعلّها في غير محلّها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اشتراط وقوع المقدّمة على صفة الوجوب والمطلوبيّة بقصد الغير المترتّب عليها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عن ذلك ملاحظة الأوامر العرفيّة المعمولة عند الموالي والعبيد ، فإنّ الموالي إذا أمروا عبيدهم بشراء اللحم الموقوف على الثمن ، فحصّل العبد الثمن لا لأجل اللحم ، لم يكن ممتثلا للأمر الغيري قطعا ، وإن كان بعد ما بدا له الامتثال مجزيا ، لأنّ الغرض منه التوصّل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المقدّمة العباديّة ليست حالتها مثل تلك المقدّمات في الاكتفاء بذات المقدّمة عنها ، وجب إعادتها كما في غيرها من العبادات ، فلا يكاد يظهر الثمرة في هذا النزاع في المقدّمات الغير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حصول ذات الواجب وإن لم يحصل فيه الامتثال على وجه حصوله في الواجبات الغيريّة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يظهر الثمرة من جهة بقاء الفعل المقدّمي على حكمه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بعدم اعتبار قصد الغير في وقوع المقدّمة على صفة الوجوب لا يحرم الدخول في ملك الغير إذا كان مقدّمة لإنقاذ غريق ، بل يقع واجبا سواء ترتّب عليه الغير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باعتباره في وقوعها على صفة الوجوب فيحرم الدخول ما لم يكن قاصدا لإنقاذ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الوجوب الغيري لا تزيد على أنّ المعتبر في وقوع المقدّمة على صفة الوجوب أن لا يكون الآتي بها قاصدا لعدم الغير ، أو يكون غير ملتفت إليه ، وأمّا أنّه لا بدّ من أن يكون قاصدا لوقوع الغير جزما فلا نسلّم أنّه ممّا يقضي به الوجوب الغيري ، بل الإتيان بالمقدّمة على وجه احتمال ترتّب الغير عليه ممّا يكفي في 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الثمرة فيما إذا أتى بالمقدّمة رجاء لأن يترتّب عليها الغير ، فإنّها صحيحة بناء على ما ذكرنا ، بخلاف ما لو قلنا بما أفاده الاستاذ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عرفت من عدم وقوع المقدّمة العباديّة على صفة الوجوب فيما إذا لم يكن الآتي بها قاصدا للغير ، فهل يجزئ في ترتّب ذلك الغير الّذي لم يكن مقصودا عليها فيما إذا كان الآتي قاصدا لغيره ممّا يترتّب عليها ويصحّ القصد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في الوضوء </w:t>
      </w:r>
      <w:r>
        <w:rPr>
          <w:rStyle w:val="FootnoteAnchor"/>
          <w:rtl w:val="true"/>
        </w:rPr>
        <w:footnoteReference w:id="749"/>
      </w:r>
      <w:r>
        <w:rPr>
          <w:rFonts w:ascii="Amiri" w:hAnsi="Amiri" w:eastAsia="Amiri" w:cs="Amiri"/>
          <w:color w:val="111111"/>
          <w:sz w:val="28"/>
          <w:sz w:val="28"/>
          <w:szCs w:val="28"/>
          <w:rtl w:val="true"/>
          <w:lang w:bidi="ar-SA"/>
        </w:rPr>
        <w:t xml:space="preserve">إذا أتى به المكلّف غير قاصد للصلاة مع القصد إلى غاية اخرى ممّا يترتّب عليه ، كالطواف وقراءة القرآن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يجزئ عنه ولا يصحّ القصد إلى غيره فيما إذا كان واجبا والغير مندوبا؟ وجهان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على ما نسبه جمال المحقّقين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الوضوء بعد دخول الوقت مع عدم إرادة الصلاة فيما إذا اريد به الكون على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 لا يصحّ على ما ذهب إليه جمع من الأصحاب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إجزاء المقدّمة التي يراد بها غاية اخرى غير الغاية الغير المقصودة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الوضوء إذا قصد به الكون على الطهارة أو غيره عن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فمبنيّ على اتّحاد حقيقة تلك المقدّمة وعدم اختلاف ماهيّتها باختلاف ذويها </w:t>
      </w:r>
      <w:r>
        <w:rPr>
          <w:rStyle w:val="FootnoteAnchor"/>
          <w:rtl w:val="true"/>
        </w:rPr>
        <w:footnoteReference w:id="752"/>
      </w:r>
      <w:r>
        <w:rPr>
          <w:rFonts w:ascii="Amiri" w:hAnsi="Amiri" w:eastAsia="Amiri" w:cs="Amiri"/>
          <w:color w:val="111111"/>
          <w:sz w:val="28"/>
          <w:sz w:val="28"/>
          <w:szCs w:val="28"/>
          <w:rtl w:val="true"/>
          <w:lang w:bidi="ar-SA"/>
        </w:rPr>
        <w:t>، كما هو كذلك في الوضوء ، على ما استظهرناه من الأخبار الواردة فيه ؛ ولذلك نقول بكفاية الوضوء لأجل غاية واحدة عن الوضوء في جميعها ، لأنّ المقدّمة بعد ما كانت حاصلة لا وجه للأمر بإيجادها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فيما إذا كانت المقدّمة من المقدّمات التوصليّة كما في 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عبادة كما في الوضوء ، فمجرّد حصولها لا يكفي عمّا هو المقصود منها من حصول التعبّد بها وقصد التقرّب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كونها عبادة ؛ لما ذكرنا من حصولها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فعل عبادة تارة يلاحظ بالنسبة إلى الأمر الذي تعلّق به وصار بملاحظة ذلك الأمر عبادة من حيث إنّ المطلوب الحقيقي فيه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يلاحظ بالنسبة إلى الامتثال الّذي صار لأجله الفعل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نفس الفعل نقول بكونه تعبّديّا ، وأمّا مطلوبيّة الامتثال بذلك الفعل فمن المعلوم أنّه واجب توصّلي ومطلوب غير تعبّدي يسقط بمجرّد حصوله في الخارج من غير توقّف على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المطلوب من الوضوء وهو وقوعه على وجه العبادة ، ووقوعه على ذلك الوجه مطلوب توصّلي لا ينافي كون الفعل المطلوب بواسطة الامتثال به واجبا </w:t>
      </w:r>
    </w:p>
    <w:p>
      <w:pPr>
        <w:pStyle w:val="BookText"/>
        <w:rPr/>
      </w:pPr>
      <w:r>
        <w:rPr>
          <w:rFonts w:ascii="Amiri" w:hAnsi="Amiri" w:eastAsia="Amiri" w:cs="Amiri"/>
          <w:color w:val="111111"/>
          <w:sz w:val="28"/>
          <w:sz w:val="28"/>
          <w:szCs w:val="28"/>
          <w:rtl w:val="true"/>
          <w:lang w:bidi="ar-SA"/>
        </w:rPr>
        <w:t>تعبّديّا ، والمفروض من وقوعه على جهة العبادة بواسطة الغاية المترتّبة عليه من قراءة القرآن ونحوه ، فلا وجه للقول بعدم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يتعسّف بالتزام أنّ المطلوب هو الامتثال بالوضوء بواسطة الأمر الخاصّ المتعلّق بغاية مخصوصة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فرض اختلاف المقدّمة كما في الأغسال وإن اتّحدت صورة ، فلا إشكال في عدم الاكتفاء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بعد ما ذكرنا تطلّع على ما هو الحقّ بالنسبة إلى صحّة القصد إلى غاية مندوبة وصحّة العمل الذي يراد به ترتّب الغاية المندوبة فيما إذا لم يكن المكلّف قاصدا للغاية الواجبة مع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الإجمال وتبيين هذا المقال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كانت ماهيّة واحدة مقدّمة لعدّة امور بعضها واجب وبعضها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للصلاة وقراءة القرآن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اختصّت تلك الماهيّة بشيء ممّا يخصّصها عند كونها مقدّمة لكلّ واحد من تلك الامور ، فلا ينبغي الإشكال في صحّة إرادة الماهيّة التي هي مقدّمة للمندوب ، إذ لا مدخل لما هي مقدّمة للواجب في ذلك ، فإنّ وجوب ماهيّة لا ينافي استحباب ماهيّة اخرى مضادّة لها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يتخصّص تلك الماهيّة بمخصّص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بعينها من غير ملاحظة اعتبار موجب لاختلافها مقدّمة للواجب وهي بعينها مقدّمة للمندوب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الارتياب في عدم صحّة إرادة الغاية المستحبّة بعد العلم بفعليّة الوجوب فيها باعتبار وجوب الغاية المرتّبة عليها ، إذ لا ريب في تضادّ الاستحباب والوجوب ، والماهيّة الواحدة من حيث وحدتها على ما هو المفروض يمتنع أن تكون موردا للمتضادّين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لك فساد ما عسى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الكلام في المقام على </w:t>
      </w:r>
    </w:p>
    <w:p>
      <w:pPr>
        <w:pStyle w:val="BookText"/>
        <w:rPr/>
      </w:pPr>
      <w:r>
        <w:rPr>
          <w:rFonts w:ascii="Amiri" w:hAnsi="Amiri" w:eastAsia="Amiri" w:cs="Amiri"/>
          <w:color w:val="111111"/>
          <w:sz w:val="28"/>
          <w:sz w:val="28"/>
          <w:szCs w:val="28"/>
          <w:rtl w:val="true"/>
          <w:lang w:bidi="ar-SA"/>
        </w:rPr>
        <w:t xml:space="preserve">مسألة جواز اجتماع الأمر والنهي ؛ إذ على تقدير التخصيص </w:t>
      </w:r>
      <w:r>
        <w:rPr>
          <w:rStyle w:val="FootnoteAnchor"/>
          <w:rtl w:val="true"/>
        </w:rPr>
        <w:footnoteReference w:id="753"/>
      </w:r>
      <w:r>
        <w:rPr>
          <w:rFonts w:ascii="Amiri" w:hAnsi="Amiri" w:eastAsia="Amiri" w:cs="Amiri"/>
          <w:color w:val="111111"/>
          <w:sz w:val="28"/>
          <w:sz w:val="28"/>
          <w:szCs w:val="28"/>
          <w:rtl w:val="true"/>
          <w:lang w:bidi="ar-SA"/>
        </w:rPr>
        <w:t>لا إشكال في الاختلاف والجواز ، وعلى تقدير عدمه لا إشكال في عدم الجواز حتّى على القول بالجواز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تقدير الاختلاف مع كون النسبة بين تينك الماهيّتين عموما من وجه ، ففي مادّة الاجتماع يكون من موارد اجتماع الحكمين المتنافيين ، وهما الوجوب اللازم من وجوب ذيها والاستحباب اللازم من استحباب ذيها ، فيبتني على مسألة اجتماع الأحكام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الكليّة تصلح لأن تكون موردا للأحكام المختلفة ، فلا ضير في وحدة الماهيّة مع اختلاف الأحكام ، كما ترى في الدخول في الدار المغصوبة ، فإنّه واجب وحرام باختلاف الغايات المترتّبة عليه من الإنقاذ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أنّ الماهيّة الكليّة من حيث وحدتها تصلح لذلك فهو ضروريّ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تلك الماهيّة باختلاف أفرادها وإن كان الوجه في الاختلاف اختلاف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لذلك فهو حقّ ، لكنّه ممّا لا مدخل له بالمقام ، لظهور الفرق بين ما نحن بصدده وبين ما ذكر من الأمثال ، لعدم اختلاف الحكم في المفروض باختلاف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الغايات المختلفة على ماهيّة تصلح لأن يختلف به الماهيّة الواحدة ، فيكون موردا للأحكام المتخالفة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يجدي شيئا ، فإنّ ما يصلح لاختلاف الماهيّة هو ما يعتبر فيها قبل ملاحظة ترتّب الغايات الموجبة لاختلاف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اختلاف الغايات فهو اعتبار يلحق الماهيّة بملاحظة نفس الغاية ، فلا يصلح وجها للاختلاف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منشأ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لا وجه لاتّصاف تلك الماهيّة بصفتي الوجوب والاستحباب مطلقا ، إذ المفروض اتّحادها من جميع الوجوه ، فلا يعقل استحبابها ولو في حال عدم كونها مقدّمة للواجب ، لأنّ المصلحة الداعية إلى إيجابها إمّا أن تكون ملزمة أو لا ، فعلى الأوّل يجب وجوبها وعلى الثاني ندبها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ذلك في الواجب الغيري ، فإنّ المصلحة الموجودة فيها القاضية بمقدّميّتها للغايات المرتّبة عليها أمر واحد ولا اختلاف فيها ، وإنّما الاختلاف من قبل تلك الغايات ، فإذا كانت واجبة تجب تلك الماهيّة التي تفضي إليها بواسطة وجوبها ، وإن كانت مندوبة تتّصف تلك الماهية بالندب ، إلاّ أنّ حال الوجوب اللازم من وجوب ذيها يمتنع طلبها ندبا ، لكونهما متضادّين باعتبار الفصل ، وإن لوحظ بالقياس إلى جنس الطلب فيمتنع اجتماعهما أيضا ، لامتناع اجتماع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أن يكون تلك الامور المترتّبة على الوضوء وغيره من المقدّمات دواعي للأمر بها لا عناوين لما هو المأمور به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للقول بصحّة الوضوء فيما إذا لم يكن قاصدا لغاية واجبة وإن كان قاصدا للغاية المندوبة ، لأنّ المأمور به غير المقصود والمقصود غير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هو التحقيق من أنّ تكثّر الغايات من باب الدواعي التي مرجعها إلى جهات تعليليّة لا تورث كثرة فيما علّل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القول بأنّ تلك الغايات ممّا يختلف به نفس المعنى على أن يكون عناوين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الوضوء هو ما يوصل إلى غاية واجبة والمندوب ما يفضي إلى غاية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فالمتراءى في جليّ النظر هو الحكم بجواز اجتماع الوجوب والاستحباب معا ، لما عرفت من أنّ وجوب ماهيّة لا ينافي استحباب ماهيّة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مع ذلك ممّا لا يتمّ عند دقيق النظر ؛ لأن ذينك العنوانين تارة يكونان متلازمين ، كما في الوضوء للصلاة والوضوء للطواف ، حيث إنّهما ليسا بمتغايرين ، لأنّ الدليل على التغاير في أمثال المقام إنّما هو اختلاف اللوازم والأحكام المترتّبة عليهما شرعا ، كما في غسل الجمعة والجنابة حيث يرتفع بأحدهما الحدث ولا يرتفع بالآخر ، والمفروض اتّحادهما في اللوازم الشرعيّة ، فلا يعقل التفكيك بينهما في مورد ، فهذا الاختلاف في الحقيقة راجع إلى اختلاف مجرّد الحكاية والعنوان مع اتّحاد المحكيّ عنه والمعنون ، وذلك لا يوجب تعدّد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يكونان متغايرين بواسطة التقييد المزبور على نحو العموم من وجه ، وهذا هو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الماهيّة على تقدير التخصيص تصير متعدّدة وإذا اجتمعتا في مورد يكون من اجتماع الأمر والنهي ، ففي مورد الاجتماع لا بدّ من الرجوع إلى المذاهب في تلك المسألة ، وفي مورد الافتراق لا إشكال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القول بصحّة الوضوء فيما إذا كان المكلّف مشغولا ذمّته بوضوء واجب مع عدم القصد إلى غايته الواجبة إمّا مبنيّ على عدم لزوم قصد الغير في الواجب الغيري وقد عرفت فساده بما لا مزيد عليه ، وإمّا مبنيّ على القول باختلاف الماهيّة بواسطة اختلاف الوجوه التعليليّة والاعتبارات الغائيّة كما عرفت ، وهو من أكاذيب الأوهام ، سواء كان الاختلاف الحاصل بواسطة الغايات اختلافا نوعيّا أو اختلافا شخصيّا ، كما أومأنا إليه آنفا في مثل الدخول في الدار المغصوبة ، فإنّ أفراده يختلف أحكامها بالحرمة والوجوب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الدخول يختلف حكمه باختلاف القصد ، فكذلك يحتمل اختلاف أحكام أفراد الوضوء باختلاف القصد إلى الغاية المعيّنة ، فعند عدم إرادة الغاية الواجبة مع إرادة الغاية المستحبّة لا ضير في وقوع الوضوء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فاسد ، لأنّ الدخول في الدار المغصوبة من حيث هو ممّا لا يتعلّق به حكم ، بل إنّما الحكم يتعلّق بأنواعه من الغصب </w:t>
      </w:r>
    </w:p>
    <w:p>
      <w:pPr>
        <w:pStyle w:val="BookText"/>
        <w:rPr/>
      </w:pPr>
      <w:r>
        <w:rPr>
          <w:rFonts w:ascii="Amiri" w:hAnsi="Amiri" w:eastAsia="Amiri" w:cs="Amiri"/>
          <w:color w:val="111111"/>
          <w:sz w:val="28"/>
          <w:sz w:val="28"/>
          <w:szCs w:val="28"/>
          <w:rtl w:val="true"/>
          <w:lang w:bidi="ar-SA"/>
        </w:rPr>
        <w:t xml:space="preserve">والإعانة ونحوهما ، ولا شكّ في أنّ القصد إذا كان محصّلا لعنوان الحسن أو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يختلف باختلاف الماهيّة كما يشاهد بالوجدان ، فلا وجه للقول بالاختلاف بالقصد فيما نحن فيه ، إذ لا شاهد عليه من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في الدخول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 من الأدلّة ، إذ المستفاد منها اتّحاد الحقيقة ، فلا وجه للقول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عندنا وجه وجيه يصحّ التعويل عليه في تصحيح المذهب المشهور ، وهو الفرق بين طريان الوجوب على الاستحباب وبين طريان ما يخالفه جنسا وفصلا ، إذ لا ميز للطلب الوجوبي عن الطلب الاستحبابي إلاّ بما هو ليس خارجا عن حقيقة الطلب ، كما في أمثاله من الأعراض التي يختلف أفرادها باختلاف مراتبها شدّة وضعفا ، فطريان مرتبة شديدة من السواد على المرتبة الضعيفة إنّما يوجب ارتفاع النقص في الضعيف الذي لا مدخل لذلك النقص في حقيقة السواد ، ولا يوجب ارتفاع ما هو المناط في حمل السواد عليها ، بل يؤكّده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الاستحبابي باق على أنحاء خصوصيّاته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مشاهد بالوجدان عند عروض حالة طلبيّة أكيدة وحدوث إرادة آمريّة شديدة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المتخصّص بتلك الخصوصيّة الضعيفة بعد حدوث ما يقضي بالمرتبة الشديدة ينقلب إليها ، فما هو المناط في الاستحباب باق ، فيصحّ القصد إليه ، وبه يحصل الامتثال ، ويتفرّع عليه جواز الدخول في سائر الغايات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نقول في غسل الجنابة بالنسبة إلى ما يترتّب عليه من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فالكلام فيه موكول إلى محلّه ، فكن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الهادي إلى سواء السبيل</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6254_218623"/>
      <w:bookmarkStart w:id="254" w:name="pg16254_218623"/>
      <w:bookmarkEnd w:id="254"/>
    </w:p>
    <w:p>
      <w:pPr>
        <w:pStyle w:val="Heading3"/>
        <w:numPr>
          <w:ilvl w:val="2"/>
          <w:numId w:val="1"/>
        </w:numPr>
        <w:rPr/>
      </w:pPr>
      <w:bookmarkStart w:id="255" w:name="pg16254_218623"/>
      <w:bookmarkStart w:id="256" w:name="__RefHeading___Toc4418290_1280447820"/>
      <w:bookmarkStart w:id="257" w:name="_Toc82"/>
      <w:bookmarkEnd w:id="255"/>
      <w:bookmarkEnd w:id="256"/>
      <w:r>
        <w:rPr>
          <w:rtl w:val="true"/>
        </w:rPr>
        <w:t>هداية</w:t>
      </w:r>
      <w:bookmarkEnd w:id="257"/>
    </w:p>
    <w:p>
      <w:pPr>
        <w:pStyle w:val="Heading4"/>
        <w:numPr>
          <w:ilvl w:val="3"/>
          <w:numId w:val="1"/>
        </w:numPr>
        <w:rPr/>
      </w:pPr>
      <w:bookmarkStart w:id="258" w:name="__RefHeading___Toc4418292_1280447820"/>
      <w:bookmarkStart w:id="259" w:name="_Toc83"/>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زعم بعض الأجلّة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وقوع الواجب الغيري على صفة الوجوب ترتّب الغير عليه ، بحيث لو لم يترتّب عليه يكشف عن عدم وقوعه على صفة الوجوب ، وإذا ترتّب عليه الغير يكشف عن كونه واقعا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أخذه ممّا احتمله أخوه البارع في تعليقته على المعالم ، حيث جعل ذلك من محتملات كلام المعالم ، فإنّه أفاد بعد ما نقلنا من عبارة المعالم في الهداية السابقة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الوجوب بها في تلك الحالة من جهة حصول التوصّل بها عند أداء ما يتوقّف عليها ، دون ما إذا لم يكن مريدا له ولا يتوصّل بها إلى فعله حينئذ </w:t>
      </w:r>
      <w:r>
        <w:rPr>
          <w:rStyle w:val="FootnoteAnchor"/>
          <w:rtl w:val="true"/>
        </w:rPr>
        <w:footnoteReference w:id="7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فيما تقدّم أنّ الظاهر من كلامه هو توقّف الوجوب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فلا ريب في فساده ؛ لما عرفت وستعرف أيضا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نقل عبارته في المقام فإنّها أوفى بمراده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فيما مهّده من المقال لتوضيح الحال بعد تقسيم الواجب إلى 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يعتبر في وقوع الواجب الغيري على صفة وجوبه أن يترتّب عليه فعل الغير أو الامتثال به وإن لم يقصد به ذلك ، أو يعتبر قصد التوصّل إليه أو إلى الامتثال به وإن لم يترتّب عليه ، أو يعتبر الأمران ، أو لا يعتبر شيء منهما؟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من هذه الوجوه هو الوجه الأوّل ؛ لأنّ مطلوبيّة شيء للغير تقتضي مطلوبيّة ما يترتّب ذلك الغير عليه ، دون غيره ؛ لما عرفت من أنّ المطلوب فيه المقيّد من حيث كونه مقيّدا ، وهذا لا يتحقّق بدون القيد الذي هو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القصد فلا يعقل له مدخل في حصول الواجب وإن اعتبر في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فرّع على ما أفاده فروعا ، أهمّها تصحيح فعل الضدّ إذا توقّف فعل المأمور به على تركه مع القول بوجوب المقدّمة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لا تتّصف بالوجوب والمطلوبيّة من حيث كونها مقدّمة إلاّ إذا ترتّب عليها وجود ذي المقدّمة ، لا بمعنى أنّ وجوبها مشروط بوجوده فيلزم أن لا يكون خطاب بالمقدّمة أصلا على تقدير عدمه ؛ فإنّ ذلك متّضح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وجوبها وعدمه عندنا تابع لإطلاق وجوبه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 وقوعها على الوجه الواجب المطلوب منوط بحصول الواجب ، حتّى أنّه إذا وقعت مجرّدة عنه تجرّدت عن وصف المطلوبيّة ، لعدم وقوعها على الوجه المعتبر ، فالتوصّل بها إلى الواجب من قبيل شرط الوجود لها ، لا من قبيل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هو التحقيق الذي لا مزيد عليه وإن لم أقف على من يتفطن 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يدلّك على هذا أنّ وجوب المقدّمة لمّا كان من باب الملازمة العقليّة ، فالعقل لا يدلّ عليه زائدا على القدر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يأبى العقل أن يقول الآمر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الحجّ واريد المسير الذي يتوصّل به إلى فعل الواجب دون ما لم يتوصّل به إليه ، بل الضرورة قاضية بجواز تصريح الآمر بمثل ذلك ، كما أنّها قاضية بقبح التصريح بعدم مطلوبيّتها له مطلقا أو على تقدير التوصّل بها إليه ، وذلك آية </w:t>
      </w:r>
    </w:p>
    <w:p>
      <w:pPr>
        <w:pStyle w:val="BookText"/>
        <w:rPr/>
      </w:pPr>
      <w:r>
        <w:rPr>
          <w:rFonts w:ascii="Amiri" w:hAnsi="Amiri" w:eastAsia="Amiri" w:cs="Amiri"/>
          <w:color w:val="111111"/>
          <w:sz w:val="28"/>
          <w:sz w:val="28"/>
          <w:szCs w:val="28"/>
          <w:rtl w:val="true"/>
          <w:lang w:bidi="ar-SA"/>
        </w:rPr>
        <w:t>عدم الملازمة بين وجوب الفعل ووجوب مقدّماته على تقدير عدم التوصّل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حيث إنّ المطلوب بالمقدّمة مجرّد التوصّل بها إلى الواجب وحصوله فلا جرم يكون التوصّل بها إليه وحصوله معتبرا في مطلوبيّتها ، فلا تكون معتبرة إذا انفكّت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الوجدان قاض بأنّ من يريد شيئا لمجرّد حصول شيء آخر لا يريده إذا وقع مجرّدا عنه ، ويلزم منه ان يكون وقوعه على الوجه المطلوب منوطا بحصوله ، انتهى موضع الحاجة من كلامه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باعتبار وجودها في الخارج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يترتّب عليها ذوها ، والثاني ما لا يترتّب عليها ما وجبت المقدّمة لأجله ، كما إذا تخلّفت عن ذيها لمانع اختياري أو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مطلوب للآمر إنّما هو النوع الأوّل دون الثاني ؛ إذ لا يعقل طلب شيء من غير ما يدعو إلى طلبه ، والمفروض أنّ المقدّمة ليست مطلوبة في حدّ ذاتها ، فالداعي إلى طلبها إنّما هو ترتّب الغير عليها ، فعند عدم الغير لا داعي إلى طلبها ، لأنّ المفروض أنّه هو الداعي إلى ذلك باعتبار التوصّل بها إليه ، فلو وقعت مجرّدة عنه يكشف عن عدم مطلوبيّتها ، فإنّ انتفاء الغاية المترتّبة على وجود الشيء في الخارج يكشف عن عدم وقوع ذلك الشيء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قصد الغير في الامتثال بالواجب الغيري يلازم القول باعتبار ترتّب الغير في وقوع الواجب الغيري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ما توهّم ، إذ لا ملازمة بينهما واقعا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المقدّمات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إذ قضيّة القول الأوّل هو الوجوب مطلقا ومقتضى هذا القول هو التنويع ، فما يترتّب عليه الغير يكون مطلوبا ، بخلاف ما لم يترتّب عليه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المقدّمات العباديّة فلا ملازمة أيضا ، إذ مجرّد القصد إلى الغير حال الاشتغال بالمقدّمة يجزي عن وقوعها على وجه الامتثال وإن لم يترتّب عليه فعل الغير لمانع اختيارا أو اضطرارا بناء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القول المذكور ، فإنّه لم يقع على صفة الوجوب فضلا عن وقوعه على صفة الامتثال عند التخلّف ، فلا ربط بين المقامين ، بل للقائل بأحدهما في أحد المقامين اختيار كلّ من طرفي النفي والإثبات في المقام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ترى هذا القائل قد التزم باعتبار القصد في الامتثال بالواجب الغيري مع عدم اعتبار القصد في الوجوب ، 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اعتبر في الامتثال به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 فوضوح فساد هذه المقالة بمكان لا نقدر على تصوّر ما أفاده فضلا عن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بمعزل عن ذلك بمراحل ؛ فإنّه إمّا قول بوجوب خصوص العلّة التامّة من المقدّمات ويلازمه القول بوجوب الأجزاء التي تركّبت العلّة منها فيؤول إلى ما ذهب إليه المشهور ، وإمّا قول بعدم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الحال في ذكر ما يرد عليها تفصيلا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امور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مرّ فيما تقدّم </w:t>
      </w:r>
      <w:r>
        <w:rPr>
          <w:rStyle w:val="FootnoteAnchor"/>
          <w:rtl w:val="true"/>
        </w:rPr>
        <w:footnoteReference w:id="760"/>
      </w:r>
      <w:r>
        <w:rPr>
          <w:rFonts w:ascii="Amiri" w:hAnsi="Amiri" w:eastAsia="Amiri" w:cs="Amiri"/>
          <w:color w:val="111111"/>
          <w:sz w:val="28"/>
          <w:sz w:val="28"/>
          <w:szCs w:val="28"/>
          <w:rtl w:val="true"/>
          <w:lang w:bidi="ar-SA"/>
        </w:rPr>
        <w:t xml:space="preserve">أنّ الحاكم بوجوب المقدّمة على القول به هو العقل ، وهو القاضي فيما وقع من الاختلافات فيه ، ونحن بعد ما استقصينا التأمّل لا نرى للحكم بوجوب المقدّمة وجها ، إلاّ من حيث إنّ عدمها يوجب عدم المطلوب ، وهذه الحيثيّة هي التي يشترك فيها جميع المقدّمات وإن اختصّ بعضها بالاستلزام الوجودي أيضا كما في العلّة التامّة مثلا ، فما هو المناط في حكم العقل بوجوب المقدّمة هو الاستلزام العدمي من حيث إنّ لوجودها مدخلا في وجود المعلول ، فملاك الطلب </w:t>
      </w:r>
    </w:p>
    <w:p>
      <w:pPr>
        <w:pStyle w:val="BookText"/>
        <w:rPr/>
      </w:pPr>
      <w:r>
        <w:rPr>
          <w:rFonts w:ascii="Amiri" w:hAnsi="Amiri" w:eastAsia="Amiri" w:cs="Amiri"/>
          <w:color w:val="111111"/>
          <w:sz w:val="28"/>
          <w:sz w:val="28"/>
          <w:szCs w:val="28"/>
          <w:rtl w:val="true"/>
          <w:lang w:bidi="ar-SA"/>
        </w:rPr>
        <w:t>الغيري بالمقدّمة هذه الحيثيّة ، وهي ممّا يكفي في انتزاعها عن المقدّمة ملاحظة ذات المقدّمة مع قطع النظر عن ترتّب الغير عليها ولحوق الأجزاء الأخر من العلّة بها ، فالمصلحة الداعية إلى حكم العقل بالملازمة بين وجوب الواجب وبين وجوب مقدّماته لا تنفكّ عن ذات المقدّمة ، فيمتنع تجرّدها عن وصف المطلوبيّة وإن تجرّدت عن ترتّب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غالط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صريح الواجدان بأنّ من يريد شيئا لمجرّد حصول شيء آخر لا يريده إذا وقع مجرّدا عنه </w:t>
      </w:r>
      <w:r>
        <w:rPr>
          <w:rStyle w:val="FootnoteAnchor"/>
          <w:rtl w:val="true"/>
        </w:rPr>
        <w:footnoteReference w:id="761"/>
      </w:r>
      <w:r>
        <w:rPr>
          <w:rFonts w:ascii="Amiri" w:hAnsi="Amiri" w:eastAsia="Amiri" w:cs="Amiri"/>
          <w:color w:val="111111"/>
          <w:sz w:val="28"/>
          <w:sz w:val="28"/>
          <w:szCs w:val="28"/>
          <w:rtl w:val="true"/>
          <w:lang w:bidi="ar-SA"/>
        </w:rPr>
        <w:t>، فإن أراد من وصف التجريد اعتباره في المطلوب كأن يكون المقدّمة بشرط تجريدها عن ذيها مطلوبة ، فهو حقّ إلاّ أنّه لا يرتبط بما نحن بصدده ، وإلاّ فإن أراد من عدم إرادته عدمها إرادة نفسيّة فهو أيضا مسلّم لكنّه غير مفيد ، إذ لا يعقل إثبات الطلب النفسي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عدم الإرادة ولو كانت غيريّة فهو غير سديد ، ضرورة قضاء صريح الوجدان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فساد ما زعمه من جواز التصريح بعدم إرادة المقدّمة الغير الموصلة مع الأمر بذيها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في دليل ما صار إليه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عرفت من أنّ المطلوب فيه هو المقيّد من حيث كونه مقيّدا ، وهذا لا يتحقّق بدون القيد الذي هو فعل الغير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فهو ممّا لا يرجع إلى طائل ، إذ لا يعقل أن يكون الغير في الواجب الغيري قيدا للمطلوب ، إذ لا يراد به إلاّ ما كان الغير قاضيا بوجوبه ، وهذه حيثية تعليليّة لا مدخل للتقييد فيه أصلا ، فالمطلوب في الواجب الغيري ليس مقيّدا ، بل الوجه في مطلوبيّته هو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لوحظ التقييد بالنسبة إلى مطلوبيّة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التقييد بالنسبة إلى ذات المقدّمة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المقيّد بترتّب فعل الصلاة عليه مقدّمة لها لا الوضوء المطلق ، ففساده أوضح من أن يحتاج إلى البيان ، فإنّ مقدّمة الكون على السطح ليس الصعود المقيّد بالكون ، بل نفس الصعود ، ولا نعقل للتقييد بالكون مدخلا في مقدميّة الصعود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بعد ترتّب الكون على الصعود يعرض التقييد المذكور له ، وأين ذلك من اعتبار التقييد فيما هو مناط توقّفه عليه؟</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المطلوب فيه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مطلوبيّة الواجب الغيري هو الغير فهو حقّ لا محيص عنه ، إلاّ أنّه بمراحل عن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بذلك أنّ المطلوبيّة في الواجب الغيري مقيّدة أو ذات الواجب الغيري كونها مقدّمة مقيّدة بالغير ، فقد عرفت فسادهما ، ضرورة أنّ الجهة التعليليّة لا تورث تقييدا وأنّ عروض التقييد إنّما هو بملاحظة الترتّب ، لا أنّ التقييد به مقدّم عليه ويكون ممّا يتوقّف عليه الواجب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أورده قبل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مطلوبيّة شيء للغير يقتضي مطلوبيّة ما يترتّب ذلك الغير عليه دون غيره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ممّا لم يظهر لنا وجه اختصاصه بالمقام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ثانيا </w:t>
      </w:r>
      <w:r>
        <w:rPr>
          <w:rStyle w:val="FootnoteAnchor"/>
          <w:rtl w:val="true"/>
        </w:rPr>
        <w:footnoteReference w:id="76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فالتوصّل بها إلى الواجب من قبيل شرط الوجود لا من قبيل شرط الوجوب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فهو بظاهره فاسد ، لأنّه إن أراد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شرطا له مع قطع النظر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شرطا لذات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دور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من كونه شرطا له بملاحظة الوجوب ، فيرجع الأمر إلى شرط الوجوب ، وقد اعترف بكونه متّضح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شرط لوجود الواجب على صفة الوجوب ، كما يظهر ذلك بملاحظة وجود الأجزاء الواجبة في الصلاة ، فإنّ شرط وجود الجزء على وجه الوجوب لحوق الأجزاء الأخر به ، فكما أنّ الجزء </w:t>
      </w:r>
      <w:r>
        <w:rPr>
          <w:rStyle w:val="FootnoteAnchor"/>
          <w:rtl w:val="true"/>
        </w:rPr>
        <w:footnoteReference w:id="766"/>
      </w:r>
      <w:r>
        <w:rPr>
          <w:rFonts w:ascii="Amiri" w:hAnsi="Amiri" w:eastAsia="Amiri" w:cs="Amiri"/>
          <w:color w:val="111111"/>
          <w:sz w:val="28"/>
          <w:sz w:val="28"/>
          <w:szCs w:val="28"/>
          <w:rtl w:val="true"/>
          <w:lang w:bidi="ar-SA"/>
        </w:rPr>
        <w:t xml:space="preserve">لا تجزئ عمّا هو الواجب منه ما لم يلحقه الأجزاء اللاحقة </w:t>
      </w:r>
      <w:r>
        <w:rPr>
          <w:rStyle w:val="FootnoteAnchor"/>
          <w:rtl w:val="true"/>
        </w:rPr>
        <w:footnoteReference w:id="767"/>
      </w:r>
      <w:r>
        <w:rPr>
          <w:rFonts w:ascii="Amiri" w:hAnsi="Amiri" w:eastAsia="Amiri" w:cs="Amiri"/>
          <w:color w:val="111111"/>
          <w:sz w:val="28"/>
          <w:sz w:val="28"/>
          <w:szCs w:val="28"/>
          <w:rtl w:val="true"/>
          <w:lang w:bidi="ar-SA"/>
        </w:rPr>
        <w:t>، فكذلك المقدّمة لا تقع على صفة الوجوب ما لم يترتّب عليها الغير ، فهو شرط لوقوعها على هذه الصفة ، لا شرط لوجودها حتّى يدور ، ولا لوجوبها حتّى يكون متّضح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ينبغي حمل كلامه على ذلك ، إلاّ أنّه مع ذلك فاسد أيضا ، إذ الأجزاء اللاحقة لا تأثير لها في الأجزاء السابقة ، لأنّ المطلوبيّة القائمة بها ليست مطلوبيّة ذاتية نفسيّة ، بل إنّما هي غيريّة عرضيّة ، حيث إنّها أجزاء للواجب النفسي ، وتلك المطلوبيّة لا تنفكّ عنها وإن لم يلحقها الأجزاء الأخر ، لأنّها قد وقعت على تلك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على صفة يمتنع زوالها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العمل صحيحا فيما إذا لحقه الأجزاء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المذكور إن لم يكن ممّا اشترط فيه الموالاة والاتّصال ، فلا دليل على بطلان اللازم وإن كانت الملازمة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 فمنع انتفائه فلا ملازمة ، لأنّ بطلانه بواسطة عدم الشرط أو الجزء المعتبر في نفس العمل على وجه يمتنع إعادته ، لانعدامه قبل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فليس الجزء من حيث إنّه مأخوذ جزء للمركّب أظهر حالا من سائر المقدّمات في المقام حتّى يستند إليه ويقاس الغير عليه في توقّف وقوعه على وجه الوجوب على لحوق الأجزاء الأخر به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الجزء </w:t>
      </w:r>
    </w:p>
    <w:p>
      <w:pPr>
        <w:pStyle w:val="BookText"/>
        <w:rPr/>
      </w:pPr>
      <w:r>
        <w:rPr>
          <w:rFonts w:ascii="Amiri" w:hAnsi="Amiri" w:eastAsia="Amiri" w:cs="Amiri"/>
          <w:color w:val="111111"/>
          <w:sz w:val="28"/>
          <w:sz w:val="28"/>
          <w:szCs w:val="28"/>
          <w:rtl w:val="true"/>
          <w:lang w:bidi="ar-SA"/>
        </w:rPr>
        <w:t>الملحوظ على وجه لا يخالف الكلّ يتوقّف على لحوق الأجزاء به ، إلاّ أنّه من هذه الجهة ملحوظ على وجه الكلّية ، ولا كلام في حصول الواجب النفسي بحصول 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المطلوب بالمقدّمة مجرّد التوصّل بها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فإن أراد به أنّ المطلوب بالمقدّمة تمكّن المكلّف من الإتيان بالواجب والوصول إليه ، حيث إنّه عند عدمها يمتنع صدور الفعل منه ، فغير مفيد وإن كان واقعا في محلّه ، فإنّ ذلك من لوازم ذات المقدّمة من غير ملاحظة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أنّ المطلوب بالمقدّمة هو ترتّب الغير عليه فعلا ، فغير سديد ، ضرورة أنّ ترتّب الواجب أمر مغاير للمقدّمة مفهوما ، فلا يمكن أن يكون المطلوب منها ذلك المفهوم المغاير إلاّ بضرب من التأويل ، كأن يكون بينهما ملازمة واقعيّة أو اتّحاد خارجي ، وانتفاء الثاني ظاهر ، ولا ملازمة بين المقدّمة والترتّب </w:t>
      </w:r>
      <w:r>
        <w:rPr>
          <w:rStyle w:val="FootnoteAnchor"/>
          <w:rtl w:val="true"/>
        </w:rPr>
        <w:footnoteReference w:id="769"/>
      </w:r>
      <w:r>
        <w:rPr>
          <w:rFonts w:ascii="Amiri" w:hAnsi="Amiri" w:eastAsia="Amiri" w:cs="Amiri"/>
          <w:color w:val="111111"/>
          <w:sz w:val="28"/>
          <w:sz w:val="28"/>
          <w:szCs w:val="28"/>
          <w:rtl w:val="true"/>
          <w:lang w:bidi="ar-SA"/>
        </w:rPr>
        <w:t>لما هو ظاهر من كثرة موارد التخلّف ، فلا يعقل أن يكون المطلوب من المقدّمة هو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أن يكون التوصّل إلى الواجب وجها لمطلوبيّة المقدّمة ، فإنّ التوصّل ليس أمرا مغايرا للواجب النفسي بحسب الواقع ، فإنّ ذلك طور من أطواره ، كما لا يخفى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الداعي إلى طلب المقدّمة هو الصفة الموجودة في ذاتها مع قطع النظر عن الغير ، وهو كونها بحيث يتمكّن المكلّف معها من إيجاد الفعل ، فإنّه لمّا كان إيجاده بدونها ممتنعا التجأنا إلى اعتبار المطلوبيّة فيها ليتبدّل الامتناع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بعض المباحث السابقة أنّه يمتنع أن يكون المصلحة الداعية إلى طلب الشيء موجودا في غيره ، فهذه هي الغاية المترتّبة على وجود المقدّمة ، وعند وجودها يمتنع انتفاؤها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القول بوجوب المقدّمة الموصلة يرجع إلى القول بوجوب مطلق المقدّمة في لحاظ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يحتاج إلى تمهيد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المأمور به مقيّدا بشيء فهناك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القيد مغايرا في الوجود للمقيّد ، كما في الفصول اللاحقة للأجناس ، فإنها لا تغايرها في الوجود الخارجي ، وإنّما يمتاز أحدهما عن الآخر بتعمّل من العقل بانتزاع مفهوم مشترك من الحقيقة النوعيّة وما تتميّز تلك الماهيّة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مغايرا في الوجود ، كما إذا أمر المولى بإتيان زيد فجاء مع عمرو ، ونحو ذلك من الامور التي يعتبر لحوقها بالمقيّد مع جواز انفكاكها عنه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الواجب على الاولى أمر واحد لا يتصوّر انفكاك القيد فيه عن المقيّد ، ولو حاول المكلّف الامتثال به لا وجه للقول بأنّه يجب إيجاد المطلق مقدمة ثمّ إلحاق القيد به ، إذ المفروض وحدة الوجود فيهما ، ولا يعقل التفكيك بين أمرين متّحدين في الوجود بالسبق واللحوق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التأمّل في أنّ الواجب على الثانية إيجاد ما يتّصف بالقيد ثمّ إيجاد القيد ليتّصف به المقيّد ، لأنّ المفروض تغايرهما في الوجود ، ومن أراد إيجاد المقيّد على أنّه مقيّد لا مناص له من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في المقامين أمر وحدانيّ حاصل من اعتبار انضمام القيد إلى المقيّد ، ولا يفرق في ذلك كون القيد خارجيّا أو ذهنيّا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المطلوب على تقدير التسليم ممّا لا ينافي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إيجاد المطلق عند التغاير أوّلا ثمّ اتباعه بإيجاد القيد الموجب لحصول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في الظهور كالنار على رأس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التمهيد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في المقدّمة الموصلة ليس من قبيل التقييد في الصورة الاولى ، لأنّ ما يصير منشأ لانتزاع صفة الإيصال من المقدّمة أمر مغاير لها في الوجود ، إذ هي لا تكون موصلة إلاّ بعد ترتّب فعل الغير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أنّ هذه الحالة توجب انتزاع تلك الصفة منها ، فيكون من قبيل التقييد في الصورة الثانية ، وقد قرّرنا في التمهيد وجوب إيجاد المطلق عند إرادة إيجاد المقيّد فيما إذا كان القيد مغايرا له في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المقدّمة الموصلة يوجب القول بوجوب المقدّمة مطلقا مقدّمة لما هو الواجب من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الإيصال إمّا أن تكون معتبرة في المقدّمة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Style w:val="FootnoteAnchor"/>
          <w:rtl w:val="true"/>
        </w:rPr>
        <w:footnoteReference w:id="771"/>
      </w:r>
      <w:r>
        <w:rPr>
          <w:rFonts w:ascii="Amiri" w:hAnsi="Amiri" w:eastAsia="Amiri" w:cs="Amiri"/>
          <w:color w:val="111111"/>
          <w:sz w:val="28"/>
          <w:sz w:val="28"/>
          <w:szCs w:val="28"/>
          <w:rtl w:val="true"/>
          <w:lang w:bidi="ar-SA"/>
        </w:rPr>
        <w:t>على الثاني على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فإمّا أن يكون ما يوجب انتزاع تلك الصفة منها داخلة في مقدرتنا واختيارنا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أيضا على الثاني ، إذ الأمر الغير الاختياري لا يعقل تعلّق الطلب والتكليف به ، فعلى تقديره يجب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فيجب إيجاد تلك الصفة كما يجب إيجاد الموصوف ليصحّ الاتّصاف ، إذ لا منافاة بين وجوب فعل اختياري ووجوب فعل آخر ، ويلزم من ذلك وجوب مطلق المقدّمة مقدّمة لما هو المطلوب من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من الإتيان بالمطلق فيما إذا وقع على صفة الإيصال أيضا ، فلا يلزم الخلف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وهم فاسد ، إذ الكلام في الإتيان بالأفعال التي يتعلّق بها الطلب والتكليف وإيجادها في الخارج ، ولا يعقل ذلك إلاّ بإيجاد مطلق المقدّمة ثمّ اتباعه بما يوجب انتزاع تلك الصفة منها ، كما يلاحظ بقياسه إلى الأجزاء في واجب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المذكور </w:t>
      </w:r>
      <w:r>
        <w:rPr>
          <w:rStyle w:val="FootnoteAnchor"/>
          <w:rtl w:val="true"/>
        </w:rPr>
        <w:footnoteReference w:id="772"/>
      </w:r>
      <w:r>
        <w:rPr>
          <w:rFonts w:ascii="Amiri" w:hAnsi="Amiri" w:eastAsia="Amiri" w:cs="Amiri"/>
          <w:color w:val="111111"/>
          <w:sz w:val="28"/>
          <w:sz w:val="28"/>
          <w:szCs w:val="28"/>
          <w:rtl w:val="true"/>
          <w:lang w:bidi="ar-SA"/>
        </w:rPr>
        <w:t xml:space="preserve">إنّما تفطّن بذلك في نظير المقام ، حيث إنّ بعض الأفاضل تصدّى لدفع الإشكال الوارد في مسألة الضدّ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التبعي لا ينافي الأمر النفسي ، 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في المنافاة بين الأمر والنهي من جهة اختلاف أقسام الأمر والنهي ، لرجوعه إلى اختلاف جهتي الأمر والنهي ، ولا مدخل للمأمور به والمنهيّ عنه في ذلك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أورد على نفسه سؤالا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متعلّق الأمر والنهي ، لأنّ المطلوب بالأمر نفس الفعل والمطلوب بالنهي التوصّل بالترك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مطلوبيّة التوصّل توجب مطلوبيّة نفس المقدّمة ؛ لأنّها مقدّمة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أن يجعل المطلوب حينئذ التوصّل إلى التوصّل دون نفس المقدّمة ، للزوم التسلسل ؛ ومع ذلك لا يجدي ؛ لأنّ التوصّلات الغير المتناهية إذا اخذت بأسرها كانت مستندة إلى نفس المقدّمة ، فيلزم مطلوبيّتها لها ، انتهى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جيّد ، لرجوعه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إيجاد المقيّد يحتاج إلى إيجاد المطلق مقدّمة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فيما ذكرنا بين أن يلاحظ الإيصال في المقدّمة الموصلة في </w:t>
      </w:r>
    </w:p>
    <w:p>
      <w:pPr>
        <w:pStyle w:val="BookText"/>
        <w:rPr/>
      </w:pPr>
      <w:r>
        <w:rPr>
          <w:rFonts w:ascii="Amiri" w:hAnsi="Amiri" w:eastAsia="Amiri" w:cs="Amiri"/>
          <w:color w:val="111111"/>
          <w:sz w:val="28"/>
          <w:sz w:val="28"/>
          <w:szCs w:val="28"/>
          <w:rtl w:val="true"/>
          <w:lang w:bidi="ar-SA"/>
        </w:rPr>
        <w:t>مفروض السؤال بالنسبة إلى الواجب وبين أن يلاحظ بالنسبة إلى المقدّمة الموصلة ؛ لأنّ الإيصال إلى الإيصال إنّما يلاحظ بالنسبة إلى ذات الواجب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صريح الواجدان والعرف بخلافه ، ضرورة سقوط الطلب المتعلّق بالمقدّمة بعد وجودها من غير انتظار حالة هي ترتّب ذيها عليها ، فإنّ من راجع وجدانه وأنصف من نفسه يحكم حكما ضروريّا لا يدخله شبهة ولا يمازجه ريبة بالفرق في الحالة الطلبيّة النفسانيّة بين المقدّمات المأتيّ بها وبين غيرها من المقدّمات المعدومة ، لسقوط الطلب المتعلّق بالاولى وبقائه في الثانية ، ولو لا أنّ لوجودها في حيال ذاتها مع قطع النظر عن ترتّب الغير عليها مدخلا في المطلوبيّة لم يعقل الفرق بينها وبين غيرها في السقوط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مشاهد عند المجانب عن الاعتساف ، المتّصف بأحسن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على تقدير أن يكون المقدّمات مطلوبات غيريّة في حيال ذواتها وحدود أنفسها ، فإنّه يمكن القول بوجود الواجب الغيري على ذلك التقدير بدون وجود الواجب النفسي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أنّ الطلب المتعلّق بالمقدّمات ليس طلبا برأسه بل الموجود منه هو طلب واحد فإن قيس إلى نفس الواجب يكون طلبا نفسيّا وإن قيس إلى ما يتوقّف عليه وجود الواجب من المقدّمات يكون طلبا غيريّا ، فلا يتّجه ذلك ، ضرورة أنّ المطلوب حينئذ ليس ذات المقدّمة بل المطلوب هو الإيصال بها إليها ، ومرجعه في الحقيقة إلى طلب الوصول ، ومرجعه إلى طلب الفعل الواجب ، وعلى هذا التقدير فلا وجه لسقوط الطلب من المقدّمة على تقدير عدم وجود ذيها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خروج عمّا هو المفروض من وجوب المقدّمة ، لرجوعه إلى القول بعدم وجوب المقدّمة ، إذ الطلب الواحد ممّا لا يعقل أن يتعلّق بمطلوبين مع اختلاف مراتبه بالنفسيّة والغيريّة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وستطّلع على زيادة تحقيق فيما سيجيء</w:t>
      </w:r>
      <w:r>
        <w:rPr>
          <w:rFonts w:eastAsia="Amiri" w:cs="Amiri" w:ascii="Amiri" w:hAnsi="Amiri"/>
          <w:color w:val="111111"/>
          <w:sz w:val="28"/>
          <w:szCs w:val="28"/>
          <w:rtl w:val="true"/>
          <w:lang w:bidi="ar-SA"/>
        </w:rPr>
        <w:t xml:space="preserve">. </w:t>
      </w:r>
      <w:bookmarkStart w:id="260" w:name="pg16254_218635"/>
    </w:p>
    <w:p>
      <w:pPr>
        <w:pStyle w:val="Heading4"/>
        <w:numPr>
          <w:ilvl w:val="3"/>
          <w:numId w:val="1"/>
        </w:numPr>
        <w:rPr/>
      </w:pPr>
      <w:bookmarkStart w:id="261" w:name="__RefHeading___Toc4418294_1280447820"/>
      <w:bookmarkStart w:id="262" w:name="_Toc84"/>
      <w:bookmarkEnd w:id="260"/>
      <w:bookmarkEnd w:id="261"/>
      <w:r>
        <w:rPr>
          <w:rtl w:val="true"/>
        </w:rPr>
        <w:t xml:space="preserve">تذنيب </w:t>
      </w:r>
      <w:r>
        <w:rPr>
          <w:rtl w:val="true"/>
        </w:rPr>
        <w:t>:</w:t>
      </w:r>
      <w:bookmarkEnd w:id="262"/>
    </w:p>
    <w:p>
      <w:pPr>
        <w:pStyle w:val="BookText"/>
        <w:rPr/>
      </w:pPr>
      <w:r>
        <w:rPr>
          <w:rFonts w:ascii="Amiri" w:hAnsi="Amiri" w:eastAsia="Amiri" w:cs="Amiri"/>
          <w:color w:val="111111"/>
          <w:sz w:val="28"/>
          <w:sz w:val="28"/>
          <w:szCs w:val="28"/>
          <w:rtl w:val="true"/>
          <w:lang w:bidi="ar-SA"/>
        </w:rPr>
        <w:t xml:space="preserve">قد عرفت أنّ من أهمّ الدواعي إلى إخراج هذه المقالة الفاسدة هو تصحيح العبادة التي يتوقّف على تركها فعل الضدّ ، ولم يظهر صحّة الابتناء أيضا ، بناء على ما أفاده </w:t>
      </w:r>
      <w:r>
        <w:rPr>
          <w:rStyle w:val="FootnoteAnchor"/>
          <w:rtl w:val="true"/>
        </w:rPr>
        <w:footnoteReference w:id="776"/>
      </w:r>
      <w:r>
        <w:rPr>
          <w:rFonts w:ascii="Amiri" w:hAnsi="Amiri" w:eastAsia="Amiri" w:cs="Amiri"/>
          <w:color w:val="111111"/>
          <w:sz w:val="28"/>
          <w:sz w:val="28"/>
          <w:szCs w:val="28"/>
          <w:rtl w:val="true"/>
          <w:lang w:bidi="ar-SA"/>
        </w:rPr>
        <w:t>في وجه التفريع على اختلاف تقاريرها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بفساد العبادة فيما إذا توقّف على تركها فعل المأمور به ، استند إلى وجوه ، مرجعها إلى لزوم اجتماع الأمر والنهي في شيء واحد وهو الفعل ؛ لأنّ المفروض وجوب الفعل ، وحيث إنّ الترك ممّا يتوقّف عليه فعل الواجب ، فيلزم أن يكون واجبا ويكون الفعل منهيّا عنه ، لأنّ الأمر بالشيء يقتضي النهي عن ضدّه العام قطعا ، فيلزم فساد الفعل بواسطة النهي اللازم من وجوب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المذكور </w:t>
      </w:r>
      <w:r>
        <w:rPr>
          <w:rStyle w:val="FootnoteAnchor"/>
          <w:rtl w:val="true"/>
        </w:rPr>
        <w:footnoteReference w:id="777"/>
      </w:r>
      <w:r>
        <w:rPr>
          <w:rFonts w:ascii="Amiri" w:hAnsi="Amiri" w:eastAsia="Amiri" w:cs="Amiri"/>
          <w:color w:val="111111"/>
          <w:sz w:val="28"/>
          <w:sz w:val="28"/>
          <w:szCs w:val="28"/>
          <w:rtl w:val="true"/>
          <w:lang w:bidi="ar-SA"/>
        </w:rPr>
        <w:t xml:space="preserve">قد حاول دفع هذا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بكلا نوعيه من الإيجابي والتحريمي يستلزم مبغوضيّة نقيض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كالرجحان والمرجوحيّة ؛ لأنّهما من الصفات المتضايفة التي يلازم وجود إحداهما وجود الاخرى تحقيقا للتضايف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فمطلوبيّة فعل مطلقا أو مقيّدا يستلزم مبغوضيّة تركه على حسب مطلوبيّته إطلاقا وتقييدا ، ومطلوبيّة الترك المطلق المتعلّق بفعل مطلق أو مقيّد مطلقا أو مقيّدا يستلزم مبغوضيّة الفعل على حسبه إطلاقا وتقييدا ، ومطلوبيّة الترك المقيّد المتعلّق بفعل مطلق أو مقيّد يستلزم مبغوضيّة ترك هذا الترك المقيّد ؛ لمكان المناقضة ، دون الفعل لعدم مناقضته معه من حيث ارتفاعهما في الترك المجرّد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الترك المقيّد أعمّ من الفعل والترك المجرّد ، وحرمة العامّ تستلزم </w:t>
      </w:r>
    </w:p>
    <w:p>
      <w:pPr>
        <w:pStyle w:val="BookText"/>
        <w:rPr/>
      </w:pPr>
      <w:r>
        <w:rPr>
          <w:rFonts w:ascii="Amiri" w:hAnsi="Amiri" w:eastAsia="Amiri" w:cs="Amiri"/>
          <w:color w:val="111111"/>
          <w:sz w:val="28"/>
          <w:sz w:val="28"/>
          <w:szCs w:val="28"/>
          <w:rtl w:val="true"/>
          <w:lang w:bidi="ar-SA"/>
        </w:rPr>
        <w:t>حرمة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بحسب الوجود لا يستلزم ذلك ، وبحسب الصدق ممنوع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عبارته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أفاده في بيان عدم الفساد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هو الفعل مطلقا ، وليس منهيّا عنه ؛ لأنّه ليس نقيضا لما هو المأمور به وهو الترك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فردا من أفراد ما هو النقيض ؛ لأنّ اقتران الفعل مع ترك الترك المقيّد اقتران اتّفاقي ، كما أنّ ترك الحرام يقارن فعل الواجب أو المباح بالمقارنة الاتّفاقيّة ، فلا نهي ولا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تفريع هذه الثمرة على ما ذكر لا يحتاج إلى توسيط هذه المقدّمات ، إذ يكفي في ترتّب الثمرة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من الترك ليس الترك مطلقا ، بل فيما إذا ترتّب عليه الفعل ، وحيث إنّه مع وجود الضدّ لا يعقل وجود الفعل المأمور به ، فلا يكون الترك مطلوبا ، لعدم ترتّب الغير على المقدّمة ، وحيث لم يكن الترك مطلوبا فلا يكون الفعل منهيّا عنه فلا يكون فاسدا ، فلا حاجة إلى ملاحظة مناقضة الترك المقيّد للفعل على ما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استفادة حرمة الصلاة من وجوب الإزالة عند القائل باقتضاء الأمر للنهي عن ضدّه الخاص يمكن أن تكون مستندة إلى دعوى ضرورة العقل بأنّ قضيّة إيجاب شيء حرمة موانعه مطلقا ، فعند وجوب الإزالة يكون الصلاة المانعة منهيّا عنها محرّمة ، فلا يتّجه التفصيل بين المقدّمة الموصلة وغيرها في خصوص الموانع وإن قلنا بتماميّة ذلك في 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الموانع وغيرها يظهر بالتأمّل في مواردهما عرفا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ترك الترك المقيّد يكفي في حرمة الفعل ، لكونه من لوازم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بأنّ الإيجاب يناقض السلب مع اتّفاقهم على أنّ نقيض الشيء هو رفع ذلك الشيء على وجه السلب لا على وجه العدول ، كما قرّر في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رفع السلب إنّما هو سلب السلب لا الإيجاب للإيجاب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الإيجاب فهو يلازم ما هو المحكيّ عنه فيما هو النقيض حقيقة ، كما يلاحظ ذلك في العدم وعدم العدم ، فإنّه ليس هو الوجود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مفهوم عدمي ، ولا يمكن أن يكون الوجود عدما ولو مفهوما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فمناقضة الإيجاب للسلب سواء لوحظ ذلك في الوجود الربطي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الوجود المحمولي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بواسطة ملازمة بين ما هو المحكيّ عنه بتلك الحكايات من الإيجاب وسلب السلب والوجود وعدم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الخاص نقيضه رفع ذلك الترك ، وهو أعمّ من الفعل والترك المجرّد ، لأنّ نقيض الأخصّ أعمّ مطلقا ،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لازما لما هو من أفراد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إثبات الحرمة وإلاّ لم يكن الفعل المطلق محرّما فيما إذا كان الترك المطلق واجبا ، لأنّ الفعل على ما عرفت ليس نقيضا للترك ، لأنّه أمر وجودي ، ونقيض الترك إنّما هو رفعه ، ورفع الترك إنّما يلازم الفعل مصداقا وليس عينه ، كما هو ظاهر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الملازمة تكفي في إثبات الحرمة لمطلق الفعل ، فكذلك تكفي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الأعمّيّة بحسب الصدق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إثبات الحرمة إلى ذلك ، كما عرفت في الفعل المطلق بالنسبة إلى الترك المطلق من غير فرق ، غاية الأمر أنّ ما هو النقيض في مطلق الترك إنّما ينحصر مصداقه في الفعل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النقيض للترك الخاصّ فله فردان ، وذلك لا يوجب فرقا فيما نحن بصدده ، كما لا يخفى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ما زعمه من أنّ الترك المجرّد من أفراد ترك الترك المقيّد ، وإلاّ فالتحقيق فيه سيجيء في بعض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والهادي</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6254_218639"/>
      <w:bookmarkStart w:id="264" w:name="pg16254_218639"/>
      <w:bookmarkEnd w:id="264"/>
    </w:p>
    <w:p>
      <w:pPr>
        <w:pStyle w:val="Heading3"/>
        <w:numPr>
          <w:ilvl w:val="2"/>
          <w:numId w:val="1"/>
        </w:numPr>
        <w:rPr/>
      </w:pPr>
      <w:bookmarkStart w:id="265" w:name="pg16254_218639"/>
      <w:bookmarkStart w:id="266" w:name="__RefHeading___Toc4418296_1280447820"/>
      <w:bookmarkStart w:id="267" w:name="_Toc85"/>
      <w:bookmarkEnd w:id="265"/>
      <w:bookmarkEnd w:id="266"/>
      <w:r>
        <w:rPr>
          <w:rtl w:val="true"/>
        </w:rPr>
        <w:t>هداية</w:t>
      </w:r>
      <w:bookmarkEnd w:id="267"/>
    </w:p>
    <w:p>
      <w:pPr>
        <w:pStyle w:val="BookText"/>
        <w:rPr/>
      </w:pPr>
      <w:r>
        <w:rPr>
          <w:rFonts w:ascii="Amiri" w:hAnsi="Amiri" w:eastAsia="Amiri" w:cs="Amiri"/>
          <w:color w:val="111111"/>
          <w:sz w:val="28"/>
          <w:sz w:val="28"/>
          <w:szCs w:val="28"/>
          <w:rtl w:val="true"/>
          <w:lang w:bidi="ar-SA"/>
        </w:rPr>
        <w:t>ينقسم الواجب باعتبار تعلّق القصد به وعدمه إلى أصليّ وتبعيّ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يعرّف الأصليّ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مرادا للآمر إرادة مستقلّة ، سواء كانت نفسيّة أو غيريّة ، وسواء كانت استفادة ذلك من الخطاب على وجه الاستقلال كما في دلالة الألفاظ على المناطيق ، أو على وجه التبعيّة كما في دلالة المفاهيم والاستلزامات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فالعبرة عندنا في صدق الوجوب الأصلي بملاحظة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مستقلاّ بالإرادة على اختلاف أنحاء الإرادة وتفاوت أقسام الدلالة فهو واجب أصلي ، وإلاّ فهو تبعيّ ، وهو ما لم تتعلّق به إرادة مستقلّة ، بل الطلب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قهريّ حاصل ولو مع الغفلة عن خصوصيّات المطلوب على جهة التفصيل ، وذلك نظير دلالة الإشارة كدلالة الآيتين </w:t>
      </w:r>
      <w:r>
        <w:rPr>
          <w:rStyle w:val="FootnoteAnchor"/>
          <w:rtl w:val="true"/>
        </w:rPr>
        <w:footnoteReference w:id="781"/>
      </w:r>
      <w:r>
        <w:rPr>
          <w:rFonts w:ascii="Amiri" w:hAnsi="Amiri" w:eastAsia="Amiri" w:cs="Amiri"/>
          <w:color w:val="111111"/>
          <w:sz w:val="28"/>
          <w:sz w:val="28"/>
          <w:szCs w:val="28"/>
          <w:rtl w:val="true"/>
          <w:lang w:bidi="ar-SA"/>
        </w:rPr>
        <w:t>على أن أقل الحمل ستة ، فإن لوازم الكلام في المخاطبات العرفيّة غير مقصودة للمتكلم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يفترق الوجوب التبعي بأن المدلول التبعي لا يلزم أن لا يكون ذا مصلحة نفسية ، بخلاف الوجوب التبعي فإنّه على أن الإرادة ممّا لا يتعلق به على وجه الاستقلال يجب أن لا يكون ذا مصلحة نفسية ، من حيث استفادة وجوبه من وجوب 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المطلوبات لوازم الواجب ، فإن من طلب الاستقبال على وجه الاستقلال طلب وقوع الجدي خلف المنكب في العراق مثلا ، فإنه مطلوب تبعي لم يتعلق به في العرف والعادة طلب مستقل وإرادة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أنّه لا وجه لما عسى أن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إنقاذ ولد المولى وإن لم يكن معلوما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الأمر اللفظي أو الإرادة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التبعي </w:t>
      </w:r>
      <w:r>
        <w:rPr>
          <w:rStyle w:val="FootnoteAnchor"/>
          <w:rtl w:val="true"/>
        </w:rPr>
        <w:footnoteReference w:id="782"/>
      </w:r>
      <w:r>
        <w:rPr>
          <w:rFonts w:ascii="Amiri" w:hAnsi="Amiri" w:eastAsia="Amiri" w:cs="Amiri"/>
          <w:color w:val="111111"/>
          <w:sz w:val="28"/>
          <w:sz w:val="28"/>
          <w:szCs w:val="28"/>
          <w:rtl w:val="true"/>
          <w:lang w:bidi="ar-SA"/>
        </w:rPr>
        <w:t xml:space="preserve">؛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المصلحة الداعية إلى الطلب عند الالتفات سواء كان المظهر له لفظا أو غيره مصلحة نفسية ، مع اختصاص الوجوب التبعي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ينحصر الوجوب التبعي بالوجوب المقدمي حال عدم الالتفات إلى المقدمة ، وأمّا مع الالتفات وتعلّق إرادة مستقلّة بالمقدمة فلا يكون طلبه إلاّ أصليّا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واشتر اللحم ، فإنّ تعلّق الإرادة المستقلّة بدخول السوق إنّما ينافي التبعيّة ،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الوجوب الغيري والوجوب التبعي عموم مطلق ؛ فإنّ الوجوب الغيري أعمّ ، لتحقّقه فيما إذا كان مدلولا لخطاب مستقلّ فيما إذا كان المظهر لفظا أو مفهوما من إجماع خاصّ مثلا أو غير ذلك ممّا يعلم منه تعلّق إرادة مستقلّة بالواجب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اللوازم تبعي مع أنّه ليس غيريّا ، فيكون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اللوازم وجوب عرضي من قبيل الإسناد المجازي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النسبة بين الأصلي والنفسي والغيري عموم من وجه ، كما يظهر بأدنى تأمّل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هو الموافق لكلمات أرباب الاصطلاح في موارد استعمالات الوجوب التبعي ، كما أومأنا إليه في الدلالة التبعيّة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يظهر من بعض الأجلّة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إدخال الوجوب المستفاد من المفاهيم في الوجوب التبعي وإن كان وجوبه مستقلاّ ، فهو ممّا لم نعرف له وجها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شكّ في أنّ الواجب أصليّ أو تبعي ، فبأصالة عدم تعلّق إرادة مستقلّة به لا يمكن إثبات الوجوب التبعي لو اريد بذلك ترتيب الآثار المترتّبة على الوجوب التبعي فيما إذا فرض له آثار سوى ما يترتّب على عدم الإرادة ؛ لما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المقام ، واللّه هو الهادي</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6254_218643"/>
      <w:bookmarkStart w:id="269" w:name="pg16254_218643"/>
      <w:bookmarkEnd w:id="269"/>
    </w:p>
    <w:p>
      <w:pPr>
        <w:pStyle w:val="Heading3"/>
        <w:numPr>
          <w:ilvl w:val="2"/>
          <w:numId w:val="1"/>
        </w:numPr>
        <w:rPr/>
      </w:pPr>
      <w:bookmarkStart w:id="270" w:name="pg16254_218643"/>
      <w:bookmarkStart w:id="271" w:name="__RefHeading___Toc4418298_1280447820"/>
      <w:bookmarkStart w:id="272" w:name="_Toc86"/>
      <w:bookmarkEnd w:id="270"/>
      <w:bookmarkEnd w:id="271"/>
      <w:r>
        <w:rPr>
          <w:rtl w:val="true"/>
        </w:rPr>
        <w:t>هداية</w:t>
      </w:r>
      <w:bookmarkEnd w:id="272"/>
    </w:p>
    <w:p>
      <w:pPr>
        <w:pStyle w:val="BookText"/>
        <w:rPr/>
      </w:pPr>
      <w:r>
        <w:rPr>
          <w:rFonts w:ascii="Amiri" w:hAnsi="Amiri" w:eastAsia="Amiri" w:cs="Amiri"/>
          <w:color w:val="111111"/>
          <w:sz w:val="28"/>
          <w:sz w:val="28"/>
          <w:szCs w:val="28"/>
          <w:rtl w:val="true"/>
          <w:lang w:bidi="ar-SA"/>
        </w:rPr>
        <w:t xml:space="preserve">قد عرفت تحقيق الكلام في أقسام الواجب ممّا له مدخل في تحرير النزاع فيما هو المقصود من وجوب المقدّمة وعدمه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الّذي وقع الخلاف في وجوب مقدّمته أعمّ من أن يكون واجبا مطلقا أو واجبا مشروطا بالنسبة إلى غير المقدّمة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تخصيص البعض ذلك بالوجوب المطلق دون الشرطي ممّا لا وجه له ، غاية الأمر أنّ الوجوب اللازم منه هو الوجوب الشرطي التبعي على نحو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يفرق في ذلك في أقسام </w:t>
      </w:r>
      <w:r>
        <w:rPr>
          <w:rStyle w:val="FootnoteAnchor"/>
          <w:rtl w:val="true"/>
        </w:rPr>
        <w:footnoteReference w:id="784"/>
      </w:r>
      <w:r>
        <w:rPr>
          <w:rFonts w:ascii="Amiri" w:hAnsi="Amiri" w:eastAsia="Amiri" w:cs="Amiri"/>
          <w:color w:val="111111"/>
          <w:sz w:val="28"/>
          <w:sz w:val="28"/>
          <w:szCs w:val="28"/>
          <w:rtl w:val="true"/>
          <w:lang w:bidi="ar-SA"/>
        </w:rPr>
        <w:t>الواجب من التعبّدي والتوصّلي والنفسي والغيري والأصلي والتبعي ، غاية الأمر أنّ وجوب المقدّمة في الواجب الغيري والتبعي ممّا يختلف فيه اعتبار الوجوب ، لما عرفت من اختصاص الوجوب التبعي على تفسيرنا بالوجوب الغيري ، وهو مسبوق بوجوب الغير لا محالة ، إذ لا يعقل الوجوب الغيري بدون وجوب الغير ، ووجوب ذلك الغير ممّا يكفي في الحكم بوجوب مقدّمات الواجب الغيري ، لأنّ المفروض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نظر العقل في الوجوب اللازم من وجوب ذيها بين المقدّمة القريبة والبعيدة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قيس الوجوب الغيري بالنسبة إلى ما يتوقّف عليه أيضا يحكم العقل بوجوب مقدّماته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ليس من تكرار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الكلام في المراد من </w:t>
      </w:r>
      <w:r>
        <w:rPr>
          <w:rStyle w:val="FootnoteAnchor"/>
          <w:rtl w:val="true"/>
        </w:rPr>
        <w:footnoteReference w:id="785"/>
      </w:r>
      <w:r>
        <w:rPr>
          <w:rFonts w:ascii="Amiri" w:hAnsi="Amiri" w:eastAsia="Amiri" w:cs="Amiri"/>
          <w:color w:val="111111"/>
          <w:sz w:val="28"/>
          <w:sz w:val="28"/>
          <w:szCs w:val="28"/>
          <w:rtl w:val="true"/>
          <w:lang w:bidi="ar-SA"/>
        </w:rPr>
        <w:t>الواجب الذي يبحث في وجوب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المتنازع فيه هل هو وجوب نفسي أو غيري تعبّدي أو توصّلي أصلي أو تبعي؟</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النزاع في أنّ وجوب المقدّمة ليس وجوبا نفسيّا ، فإنّ المقدّميّة لا تقضي بتعلّق الطلب النفسي بها ، ولعلّه ممّا لم يذهب إليه 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وجوبا تعبّديّا من حيث إنّها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يكون ذات المقدّمة عبادة ، بمعنى أنّها توصل إلى ذيها بشرط الإتيان بها على وجه التقرّب ، كأن يكون الداعي إليه هو الأمر المقدّمي ، كما عرفت تفصيل ذلك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وجوبا أصليّا ، لأنّ الوجوب الأصلي ممّا لا بدّ فيه من الالتفات التفصيلي إلى ما هو المطلوب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الطلب فيه وإن كان استفادته على وجه الاستلزام ، كما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الطالب لذي المقدّمة قد يكون غافلا عن المقدّمة ، وقد يكون مع الالتفات إلى ذات المقدّمة شاكّا في مقدّميتها لذيها وتوقّفه عليها ، وقد يكون قاطعا بعدم التوقّف مع كونه في الواقع ممّا يتوقّف عليه ، فكيف يمكن القول بأنّ اللازم من وجوب شيء هو وجوب مقدّماته وجوبا أصليّا؟ وكيف يجوز انتساب هذه المقالة الفاسدة إلى المشهور؟</w:t>
      </w:r>
    </w:p>
    <w:p>
      <w:pPr>
        <w:pStyle w:val="BookText"/>
        <w:rPr/>
      </w:pPr>
      <w:r>
        <w:rPr>
          <w:rFonts w:ascii="Amiri" w:hAnsi="Amiri" w:eastAsia="Amiri" w:cs="Amiri"/>
          <w:color w:val="111111"/>
          <w:sz w:val="28"/>
          <w:sz w:val="28"/>
          <w:szCs w:val="28"/>
          <w:rtl w:val="true"/>
          <w:lang w:bidi="ar-SA"/>
        </w:rPr>
        <w:t>نعم ، يصحّ ذلك بالنسبة إلى أوامر الشارع من حيث إحاطة علمه وامتناع حصول الغفلة له تعالى ، فيكون الكلام في الوجوب التبعي الغيري ، حيث إنّ الكلام في مسألة اصوليّة يعمّ موردها غير أوامر الشارع أيضا وإن كان المراد ظهور الثمرة فيها ، كما لا يخفى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فالظاهر أنّ الوجوب الأصلي ليس من محلّ النزاع في شيء ، ولو </w:t>
      </w:r>
    </w:p>
    <w:p>
      <w:pPr>
        <w:pStyle w:val="BookText"/>
        <w:rPr/>
      </w:pPr>
      <w:r>
        <w:rPr>
          <w:rFonts w:ascii="Amiri" w:hAnsi="Amiri" w:eastAsia="Amiri" w:cs="Amiri"/>
          <w:color w:val="111111"/>
          <w:sz w:val="28"/>
          <w:sz w:val="28"/>
          <w:szCs w:val="28"/>
          <w:rtl w:val="true"/>
          <w:lang w:bidi="ar-SA"/>
        </w:rPr>
        <w:t>فرض وقوع النزاع فيه فالقول قول النافين ، إذ لا ملازمة بين وجوب شيء وبين تعلّق إرادة مستقلّة بما يتوقّف عليه ، لما عرفت من إمكان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من زعم أنّ النزاع في ذلك التزم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الإشكال في وجوب المقدّمة بمعنى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وجوبا يعدّ في عداد الأحكام التكليفية ، بل الواقع أنّها أقرب إلى الأحكام الوضعيّة ؛ ولذلك لا يختلف ذلك باختلاف الأحكام ، فإنّها ترجع إلى معنى المقدّمية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ينبغي النزاع في إسناد الوجوب الحاصل لذيها إليها مجازا وبالعرض ، كما قد يتحقّق ذلك بين المتلازمين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الاستقبال إلى القبلة يلازم استقبال أبي قبيس ووقوع الجدي خلف المنكب الأيمن في بعض البلاد ، وعند التحقيق يكون الوجوب المسند إلى اللازم وجوبا عرضيّا ، لعدم اتّصاف المورد حقيقة بالوصف ، بل الموصوف هو اللازم الآخر ، فيكون ذلك من قبيل الواسطة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حرّر نزاعهم في هذا المقام ومع ذلك اختار القول بعدم الوجوب </w:t>
      </w:r>
      <w:r>
        <w:rPr>
          <w:rStyle w:val="FootnoteAnchor"/>
          <w:rtl w:val="true"/>
        </w:rPr>
        <w:footnoteReference w:id="786"/>
      </w:r>
      <w:r>
        <w:rPr>
          <w:rFonts w:ascii="Amiri" w:hAnsi="Amiri" w:eastAsia="Amiri" w:cs="Amiri"/>
          <w:color w:val="111111"/>
          <w:sz w:val="28"/>
          <w:sz w:val="28"/>
          <w:szCs w:val="28"/>
          <w:rtl w:val="true"/>
          <w:lang w:bidi="ar-SA"/>
        </w:rPr>
        <w:t>، مع أنّ ذلك على هذا التقدير ينبغي أن يعدّ من الضروريّات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ينبغي النزاع في الوجوب الإرشادي ، بمعنى أنّ العقل بعد ملاحظة وجوب ذي المقدّمة مع امتناع التوصّل إليه بدون الإتيان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اللازم من معنى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الناصح الأمين ويحكم بالإتيان بما يتوقّف عليه الواجب ، إلاّ أنّ ذلك منه إراءة طريق المصلحة مع كونه في مقام بذل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ينازع في ذلك ، فإنّه بمكان من البداهة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فالقائل بالوجوب إن أراد الوجوب النفسي أو الأصلي ففساد المقالة ممّا يغني بواسطة بداهتها عن إفسادها ، والنافي إن أراد نفي اللابدّية أو الوجوب العرضي أو الوجوب الإرشادي فالضرورة قاضية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ينبغي أن يكون مورد النزاع هو الوجوب التبعي الغيري ، بمعنى أنّ وجوب شيء وإرادته هل يستلزم إرادة إجمالية لمقدّمته ، على وجه لو اريد كشف ذلك الأمر وتفصيله لكان الحاصل منه طلبا أصليّا موجودا في نحو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وبعبارة اخرى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الطلب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غيري وإن كان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هذه المقدّمة وغيرها من المقدّمات من حيث توقّف الواجب عليها ، فيكون النزاع في أنّ المريد لشيء هل يثبت له حالة نفسانيّة بعد الإرادة بالنسبة إلى المقدّمات على وجه لو التفت إليها صحّ له طلبها على نحو الطلب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يثبت؟ فالنافي يقول بعدمها ، بل الموجود هو أحد المعاني المذكورة من الإرشاد والوجوب العرضي والوجوب العقلي بمعنى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 يقول بوجودها مضافا إلى الوجوب بأحد المعاني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فنسبة الطلب الموجود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 بالوجوب إلى الحالة النفسانيّة الطارئة بعد حدوث الطلب النفسي بالنسبة إلى المقدّمة نسبة التفصيل إلى الإجمال ، وعند القائل بالعدم يكون موجودا بنفسه لا يقاس بالنسبة إلى حالة نفسانيّة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يكون النزاع في أنّ هذه الحالة الإجماليّة التي يفصّلها الطلب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مقولة الطلب لتتّصف المقدّمة بالوجوب والطلب ، أو لا يكون من معنى الطلب والوجوب فهي موجودة ولكنّها لا توجب وجوب المقدّمة؟ والأظهر أنّ النزاع إنّما هو في وجود تلك الحالة ، لا في أنّها من الطلب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فعلى ما ذكرنا يظهر أنّه ليس القول بالوجوب أو القول بالعدم ضروريّ الفساد ، كما قد يظهر كلّ من الدعويين من الفريقين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نظريّة لا وجه لإرسالها في الضروريّات ، كما ادّعاه المحقّق الدواني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لو كان المراد بكونها ضروريّة أنّه يكفي في رفع التشاجر ملاحظة الوجدان الخالي عن شوائب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وجود تلك الحالة بمرتبة من الظهور على وجه يعدّ منكرها من المكابر المتعسّف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وجه ؛ فإنّ الإنصاف أنّا نجد من أنفسنا من بعد حدوث الإرادة المتعلّقة بالواجب نسبة متعلّقة بمقدّماته على وجه لم يكن لتلك النسبة قبل تعلّق الإرادة به في أنفسنا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في وجود النسبة مع الغفلة أنّ العبد يجد من نفس المولى حالة نفسانيّة وإن لم يكن من حقيقة الطلب بالنسبة إلى قتل ولده أو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فالأظهر في النظر أنّه مع قطع النظر عن الوجوب العقلي والوجوب العرضي والوجوب الإرشادي يكون في المقدّمة وجوب آخر بالمعنى الذي ذكرناه ، والدليل على ذلك هو الوجدان وإن لم يكن ظهوره في الوجدان بمثابة يعدّ منكره مكابرا ، فإنّ مراتب الوجدانيّات في الظهور والخفاء بل ومطلق الضروريّات ممّا لا ينبغي التأمّل في اختلافها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الاقتضاء المستعمل عندهم في عنوان هذه المسألة قد عرفت أنّ المراد به هو الاستلزام العقلي ، ولا مدخل للّفظ فيه ، لعموم الكلام في المقام فيما إذا ثبت الوجوب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الدليل المفيد للوجوب لفظا صحّ الاقتضاء اللفظي ، فيكون وجوب المقدّمة من جهة الدلالة الالتزاميّة فيما لو لم يعتبر فيها اللزوم البيّن بالمعنى الأخصّ أو مطلقا ، إذ اللزوم على القول به ليس على وجه يكفي في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التصديق به تصوّر الملزوم ، بل يحتاج إلى تصوّر اللازم أيضا ، لا من حيث توقّف التصديق على تصوّر الأطراف فإنّ ذلك في اللازم </w:t>
      </w:r>
      <w:r>
        <w:rPr>
          <w:rStyle w:val="FootnoteAnchor"/>
          <w:rtl w:val="true"/>
        </w:rPr>
        <w:footnoteReference w:id="788"/>
      </w:r>
      <w:r>
        <w:rPr>
          <w:rFonts w:ascii="Amiri" w:hAnsi="Amiri" w:eastAsia="Amiri" w:cs="Amiri"/>
          <w:color w:val="111111"/>
          <w:sz w:val="28"/>
          <w:sz w:val="28"/>
          <w:szCs w:val="28"/>
          <w:rtl w:val="true"/>
          <w:lang w:bidi="ar-SA"/>
        </w:rPr>
        <w:t>البيّن بالمعنى الأخصّ أيضا ، بل من حيث إنّ له مدخلا في حصول التصديق ،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273" w:name="pg16254_218649"/>
    </w:p>
    <w:p>
      <w:pPr>
        <w:pStyle w:val="Heading3"/>
        <w:numPr>
          <w:ilvl w:val="2"/>
          <w:numId w:val="1"/>
        </w:numPr>
        <w:rPr/>
      </w:pPr>
      <w:bookmarkStart w:id="274" w:name="__RefHeading___Toc4418300_1280447820"/>
      <w:bookmarkStart w:id="275" w:name="_Toc87"/>
      <w:bookmarkEnd w:id="273"/>
      <w:bookmarkEnd w:id="274"/>
      <w:r>
        <w:rPr>
          <w:rtl w:val="true"/>
        </w:rPr>
        <w:t>هداية</w:t>
      </w:r>
      <w:bookmarkEnd w:id="275"/>
    </w:p>
    <w:p>
      <w:pPr>
        <w:pStyle w:val="BookText"/>
        <w:rPr/>
      </w:pPr>
      <w:r>
        <w:rPr>
          <w:rFonts w:ascii="Amiri" w:hAnsi="Amiri" w:eastAsia="Amiri" w:cs="Amiri"/>
          <w:color w:val="111111"/>
          <w:sz w:val="28"/>
          <w:sz w:val="28"/>
          <w:szCs w:val="28"/>
          <w:rtl w:val="true"/>
          <w:lang w:bidi="ar-SA"/>
        </w:rPr>
        <w:t xml:space="preserve">قد ذكروا للنزاع في وجوب المقدّمة وعدمه وجوها من الثمرة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البرء من النذر فيما لو أتى الناذر لإتيان الواجب بمقدّمة من مقدّماته على القول بالوجوب ، وعدمه على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انصراف الوجوب في مقام النذر إلى الواجب النفسي ؛ بدعوى تعلّق الحكم على الماهيّة مع قطع النظر عن جميع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ذلك لا يعدّ من ثمرات المسألة الاصوليّة ؛ فإنّها مهّدت لاستنباط الأحكام الشرعيّة ، وحصول البرء وعدمه في نذر خاص لا يعدّ منها ، كما لا يخفى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يعرف الوجه في عدم صحّة جعل ترتّب الثواب والعقاب من الثمرة ، فإنّها أيضا ليست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قد عرفت فيما مرّ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المستقلّ يدلّ على عدم استحقاق الثواب والعقاب ؛ ومن هنا التجأنا إلى تأويل الأخبار الدالّة على ترتّب الثواب </w:t>
      </w:r>
      <w:r>
        <w:rPr>
          <w:rStyle w:val="FootnoteAnchor"/>
          <w:rtl w:val="true"/>
        </w:rPr>
        <w:footnoteReference w:id="790"/>
      </w:r>
      <w:r>
        <w:rPr>
          <w:rFonts w:ascii="Amiri" w:hAnsi="Amiri" w:eastAsia="Amiri" w:cs="Amiri"/>
          <w:color w:val="111111"/>
          <w:sz w:val="28"/>
          <w:sz w:val="28"/>
          <w:szCs w:val="28"/>
          <w:rtl w:val="true"/>
          <w:lang w:bidi="ar-SA"/>
        </w:rPr>
        <w:t xml:space="preserve">، وكذا الآيات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تحقيق القول في ذلك بما لا مزيد عليه ، فراجعه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الفسق على تركها على القول بوجوبها ، وعدمه على عدمه ، كذا ذكره بعضهم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بذلك أنّ ترك واجب واحد ولو لم يكن من الكبائر من حيث إنّه يوجب ترك مقدّمات عديدة له فيتحقّق بواسطة ذلك الإصرار في الصغيرة فيؤول إلى الفسق ،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الملازمة بين ترك الواجب وبين ترك مقدّماته على وجه يتحقّق موضوع الإصرار ، فإنّه ربّما يستند الترك إلى انتفاء مقدّمة واحدة مع وجود غيرها ، اللّهمّ إلاّ بالقول بكفاية صورة واحدة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بأنّ تارك المقدّمة فاسق بواسطة الإصرار يوجب ارتفاع الفرق بين الصغيرة والكبيرة في الأغلب ؛ لأنّ ترك الصغائر في الأغلب يوجب ترك المقدّمات على وجه يستلزم الإصرار فيها وإن قلنا بعدم الملازمة ، إلاّ أنّه الأغلب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فلا نسلّم أنّ الإصرار الحاصل بواسطة ترك المقدّمات يوجب الفسق ، إذ المنساق ممّا دلّ على ذلك إنّما هو فيما إذا كان الواجب واجبا نفسيّا لا غيريّا ، لعدم صدق الإصرار بالمعصية في غيره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بعد ما عرفت من أنّ وجوب المقدّمة لا يورث ثوابا ولا عقابا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بذلك </w:t>
      </w:r>
      <w:r>
        <w:rPr>
          <w:rStyle w:val="FootnoteAnchor"/>
          <w:rtl w:val="true"/>
        </w:rPr>
        <w:footnoteReference w:id="794"/>
      </w:r>
      <w:r>
        <w:rPr>
          <w:rFonts w:ascii="Amiri" w:hAnsi="Amiri" w:eastAsia="Amiri" w:cs="Amiri"/>
          <w:color w:val="111111"/>
          <w:sz w:val="28"/>
          <w:sz w:val="28"/>
          <w:szCs w:val="28"/>
          <w:rtl w:val="true"/>
          <w:lang w:bidi="ar-SA"/>
        </w:rPr>
        <w:t xml:space="preserve">أنّ ترك الواجب إذا كان من المعاصي الكبيرة حيث إنّه يستند إلى ترك مقدّمة من مقدّماته الاختياريّة ، وإلاّ لم يكن معصية ، فعلى القول بالوجوب يحكم بفسقه حين الترك وإن تقدّم على زمان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يحكم بفسق التارك للحجّ حين عدم خروجه مع الرفقة وتخلّفه عن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القول </w:t>
      </w:r>
    </w:p>
    <w:p>
      <w:pPr>
        <w:pStyle w:val="BookText"/>
        <w:rPr/>
      </w:pPr>
      <w:r>
        <w:rPr>
          <w:rFonts w:ascii="Amiri" w:hAnsi="Amiri" w:eastAsia="Amiri" w:cs="Amiri"/>
          <w:color w:val="111111"/>
          <w:sz w:val="28"/>
          <w:sz w:val="28"/>
          <w:szCs w:val="28"/>
          <w:rtl w:val="true"/>
          <w:lang w:bidi="ar-SA"/>
        </w:rPr>
        <w:t>بعدم الوجوب ، فإنّه يحكم بالفسق في زمان الفعل ، فإنّه هو زمان المعصية ، وأمّا قبل ذلك فلم يكن من زمانها في شيء ، إذ المفروض أنّه ليس وقت الوجوب المتعلّق بالفعل ، والمقدّمة ليست واجبة ، فلا معصية ولا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ذلك أيضا بين القول بالوجوب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فكما هو واضح من أنّه زمان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فلأن تأثير وجوب المقدّمة في صدق المعصية بالنسبة إلى ذيها قبل مجيء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المقدّمة من حيث إيراثه امتناع الفعل المأمور به يلازم صدق المعصية بالنسبة إلى الواجب ، إذ لا يراد من المعصية إلاّ عدم إمكان الامتثال مع عدم سقوط الأمر بالنسخ وأمثاله وعدم الامتثال له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يحكم بأنّ بعد انقضاء الوقت يكون من زمان المعصية ، وليس ذلك إلاّ بواسطة امتناع المأمور به في حقّه مع عدم سقوط الأمر بالنسخ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فالمدار على صدق المعصية بالنسبة إلى الفعل المأمور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بإمكان ذلك قبل مجيء الزمان باعتبار أنّ صدق المعصية يدور مدار الامتناع على الوجه المزبور فلا يؤثّر في ذلك تعلّق الوجوب بما يصير سببا لامتناعه ، إذ لا كلام في أنّ الوجوب المقدّمي لا يورث فسقا ولا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بعدمه اعتمادا على أنّ امتناع حصول الواجب قبل مجيء الوقت ليس بواسطة امتناع المقدّمة في حقّه ؛ بل بواسطة أنّ المقيّد </w:t>
      </w:r>
      <w:r>
        <w:rPr>
          <w:rStyle w:val="FootnoteAnchor"/>
          <w:rtl w:val="true"/>
        </w:rPr>
        <w:footnoteReference w:id="795"/>
      </w:r>
      <w:r>
        <w:rPr>
          <w:rFonts w:ascii="Amiri" w:hAnsi="Amiri" w:eastAsia="Amiri" w:cs="Amiri"/>
          <w:color w:val="111111"/>
          <w:sz w:val="28"/>
          <w:sz w:val="28"/>
          <w:szCs w:val="28"/>
          <w:rtl w:val="true"/>
          <w:lang w:bidi="ar-SA"/>
        </w:rPr>
        <w:t xml:space="preserve">في </w:t>
      </w:r>
      <w:r>
        <w:rPr>
          <w:rStyle w:val="FootnoteAnchor"/>
          <w:rtl w:val="true"/>
        </w:rPr>
        <w:footnoteReference w:id="796"/>
      </w:r>
      <w:r>
        <w:rPr>
          <w:rFonts w:ascii="Amiri" w:hAnsi="Amiri" w:eastAsia="Amiri" w:cs="Amiri"/>
          <w:color w:val="111111"/>
          <w:sz w:val="28"/>
          <w:sz w:val="28"/>
          <w:szCs w:val="28"/>
          <w:rtl w:val="true"/>
          <w:lang w:bidi="ar-SA"/>
        </w:rPr>
        <w:t xml:space="preserve">زمان خاصّ يمتنع وجوده في غيره ، ولمّا كان سبب الامتناع حاصلا للفعل قبل ترك المقدّمة فلا وجه لاستناده إلى المقدّمة </w:t>
      </w:r>
    </w:p>
    <w:p>
      <w:pPr>
        <w:pStyle w:val="BookText"/>
        <w:rPr/>
      </w:pPr>
      <w:r>
        <w:rPr>
          <w:rFonts w:ascii="Amiri" w:hAnsi="Amiri" w:eastAsia="Amiri" w:cs="Amiri"/>
          <w:color w:val="111111"/>
          <w:sz w:val="28"/>
          <w:sz w:val="28"/>
          <w:szCs w:val="28"/>
          <w:rtl w:val="true"/>
          <w:lang w:bidi="ar-SA"/>
        </w:rPr>
        <w:t>لامتناع تحصيل الحاصل ، فلا فرق في ذلك بين القول بوجوب المقدّمة وعدمه ، إذ لا نرى في الوجوب وعدمه تأثيرا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من جواز أخذ الاجرة على المقدّمات على القول بالعدم ، وعدمه على القول بالوجوب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مأخوذ من إرسال بعض الفقهاء عدم جواز أخذ الاجرة على الواجب ، كالمحقّق حيث أفاد عند عدّه ما يحرم الاكتساب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ما يجب على الانسان فعله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أو من معاقد بعض الاجماعات المنقولة </w:t>
      </w:r>
      <w:r>
        <w:rPr>
          <w:rStyle w:val="FootnoteAnchor"/>
          <w:rtl w:val="true"/>
        </w:rPr>
        <w:footnoteReference w:id="799"/>
      </w:r>
      <w:r>
        <w:rPr>
          <w:rFonts w:ascii="Amiri" w:hAnsi="Amiri" w:eastAsia="Amiri" w:cs="Amiri"/>
          <w:color w:val="111111"/>
          <w:sz w:val="28"/>
          <w:sz w:val="28"/>
          <w:szCs w:val="28"/>
          <w:rtl w:val="true"/>
          <w:lang w:bidi="ar-SA"/>
        </w:rPr>
        <w:t>وإن لم يقض بذلك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فالتحقيق أنّه لا أصل لهذا التفريع سواء اخذ بالمقالة المرسلة أو التزمنا بما هو التحقيق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 فلأنّ الظاهر من مقالة من حكم بحرمة الاجرة إنّما هو حرمتها سواء كانت مأخوذة في مقابلة نفس العمل أو في مقابلة مقدّماته ، ولا فرق في ذلك بين وجوب المقدّمة وعدمه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 فيتوقّف على بيان ما هو الحقّ عندنا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قرّرنا في محلّه أنّه لا منافاة بين الوجوب وأخذ الاجرة على فعل الواجب </w:t>
      </w:r>
      <w:r>
        <w:rPr>
          <w:rStyle w:val="FootnoteAnchor"/>
          <w:rtl w:val="true"/>
        </w:rPr>
        <w:footnoteReference w:id="800"/>
      </w:r>
      <w:r>
        <w:rPr>
          <w:rFonts w:ascii="Amiri" w:hAnsi="Amiri" w:eastAsia="Amiri" w:cs="Amiri"/>
          <w:color w:val="111111"/>
          <w:sz w:val="28"/>
          <w:sz w:val="28"/>
          <w:szCs w:val="28"/>
          <w:rtl w:val="true"/>
          <w:lang w:bidi="ar-SA"/>
        </w:rPr>
        <w:t>، وإنّما المانع عن ذلك في بعض الموارد ليس وجوب الفعل ، وإلاّ لما جاز أخذ الاجرة على الواجبات الصناعيّة الكفائيّة ، وبطلان التالي كالملازمة ظاهر ، ضرورة جواز ذلك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w:t>
      </w:r>
      <w:r>
        <w:rPr>
          <w:rStyle w:val="FootnoteAnchor"/>
          <w:rtl w:val="true"/>
        </w:rPr>
        <w:footnoteReference w:id="801"/>
      </w:r>
      <w:r>
        <w:rPr>
          <w:rFonts w:ascii="Amiri" w:hAnsi="Amiri" w:eastAsia="Amiri" w:cs="Amiri"/>
          <w:color w:val="111111"/>
          <w:sz w:val="28"/>
          <w:sz w:val="28"/>
          <w:szCs w:val="28"/>
          <w:rtl w:val="true"/>
          <w:lang w:bidi="ar-SA"/>
        </w:rPr>
        <w:t xml:space="preserve">اللازم من الإجارة إنّما يؤكّد وجوب الصناعة على الكفاية فلا ينافي ذلك </w:t>
      </w:r>
      <w:r>
        <w:rPr>
          <w:rStyle w:val="FootnoteAnchor"/>
          <w:rtl w:val="true"/>
        </w:rPr>
        <w:footnoteReference w:id="802"/>
      </w:r>
      <w:r>
        <w:rPr>
          <w:rFonts w:ascii="Amiri" w:hAnsi="Amiri" w:eastAsia="Amiri" w:cs="Amiri"/>
          <w:color w:val="111111"/>
          <w:sz w:val="28"/>
          <w:sz w:val="28"/>
          <w:szCs w:val="28"/>
          <w:rtl w:val="true"/>
          <w:lang w:bidi="ar-SA"/>
        </w:rPr>
        <w:t xml:space="preserve">، إنّما هو كلام خال عن التحصيل ؛ لجريان ذلك في حقّ الجعل مع أنّه لا وجوب ، بل المانع من ذلك إنّما هو استفادة مملوكيّة العمل الواجب مجّانا للغير من الأخبار الواردة في موارد إثبات تلك الحقوق ، فإنّ المستفاد من الأخبار أنّ المؤمن قد ملك عن أخيه المؤمن امورا ، منها الدفن وما يتعلّق به </w:t>
      </w:r>
      <w:r>
        <w:rPr>
          <w:rStyle w:val="FootnoteAnchor"/>
          <w:rtl w:val="true"/>
        </w:rPr>
        <w:footnoteReference w:id="803"/>
      </w:r>
      <w:r>
        <w:rPr>
          <w:rFonts w:ascii="Amiri" w:hAnsi="Amiri" w:eastAsia="Amiri" w:cs="Amiri"/>
          <w:color w:val="111111"/>
          <w:sz w:val="28"/>
          <w:sz w:val="28"/>
          <w:szCs w:val="28"/>
          <w:rtl w:val="true"/>
          <w:lang w:bidi="ar-SA"/>
        </w:rPr>
        <w:t>، فأخذ الاجرة في قبال العمل المملوك للغير يعدّ من الأكل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الواجب من الامور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الواجب من الامور التعبّديّة ، فإنّ المطلوب من العبد </w:t>
      </w:r>
      <w:r>
        <w:rPr>
          <w:rStyle w:val="FootnoteAnchor"/>
          <w:rtl w:val="true"/>
        </w:rPr>
        <w:footnoteReference w:id="804"/>
      </w:r>
      <w:r>
        <w:rPr>
          <w:rFonts w:ascii="Amiri" w:hAnsi="Amiri" w:eastAsia="Amiri" w:cs="Amiri"/>
          <w:color w:val="111111"/>
          <w:sz w:val="28"/>
          <w:sz w:val="28"/>
          <w:szCs w:val="28"/>
          <w:rtl w:val="true"/>
          <w:lang w:bidi="ar-SA"/>
        </w:rPr>
        <w:t xml:space="preserve">هو الإتيان بالعمل على وجه العبادة ، فكأنّه يكون العمل ملكا لله قد استحقّ </w:t>
      </w:r>
      <w:r>
        <w:rPr>
          <w:rStyle w:val="FootnoteAnchor"/>
          <w:rtl w:val="true"/>
        </w:rPr>
        <w:footnoteReference w:id="805"/>
      </w:r>
      <w:r>
        <w:rPr>
          <w:rFonts w:ascii="Amiri" w:hAnsi="Amiri" w:eastAsia="Amiri" w:cs="Amiri"/>
          <w:color w:val="111111"/>
          <w:sz w:val="28"/>
          <w:sz w:val="28"/>
          <w:szCs w:val="28"/>
          <w:rtl w:val="true"/>
          <w:lang w:bidi="ar-SA"/>
        </w:rPr>
        <w:t>عليه بالعمل ، فلا وجه لتمليكه غيره بالعمل المذكور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فالذي قوّيناه في محلّه </w:t>
      </w:r>
      <w:r>
        <w:rPr>
          <w:rStyle w:val="FootnoteAnchor"/>
          <w:rtl w:val="true"/>
        </w:rPr>
        <w:footnoteReference w:id="806"/>
      </w:r>
      <w:r>
        <w:rPr>
          <w:rFonts w:ascii="Amiri" w:hAnsi="Amiri" w:eastAsia="Amiri" w:cs="Amiri"/>
          <w:color w:val="111111"/>
          <w:sz w:val="28"/>
          <w:sz w:val="28"/>
          <w:szCs w:val="28"/>
          <w:rtl w:val="true"/>
          <w:lang w:bidi="ar-SA"/>
        </w:rPr>
        <w:t>اختصاص المنع من الاجرة بما إذا استفدنا من دليل وجوب العمل لزوم وقوعه على وجه المجانيّة ، كالدفن أو الكفن ونحوهما ، فإنّ الساعي في مقدّماتهما مثل الساعي في أداء ما عليه أداؤه من العمل إذا ملكه الغير منه ، أو فيما إذا كان الواجب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هذه الموارد فلا دليل على حرمة الاجرة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القواعد جواز أخذ الاجرة على القضاء بين المسلمين ، وكذا على السعي إلى الميقات ممّن وجب عليه الحجّ ، فيكون النسبة بين </w:t>
      </w:r>
    </w:p>
    <w:p>
      <w:pPr>
        <w:pStyle w:val="BookText"/>
        <w:rPr/>
      </w:pPr>
      <w:r>
        <w:rPr>
          <w:rFonts w:ascii="IRNazanin" w:hAnsi="IRNazanin" w:eastAsia="IRNazanin"/>
          <w:color w:val="111111"/>
          <w:sz w:val="28"/>
          <w:sz w:val="28"/>
          <w:szCs w:val="28"/>
          <w:rtl w:val="true"/>
          <w:lang w:bidi="fa-IR"/>
        </w:rPr>
        <w:t xml:space="preserve">الوجوب و </w:t>
      </w:r>
      <w:r>
        <w:rPr>
          <w:rStyle w:val="FootnoteAnchor"/>
          <w:rtl w:val="true"/>
        </w:rPr>
        <w:footnoteReference w:id="807"/>
      </w:r>
      <w:r>
        <w:rPr>
          <w:rFonts w:ascii="Amiri" w:hAnsi="Amiri" w:eastAsia="Amiri" w:cs="Amiri"/>
          <w:color w:val="111111"/>
          <w:sz w:val="28"/>
          <w:sz w:val="28"/>
          <w:szCs w:val="28"/>
          <w:rtl w:val="true"/>
          <w:lang w:bidi="ar-SA"/>
        </w:rPr>
        <w:t>أخذ الاجرة هو العموم من وجه ، فمورد الاجتماع هي الأفعال العباديّة والتوصّليّة التي استفيد من دليلها مملوكيّتها للغير ، ومورد الافتراق من جانب الوجوب هو القضاء بين المسلمين والصناعات العامّة الكفائيّة ، ومورد الافتراق من جانب الحرمة هو مقدّمات الدفن والكفن ، فإنّك قد عرفت أنّ القائل بحرمة الأخذ على وجه الإطلاق لم يفرّق في ذلك بين المقدّمات وغيرها حتّى على القول بعدم وجوبها ، فلا وجه لتفريع الجواز وعدمه على الوجوب وعدمه ، لعدم الملازمة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نسبه البعض إلى الوحيد البهبهاني ، من أنّه على القول بوجوب المقدّمة يلزم اجتماع الأمر والنهي في الموارد التي تكون المقدّمة محرّمة ، دون القول بالعدم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المحرّمة إن كانت مثل قطع المسافة بالنسبة إلى الحجّ أو نصب السلّم بالنسبة إلى الصعود على السطح ، من المقدّمات التي ليست متّحدة مع ذي المقدّمة بحسب الوجود الخارجي ، فلا يثمر القول بالوجوب والعدم شيئا ، لأنّه على كلا التقديرين يحصل الامتثال بأمر ذي المقدّمة إذا أتى بالمقدّمة على الوجه المحرّم ، غاية الأمر أنّه على القول بعدم الوجوب لا يلزم اجتماع الأمر والنهي في المقدّمة ، بل المقدّمة إنّما هي محرّمة صرفة لكن حصل بها الوصول إلى ذي المقدّمة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بالوجوب ، فإنّه يلزم اجتماعهما على القول بجواز الاجتماع ، فيكون المكلّف الآتي بالمقدّمة على الوجه المحرّم آتيا بالمأمور به والمنهيّ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على القول بعدم الجواز يكون حاله كحال المنكر للوجوب في كون المقدّمة محرّمة صرفة مسقطة عن الواجب وإن كانت متّحدة مع ذيها ، كالصلاة في المكان المغصوب ، فإنّ الكون الخاصّ الذي هو مقدّمة لمطلق الكون الذي هو جزء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الفرد مقدّمة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متّحد معه في الوجود ، فلا يثمر أيضا القول بوجوب المقدّمة وعدمه شيئا من الصحّة والفساد ، بل مناط الحكم بالصحّة والفساد على أنّه هل يجدي تعدّد الجهات التقييديّة في الموجود الواحد الخارجي في جواز اجتماع الأمر والنهي وعدمه أم لا؟ فعلى القول بعدم إجداء تعدّد الجهات مع وحدة الموجود الخارجي لا بدّ من الحكم بفساد الصلاة ، سواء قلنا بأنّ الفرد مقدّمة وإنّ المقدّمة واجبة أو لم نقل ، ضرورة أنّ قضية الاتّحاد اجتماع النهي في المقدّمة مع الأمر بذيها على تقدير الصحّة ، فلا بدّ من الحكم بالبطلان من لزوم الاجتماع الباطل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 تعدّد الجهات في اجتماع الأمر والنهي مجد فلا بدّ من الحكم بالصحّة على تقدير القول بالمقدّمة والوجوب معا وعدمه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لك فساد ما ذهب إليه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اجتماع الأمر والنهي في الصلاة في الدار المغصوبة ونحوها ، على ما زعمه من أنّ المحرّم إنّما هو خصوص الفرد الذي هو مقدّمة للكلّي الواجب وأنّ مقدّمة الواجب ليست بواجبة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تسليم المبنى لا وجه للابتناء أصلا ، فإنّ مدار </w:t>
      </w:r>
      <w:r>
        <w:rPr>
          <w:rStyle w:val="FootnoteAnchor"/>
          <w:rtl w:val="true"/>
        </w:rPr>
        <w:footnoteReference w:id="810"/>
      </w:r>
      <w:r>
        <w:rPr>
          <w:rFonts w:ascii="Amiri" w:hAnsi="Amiri" w:eastAsia="Amiri" w:cs="Amiri"/>
          <w:color w:val="111111"/>
          <w:sz w:val="28"/>
          <w:sz w:val="28"/>
          <w:szCs w:val="28"/>
          <w:rtl w:val="true"/>
          <w:lang w:bidi="ar-SA"/>
        </w:rPr>
        <w:t>لزوم محذور وليس وجوب المقدّمة ، بل ملاك ذلك إنّما هو الاتحاد في الوجود المفروض في مثل الفرد والكلّي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يظهر غرابة ما قد نسبه إلى العلاّمة في ذلك وإن لم نتحقّقه منه رحمه‌اللّه ، قال في قوانينه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الكلام في دلالة الواجب على وجوب جزئه كالكلام في سائر مقدّماته ، والقدر المسلّم من الدلالة هو التبعي ، إلاّ أن ينصّ عليه بالخصوص بعنوان الوجوب ، كما مرّ في حكم المقدّمة الخارجيّة ، وربّما نفي الخلاف عن الوجوب في الجزء لدلالة الواجب عليه تضمّنا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العلاّمة من فروع المسألة الصلاة في الدار المغصوبة من جهة أنّ الكون الذي هو جزء الصلاة واجب بسبب وجوب الواجب فلا يجوز أن يكون منهيّا عنه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Style w:val="FootnoteAnchor"/>
          <w:rtl w:val="true"/>
        </w:rPr>
        <w:footnoteReference w:id="812"/>
      </w:r>
      <w:r>
        <w:rPr>
          <w:rFonts w:ascii="Amiri" w:hAnsi="Amiri" w:eastAsia="Amiri" w:cs="Amiri"/>
          <w:color w:val="111111"/>
          <w:sz w:val="28"/>
          <w:sz w:val="28"/>
          <w:szCs w:val="28"/>
          <w:rtl w:val="true"/>
          <w:lang w:bidi="ar-SA"/>
        </w:rPr>
        <w:t>في بعض الهدايات السابقة ، من أنّ الجزء باعتبار كونه متّحدا مع الواجب فيما لوحظ لا بشرط شيء لا ينبغي التشاجر في وجوبه بهذا الاعتبار ، وذلك كاف في عدم جواز اجتماعه مع الحرام ، فلا حاجة إلى القول بوجوب المقدّمة في لزوم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الصلاة ليست بأجزاء عقليّة متّحدة مع الكلّ في الوجود الخارجي ، ضرورة تباينها فيه ، كما في أجزاء البيت والسرير ، ومع ذلك فكيف يعقل القول بالاتّحاد؟</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ذلك في خصوص الكون ، فإنّه لا نسلّم فيه المغايرة ، كما لا يكاد يخفى على المتأمّل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لا ينافي ما نحن بصدده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 ما لم يلاحظ فيه جهة وحدة لا يعقل أن يكون مركّبا </w:t>
      </w:r>
      <w:r>
        <w:rPr>
          <w:rStyle w:val="FootnoteAnchor"/>
          <w:rtl w:val="true"/>
        </w:rPr>
        <w:footnoteReference w:id="813"/>
      </w:r>
      <w:r>
        <w:rPr>
          <w:rFonts w:ascii="Amiri" w:hAnsi="Amiri" w:eastAsia="Amiri" w:cs="Amiri"/>
          <w:color w:val="111111"/>
          <w:sz w:val="28"/>
          <w:sz w:val="28"/>
          <w:szCs w:val="28"/>
          <w:rtl w:val="true"/>
          <w:lang w:bidi="ar-SA"/>
        </w:rPr>
        <w:t xml:space="preserve">، فتلك الجهة تارة تكون حقيقة كما في المركّبات الحقيقيّة التي لها صورة </w:t>
      </w:r>
    </w:p>
    <w:p>
      <w:pPr>
        <w:pStyle w:val="BookText"/>
        <w:rPr/>
      </w:pPr>
      <w:r>
        <w:rPr>
          <w:rFonts w:ascii="Amiri" w:hAnsi="Amiri" w:eastAsia="Amiri" w:cs="Amiri"/>
          <w:color w:val="111111"/>
          <w:sz w:val="28"/>
          <w:sz w:val="28"/>
          <w:szCs w:val="28"/>
          <w:rtl w:val="true"/>
          <w:lang w:bidi="ar-SA"/>
        </w:rPr>
        <w:t>واحدة وحقيقة متّحدة خارجيّة ، واخرى تكون اعتباريّة كما في البيت والسرير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الكثرة اللازمة للمركّب كثرة في مرتبة </w:t>
      </w:r>
      <w:r>
        <w:rPr>
          <w:rStyle w:val="FootnoteAnchor"/>
          <w:rtl w:val="true"/>
        </w:rPr>
        <w:footnoteReference w:id="814"/>
      </w:r>
      <w:r>
        <w:rPr>
          <w:rFonts w:ascii="Amiri" w:hAnsi="Amiri" w:eastAsia="Amiri" w:cs="Amiri"/>
          <w:color w:val="111111"/>
          <w:sz w:val="28"/>
          <w:sz w:val="28"/>
          <w:szCs w:val="28"/>
          <w:rtl w:val="true"/>
          <w:lang w:bidi="ar-SA"/>
        </w:rPr>
        <w:t>من الاعتبار والتعمّل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الكثرة حقيقية ، والأجزاء في المركّب الحقيقي ظاهر اتّحادها في الوجود الحقيقي ، وفي المركّب الاعتباري إنّما تتّحد مع الكلّ في الوجود الاعتباري الثابت للمركّب من حيث هو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عند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 فالمقدّمة إمّا أن تكون متّحدة الوجود مع ذيها أو لا ، وعلى التقديرين ، فإن أراد القائل بالثمرة المذكورة أنّ ذلك يجدي في الحكم بالصحّة والفساد ، فلا وجه لما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الاتّحاد ، فلما عرفت من إمكان الحكم بالفساد ولو على القول بعدم وجوب المقدّمة كما هو قضيّة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التغاير ، فعند الانحصار فهي حرام قطعا ولا وجوب فيها ، ومع ذلك لا تؤثّر في الفساد ، بل الواجب حاصل بعد حصوله ، لكونها موصلة إلى ما هو المقصود حقيقة ، كما في الركوب على دابّة مغصوبة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التعدّد فغاية الأمر هو الوجوب في الجملة أيضا ، إلاّ أنّ ذلك لا تأثير له في الفساد أيضا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بذلك مجرّد ثبوت مورد قد اجتمع فيه الأمر والنهي وإن لم يكن لذلك مدخل في الصحّة والفساد فهو في محلّه ، إلاّ أنّه بعيد عن مقاصد العلماء ، إذ غاية ذلك تكثير الأمثلة التي اجتمع فيها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بوجوب المقدّمة يؤثّر في صحّتها إذا كانت عبادة ، كما أنّ القول بعدم الوجوب يقضي بفسادها حينئذ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وجهه 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صحّة العبادة متوقّفة على الأمر ، والقول بالوجوب يوجب تعلّق الأمر بها فيمكن وقوعها صحيحة ، بخلاف ما إذا لم تكن </w:t>
      </w:r>
    </w:p>
    <w:p>
      <w:pPr>
        <w:pStyle w:val="BookText"/>
        <w:rPr/>
      </w:pPr>
      <w:r>
        <w:rPr>
          <w:rFonts w:ascii="Amiri" w:hAnsi="Amiri" w:eastAsia="Amiri" w:cs="Amiri"/>
          <w:color w:val="111111"/>
          <w:sz w:val="28"/>
          <w:sz w:val="28"/>
          <w:szCs w:val="28"/>
          <w:rtl w:val="true"/>
          <w:lang w:bidi="ar-SA"/>
        </w:rPr>
        <w:t xml:space="preserve">واجبة ، إذ الكلام إنّما هو في المقدّمة العباديّة التي ليست براجحة في حدّ ذاتها ، كالتيمّم عند البعض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يمكن الإتيان بالواجب الموقوف على مثل المقدّمة المفروضة وإن لم يتعلّق بها سوى ما يترشّح من الأمر بذيها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يمكن ، لعدم الاقتدار عليه بعد توقّفه على مقدّمة موقوفة على أمر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المقدّمي لا يؤثّر صحّة ولا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على ريبة فراجع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بوجوب المقدّمة يؤثّر في فساد العبادة التي يتوقّف على تركها فعل الضدّ ، بخلاف القول بعدمه ، فإنّ الترك ليس مقدّمة فلا يكون واجبا فلا يكون فعله حراما فلا يكون فاسدا </w:t>
      </w:r>
      <w:r>
        <w:rPr>
          <w:rStyle w:val="FootnoteAnchor"/>
          <w:rtl w:val="true"/>
        </w:rPr>
        <w:footnoteReference w:id="817"/>
      </w:r>
      <w:r>
        <w:rPr>
          <w:rFonts w:ascii="Amiri" w:hAnsi="Amiri" w:eastAsia="Amiri" w:cs="Amiri"/>
          <w:color w:val="111111"/>
          <w:sz w:val="28"/>
          <w:sz w:val="28"/>
          <w:szCs w:val="28"/>
          <w:rtl w:val="true"/>
          <w:lang w:bidi="ar-SA"/>
        </w:rPr>
        <w:t xml:space="preserve">، ولذلك قد التجأ بعض من لم يقدر على حلّ الشبهة المعروفة في فساد العبادة إلى منع وجوب المقدّمة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زعمها بعضهم من أهمّ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لا يرجع إلى حاصل ولا يعود إلى طائل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من كون الترك مقدّمة ، والسند ممّا ستعرفه في محلّه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اللابدّية التي يرجع معنى المقدّمة إليها يكفي في الحكم بالفساد ، إذ لا يعقل الأمر بشيء مع الأمر بما ليس للمكلّف بدّ من تركه لو اريد الامتثال به ، وعند عدم الأمر لا معنى للصحّة ، إذ الكلام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المعاملات فيبنى على أنّ النهي التبعي هل يستلزم فسادا؟ وستعرف تحقيق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الهادي</w:t>
      </w:r>
      <w:r>
        <w:rPr>
          <w:rFonts w:eastAsia="Amiri" w:cs="Amiri" w:ascii="Amiri" w:hAnsi="Amiri"/>
          <w:color w:val="111111"/>
          <w:sz w:val="28"/>
          <w:szCs w:val="28"/>
          <w:rtl w:val="true"/>
          <w:lang w:bidi="ar-SA"/>
        </w:rPr>
        <w:t xml:space="preserve">. </w:t>
      </w:r>
      <w:bookmarkStart w:id="276" w:name="pg16254_218659"/>
    </w:p>
    <w:p>
      <w:pPr>
        <w:pStyle w:val="Heading3"/>
        <w:numPr>
          <w:ilvl w:val="2"/>
          <w:numId w:val="1"/>
        </w:numPr>
        <w:rPr/>
      </w:pPr>
      <w:bookmarkStart w:id="277" w:name="__RefHeading___Toc4418302_1280447820"/>
      <w:bookmarkStart w:id="278" w:name="_Toc88"/>
      <w:bookmarkEnd w:id="276"/>
      <w:bookmarkEnd w:id="277"/>
      <w:r>
        <w:rPr>
          <w:rtl w:val="true"/>
        </w:rPr>
        <w:t>هداية</w:t>
      </w:r>
      <w:bookmarkEnd w:id="278"/>
    </w:p>
    <w:p>
      <w:pPr>
        <w:pStyle w:val="BookText"/>
        <w:rPr/>
      </w:pPr>
      <w:r>
        <w:rPr>
          <w:rFonts w:ascii="Amiri" w:hAnsi="Amiri" w:eastAsia="Amiri" w:cs="Amiri"/>
          <w:color w:val="111111"/>
          <w:sz w:val="28"/>
          <w:sz w:val="28"/>
          <w:szCs w:val="28"/>
          <w:rtl w:val="true"/>
          <w:lang w:bidi="ar-SA"/>
        </w:rPr>
        <w:t xml:space="preserve">في بيان الأصل في المسألة والأقوال فيها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النزاع إنّما هو في حكم العقل بالملازمة بين وجوب شيء وبين وجوب مقدّماته ، وأنّ وجوب المقدّمة لا يستلزم عقابا ولا ثوابا ، فلا وجه لما يظهر من البعض </w:t>
      </w:r>
      <w:r>
        <w:rPr>
          <w:rStyle w:val="FootnoteAnchor"/>
          <w:rtl w:val="true"/>
        </w:rPr>
        <w:footnoteReference w:id="820"/>
      </w:r>
      <w:r>
        <w:rPr>
          <w:rFonts w:ascii="Amiri" w:hAnsi="Amiri" w:eastAsia="Amiri" w:cs="Amiri"/>
          <w:color w:val="111111"/>
          <w:sz w:val="28"/>
          <w:sz w:val="28"/>
          <w:szCs w:val="28"/>
          <w:rtl w:val="true"/>
          <w:lang w:bidi="ar-SA"/>
        </w:rPr>
        <w:t>من التمسّك بأصالة البراءة في رفع الوجوب ؛ لأنّ جريانها إنّما هو فيما يحتمل العقاب ، والمفروض عدمه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العدم فيمكن تقريرها بوجه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قبل حدوث الطلب المتعلّق بالفعل لم يكن مقدّماته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الوجه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تعلّقه به نشكّ في تعلّقه بها أيضا ، والأصل يقضي بعدم تعلّقه بها ، فالأصل مع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غير محلّه ، فإنّ الأصل هذا على تقدير جريانه إنّما هو في غير ما عنون به المبحث ، إذ من المعلوم أنّه لا حاجة في تشخيص الأصل فيها إلى حدوث الطلب وتعلّقه بالفعل ، فكيف بمقدّماته؟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أنّه لا أصل في المسألة ، فإنّ العقل إمّا أن يكون حاكما بالملازمة بين الطلبين أو لا ، وعلى التقديرين لا شكّ هناك حتّى يجري الأصل </w:t>
      </w:r>
      <w:r>
        <w:rPr>
          <w:rStyle w:val="FootnoteAnchor"/>
          <w:rtl w:val="true"/>
        </w:rPr>
        <w:footnoteReference w:id="821"/>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الأقوال في المسألة ، فعلى ما استقصيناه </w:t>
      </w:r>
      <w:r>
        <w:rPr>
          <w:rStyle w:val="FootnoteAnchor"/>
          <w:rtl w:val="true"/>
        </w:rPr>
        <w:footnoteReference w:id="822"/>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المنسوب إلى الأكثر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مطلقا ، وقد نقل الآمدي الإجماع عليه </w:t>
      </w:r>
      <w:r>
        <w:rPr>
          <w:rStyle w:val="FootnoteAnchor"/>
          <w:rtl w:val="true"/>
        </w:rPr>
        <w:footnoteReference w:id="824"/>
      </w:r>
      <w:r>
        <w:rPr>
          <w:rFonts w:ascii="Amiri" w:hAnsi="Amiri" w:eastAsia="Amiri" w:cs="Amiri"/>
          <w:color w:val="111111"/>
          <w:sz w:val="28"/>
          <w:sz w:val="28"/>
          <w:szCs w:val="28"/>
          <w:rtl w:val="true"/>
          <w:lang w:bidi="ar-SA"/>
        </w:rPr>
        <w:t>كما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فيه المحقّق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الموجود من عبارة إحكامه دعوى اتّفاق أصحابه والمعتزلة عليه ، ونسب الخلاف إلى بعض الاصوليّة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مطلقا ، وقد نسبه الآمدي كما تقدّم إلى البعض ، إلاّ أنّ المحقّق المذكور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عبارة المنهاج وجود القائل به </w:t>
      </w:r>
      <w:r>
        <w:rPr>
          <w:rStyle w:val="FootnoteAnchor"/>
          <w:rtl w:val="true"/>
        </w:rPr>
        <w:footnoteReference w:id="826"/>
      </w:r>
      <w:r>
        <w:rPr>
          <w:rFonts w:ascii="Amiri" w:hAnsi="Amiri" w:eastAsia="Amiri" w:cs="Amiri"/>
          <w:color w:val="111111"/>
          <w:sz w:val="28"/>
          <w:sz w:val="28"/>
          <w:szCs w:val="28"/>
          <w:rtl w:val="true"/>
          <w:lang w:bidi="ar-SA"/>
        </w:rPr>
        <w:t xml:space="preserve">، ويحتمله عبارة المختصر </w:t>
      </w:r>
      <w:r>
        <w:rPr>
          <w:rStyle w:val="FootnoteAnchor"/>
          <w:rtl w:val="true"/>
        </w:rPr>
        <w:footnoteReference w:id="827"/>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وغيره ، فقالوا بالوجوب في الأوّل وبعدمه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نسبه البعض </w:t>
      </w:r>
      <w:r>
        <w:rPr>
          <w:rStyle w:val="FootnoteAnchor"/>
          <w:rtl w:val="true"/>
        </w:rPr>
        <w:footnoteReference w:id="829"/>
      </w:r>
      <w:r>
        <w:rPr>
          <w:rFonts w:ascii="Amiri" w:hAnsi="Amiri" w:eastAsia="Amiri" w:cs="Amiri"/>
          <w:color w:val="111111"/>
          <w:sz w:val="28"/>
          <w:sz w:val="28"/>
          <w:szCs w:val="28"/>
          <w:rtl w:val="true"/>
          <w:lang w:bidi="ar-SA"/>
        </w:rPr>
        <w:t xml:space="preserve">إلى الواقفيّة ، واختاره صاحب المعالم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نسبه </w:t>
      </w:r>
    </w:p>
    <w:p>
      <w:pPr>
        <w:pStyle w:val="BookText"/>
        <w:rPr/>
      </w:pPr>
      <w:r>
        <w:rPr>
          <w:rFonts w:ascii="Amiri" w:hAnsi="Amiri" w:eastAsia="Amiri" w:cs="Amiri"/>
          <w:color w:val="111111"/>
          <w:sz w:val="28"/>
          <w:sz w:val="28"/>
          <w:szCs w:val="28"/>
          <w:rtl w:val="true"/>
          <w:lang w:bidi="ar-SA"/>
        </w:rPr>
        <w:t xml:space="preserve">العلاّمة </w:t>
      </w:r>
      <w:r>
        <w:rPr>
          <w:rStyle w:val="FootnoteAnchor"/>
          <w:rtl w:val="true"/>
        </w:rPr>
        <w:footnoteReference w:id="831"/>
      </w:r>
      <w:r>
        <w:rPr>
          <w:rFonts w:ascii="Amiri" w:hAnsi="Amiri" w:eastAsia="Amiri" w:cs="Amiri"/>
          <w:color w:val="111111"/>
          <w:sz w:val="28"/>
          <w:sz w:val="28"/>
          <w:szCs w:val="28"/>
          <w:rtl w:val="true"/>
          <w:lang w:bidi="ar-SA"/>
        </w:rPr>
        <w:t xml:space="preserve">إلى السيّد ، وعبارته على ما نقلناها عن الذريعة </w:t>
      </w:r>
      <w:r>
        <w:rPr>
          <w:rStyle w:val="FootnoteAnchor"/>
          <w:rtl w:val="true"/>
        </w:rPr>
        <w:footnoteReference w:id="832"/>
      </w:r>
      <w:r>
        <w:rPr>
          <w:rFonts w:ascii="Amiri" w:hAnsi="Amiri" w:eastAsia="Amiri" w:cs="Amiri"/>
          <w:color w:val="111111"/>
          <w:sz w:val="28"/>
          <w:sz w:val="28"/>
          <w:szCs w:val="28"/>
          <w:rtl w:val="true"/>
          <w:lang w:bidi="ar-SA"/>
        </w:rPr>
        <w:t xml:space="preserve">ممّا لا تأباه بحسب الأنظار البادئة ، إلاّ أنّ مساق كلامه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 كما تفطّن له صاحب المعالم </w:t>
      </w:r>
      <w:r>
        <w:rPr>
          <w:rStyle w:val="FootnoteAnchor"/>
          <w:rtl w:val="true"/>
        </w:rPr>
        <w:footnoteReference w:id="833"/>
      </w:r>
      <w:r>
        <w:rPr>
          <w:rFonts w:ascii="IRNazanin" w:hAnsi="IRNazanin" w:eastAsia="IRNazanin"/>
          <w:color w:val="111111"/>
          <w:sz w:val="28"/>
          <w:sz w:val="28"/>
          <w:szCs w:val="28"/>
          <w:rtl w:val="true"/>
          <w:lang w:bidi="fa-IR"/>
        </w:rPr>
        <w:t xml:space="preserve">، وقد اعترضه </w:t>
      </w:r>
      <w:r>
        <w:rPr>
          <w:rStyle w:val="FootnoteAnchor"/>
          <w:rtl w:val="true"/>
        </w:rPr>
        <w:footnoteReference w:id="834"/>
      </w:r>
      <w:r>
        <w:rPr>
          <w:rFonts w:ascii="Amiri" w:hAnsi="Amiri" w:eastAsia="Amiri" w:cs="Amiri"/>
          <w:color w:val="111111"/>
          <w:sz w:val="28"/>
          <w:sz w:val="28"/>
          <w:szCs w:val="28"/>
          <w:rtl w:val="true"/>
          <w:lang w:bidi="ar-SA"/>
        </w:rPr>
        <w:t xml:space="preserve">الكاظمي في شرح الوافية </w:t>
      </w:r>
      <w:r>
        <w:rPr>
          <w:rStyle w:val="FootnoteAnchor"/>
          <w:rtl w:val="true"/>
        </w:rPr>
        <w:footnoteReference w:id="835"/>
      </w:r>
      <w:r>
        <w:rPr>
          <w:rFonts w:ascii="IRNazanin" w:hAnsi="IRNazanin" w:eastAsia="IRNazanin"/>
          <w:color w:val="111111"/>
          <w:sz w:val="28"/>
          <w:sz w:val="28"/>
          <w:szCs w:val="28"/>
          <w:rtl w:val="true"/>
          <w:lang w:bidi="fa-IR"/>
        </w:rPr>
        <w:t xml:space="preserve">والمحصول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 سابقا غنية عن إطالة الكلام في المقام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الحاجبي </w:t>
      </w:r>
      <w:r>
        <w:rPr>
          <w:rStyle w:val="FootnoteAnchor"/>
          <w:rtl w:val="true"/>
        </w:rPr>
        <w:footnoteReference w:id="837"/>
      </w:r>
      <w:r>
        <w:rPr>
          <w:rFonts w:ascii="Amiri" w:hAnsi="Amiri" w:eastAsia="Amiri" w:cs="Amiri"/>
          <w:color w:val="111111"/>
          <w:sz w:val="28"/>
          <w:sz w:val="28"/>
          <w:szCs w:val="28"/>
          <w:rtl w:val="true"/>
          <w:lang w:bidi="ar-SA"/>
        </w:rPr>
        <w:t xml:space="preserve">، وتبعه العضدي </w:t>
      </w:r>
      <w:r>
        <w:rPr>
          <w:rStyle w:val="FootnoteAnchor"/>
          <w:rtl w:val="true"/>
        </w:rPr>
        <w:footnoteReference w:id="838"/>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254_218663"/>
      <w:bookmarkStart w:id="280" w:name="pg16254_218663"/>
      <w:bookmarkEnd w:id="280"/>
    </w:p>
    <w:p>
      <w:pPr>
        <w:pStyle w:val="Heading3"/>
        <w:numPr>
          <w:ilvl w:val="2"/>
          <w:numId w:val="1"/>
        </w:numPr>
        <w:rPr/>
      </w:pPr>
      <w:bookmarkStart w:id="281" w:name="pg16254_218663"/>
      <w:bookmarkStart w:id="282" w:name="__RefHeading___Toc4418304_1280447820"/>
      <w:bookmarkStart w:id="283" w:name="_Toc89"/>
      <w:bookmarkEnd w:id="281"/>
      <w:bookmarkEnd w:id="282"/>
      <w:r>
        <w:rPr>
          <w:rtl w:val="true"/>
        </w:rPr>
        <w:t>هداية</w:t>
      </w:r>
      <w:bookmarkEnd w:id="283"/>
    </w:p>
    <w:p>
      <w:pPr>
        <w:pStyle w:val="BookText"/>
        <w:rPr/>
      </w:pPr>
      <w:r>
        <w:rPr>
          <w:rFonts w:ascii="Amiri" w:hAnsi="Amiri" w:eastAsia="Amiri" w:cs="Amiri"/>
          <w:color w:val="111111"/>
          <w:sz w:val="28"/>
          <w:sz w:val="28"/>
          <w:szCs w:val="28"/>
          <w:rtl w:val="true"/>
          <w:lang w:bidi="ar-SA"/>
        </w:rPr>
        <w:t>في ذكر حجج القائلين بالإثبات</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بالوجوب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أسدّها وأقومها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احتجّ به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الوجدان السليم والطبع المستقيم بذلك ، فإنّ من راجع وجدانه وأنصف من نفسه مع خلوّ طبيعته عن الاعوجاج الفطري وبراءة قريحته عن اللجاج الطبيعي ، يحكم حكما على وجه الجزم واليقين بثبوت الملازمة بين الطلب المتعلّق بالفعل وبين الطلب المتعلّق بمقدّماته على الوجه الذي أشرنا إليه في تحرير محلّ الكلام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ونزيدك توضيحا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ليس تعلّق طلب فعلي بالمقدّمة على وجه تعلّقه بذيها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قضت ببطلانه ، لجواز الغفلة عن المقدّمات بل واعتقاد عدم التوقّف بينهما ، بل المقصود أنّ المريد للشيء لو راجع وجدانه يجد من نفسه حالة إجماليّة طلبيّة متعلّقة بمقدّماته على وجه لو حاول كشف تلك الحالة وتفصيلها لكان ذلك في قالب الأمر والطلب التفصيلي ، كما يرى مثل ذلك من </w:t>
      </w:r>
      <w:r>
        <w:rPr>
          <w:rStyle w:val="FootnoteAnchor"/>
          <w:rtl w:val="true"/>
        </w:rPr>
        <w:footnoteReference w:id="839"/>
      </w:r>
      <w:r>
        <w:rPr>
          <w:rFonts w:ascii="Amiri" w:hAnsi="Amiri" w:eastAsia="Amiri" w:cs="Amiri"/>
          <w:color w:val="111111"/>
          <w:sz w:val="28"/>
          <w:sz w:val="28"/>
          <w:szCs w:val="28"/>
          <w:rtl w:val="true"/>
          <w:lang w:bidi="ar-SA"/>
        </w:rPr>
        <w:t>محبوبيّة إنقاذ الولد وإن لم يكن عالما به بل وبالنسبة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الذهول عن الشيء لا يقضي بسلب جميع أنحاء الوجود عن الشيء ، وكم من امور مركوزة في الخاطر مع انتفاء الالتفات إليه حتّى أنّ تلك الحالة حالة يمكن النزاع في كونها من سنخ الطلب </w:t>
      </w:r>
    </w:p>
    <w:p>
      <w:pPr>
        <w:pStyle w:val="BookText"/>
        <w:rPr/>
      </w:pPr>
      <w:r>
        <w:rPr>
          <w:rFonts w:ascii="Amiri" w:hAnsi="Amiri" w:eastAsia="Amiri" w:cs="Amiri"/>
          <w:color w:val="111111"/>
          <w:sz w:val="28"/>
          <w:sz w:val="28"/>
          <w:szCs w:val="28"/>
          <w:rtl w:val="true"/>
          <w:lang w:bidi="ar-SA"/>
        </w:rPr>
        <w:t>أو لا ، على 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ثمرة الكلام في أوامره تعالى ، ومن المعلوم انتفاء الاحتمال في حقّه تعالى وإن كان عنوان البحث يعمّه وغيره أيضا ، كما في سائر المباحث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أن يكون ربطا بين المقدّمة وذيها من حيث الطلب هو ما ذكرناه وإن اختلفت شئونه وأطواره في الإجمال والتفصيل ، فتارة يتقمّص قميص الوجود الأصلي التفصيلي ويظهر في مظاهر الطلب والأمر من الامور التي يكشف عنه ، وأخرى يتجلّى </w:t>
      </w:r>
      <w:r>
        <w:rPr>
          <w:rStyle w:val="FootnoteAnchor"/>
          <w:rtl w:val="true"/>
        </w:rPr>
        <w:footnoteReference w:id="840"/>
      </w:r>
      <w:r>
        <w:rPr>
          <w:rFonts w:ascii="Amiri" w:hAnsi="Amiri" w:eastAsia="Amiri" w:cs="Amiri"/>
          <w:color w:val="111111"/>
          <w:sz w:val="28"/>
          <w:sz w:val="28"/>
          <w:szCs w:val="28"/>
          <w:rtl w:val="true"/>
          <w:lang w:bidi="ar-SA"/>
        </w:rPr>
        <w:t>بكسوة الوجود التبعي الإجمالي ، وهو في هذه الحالة ممّا لا يعقل أن يكون له عبارة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هو مراد من ادّعى الضرورة في ذلك ، كما نقل عن المحقّق الدواني </w:t>
      </w:r>
      <w:r>
        <w:rPr>
          <w:rStyle w:val="FootnoteAnchor"/>
          <w:rtl w:val="true"/>
        </w:rPr>
        <w:footnoteReference w:id="841"/>
      </w:r>
      <w:r>
        <w:rPr>
          <w:rFonts w:ascii="Amiri" w:hAnsi="Amiri" w:eastAsia="Amiri" w:cs="Amiri"/>
          <w:color w:val="111111"/>
          <w:sz w:val="28"/>
          <w:sz w:val="28"/>
          <w:szCs w:val="28"/>
          <w:rtl w:val="true"/>
          <w:lang w:bidi="ar-SA"/>
        </w:rPr>
        <w:t>، وإلاّ فالظاهر أن ليس المراد بها ضرورة الدين على نحو ما يدّعى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فلعلّ الحكم بالوجوب ليس بهذه المكانة </w:t>
      </w:r>
      <w:r>
        <w:rPr>
          <w:rStyle w:val="FootnoteAnchor"/>
          <w:rtl w:val="true"/>
        </w:rPr>
        <w:footnoteReference w:id="842"/>
      </w:r>
      <w:r>
        <w:rPr>
          <w:rFonts w:ascii="Amiri" w:hAnsi="Amiri" w:eastAsia="Amiri" w:cs="Amiri"/>
          <w:color w:val="111111"/>
          <w:sz w:val="28"/>
          <w:sz w:val="28"/>
          <w:szCs w:val="28"/>
          <w:rtl w:val="true"/>
          <w:lang w:bidi="ar-SA"/>
        </w:rPr>
        <w:t xml:space="preserve">من الظهور ، كما نبّهنا عليه فيما تقدّم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بثبوت الملازمة يحتاج إلى وسط في التصديق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بشهادة الوجدان بذلك ، ومن المعلوم أنّ الوجدانيّات من القضايا الضروريّة ، بل المقصود أنّ الحكم بذلك ليس على وجه يعدّ منكره مكابرا لاحتمال تطرّق الشبهة فيه كثيرا ، بخلاف غيره ، ضرورة اختلاف مراتب المعلومات شدّة وضعفا وإن كانت من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ممّا قرع سمعك فيما تقدّم أنّ الحكم المذكور من الأحكام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جميع أرباب العقول على ذلك على وجه يكشف عن ثبوت المتّفق عليه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مراد من ادّعى الإجماع على ذلك ، نظير ما قد ادّعاه بعض أساطين المعقول من إجماع أرباب الملل على حدوث العالم بالحدوث الزماني وكونه مسبوقا بالعدم الواقعي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فساد ما 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الإجماع في المسألة الاصوليّة غير ثابت الحجيّة ، إذ بعد الغضّ عن أنّ الإجماع في محلّه حقيقة لا وجه للمنع عن حجيّته وإن كانت مسألة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كان المراد هو الإجماع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الوجه الذي قرّرناه فلا مساق للكلام المذكور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جماعة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البصري </w:t>
      </w:r>
      <w:r>
        <w:rPr>
          <w:rStyle w:val="FootnoteAnchor"/>
          <w:rtl w:val="true"/>
        </w:rPr>
        <w:footnoteReference w:id="845"/>
      </w:r>
      <w:r>
        <w:rPr>
          <w:rFonts w:ascii="Amiri" w:hAnsi="Amiri" w:eastAsia="Amiri" w:cs="Amiri"/>
          <w:color w:val="111111"/>
          <w:sz w:val="28"/>
          <w:sz w:val="28"/>
          <w:szCs w:val="28"/>
          <w:rtl w:val="true"/>
          <w:lang w:bidi="ar-SA"/>
        </w:rPr>
        <w:t xml:space="preserve">، وتبعه في ذلك من تأخّر عنه </w:t>
      </w:r>
      <w:r>
        <w:rPr>
          <w:rStyle w:val="FootnoteAnchor"/>
          <w:rtl w:val="true"/>
        </w:rPr>
        <w:footnoteReference w:id="846"/>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لو لم تكن واجبة لجاز تركها ، فحينئذ فإن بقي الواجب على وجوبه يلزم التكليف بالمحال ، وإلاّ يلزم خروج الواجب المطلق عن كونه واجبا مطلقا وقد فرضناه كذلك ، وبطلان اللازمين ممّا لا كلام فيه ، فكذا الملزوم ، فيجب أن تكون واجبة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عدم الوجوب المذكور في المقدّم في الشرطيّة الاولى أعمّ من أن يكون بفقد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بفقد الفصل فقط ، والمراد من الجواز المأخوذ في التالي فيها هو مجرّد اللاحرج الملحوظ في </w:t>
      </w:r>
    </w:p>
    <w:p>
      <w:pPr>
        <w:pStyle w:val="BookText"/>
        <w:rPr/>
      </w:pPr>
      <w:r>
        <w:rPr>
          <w:rFonts w:ascii="Amiri" w:hAnsi="Amiri" w:eastAsia="Amiri" w:cs="Amiri"/>
          <w:color w:val="111111"/>
          <w:sz w:val="28"/>
          <w:sz w:val="28"/>
          <w:szCs w:val="28"/>
          <w:rtl w:val="true"/>
          <w:lang w:bidi="ar-SA"/>
        </w:rPr>
        <w:t xml:space="preserve">أفعال الصبيان والمجانين ، فإنّ ارتفاع الوجوب </w:t>
      </w:r>
      <w:r>
        <w:rPr>
          <w:rStyle w:val="FootnoteAnchor"/>
          <w:rtl w:val="true"/>
        </w:rPr>
        <w:footnoteReference w:id="847"/>
      </w:r>
      <w:r>
        <w:rPr>
          <w:rFonts w:ascii="Amiri" w:hAnsi="Amiri" w:eastAsia="Amiri" w:cs="Amiri"/>
          <w:color w:val="111111"/>
          <w:sz w:val="28"/>
          <w:sz w:val="28"/>
          <w:szCs w:val="28"/>
          <w:rtl w:val="true"/>
          <w:lang w:bidi="ar-SA"/>
        </w:rPr>
        <w:t>يوجب عدم الحرج في الترك ، ضرورة استحالة ارتفاع النقيضين ، فالترك عند عدم الوجوب يكون ممّا لا حرج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عسى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الوجوب لا يوجب الجواز على وجه الإباحة الشرعيّة ، لأنّ اللابدّية التي مرجعها إلى معنى المقدّمة يمنع من ورود حكم شرعي عدا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إذا كان ذوها موردا للوجوب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 في دفع بعض الثمرات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في الشرطيّة الاولى ممّا لا غبار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اضيف إليه الظرف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استفاده صاحب المعالم ، وهو الجواز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لا يعقل أن يكون مؤثّرا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البعض إلى السبزواري </w:t>
      </w:r>
      <w:r>
        <w:rPr>
          <w:rStyle w:val="FootnoteAnchor"/>
          <w:rtl w:val="true"/>
        </w:rPr>
        <w:footnoteReference w:id="849"/>
      </w:r>
      <w:r>
        <w:rPr>
          <w:rFonts w:ascii="Amiri" w:hAnsi="Amiri" w:eastAsia="Amiri" w:cs="Amiri"/>
          <w:color w:val="111111"/>
          <w:sz w:val="28"/>
          <w:sz w:val="28"/>
          <w:szCs w:val="28"/>
          <w:rtl w:val="true"/>
          <w:lang w:bidi="ar-SA"/>
        </w:rPr>
        <w:t>، وهو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مجرّد الترك لا يلازم اللازمين المذكورين ؛ إذ الترك على تقدير الوجوب بمنزلة ترك نفس الواجب ، فيختار ارتفاع التكليف ولا يلزم خروج الواجب عن كونه واجبا ، لأنّ ارتفاعه إمّا بالامتثال أو بتحقّق المعصية ، وعند الوجوب إنّما يرتفع بواسطة تحقّق العصيان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الترك على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الدليل ، فيترتّب عليه أحد المحذورين بحسب الظاهر ، لأنّ جواز ترك المقدّمة مع وجوب </w:t>
      </w:r>
    </w:p>
    <w:p>
      <w:pPr>
        <w:pStyle w:val="BookText"/>
        <w:rPr/>
      </w:pPr>
      <w:r>
        <w:rPr>
          <w:rFonts w:ascii="Amiri" w:hAnsi="Amiri" w:eastAsia="Amiri" w:cs="Amiri"/>
          <w:color w:val="111111"/>
          <w:sz w:val="28"/>
          <w:sz w:val="28"/>
          <w:szCs w:val="28"/>
          <w:rtl w:val="true"/>
          <w:lang w:bidi="ar-SA"/>
        </w:rPr>
        <w:t>ذيها عند الترك يوجب التكليف بما لا يطاق على تقدير ثبوت التكليف ، وخروج الواجب عن وجوبه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افيد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توجيه الدليل على وجه لا يعدّ هجرا من الكلام ، وإلاّ فالحقّ أنّ ذلك لا يجدي في دفع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تفسير الجواز بمجرّد اللاحرج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أنّه خلاف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الدليل فإنّه ظاهر في الجواز بمعنى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وقع له ، فإنّ ذلك يوجب خلوّ الواقعة عن الحكم ، والتزامه لعلّه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تقييد الترك بالجواز بمعنى اللاحرج لا يجدي في ترتّب أحد المحذورين ، لأنّ الوجه في لزوم الشقّ الثاني من الترديد في الحقيقة هو التناقض الثابت على تقدير الترخيص ووجوب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الملاحظ في لبّ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انتفاء الحكم الترخيصي لا يلازمه ، لأنّ ارتفاع الوجوب إنّما هو بواسطة تحقّق المعصية عند ترك المقدّمة ، وذلك ظاهر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أجيب عن الدليل تارة بعد اختيار الشقّ الأوّل من الترديد بمنع الملازمة ، إذ الممتنع إنّما هو الإتيان بذي المقدّمة بشرط عدم المقدّمة لا في حال عدمها ، ضرورة ثبوت الفرق بين المشروطة بشرط الوصف وبينها ما دام الوصف ، كما في تكليف الكفّار بالفروع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اخرى بمنع بطلان التالي ، نظرا إلى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الممتنع بالاختيار لا ينافي الاختيار ، فإنّ المكلّف بالفعل بعد ما أقدم على ترك المقدّمة وصار بنفسه سببا لامتناع الفعل في حقّه لا مانع من تعلّق التكليف به ووجوبه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المحقّقين قد تكلّف في دفعه وجها آخر ، حيث أفاد في حاشيته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الامتناع من أيّ جهة كان يوجب قبح الطلب </w:t>
      </w:r>
    </w:p>
    <w:p>
      <w:pPr>
        <w:pStyle w:val="BookText"/>
        <w:rPr/>
      </w:pPr>
      <w:r>
        <w:rPr>
          <w:rFonts w:ascii="Amiri" w:hAnsi="Amiri" w:eastAsia="Amiri" w:cs="Amiri"/>
          <w:color w:val="111111"/>
          <w:sz w:val="28"/>
          <w:sz w:val="28"/>
          <w:szCs w:val="28"/>
          <w:rtl w:val="true"/>
          <w:lang w:bidi="ar-SA"/>
        </w:rPr>
        <w:t xml:space="preserve">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أوامر الشارع للمكلّفين </w:t>
      </w:r>
      <w:r>
        <w:rPr>
          <w:rStyle w:val="FootnoteAnchor"/>
          <w:rtl w:val="true"/>
        </w:rPr>
        <w:footnoteReference w:id="851"/>
      </w:r>
      <w:r>
        <w:rPr>
          <w:rFonts w:ascii="Amiri" w:hAnsi="Amiri" w:eastAsia="Amiri" w:cs="Amiri"/>
          <w:color w:val="111111"/>
          <w:sz w:val="28"/>
          <w:sz w:val="28"/>
          <w:szCs w:val="28"/>
          <w:rtl w:val="true"/>
          <w:lang w:bidi="ar-SA"/>
        </w:rPr>
        <w:t xml:space="preserve">ليس على قياس </w:t>
      </w:r>
      <w:r>
        <w:rPr>
          <w:rStyle w:val="FootnoteAnchor"/>
          <w:rtl w:val="true"/>
        </w:rPr>
        <w:footnoteReference w:id="852"/>
      </w:r>
      <w:r>
        <w:rPr>
          <w:rFonts w:ascii="Amiri" w:hAnsi="Amiri" w:eastAsia="Amiri" w:cs="Amiri"/>
          <w:color w:val="111111"/>
          <w:sz w:val="28"/>
          <w:sz w:val="28"/>
          <w:szCs w:val="28"/>
          <w:rtl w:val="true"/>
          <w:lang w:bidi="ar-SA"/>
        </w:rPr>
        <w:t xml:space="preserve">أوامر الملوك والحكّام الّذين غرضهم حصول نفس الفعل ودخوله في الوجود لمصلحة لهم في وجوده حتّى إذا فات وامتنع حصوله كان طلبه سفها وعبثا ، بل أوامر الشارع من قبيل أوامر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بحاله كذا ، وإن فعل كذا كان أثره كذا ، وإن فعل بخلافه كان أثره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باق في جميع المراتب لا ينافيه عروض الامتناع بالاختيار للفعل ، إذ بعد ذلك أيضا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فات عنه ما هو لائق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الفوت الأثر الذي كان أثره ، وليس معنى كونه مكلّفا حينئذ إلاّ هذا ، ولا يتعلّق للشارع غرض بحصول ذلك الفعل ووجوده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يتصوّر حينئذ </w:t>
      </w:r>
      <w:r>
        <w:rPr>
          <w:rStyle w:val="FootnoteAnchor"/>
          <w:rtl w:val="true"/>
        </w:rPr>
        <w:footnoteReference w:id="853"/>
      </w:r>
      <w:r>
        <w:rPr>
          <w:rFonts w:ascii="IRNazanin" w:hAnsi="IRNazanin" w:eastAsia="IRNazanin"/>
          <w:color w:val="111111"/>
          <w:sz w:val="28"/>
          <w:sz w:val="28"/>
          <w:szCs w:val="28"/>
          <w:rtl w:val="true"/>
          <w:lang w:bidi="fa-IR"/>
        </w:rPr>
        <w:t>، انتهى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الفرق بين المشروطتين إنّما يجدي فيما إذا كان الإتيان بالفعل في الآن الثاني من زمان الامتناع ممكنا ، كما إذا كانت المقدّمة الّتي صار تركها موجبا لامتناع الفعل من الأفعال الاختياريّة مع بقاء الاختيار بالنسبة إليها أيضا ، كما في مثال تكليف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المقدّمة المتروكة ممّا لا يتمكّن المكلّف من الإتيان بها في الآن الثاني من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للفرق بين المشروطتين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الفرق بينهما إنّما هو بواسطة إمكان انقلاب الوصف إلى نقيضه في المشروطة ما دام الوصف ، وامتناعه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فرضنا من أنّ الكلام في المقدّمة المتروكة الّتي لا يمكن للمكلّف الإتيان بها وإدخالها في الوجود </w:t>
      </w:r>
    </w:p>
    <w:p>
      <w:pPr>
        <w:pStyle w:val="BookText"/>
        <w:rPr/>
      </w:pPr>
      <w:r>
        <w:rPr>
          <w:rFonts w:ascii="Amiri" w:hAnsi="Amiri" w:eastAsia="Amiri" w:cs="Amiri"/>
          <w:color w:val="111111"/>
          <w:sz w:val="28"/>
          <w:sz w:val="28"/>
          <w:szCs w:val="28"/>
          <w:rtl w:val="true"/>
          <w:lang w:bidi="ar-SA"/>
        </w:rPr>
        <w:t>ولو بالعرض فلا وجه للفرق المذكور ، ألا ترى أنّ الوجه المذكور لا ينهض مصحّحا للقول بتكليف المرتدّ الفطري بناء على عدم قبول التوبة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فساد ما قد يظهر من المعالم وبعض الناظرين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الكلام إنّما هو فيما هو مقدور بالنظر إلى ذات المكلّف به والزمان والمكان وسائر الامور الخارجة سوى إرادة المكلّف واختياره ، فكيف يصير ممتنعا امتناعا مانعا عن تعلّق التكليف بمجرّد إرادته واختياره؟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لما تحقّق عاص بترك الواجبات مثلا ، إذ الفعل ممتنع فيه بالنظر إلى إرادته واختياره عدمه </w:t>
      </w:r>
      <w:r>
        <w:rPr>
          <w:rStyle w:val="FootnoteAnchor"/>
          <w:rtl w:val="true"/>
        </w:rPr>
        <w:footnoteReference w:id="8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يذهب وهم إلى أنّ مدار الاستدلال على ترك مقدّمة اختياريّة يمكن الإتيان بها في الآن الثاني ، ومع ذلك اختلط عليهما الأمر؟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تسليم ذلك في مثل تكليف الكفّار بالفروع إنّما هو على سبيل التنزّل وفي بادئ النظر ، وإلاّ فالنظر الدقيق ممّا يحيل ذلك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الفعل حال عدم المقدّمة إن اريد به الإمكان الذاتي مع قطع النظر عن وقوعه في الوجود ، فلا يفرق ذلك بين أن يؤخذ بشرط الوصف أو في حال الوصف ، ضرورة اجتماع الإمكان الذاتي مع الامتناع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الإمكان بمعنى وقوعه في الخارج ووجوده فيه فالضرورة قاضية بامتناع الوجود حال العدم ، وإنّما الفرق إنّما هو بالنسبة إلى الآن الثاني من زمان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في الغاية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تحقيق القول فيما تداول بينهم ، من أنّ الممتنع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بالمنافاة مطلقا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بها فيما إذا لم يكن </w:t>
      </w:r>
    </w:p>
    <w:p>
      <w:pPr>
        <w:pStyle w:val="BookText"/>
        <w:rPr/>
      </w:pPr>
      <w:r>
        <w:rPr>
          <w:rFonts w:ascii="Amiri" w:hAnsi="Amiri" w:eastAsia="Amiri" w:cs="Amiri"/>
          <w:color w:val="111111"/>
          <w:sz w:val="28"/>
          <w:sz w:val="28"/>
          <w:szCs w:val="28"/>
          <w:rtl w:val="true"/>
          <w:lang w:bidi="ar-SA"/>
        </w:rPr>
        <w:t xml:space="preserve">الاختيار باقيا ، كما في تكليف الكفّار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بين الخطاب فقال بها ، والعقاب فقال بعدمها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إنّما اشتهرت بين العدليّة كقضيّة اخرى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القضيّتان إنّما سيقتا </w:t>
      </w:r>
      <w:r>
        <w:rPr>
          <w:rStyle w:val="FootnoteAnchor"/>
          <w:rtl w:val="true"/>
        </w:rPr>
        <w:footnoteReference w:id="858"/>
      </w:r>
      <w:r>
        <w:rPr>
          <w:rFonts w:ascii="Amiri" w:hAnsi="Amiri" w:eastAsia="Amiri" w:cs="Amiri"/>
          <w:color w:val="111111"/>
          <w:sz w:val="28"/>
          <w:sz w:val="28"/>
          <w:szCs w:val="28"/>
          <w:rtl w:val="true"/>
          <w:lang w:bidi="ar-SA"/>
        </w:rPr>
        <w:t xml:space="preserve">في قبال الأشعري القائل بأنّ بعد وجود العلّة التامّة لأحد طرفي الممكن لا يعقل القول ببقاء الاختيار لامتناع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التجأ بعض الأخباريّة من أصحابنا </w:t>
      </w:r>
      <w:r>
        <w:rPr>
          <w:rStyle w:val="FootnoteAnchor"/>
          <w:rtl w:val="true"/>
        </w:rPr>
        <w:footnoteReference w:id="859"/>
      </w:r>
      <w:r>
        <w:rPr>
          <w:rFonts w:ascii="Amiri" w:hAnsi="Amiri" w:eastAsia="Amiri" w:cs="Amiri"/>
          <w:color w:val="111111"/>
          <w:sz w:val="28"/>
          <w:sz w:val="28"/>
          <w:szCs w:val="28"/>
          <w:rtl w:val="true"/>
          <w:lang w:bidi="ar-SA"/>
        </w:rPr>
        <w:t xml:space="preserve">إلى جواز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عدمها يمتنع وجود الفعل لبطلان الأولويّة الذاتيّة ، فإنّ الشيء ما لم يجب لم يوجد وما لم ينسدّ جميع أنحاء وجوده ولم يمتنع لم يعدم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الامتناع الحاصل بسبب اختيار الفاعل أحد طرفي الفعل الممكن صدوره وعدمه منه لا ينافي كون الفعل اختياريّا للمكلّف والفاعل ، فيعاقب عليه أو يثاب لأجله ؛ ومن هنا تراهم يعقّبونه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التأكيد إنّما هو بواسطة أنّ الامتناع إنّما هو بواسطة اختيار المكلّف صدور الفعل ، ولا مدخل لذلك فيما نحن بصدده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مطلبين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الاختياري هل يخرج عن كونه اختياريّا بواسطة عروض الامتناع عليه حين اختيار الفاعل أحد طرفي الفعل أولا؟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عروض الامتناع له ولو بواسطة الاختيار هل يصحّ التكليف بذلك الفعل الممتنع أولا؟ والقضية المذكورة إنّما هي مسوقة في المقام </w:t>
      </w:r>
    </w:p>
    <w:p>
      <w:pPr>
        <w:pStyle w:val="BookText"/>
        <w:rPr/>
      </w:pPr>
      <w:r>
        <w:rPr>
          <w:rFonts w:ascii="Amiri" w:hAnsi="Amiri" w:eastAsia="Amiri" w:cs="Amiri"/>
          <w:color w:val="111111"/>
          <w:sz w:val="28"/>
          <w:sz w:val="28"/>
          <w:szCs w:val="28"/>
          <w:rtl w:val="true"/>
          <w:lang w:bidi="ar-SA"/>
        </w:rPr>
        <w:t>الأوّل ، ولا مدخل لها بالمقام الثاني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القواعد العدليّة فسادها في الثانية مع أنّها موروثة عن الأساطين ، بل وعليه أساس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أدلّة امتناع التكليف بالمحال قائمة فيها من لزوم السفه على الآمر ، بل عدم تأتّي الطلب مع العلم بامتناع المأمور به ، وتقبيح العقلاء لمن طلب أمرا ممتنعا من غير انتظار منهم لأن يستعلم بأنّ الامتناع إنّما نشأ من المأمور أو من غيره ، ولو اريد استكشاف ذلك لكان المستكشف ملحقا بأصحاب السوداء ويكون كلامه من مقالة أرباب الجنون ، فإنّه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اعتبار الإمكان في المأمور به ليس إلاّ أن يكون الفعل متعلّقا لقدرة المكلّف ، والمفروض أنّ القدرة باقية بعد الاختيار ، إذ لولاه لزم خروج الفعل بعد صدوره عن مقدرة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كلام خال عن التحصيل جدّا ، فإنّ الدليل على اعتبار القدرة في الفعل المأمور به هو العقل ، وهو قاض باعتبار صفة في الفعل على وجه يمكن أن يكون ذلك متعلّقا لاختيار المكلّف أحد طرفيه بالفعل ، وهذا هو المراد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 بعد الاختيار لا يخرج الفعل عن 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في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بواسطة أنّ المراد بها ليس ما ذكرنا ، وإلاّ فعلى ما عرفت المراد منها كيف يعقل القول ببقاء القدرة بعد الاختيار وعروض الامتناع ولو بواسطة الاختيار؟</w:t>
      </w:r>
    </w:p>
    <w:p>
      <w:pPr>
        <w:pStyle w:val="BookText"/>
        <w:rPr/>
      </w:pPr>
      <w:r>
        <w:rPr>
          <w:rFonts w:ascii="Amiri" w:hAnsi="Amiri" w:eastAsia="Amiri" w:cs="Amiri"/>
          <w:color w:val="111111"/>
          <w:sz w:val="28"/>
          <w:sz w:val="28"/>
          <w:szCs w:val="28"/>
          <w:rtl w:val="true"/>
          <w:lang w:bidi="ar-SA"/>
        </w:rPr>
        <w:t xml:space="preserve">ومن هنا ينقدح لك أنّ القولين الآخرين </w:t>
      </w:r>
      <w:r>
        <w:rPr>
          <w:rStyle w:val="FootnoteAnchor"/>
          <w:rtl w:val="true"/>
        </w:rPr>
        <w:footnoteReference w:id="860"/>
      </w:r>
      <w:r>
        <w:rPr>
          <w:rFonts w:ascii="Amiri" w:hAnsi="Amiri" w:eastAsia="Amiri" w:cs="Amiri"/>
          <w:color w:val="111111"/>
          <w:sz w:val="28"/>
          <w:sz w:val="28"/>
          <w:szCs w:val="28"/>
          <w:rtl w:val="true"/>
          <w:lang w:bidi="ar-SA"/>
        </w:rPr>
        <w:t>في المسألة ممّا لا مساق لهما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اشتباه نبّهنا عليه في الجواب عن الاعتراض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العقاب على فعل غير مقدور ممّا لا يستحسنه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اريد بالعقاب هو العقاب بواسطة تفويته التكليف وتسبيبه لعروض الامتناع لم يكن بعيدا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يتأتّى على مذهب العدليّة هو القول الأوّل ، ولا وجه للمنع عن بطلان التالي في الاستدلال المذكور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عمّا تكلّفه المحقّق المزبور </w:t>
      </w:r>
      <w:r>
        <w:rPr>
          <w:rStyle w:val="FootnoteAnchor"/>
          <w:rtl w:val="true"/>
        </w:rPr>
        <w:footnoteReference w:id="861"/>
      </w:r>
      <w:r>
        <w:rPr>
          <w:rFonts w:ascii="Amiri" w:hAnsi="Amiri" w:eastAsia="Amiri" w:cs="Amiri"/>
          <w:color w:val="111111"/>
          <w:sz w:val="28"/>
          <w:sz w:val="28"/>
          <w:szCs w:val="28"/>
          <w:rtl w:val="true"/>
          <w:lang w:bidi="ar-SA"/>
        </w:rPr>
        <w:t>ففي غاية الظهور ، إذ على ما زعمه لا فرق بين التكليف بالامور المستحيلة الذاتيّة وبين المطالب الممتنعة بالعرض ، فإنّ بيان المصالح المودعة في الأشياء لا يختصّ بالأمور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بواسطة إمكان صدورها عن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امتناع التكليف في الممتنعات العرضيّة أيضا ، لعدم إمكان صدورها عنهم ، على أنّ الضرورة تشهد بأنّ أوامر اللّه تعالى ليست من قبيل أوامر الطبيب على وجه تكون خالية عن المولويّة ، بل التحقيق أنّها من قبيل أوامر المولى الطبيب بالعبد </w:t>
      </w:r>
      <w:r>
        <w:rPr>
          <w:rStyle w:val="FootnoteAnchor"/>
          <w:rtl w:val="true"/>
        </w:rPr>
        <w:footnoteReference w:id="862"/>
      </w:r>
      <w:r>
        <w:rPr>
          <w:rFonts w:ascii="Amiri" w:hAnsi="Amiri" w:eastAsia="Amiri" w:cs="Amiri"/>
          <w:color w:val="111111"/>
          <w:sz w:val="28"/>
          <w:sz w:val="28"/>
          <w:szCs w:val="28"/>
          <w:rtl w:val="true"/>
          <w:lang w:bidi="ar-SA"/>
        </w:rPr>
        <w:t>المريض ، ولا يعقل إنكار الطلب رأسا في الأوامر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دعاه إلى ذلك هي الشبهة المعروفة في تصحيح تكليف الكفّار والعصاة ، حيث إنّه بعد العلم بعدم وقوع المكلّف به في الخارج لا وجه للتكليف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أصحابنا لدفعها في الكتب الكلاميّة </w:t>
      </w:r>
      <w:r>
        <w:rPr>
          <w:rStyle w:val="FootnoteAnchor"/>
          <w:rtl w:val="true"/>
        </w:rPr>
        <w:footnoteReference w:id="863"/>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المستدلّ من بقاء التكليف حال ترك المقدّمة كون الفعل بحيث ينتزع منه وصف الوجوب وإن لم يكن موردا للطلب الفعلي </w:t>
      </w:r>
    </w:p>
    <w:p>
      <w:pPr>
        <w:pStyle w:val="BookText"/>
        <w:rPr/>
      </w:pPr>
      <w:r>
        <w:rPr>
          <w:rFonts w:ascii="Amiri" w:hAnsi="Amiri" w:eastAsia="Amiri" w:cs="Amiri"/>
          <w:color w:val="111111"/>
          <w:sz w:val="28"/>
          <w:sz w:val="28"/>
          <w:szCs w:val="28"/>
          <w:rtl w:val="true"/>
          <w:lang w:bidi="ar-SA"/>
        </w:rPr>
        <w:t>على وجه يستلزم تركه العقاب حال عدم المقدّمة فهذا ضروري الوجود ، فنحن نختار بقاء التكليف ولا يلزم محذور ، إذ المرجع فيما ذكرنا إلى أنّ وجوب الفعل الموقوف على المقدّمة ممّا لا يختلف بالنسبة إلى وجود المقدّمة المتروكة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التكليف بالممتنع ، بل هو تكليف بأمر مقدور عرضه الامتناع ، فكما أنّ هذه الصفة تنتزع من الفعل حال الإتيان بالمقدّمة بل ونفس الفعل ، فكذا ينتزع منه حال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يشير عبارة المعالم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القطع ببقاء الوجوب المقدور كيف يكون ممتنعا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 أنّ الطلب الفعلي موجود حال عدم المقدّمة نحو وجوده قبل زمان العدم عند الاقتدار عليه ، فنحن نختار عدم البقاء نظرا إلى امتناع صدور هذا النحو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الجواب عن الاعتراض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نمنع لزوم اللازم ، فإنّ ذلك يلزم لو قلنا بأنّ عدم المقدّمة تكشف عن عدم كون ذيها مطلوبا عند العدم فيكون الواجب مشروطا ، أو قلنا بانخلاعه عن وصف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سعة من ذلك ، فنقول بوجوبه على الإطلاق وبعدم انخلاعه عن صفة الوجوب مع سقوط الأمر ، لأنّ سقوط الأمر تارة بحصول الامتثال ، واخرى بحصول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يتحقّق عند ترك المقدّمة ، فلا يلزم المحذور مع سقوط الأمر والتكليف بمعنى الطلب الفعلي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الفعل كيف يتحقّق المعصية ولو مع ترك المقدّمة؟ فإنّ التارك للسير إلى الحجّ قبل مجيء العرفة لا يعقل أن يكون مخالفا للأمر بالوقوف فيها ؛ لأنّه موقّت بوقت مخصوص</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غبار على ذلك بعد ما مرّ مرارا ، من أنّ المدار في طريق الإطاعة </w:t>
      </w:r>
    </w:p>
    <w:p>
      <w:pPr>
        <w:pStyle w:val="BookText"/>
        <w:rPr/>
      </w:pPr>
      <w:r>
        <w:rPr>
          <w:rFonts w:ascii="Amiri" w:hAnsi="Amiri" w:eastAsia="Amiri" w:cs="Amiri"/>
          <w:color w:val="111111"/>
          <w:sz w:val="28"/>
          <w:sz w:val="28"/>
          <w:szCs w:val="28"/>
          <w:rtl w:val="true"/>
          <w:lang w:bidi="ar-SA"/>
        </w:rPr>
        <w:t>والعصيان هو العرف وطريقة العقلاء في استخدام الموالي عبيدهم ، ونحن بعد ما راجعناهم نجدهم مطبقين على عقاب عبد مأمور بشيء في وقت مع ترك مقدّمته قبل ذلك الوقت ، بل الانتظار إلى ذلك الوقت إنّما يعدّ لغوا عندهم فيما هو المفروض من امتناع الفعل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فيما لو كان الفعل محتمل الحصول بعد ترك المقدّمة كان الوجه هو عدم الاستحقاق إلى أن يحصل الامتناع ، إمّا بحضور الوقت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الكلام ليس على 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على التارك للمقدّمة قبل حضور زمان ذيها أنّه حقيقة ترك نفس الفعل في وقته فليس ذلك من قبيل تقدّم المعلول على العلّة ، فيصدق على من لم يخرج مع القافلة الأخيرة أنّه ترك الحجّ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الفعل الملحوظ وقوعه في وقت تارة يكون انتفاؤه بواسطة انتفاء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حضوره ، وإمّا لانقضائه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بواسطة انتفاء نفس الفعل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عدم الفعل المذكور بواسطة عدم حضور زمانه ، فلا يصحّ استناده حقيقة إلى اختيار المكلّف ، لعدم اقتداره عليه بعد انتفاء القيد والوقت ، فيكون العدم مستندا إلى ما هو الأسبق من أجزاء العلّة في العدم ، وهو انتفاء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حضور الوقت تنقلب النسبة فيصير الترك مستندا إلى الاختيار ، كما هو الشأن في أجزاء العلّة فيما إذا انقلبت نسبة الوجود والعدم فيها ، بأن ينعدم الموجود بعد وجود المعدوم ، وذلك ظاهر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في الجواب عن الشبهة المذكورة هو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العقلاء يستحسنون المذمّة على عبد ترك المقدّمة مع امتناع ذيها في حقّه وإن لم يكن وقت الفعل حاضرا ، ولا حاجة إلى 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الواجب حقيقة ، حتّى يرد عليه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يجاب عن الدليل بوجه أخصر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إن أراد إثبات وجوب المقدّمة مع الحكم بعدم وجوب ذيها فهو ممّا لا ينبغي أن يصغى إليه ، وإن كان قد يظهر من المدارك </w:t>
      </w:r>
      <w:r>
        <w:rPr>
          <w:rStyle w:val="FootnoteAnchor"/>
          <w:rtl w:val="true"/>
        </w:rPr>
        <w:footnoteReference w:id="865"/>
      </w:r>
      <w:r>
        <w:rPr>
          <w:rFonts w:ascii="Amiri" w:hAnsi="Amiri" w:eastAsia="Amiri" w:cs="Amiri"/>
          <w:color w:val="111111"/>
          <w:sz w:val="28"/>
          <w:sz w:val="28"/>
          <w:szCs w:val="28"/>
          <w:rtl w:val="true"/>
          <w:lang w:bidi="ar-SA"/>
        </w:rPr>
        <w:t xml:space="preserve">والكفاية </w:t>
      </w:r>
      <w:r>
        <w:rPr>
          <w:rStyle w:val="FootnoteAnchor"/>
          <w:rtl w:val="true"/>
        </w:rPr>
        <w:footnoteReference w:id="866"/>
      </w:r>
      <w:r>
        <w:rPr>
          <w:rFonts w:ascii="Amiri" w:hAnsi="Amiri" w:eastAsia="Amiri" w:cs="Amiri"/>
          <w:color w:val="111111"/>
          <w:sz w:val="28"/>
          <w:sz w:val="28"/>
          <w:szCs w:val="28"/>
          <w:rtl w:val="true"/>
          <w:lang w:bidi="ar-SA"/>
        </w:rPr>
        <w:t xml:space="preserve">تبعا للأردبيلي </w:t>
      </w:r>
      <w:r>
        <w:rPr>
          <w:rStyle w:val="FootnoteAnchor"/>
          <w:rtl w:val="true"/>
        </w:rPr>
        <w:footnoteReference w:id="867"/>
      </w:r>
      <w:r>
        <w:rPr>
          <w:rFonts w:ascii="Amiri" w:hAnsi="Amiri" w:eastAsia="Amiri" w:cs="Amiri"/>
          <w:color w:val="111111"/>
          <w:sz w:val="28"/>
          <w:sz w:val="28"/>
          <w:szCs w:val="28"/>
          <w:rtl w:val="true"/>
          <w:lang w:bidi="ar-SA"/>
        </w:rPr>
        <w:t>حيث حكموا بعقاب الجاهل على ترك الفحص والتعلّم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أورد عليهم المحقّق الجمال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يلازمه القول بوجوب المقدّمة دون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 ذلك وإن أمكن القول به عقلا على أن يكون العقاب على الحركة الصادرة من المكلّف ابتداء كما في التوليديّات ، إلاّ أنّه خروج عن الظاهر ومصير إلى خلافه مع انتفاء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التحقيق أيضا هو استناد الأفعال التوليديّة إلى المكلّف نحو استناد غيرها من الأفعال الصادرة لا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المستدلّ أيضا لم يكن مقصوده ذلك ، حيث إنّه بصدد إثبات وجوب المقدّمة بواسطة وجوب ذيها وإن كان يعطيه ظاهرا لدليل ؛ كذا افيد ، فتأمّل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المستدلّ إثبات وجوب المقدّمة مضافا إلى وجوب ذيها فالدليل لا ينهض بإثباته ، لجريان الدليل على تقدير الوجوب أيضا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المقدّمة فلو تركها عصيانا ، فإمّا أن يكون الوجوب باقيا أو لا ، وعلى التقديرين يلزم المحذوران ، على ما عرفت من لزوم كلّ منهما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إلاّ فيما لا تأثير له في المقام من استناد الترك تارة إلى سوء الاختيار ، واخرى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الفرق المذكور بما لا مزيد عليه ، فالحكم بوجوب المقدّمة لا يؤثّر في دفع شيء من المحذورين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بعضهم </w:t>
      </w:r>
      <w:r>
        <w:rPr>
          <w:rStyle w:val="FootnoteAnchor"/>
          <w:rtl w:val="true"/>
        </w:rPr>
        <w:footnoteReference w:id="869"/>
      </w:r>
      <w:r>
        <w:rPr>
          <w:rFonts w:ascii="Amiri" w:hAnsi="Amiri" w:eastAsia="Amiri" w:cs="Amiri"/>
          <w:color w:val="111111"/>
          <w:sz w:val="28"/>
          <w:sz w:val="28"/>
          <w:szCs w:val="28"/>
          <w:rtl w:val="true"/>
          <w:lang w:bidi="ar-SA"/>
        </w:rPr>
        <w:t>، من أنّها لو لم تجب لجاز التصريح بجواز تركها ، والتالي باطل ،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 فلأنّ انتفاء الوجوب إمّا بانتفاء فصله أو جنسه أيضا ، وعلى التقديرين يجوز الترك ، لأنّ جواز الترك يعمّ الأحكام الأربعة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بالجواز عقلا 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التفكيك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يجدي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المقدّمة شرعا لا بدّ من أن تكون محكومة بأحد الأحكام الخمسة ، إذ لا وجه لأن يكون مثل أفعال البهائم والمجانين ممّا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 فلأنّه لا يستريب أحد في قبحه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التصريح بجواز الترك يقع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على وجه يناقض التصريح بوجوب ذي المقدّمة ، واخرى على وجه لا يعدّ مناقضا للخطاب الدالّ على وجوب ذي المقدّمة ، فالتالي في الشرطيّة المذكورة بطلانه مسلّم على الوجه الأوّل ، لكن لا يستلزم الوجوب ، لأوله إلى عدم جواز التصريح بعدم وجوب الفعل بعد التصريح بوجوبه ، لاستلزام ذلك القبح على الحكيم ، وذلك أمر ضروري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نسلّم </w:t>
      </w:r>
      <w:r>
        <w:rPr>
          <w:rStyle w:val="FootnoteAnchor"/>
          <w:rtl w:val="true"/>
        </w:rPr>
        <w:footnoteReference w:id="871"/>
      </w:r>
      <w:r>
        <w:rPr>
          <w:rFonts w:ascii="Amiri" w:hAnsi="Amiri" w:eastAsia="Amiri" w:cs="Amiri"/>
          <w:color w:val="111111"/>
          <w:sz w:val="28"/>
          <w:sz w:val="28"/>
          <w:szCs w:val="28"/>
          <w:rtl w:val="true"/>
          <w:lang w:bidi="ar-SA"/>
        </w:rPr>
        <w:t>بطلانه على الوجه الثاني بعد قطع النظر عمّا قدّمنا لك من حكم الوجدان الصحيح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المستدلّ بذلك ما قلنا من حكم الوجدان فهو في محلّه ولا غبار عليه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في خصوص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تكن واجبة بإيجابه يلزم أن لا يكون تارك الواجب المطلق عاصيا مستحقّا للعقاب أصلا ، لكن التالي باطل ،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الملازمة ،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 الشارع بالحجّ ولم يصرّح بإيجاب المقدّمات فرضا ، فتارك الحجّ بتركه قطع المسافة الجالس في بلده إمّا أن يكون مستحقّا للعقاب في زمان ترك المشي إلى مكّة عند التضيّق ، أو في زمان ترك الحجّ في موسمه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 لأنّه لم يصدر عنه في ذلك الزمان إلاّ ترك الحركة ، والمفروض أنّه غير واجب عليه فلا يكون مرتكبا للقبيح فلا يكون مستحقّا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الثاني ، لأنّ الإتيان بأفعال الحجّ في ذي الحجّة ممتنع بالنسبة إليه ، فكيف يكون مستحقّا للعقاب بما يمتنع صدوره عنه ، إذ لا يتّصف بالحسن والقبح إلاّ المقدور ، وأفعال الحجّ في ذي الحجّة للجالس في البلدان النائي عن مكّة غير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الإنسان إذا أمر عبده بفعل معيّن في زمان معيّن في بلد بعيد ، والعبد ترك المشي إلى ذلك البلد ، فإن ضربه المولى عند حضور ذلك الزمان معترفا بأنّه لم يصدر عنه إلى الآن فعل قبيح يستحقّ به التعذيب لكن القبيح أنّه لم يفعل في هذه الساعة هذا الفعل في ذلك البلد ، لنسبه العقلاء إلى سخافة الرأي وركاكة العقل ، بل لا يصحّ الضرب إلاّ على الاستحقاق السابق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العبد بعد ترك المقدّمات كان نائما في زمان الفعل ، فإمّا أن يكون مستحقّا للعقاب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للثاني ، لأنّه ترك المأمور به مع كونه مقدورا ، فثبت الأوّل ، فإمّا أن يحدث استحقاق العقاب في حالة النوم أو حدث قبل ذلك ، لا وجه للأوّل ، لأنّ استحقاق العقاب إنّما يكون لفعل القبيح ، وفعل النائم والساهي لا يتّصف بالحسن والقبح بالاتّفاق ، فلا وجه للثاني ، لأنّ السابق على النوم لم يكن إلاّ ترك المقدّمة ، والمفروض عدم وجوبها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أنّه يستحقّ العقاب في زمان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في ذلك الزمان ممتنع بالنسبة إليه ، فكيف يستحقّ العقاب بتركه؟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أنّ الحجّ في ذلك الزمان بشرط عدم المقدّمات ممتنع بالنسبة إليه فمسلّم ، لكن لا يجدي </w:t>
      </w:r>
    </w:p>
    <w:p>
      <w:pPr>
        <w:pStyle w:val="BookText"/>
        <w:rPr/>
      </w:pPr>
      <w:r>
        <w:rPr>
          <w:rFonts w:ascii="Amiri" w:hAnsi="Amiri" w:eastAsia="Amiri" w:cs="Amiri"/>
          <w:color w:val="111111"/>
          <w:sz w:val="28"/>
          <w:sz w:val="28"/>
          <w:szCs w:val="28"/>
          <w:rtl w:val="true"/>
          <w:lang w:bidi="ar-SA"/>
        </w:rPr>
        <w:t>نفعا ، لأنّه لم يجب عليه الحجّ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أنّ الحجّ في ذلك الزمان الّذي اتّفق فيه عدم المقدّمات ممتنع بالنسبة إليه فممنوع ، إذ يمكن مع انتفاء المقدّمات ، إذ فرق بين المشروطة بشرط الوصف والمشروطة ما دام الوصف ، فإنّ سكون الأصابع في زمان الكتابة ممكن وبشرط الكتابة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ذكرت أنّ الحجّ في ذلك الزمان ممكن لذاته ، والإمكان الذاتي لا يكفي مصحّحا للتكليف إذا تحقّق امتناع الفعل لعلّة سابقة على ذلك الزمان ، سواء كانت العلّة من قبل المكلّف أو من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بامتناع التكليف بما لا يطاق لا يخصّونه بالممتنع الذاتي على ما صرّحوا به ؛ مع أنّ أدلّة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القبح والسفه العقلي ، وانتفاء غرض التكليف ، وعدم إمكان تعلّق الإرادة من الميل النفساني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هنا ، ألا ترى أنّه إذا قيل يوم النحر للساكن في البلد النائي عن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 بالبيت في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 القائل إلى ضعف الحكم ووهن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المانع عن هذا القول لفظيّا ، بل المانع معنوي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من أنصف من نفسه وراجع إلى عقله ولم يخالف </w:t>
      </w:r>
      <w:r>
        <w:rPr>
          <w:rStyle w:val="FootnoteAnchor"/>
          <w:rtl w:val="true"/>
        </w:rPr>
        <w:footnoteReference w:id="873"/>
      </w:r>
      <w:r>
        <w:rPr>
          <w:rFonts w:ascii="Amiri" w:hAnsi="Amiri" w:eastAsia="Amiri" w:cs="Amiri"/>
          <w:color w:val="111111"/>
          <w:sz w:val="28"/>
          <w:sz w:val="28"/>
          <w:szCs w:val="28"/>
          <w:rtl w:val="true"/>
          <w:lang w:bidi="ar-SA"/>
        </w:rPr>
        <w:t xml:space="preserve">استقامة فطرته لا يشكّ في ذلك أصلا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يفعل قبيحا يلومه العقلاء إلى يوم النحر ، لكن فعل في يوم النحر ما يلومه العقلاء ويعاقبونه ، وهو أنّه لا يطوف في هذا اليوم مع أنّه في البلد النائي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لحكمت بكذبه وخروجه عن القول المنقول والكلام المعقول من غير توقّف على أنّ التقرير السابق الّذي ساق إليه الكلام أخيرا لم يجر فيه هذا الاعتراض </w:t>
      </w:r>
      <w:r>
        <w:rPr>
          <w:rStyle w:val="FootnoteAnchor"/>
          <w:rtl w:val="true"/>
        </w:rPr>
        <w:footnoteReference w:id="874"/>
      </w:r>
      <w:r>
        <w:rPr>
          <w:rFonts w:ascii="IRNazanin" w:hAnsi="IRNazanin" w:eastAsia="IRNazanin"/>
          <w:color w:val="111111"/>
          <w:sz w:val="28"/>
          <w:sz w:val="28"/>
          <w:szCs w:val="28"/>
          <w:rtl w:val="true"/>
          <w:lang w:bidi="fa-IR"/>
        </w:rPr>
        <w:t>، انتهى ما أردنا نقله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عليه المحقّق الخوانساري بما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 فإنّه 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طرفي الممكن لم يتحقّق ما لم يصل حدّ الوجوب في الواقع ، وعلى ما ذكر من أنّ الامتناع ولو كان بالاختيار ينافي العقاب ، يلزم أن لا يصحّ العقاب على ترك أو 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حصول الامتناع في ذلك الآن الّذي تعلّق التكليف بإيجاد الفعل فيه وبين حصوله في الآن السابق عليه تحكّم محض ، إذ الإمكان الّذي هو شرط التكليف إنّما يعتبر في زمان كلّف بإيجاد الفعل فيه ، لا في زمان آخر ، وانتفاؤه في ذلك الزمان حاصل في الصورتين بلا تفرقة ؛ على أنّ كلّ ما لم يتحقّق في زمان فلزوم امتناعه حاصل في الأوّل بناء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التسلسل أو القدم مدفوع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فبالحلّ ، باختيار أنّ استحقاق العقاب في زمان ترك الحجّ في موسمه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ممتنع بالنسبة إليه فكيف يكون مستحقّا للعقاب بتركه؟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إنّما نشأ من اختياره سبب العدم ، ومثل هذا الامتناع لا ينافي المقدوريّة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هو الّذي يصحّ منه الفعل ، بأن يريد الفعل فيجب حينئذ الفعل أو لا يريده فيجب حينئذ الترك ، والوجوب الذي ينشأ من 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الوجوب ناشئا من اختيار أحد طرفي المقدور أو من اختيار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التجريد في جواب شبهة النافين لاستناد الأفعال التوليديّة إلى قدرتنا واختيارنا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لا تصحّ وجودها وعدمها منّا فلا تكون مقدورا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والوجوب باختيار السبب لا حق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p>
    <w:p>
      <w:pPr>
        <w:pStyle w:val="BookText"/>
        <w:rPr/>
      </w:pPr>
      <w:r>
        <w:rPr>
          <w:rFonts w:ascii="Amiri" w:hAnsi="Amiri" w:eastAsia="Amiri" w:cs="Amiri"/>
          <w:color w:val="111111"/>
          <w:sz w:val="28"/>
          <w:sz w:val="28"/>
          <w:szCs w:val="28"/>
          <w:rtl w:val="true"/>
          <w:lang w:bidi="ar-SA"/>
        </w:rPr>
        <w:t xml:space="preserve">الوجوب باختيار السبب منافيا للمقدوريّة لزم أن لا يكون الواجب بالنسبة إلى كثير من أفعاله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من أنّ الحوادث اليوميّة مستندة إلى أسباب موجودة مترتّبة منتهية إليه تعالى </w:t>
      </w:r>
      <w:r>
        <w:rPr>
          <w:rStyle w:val="FootnoteAnchor"/>
          <w:rtl w:val="true"/>
        </w:rPr>
        <w:footnoteReference w:id="8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يذهب عليك أنّ ما ذكره المحقّق المذكور بظاهره يوهم جواز التكليف بالممتنع بواسطة الاختيار ، على ما استفاده منه بعض من لم يسلم فطرته عن الاعوجاج </w:t>
      </w:r>
      <w:r>
        <w:rPr>
          <w:rStyle w:val="FootnoteAnchor"/>
          <w:rtl w:val="true"/>
        </w:rPr>
        <w:footnoteReference w:id="877"/>
      </w:r>
      <w:r>
        <w:rPr>
          <w:rFonts w:ascii="Amiri" w:hAnsi="Amiri" w:eastAsia="Amiri" w:cs="Amiri"/>
          <w:color w:val="111111"/>
          <w:sz w:val="28"/>
          <w:sz w:val="28"/>
          <w:szCs w:val="28"/>
          <w:rtl w:val="true"/>
          <w:lang w:bidi="ar-SA"/>
        </w:rPr>
        <w:t xml:space="preserve">، بل المدار في الجواب هو التحقيق الّذي لا مفرّ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العقاب على نفس المأمور به من دون مدخليّة أمر ، وامتناعه في ذلك الوقت لا يضرّ في العقاب على تركه بعد استناد الترك إلى اختياره سبب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أفاده المحقّق الطوسي صريح أيضا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هذا الامتناع لا ينافي 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يوهم اتّصاف المورد بالمقدوريّة بعد الاختيار ، إلاّ أنّ من المقطوع من حال ذلك العلم العلاّمة أنّ مراده منه المقدوريّة حال الصدور ، كما هو ظاهر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أنّ ما ذكر في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ترك الحجّ ليس ممتنعا في ذلك الزمان بل بشرط عدم المقدّمات ، ليس موافقا للتحقيق وإن كان مشهورا بين القوم ؛ لأنّ الأصلين المذكورين سابقا إنّما يستلزمان الامتناع في ذلك الزمان أيضا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ذكره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غاية ما ذكرت الإمكان الذاتي أيضا منظور فيه ؛ لأنّ ما ذكره القائل وهو المشهور بينهم على تقدير صحّته إنّما يستلزم تحقّق الإمكان الوقوعي في ذلك الزمان ، لا الذاتي فقط ، بل هو متحقّق على تقدير الشرط </w:t>
      </w:r>
      <w:r>
        <w:rPr>
          <w:rStyle w:val="FootnoteAnchor"/>
          <w:rtl w:val="true"/>
        </w:rPr>
        <w:footnoteReference w:id="8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ذلك هو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الإمكان الذاتي أو الوقوعي إنّما هو بالنسبة إلى الآن الثاني من زمان العدم ، حيث إنّه يمكن انقلاب الوصف المأخوذ في الموضوع في المشروطة ما دام الوصف إلى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تكليف الكفّار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محلّ الكلام بوجه ، فليتأمّل في فساد المذكورات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رحمه‌اللّه أطال في النقض والإبرام ، ومن أراد الاستطلاع فليراجع رسالته المعمولة في رد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الإنصاف أنّ الدليل المذكور ممّا لا يتمّ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فنختار أنّه يستحقّ العقاب في زمان ترك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لم يفعل قبيحا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أنّ طريقة الإطاعة والعصيان مأخوذة من طريقة العقلاء ، ولا ضير في عقاب العبد التارك للمشي حال الترك وإن لم يكن زمان الفعل حاضرا ، إمّا باعتبار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الفعل حقيقة وإن لم يكن زمانه حاضرا ، نظرا إلى أنّ للوقت مدخلا في حصول الفعل لا في صدق الترك ، إذ ترك الواجب عبارة عن عدم اقتدار المكلّف على الفعل المتروك إمّا بانقضاء وقته أو بغير ذلك ، والمفروض أنّ المكلّف بعد ترك المقدّمة غير قادر على الفعل ، وإن كان فيه نظر قد نبّهنا عليه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باعتبار ما هو المناط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القدرة على الفعل حال حضور الوقت وتفويته التكليف بإيجاد سبب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استحقاقه العقاب ويحتمل حصول الفعل بعد ترك المقدّمة بالسعي إليه ولو خرقا للعادة؟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خارج عن مفروض الكلام ، فإنّ محلّ البحث فيما إذا حصل الامتناع ، وعند حصول المقدّمة على الوجه المزبور يكشف عن أنّ المشي مع القافلة لم يكن مقدّمة معيّنة يوجب تركها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استحقاق العقاب عند ترك المقدّمة بواسطة إيجاده </w:t>
      </w:r>
    </w:p>
    <w:p>
      <w:pPr>
        <w:pStyle w:val="BookText"/>
        <w:rPr/>
      </w:pPr>
      <w:r>
        <w:rPr>
          <w:rFonts w:ascii="Amiri" w:hAnsi="Amiri" w:eastAsia="Amiri" w:cs="Amiri"/>
          <w:color w:val="111111"/>
          <w:sz w:val="28"/>
          <w:sz w:val="28"/>
          <w:szCs w:val="28"/>
          <w:rtl w:val="true"/>
          <w:lang w:bidi="ar-SA"/>
        </w:rPr>
        <w:t>سبب الترك بعينه هو القول بوجوب المقدّمة ، فيستقيم الاستدلال ولا ينهض ما ذكرته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المبحوث عنه في المقام هو اثبات تعلّق الطلب والإرادة ولو 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تحرير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الجواب لا ينهض به قطعا ، إذ غاية ذلك تسليم ترتّب العقاب المترتّب على ترك الفعل عند ترك المقدّمة ، وأين ذلك من تعلّق الطلب والإرادة بالمقدّمة؟</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المذكور كافيا في المقام لم يكن حاجة إلى تمهيد المقدّمات المذكورة ، إذ لا يخفى على أوائل العقول أنّ ترك المقدّمة يوجب ترك الواجب ، وهو قبيح ، وبعد لم يثبت أنّ ما يوجب تركه قبيحا لا بدّ أن يكون فعله مطلوبا ، فإنّ ذلك في مرتبة المدّعى على 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أنّ التارك للمقدّمة محكوم باستحقاقه العقاب في زمان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الحجّ هناك غير مقدور له ، فلا يتّصف تركه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حضور زمان الحجّ قبل انقضاء وقته ، فهذا هو المذكور في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بعد انقضاء وقته ، فلا ريب في صدق ترك الواجب في حقّه ، وأيّ قبيح أعظم من ترك الواجب مع الاقتدار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آن يلاحظ إمّا أن يكون وقت الفعل منقضيا أو باقيا ولو بالنسبة إلى الأجزاء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غبار في العقاب ، كما عرفت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فلا نسلّم أنّ ذلك الامتناع الحاصل في الفعل بواسطة اختيار المكلّف حال الاقتدار عليه عدم الفعل يوجب عدم اتّصاف الفعل بالحسن والقبح وإن قلنا بقبح التكليف الفعلي بذلك ، لكنّه لا يوجب رفع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تحقيق ذلك في كلام المحقّق الخونساري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ذكره أخيرا من حديث النوم فهو ممّا لا يشبه كلام ذلك المحقّق ، فإنّ عدم اتّصاف فعل النائم بالحسن والقبح إنّما هو فيما إذا استند فعله إلى النوم ، مثل أن يكون ترك الصلاة مستندا إلى النوم فيما لم يكن مسبوقا بالأمر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مستندا إلى فعل آخر له على وجه الاختيار وكان وقوع النوم منه وعدمه سيّان في ترتّب ذلك الفعل على ما فعله أولا ، فهو ممّا يتّصف بالحسن والقبح قطعا ، وذلك كمن رمى سهما ولم يقع في محلّه إلاّ بعد نوم الرامي مثلا ، فإنّ ذلك قطعا منسوب إليه ولو حال النوم ، والوجه في ذلك أنّ الفعل ليس من أفعال النائم حقيقة ، بل هو من أفعال المستيقظ الّذي نام بعد صدور الفعل منه ولو بواسطة صدور أسبابه ومقتضياته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ذلك هو إثبات اتّصاف الأفعال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كالمباشريّة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 لترتّب المدح والذمّ عليها كترتّبهما على غيرها ، من غير 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بعد التسليم عن الامور المذكورة فلم يظهر لنا تأثير الوجوب في دفع المحاذير إلاّ بالقول بوجوب المقدّمة وترتّب العقاب عليه فقط دون وجوب ذيها ، وذلك من أشدّ القبح </w:t>
      </w:r>
      <w:r>
        <w:rPr>
          <w:rStyle w:val="FootnoteAnchor"/>
          <w:rtl w:val="true"/>
        </w:rPr>
        <w:footnoteReference w:id="880"/>
      </w:r>
      <w:r>
        <w:rPr>
          <w:rFonts w:ascii="Amiri" w:hAnsi="Amiri" w:eastAsia="Amiri" w:cs="Amiri"/>
          <w:color w:val="111111"/>
          <w:sz w:val="28"/>
          <w:sz w:val="28"/>
          <w:szCs w:val="28"/>
          <w:rtl w:val="true"/>
          <w:lang w:bidi="ar-SA"/>
        </w:rPr>
        <w:t>كما لا يخفى ، إذ على تقدير الوجوب يلزم المحاذير حرفا بحرف ، كما عرفت في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المحقّق المذكور أيضا </w:t>
      </w:r>
      <w:r>
        <w:rPr>
          <w:rStyle w:val="FootnoteAnchor"/>
          <w:rtl w:val="true"/>
        </w:rPr>
        <w:footnoteReference w:id="881"/>
      </w:r>
      <w:r>
        <w:rPr>
          <w:rFonts w:ascii="Amiri" w:hAnsi="Amiri" w:eastAsia="Amiri" w:cs="Amiri"/>
          <w:color w:val="111111"/>
          <w:sz w:val="28"/>
          <w:sz w:val="28"/>
          <w:szCs w:val="28"/>
          <w:rtl w:val="true"/>
          <w:lang w:bidi="ar-SA"/>
        </w:rPr>
        <w:t>، وهو أنّه لو لم يجب مقدّمة الواجب المطلق لزم أن لا يستحقّ تارك الفعل العقاب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الملازمة يحتاج إلى تمهيد مقدّمة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882"/>
      </w:r>
      <w:r>
        <w:rPr>
          <w:rFonts w:ascii="Amiri" w:hAnsi="Amiri" w:eastAsia="Amiri" w:cs="Amiri"/>
          <w:color w:val="111111"/>
          <w:sz w:val="28"/>
          <w:sz w:val="28"/>
          <w:szCs w:val="28"/>
          <w:rtl w:val="true"/>
          <w:lang w:bidi="ar-SA"/>
        </w:rPr>
        <w:t>الطالب للشيء في زمان معيّن إذا لاحظ أن في ذلك الزمان يتصوّر أحوال مختلفة يمكن وقوع كلّ منها ، فإمّا أن يريد الإتيان بذلك الشيء في ذلك الزمان على أيّ تقدير من تلك التقادير ، أو يريد الإتيان به فيه على بعض تلك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ظاهرة بعد التأمّل التامّ وإن أمكن المناقشة والتشكيك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ينتقض بالجزء والكلّ حيث لا يمكن تقييد وجوب الكلّ بوجود الجزء ولا يعمّم وجوده بالنسبة إلى حالتي وجود الجزء وعدمه ، لأنّ مرادنا بالحالات ما كان مغايرا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أحد بالإتيان بالواجب في زمانه ، وفي ذلك الزمان يمكن وجود المقدّمات ويمكن عدمها ، فإمّا أن يراد الإتيان به على أيّ تقدير من تقديري الوجود والعدم ، فيكون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المقدّمة فافعل وإن عدمت فافعل ، وإمّا أن يراد الإتيان به على تقدير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محال ، لأنّه يستلزم التكليف بما لا يطاق ، فثبت الثاني ، فيكون وجوبه مقيّدا بحضور المقدّمة ، فلا يكون تاركه بترك المقدّمة مستحقّا للعقاب ، لفقدان شرط الوجوب ، والفرض عدم وجوب المقدّمة فانتفى استحقاق العقاب رأسا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لم يعقل لنا الفرق في جريان الدليل بين القول بوجوب المقدّمة والقول بعدم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884"/>
      </w:r>
      <w:r>
        <w:rPr>
          <w:rFonts w:ascii="Amiri" w:hAnsi="Amiri" w:eastAsia="Amiri" w:cs="Amiri"/>
          <w:color w:val="111111"/>
          <w:sz w:val="28"/>
          <w:sz w:val="28"/>
          <w:szCs w:val="28"/>
          <w:rtl w:val="true"/>
          <w:lang w:bidi="ar-SA"/>
        </w:rPr>
        <w:t xml:space="preserve">للمعترض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لشيء على تقدير تعلّق طلبه بمقدّماته ، إمّا أن يريد ذلك الشيء على تقديري الوجود والعدم بالنسبة إلى الامور المطلوبة الموقوف عليها أو على تقدير الوجود فقط ، فعلى الأوّل يلزم عدم العقاب على الواجب المطلق ، وعلى الثاني يلزم التكليف بالمحال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غير موجّه على القول بالوجوب ، إذ الإرادة المتعلّقة بذي المقدّمة متعلّقة بعينها بالمقدّمات ، فيكون على القول بالوجوب بمنزلة نفس الواجب ، فلا يصحّ الاستفسار المذكور ، كما عرفت نظيره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أوائل العقول فساد هذه المقالة ، إذ كيف يصحّ تعلّق صفة واحدة بأمرين مع اختلافهما في الموصوفيّة بهما؟ كأن يكون اتّصاف أحدهما بها بواسطة اتّصاف الآخر بها ولم يكن أحدهما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ذلك فيما إذا كانت نسبتها إلى أحدهما حقيقة وإلى الآخر نسبة عرضيّة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موصوف بالغيريّة ووجوب ذيها موصوف بالنفسيّة ، وهذان الوصفان متضادّان ، ولا يعقل أن يكون وجوب شخص واحد موصوفا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فساد ما أورده في الأجزاء ، لأنّ الإرادة المتعلّقة بالجزء من حيث هو جزء لا بدّ وأن يكون غير الإرادة المتعلّقة به من حيث إنّه متّحد مع الكلّ ، فيصحّ الاستفسار ، غاية ما في الباب أنّ الوجوب النفسي ثابت للجزء من حيث كونه في ضمن الكلّ ، كما نبّهنا عليه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اشتراط الشيء بأمر جائز وبين اشتراطه بأمر واجب ، فإنّ الأوّل لا يعقل العقاب فيه ، أمّا على المشروط فلانتفاء الشرط ، وأمّا على الشرط فلكونه جائزا ، بخلاف الثاني ، فإنّ فيه العقاب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الكلام في صحّة العقاب على المشروط ، والعقاب على ترك واجب وهو الشرط ممّا لا مدخل له في العقاب في 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بالقول بأنّ المقدّمة واجبة دون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غنيّ عن البيان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لو صحّ ما ذكر في الاستدلال لزم أن لا يقع الكذب في </w:t>
      </w:r>
    </w:p>
    <w:p>
      <w:pPr>
        <w:pStyle w:val="BookText"/>
        <w:rPr/>
      </w:pPr>
      <w:r>
        <w:rPr>
          <w:rFonts w:ascii="Amiri" w:hAnsi="Amiri" w:eastAsia="Amiri" w:cs="Amiri"/>
          <w:color w:val="111111"/>
          <w:sz w:val="28"/>
          <w:sz w:val="28"/>
          <w:szCs w:val="28"/>
          <w:rtl w:val="true"/>
          <w:lang w:bidi="ar-SA"/>
        </w:rPr>
        <w:t xml:space="preserve">الأخبار المستقبلة ، والتالي باطل ، فالمقدّم </w:t>
      </w:r>
      <w:r>
        <w:rPr>
          <w:rStyle w:val="FootnoteAnchor"/>
          <w:rtl w:val="true"/>
        </w:rPr>
        <w:footnoteReference w:id="885"/>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اخبر المخبر بأنّي غدا أشتري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عدم الاشتراء لا سبيل إلى تكذيبه ، إذ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بشراء اللحم ، إمّا أن يكون على تقدير إيجاد جميع المقدّمات أو الأعمّ من ذلك وعدمها ، لا سبيل إلى الثاني لأوله إلى الإخبار عن أمر ممتنع ، ولا إلى الأوّل لأوله إلى الإخبار بشراء اللحم على تقدير وجود المقدّمات ، والمفروض عدم واحدة منها ، إذ لا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التالي فهو ممّا لا ينبغي الارتياب فيه ، ضرورة صحّة التكذيب في مثل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الوجه المزبور لو تمّ لدلّ على انتفاء الواجب المطلق ، حيث إنّ عدم المقدّمة لمّا كان من جملة الأحوال التي امتنع صدور المقدّمة على تقديرها لم يصحّ وجوبه بالنسبة إليه ، ولا مدخل لوجوب المقدّمة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فبالحلّ ، فنختار من شقيّ الترديد ، تارة أوّلهما وهو وجوب الواجب على تقدير وجود المقدّمة وعدمها ، واخرى ثانيهما وهو الوجوب على تقدير الوجود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التقديرين المذكورين إن لوحظا بالنسبة إلى الوجوب فنحن نختار الإطلاق ، فالوجوب غير مشروط بشيء من التقديرين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واجب بمعنى اتّصافه بالمطلوبيّة وكونه متعلّقا للإرادة سواء وجدت المقدّمة أو عدمت ، لأنّ الكلام في المقدّمات الاختياريّة الّتي يمكن أن يكون الوجوب بالنسبة إليها مطلقا ، ولا يلزم منه ارتفاع العقاب على الواجب المطلق ، إذ عند عدم المقدّمة يستحقّ العقاب على نفس الفعل كما هو قضيّة الإطلاق إن لوحظا بالنسبة إلى الواجب ، فنحن نختار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على تقدير وجود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غائلة فيه ، إذ مرجع التقدير إلى وجوب الواجب الّذي لا </w:t>
      </w:r>
    </w:p>
    <w:p>
      <w:pPr>
        <w:pStyle w:val="BookText"/>
        <w:rPr/>
      </w:pPr>
      <w:r>
        <w:rPr>
          <w:rFonts w:ascii="Amiri" w:hAnsi="Amiri" w:eastAsia="Amiri" w:cs="Amiri"/>
          <w:color w:val="111111"/>
          <w:sz w:val="28"/>
          <w:sz w:val="28"/>
          <w:szCs w:val="28"/>
          <w:rtl w:val="true"/>
          <w:lang w:bidi="ar-SA"/>
        </w:rPr>
        <w:t>يحصل إلاّ بعد وجود المقدّمة ، وقضية ذلك هو إيجاد المقدّمة أيضا تحصيلا للواجب المأمور به ، إذ على تقدير الإخلال بها يحصل فيه العصيان ، وبذلك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من النقض بالأخبار المستقبلة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أنّ تلك التقادير ممّا يتوقّف عليه وجود تلك الأشياء في الواقع ، وأمّا الإخبار عن وجودها أو طلبها فلا يلزم أن يكون مشروطا بها ، وهو ظاهر فتدبّر </w:t>
      </w:r>
      <w:r>
        <w:rPr>
          <w:rStyle w:val="FootnoteAnchor"/>
          <w:rtl w:val="true"/>
        </w:rPr>
        <w:footnoteReference w:id="8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المحقّق المذكور أيضا </w:t>
      </w:r>
      <w:r>
        <w:rPr>
          <w:rStyle w:val="FootnoteAnchor"/>
          <w:rtl w:val="true"/>
        </w:rPr>
        <w:footnoteReference w:id="887"/>
      </w:r>
      <w:r>
        <w:rPr>
          <w:rFonts w:ascii="Amiri" w:hAnsi="Amiri" w:eastAsia="Amiri" w:cs="Amiri"/>
          <w:color w:val="111111"/>
          <w:sz w:val="28"/>
          <w:sz w:val="28"/>
          <w:szCs w:val="28"/>
          <w:rtl w:val="true"/>
          <w:lang w:bidi="ar-SA"/>
        </w:rPr>
        <w:t xml:space="preserve">، وهو أنّ حقيقة التكليف عند العدليّة هي إرادة الفعل عند الابتلاء </w:t>
      </w:r>
      <w:r>
        <w:rPr>
          <w:rStyle w:val="FootnoteAnchor"/>
          <w:rtl w:val="true"/>
        </w:rPr>
        <w:footnoteReference w:id="888"/>
      </w:r>
      <w:r>
        <w:rPr>
          <w:rFonts w:ascii="Amiri" w:hAnsi="Amiri" w:eastAsia="Amiri" w:cs="Amiri"/>
          <w:color w:val="111111"/>
          <w:sz w:val="28"/>
          <w:sz w:val="28"/>
          <w:szCs w:val="28"/>
          <w:rtl w:val="true"/>
          <w:lang w:bidi="ar-SA"/>
        </w:rPr>
        <w:t>بشرط الإعلام ، فالذي عليه مدار الإطاعة والعصيان هي الإرادة المتعلّقة ، والألفاظ إنّما هي أعلام دالّة عليها ، والعلامة قد يكون شيئا آخر من عقل أو 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الأشاعرة إلى أنّ التكليف لا يستلزم الإرادة ولا الدلالة عليها ، بل الطلب الذي هو مدلول صيغة الأمر شيء آخر وراء الإرادة ،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المعتزلة أنّه ليس هنا معنى يصلح لأن يكون مدلول صيغة الأمر إلاّ الإرادة ، وقد طال التشاجر وامتدّ النزاع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مختار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فنّ الكلام ، ولا يسعه المقام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أنّه يكفيك مئونة التشاجر أن تراجع وجدانك عند حصول الأمر هل تجد في نفسك كيفيّة اخرى تصلح لأن يكون مدلول الصيغة أم لا؟ فإنّك عند التأمل في النفس والكيفيّات والهيئات لم تجد شيئا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 إيجاب </w:t>
      </w:r>
    </w:p>
    <w:p>
      <w:pPr>
        <w:pStyle w:val="BookText"/>
        <w:rPr/>
      </w:pPr>
      <w:r>
        <w:rPr>
          <w:rFonts w:ascii="Amiri" w:hAnsi="Amiri" w:eastAsia="Amiri" w:cs="Amiri"/>
          <w:color w:val="111111"/>
          <w:sz w:val="28"/>
          <w:sz w:val="28"/>
          <w:szCs w:val="28"/>
          <w:rtl w:val="true"/>
          <w:lang w:bidi="ar-SA"/>
        </w:rPr>
        <w:t>الشيء يستلزم إرادته ونحن نعلم قطعا أنّه إذا تعلّق الإرادة الحتميّة بوجود الشيء ونعلم أنّه لا طريق إليه إلاّ بإيجاد شيء معيّن لا يمكن أن يحصل إلاّ به ، لتعلّق الإرادة الحتميّة بإيجاد ذلك الشيء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 بعد ملاحظة الطرفين وتجريدها عن العوارض وإن حصل التوقّف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إيجاب الشيء يستلزم الإرادة المتعلّقة بمقدّماته فيكون المقدّمة واجبة ، إذ ليس الوجوب عند الأصحاب إلاّ هذا </w:t>
      </w:r>
      <w:r>
        <w:rPr>
          <w:rStyle w:val="FootnoteAnchor"/>
          <w:rtl w:val="true"/>
        </w:rPr>
        <w:footnoteReference w:id="8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أنّ ما ذكره في هذه الحجّة من إحالة الأمر إلى الوجدان الصحيح كلام يلوح منه أثر الصدق وتفوح عنه رائحة الحق ، وإن كان ابتناؤه على ما ذكره من أنّ حقيقة التكليف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 إذ على تقدير الخلاف أيضا يتّجه ما ذكره من أنّ المنصف يجد من نفسه وجود الطلب المتعلّق بالمقدّمة على تقدير تعلّقه بذيها ، ويعلم أن لا وجه لذلك إلاّ مطلوبيّة الفعل الموقوف عليها ، ولا يفرق في ذلك القول بأنّ الطلب عين الإرادة كما عليه العدليّة أو غيرها ، وذلك ظاهر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إنّما يتمّ فيما لو كان مراد المستدلّ إثبات الوجوب التبعي للمقدّمة على وجه حرّرنا في تحرير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استفاده المحقّق الخوانساري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مقصوده إثبات الوجوب على وجه يوجب مخالفته العقاب ، فالتحقيق على ما عرفت أنّ الوجدان لا يقضي بذلك ، وليس ذلك من محتمل كلام القائل بالوجوب أيضا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على الوجوب ، بل قد عرفت دعوى الاتّفاق من الآمدي </w:t>
      </w:r>
      <w:r>
        <w:rPr>
          <w:rStyle w:val="FootnoteAnchor"/>
          <w:rtl w:val="true"/>
        </w:rPr>
        <w:footnoteReference w:id="890"/>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يسوغ إثبات الوجوب بالمعنى المذكور لهم مع الاتّفاق على نفي العقاب على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المحقّق الخوانساري قد أورد على الدليل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الطلب هو الإرادة وكان المطلوب من الصيغة الموضوعة للطلب إعلام المخاطب بحصول الإرادة في النفس ، فيلزم أن يكون وضع الجمل الطلبيّة لغوا غير محتاج إليه ويكون مفهوماتها ممّا لا يتعلّق بتصوّرها غرض أصلا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الإنشائيّة والصيغ الموضوعة لها ليست عين الإرادة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لها أيضا في حصول الإرادة ولا في حصول الإعلام عنها ، وعلى التقدير المذكور ليس معنى آخر حتّى يتصوّر مدخليّتها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مدخل لها في حصول الإرادة فظاهر ، لأنّ الإرادة معنى قائم بالنفس ، وهذا يتوقّف على تصوّر المراد والمكلّف فقط ، ولا توقّف لها على تصوّر النسبة التامّة الإنشائيّة ولا على صيغها ، وهو ظاهر سواء قلنا إنّها عين الداعي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الإعلام فلأنّ حاصله أن يعلم الآمر المخاطب أنّ الإرادة موجودة في نفسه ، ولا شكّ أنّ هذا المعنى معنى خبريّ ، واللفظ الدالّ عليه جملة خبريّة ، ولا توقّف له على النسبة الإنشائيّة وصيغها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ليس على هذا التقدير معنى آخر يتصوّر مدخليّتها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لغويّة هذه المفهومات وصيغها ، بل وكان يجب أن لا يدخل في الوجود ، كما لا يخفى على من أنصف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فبالضرورة والوجدان ، سلّمنا عدم بطلان التالي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الصيغ الإنشائيّة دالّة على الطلب ، وعلى هذا التقدير لا يتصوّر دلالتها عليه ؛ لأنّ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الإرادة حاصلة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مطابقيّا لتلك الصيغ ولا تضمّنيّا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التزاميّا أيضا ، إذ ليس هذا المعنى لازما بيّنا بالمعنى الأخصّ لمفهوم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لازما مطلقا ، كما يظهر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أيضا بين النسبة </w:t>
      </w:r>
    </w:p>
    <w:p>
      <w:pPr>
        <w:pStyle w:val="BookText"/>
        <w:rPr/>
      </w:pPr>
      <w:r>
        <w:rPr>
          <w:rFonts w:ascii="Amiri" w:hAnsi="Amiri" w:eastAsia="Amiri" w:cs="Amiri"/>
          <w:color w:val="111111"/>
          <w:sz w:val="28"/>
          <w:sz w:val="28"/>
          <w:szCs w:val="28"/>
          <w:rtl w:val="true"/>
          <w:lang w:bidi="ar-SA"/>
        </w:rPr>
        <w:t xml:space="preserve">الإنشائيّة وبين الإرادة علاقة ذهنيّة </w:t>
      </w:r>
      <w:r>
        <w:rPr>
          <w:rStyle w:val="FootnoteAnchor"/>
          <w:rtl w:val="true"/>
        </w:rPr>
        <w:footnoteReference w:id="891"/>
      </w:r>
      <w:r>
        <w:rPr>
          <w:rFonts w:ascii="Amiri" w:hAnsi="Amiri" w:eastAsia="Amiri" w:cs="Amiri"/>
          <w:color w:val="111111"/>
          <w:sz w:val="28"/>
          <w:sz w:val="28"/>
          <w:szCs w:val="28"/>
          <w:rtl w:val="true"/>
          <w:lang w:bidi="ar-SA"/>
        </w:rPr>
        <w:t>حتّى ينتقل منها بسبب تلك العلاقة إلى الإرادة ، فانتفت الدلالة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إمكان الدلالة بارتكاب تكلّف بأن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وضع هذه الصيغ أن لا يستعملوها إلاّ عند وجود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من التكلّفات الركيكة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دلالة الجمل الخبريّة عليها حينئذ أقوى وأظهر ، مع أنّهم صرّحوا قاطبة بأنّ الإنشائيات دالّة على الطلب بالذات ، والإخبار عن الطلب دالّ عليه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الطلب ليس هو الإرادة ، وأن ليس الغرض من الصيغ الإنشائيّة الإعلام بأنّ الإرادة حاصلة في النفس ، بل يجب أن يكون أمرا آخر غير الإرادة ، ولا يجوز أن يكون أمرا مثل الإرادة متوقّفا على تصوّر المطلوب والمطلوب منه فقط ويكون الغرض من الصيغ الإعلام بحصوله في النفس ، لعود المفاسد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إمّا نفس النسبة التامّة الإنشائيّة بل إدراكها ، لكن لا يطلق عليها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حصول الإرادة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 أنّ كثيرا ما ندركها وليس الطلب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أمر آخر غيره ولكن يتوقّف حصوله على ذلك الإدراك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بعينه نظير التصديق في الجمل الإخباريّة ، فإنّه أيضا إمّا عين إدراك النسبة التامّة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يتوقّف عليه أو على إدراك النسبة التقييديّة على رأي من جعله غيره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التقديرين يندفع المفاسد المذكورة ، ويظهر وجه دلالة الصيغ الإنشائيّة على الطلب وكونها بالذات ، بخلاف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فكلا الوجهين ظاهر لا سترة فيه ، لأنّ مفاد الإنشائيّة هو الطلب بنفسه ، ومفاد الإخباريّة ليس هو الطلب ، بل إنّما يخبر عن الطلب بحصوله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فوجه الدلالة ظاهر أيضا ، لأنّ الطلب لمّا كان حصوله مع حصول مفهوم تلك الصيغ ، فعند سماعها والانتقال إلى معانيها يحصل الانتقال إلى الطلب أيضا لشدّة تقارنهما واتّصالهما حتّى أنّ النفس لا يكاد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بالذات وكون الدلالة الإخباريّة عن الطلب بالعرض ، فلعلّ وجهه أيضا التقارن والاتّصال المذكور ، فكان مفاد الإنشائيّة الطلب بنفسها ، بخلاف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لمّا كان يتوقّف على تصوّر النسبة الإنشائيّة وتصوّر المعاني يتوقّف في المعتاد على تخيّل الألفاظ ، أو أنّه لا يحصل بمجرّد التصوّر النسبة التامّة الإنشائيّة ، بل لا بدّ من مخاطبة مع المطلوب عنه وتوجيهه إليه ، وهي إنّما تحصل من الألفاظ ، فللصيغ الإنشائيّة على الوجهين دخل في حدوث الطلب ، فدلالتها عليه من قبيل دلالة العلّة على المعلول ، بخلاف الجمل الخبريّة ، فإنّ دلالتها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الأوّل أقوى فلذلك اطلق عليها هنا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وجه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الصيغ منشئة ومحدثة لمعانيها ، فتدبّر ، انتهى كلامه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ومواضع النظر في كلامهما غير خفيّ على من أمعن النظر فيما أفادا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محلاّ للإطالة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عنه أيضا ، من أنّ إلزام المشقّة على الشخص من غير غرض </w:t>
      </w:r>
      <w:r>
        <w:rPr>
          <w:rStyle w:val="FootnoteAnchor"/>
          <w:rtl w:val="true"/>
        </w:rPr>
        <w:footnoteReference w:id="895"/>
      </w:r>
      <w:r>
        <w:rPr>
          <w:rFonts w:ascii="Amiri" w:hAnsi="Amiri" w:eastAsia="Amiri" w:cs="Amiri"/>
          <w:color w:val="111111"/>
          <w:sz w:val="28"/>
          <w:sz w:val="28"/>
          <w:szCs w:val="28"/>
          <w:rtl w:val="true"/>
          <w:lang w:bidi="ar-SA"/>
        </w:rPr>
        <w:t xml:space="preserve">قبيح ، ولذا حكم العدليّة باستحقاق الثواب والعقاب ، فلا بدّ أن يكون في </w:t>
      </w:r>
    </w:p>
    <w:p>
      <w:pPr>
        <w:pStyle w:val="BookText"/>
        <w:rPr/>
      </w:pPr>
      <w:r>
        <w:rPr>
          <w:rFonts w:ascii="Amiri" w:hAnsi="Amiri" w:eastAsia="Amiri" w:cs="Amiri"/>
          <w:color w:val="111111"/>
          <w:sz w:val="28"/>
          <w:sz w:val="28"/>
          <w:szCs w:val="28"/>
          <w:rtl w:val="true"/>
          <w:lang w:bidi="ar-SA"/>
        </w:rPr>
        <w:t>فعل المقدّمات التي لا خفاء في كونها من المشقّة أجر وثواب ، وهذا يقتضي الرجحان ، لأنّ ما لا رجحان فيه لا معنى لترتّب الثواب على فعله ؛ ولذا ترى منكري الوجوب لا يقولون باستحقاق الثواب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ثبت بهذه المقدّمة وجود الرجحان فثبت الوجوب بمقدّمة اخرى يمكن تحصيلها بأدنى تأمّل </w:t>
      </w:r>
      <w:r>
        <w:rPr>
          <w:rStyle w:val="FootnoteAnchor"/>
          <w:rtl w:val="true"/>
        </w:rPr>
        <w:footnoteReference w:id="896"/>
      </w:r>
      <w:r>
        <w:rPr>
          <w:rFonts w:ascii="Amiri" w:hAnsi="Amiri" w:eastAsia="Amiri" w:cs="Amiri"/>
          <w:color w:val="111111"/>
          <w:sz w:val="28"/>
          <w:sz w:val="28"/>
          <w:szCs w:val="28"/>
          <w:rtl w:val="true"/>
          <w:lang w:bidi="ar-SA"/>
        </w:rPr>
        <w:t>، انتهى ما لخّصناه من دليله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المقدّمة الّتي بها أراد إثبات الوجوب هي ملاحظة عدم معقوليّة القول بالاستحباب ، إذ لا يعقل أن يكون الرجحان الناشئ من المطلوبيّة المتعلّقة بذيها مرتبة اخرى من مراتب الرجحان ، لما هو المقرّر من أنّ الأثر من مقولة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القول بالاستحباب لم ينقل عنهم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الإلزام المأخوذ في الدليل على وجه التسليم اللابديّة العقليّة التي إليها يرجع معنى المقدّميّة ، فلا نسلّم أنّه يستتبع أجرا وثوابا على فرض ترتّب الثواب على الواجب الغيري ، مع أنّك قد عرفت تحقيق القول فيه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الإلزام التكليفي ، فبعد أنّه مصادرة قطعا ، لا يحتاج في إتمام المطلوب إلى ضمّ باقي المقدّمات ، كما هو ظاهر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المذكورة في مقام إثبات التكليف وإن ذكرها بعض العدليّة ، ولكنّها غير خالية عن منع ، وإنّما يسلّم بشرط أن لا يعود النفع الحاصل من الفعل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وصول نفعه إلى المكلّف لا دليل عقلا ولا نقلا على قبح التكليف به ، والإلزام بالمقدّمة غير محتاج إلى نفع أزيد ممّا يترتب على ذيها ، بل يكفي في الإلزام بها ملاحظة ما يترتّب على نفس الفعل ، وهو الوصول إلى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الفاضل المذكور </w:t>
      </w:r>
      <w:r>
        <w:rPr>
          <w:rStyle w:val="FootnoteAnchor"/>
          <w:rtl w:val="true"/>
        </w:rPr>
        <w:footnoteReference w:id="897"/>
      </w:r>
      <w:r>
        <w:rPr>
          <w:rFonts w:ascii="Amiri" w:hAnsi="Amiri" w:eastAsia="Amiri" w:cs="Amiri"/>
          <w:color w:val="111111"/>
          <w:sz w:val="28"/>
          <w:sz w:val="28"/>
          <w:szCs w:val="28"/>
          <w:rtl w:val="true"/>
          <w:lang w:bidi="ar-SA"/>
        </w:rPr>
        <w:t>، من أنّ المولى إذا أمر عبده بالصعود على السطح في ساعة معيّنة فأخذ العبد في هدم البناء يذمّه العقلاء ويعيّرونه ، وهذا علامة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على الهدم ليس بذاته ، بل لكونه موصلا إلى ترك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الذمّ على الهدم ثبت إيجاب نقيضه ، وأمّا كون الذمّ معلّلا باتّصافه بصفة الإيصال إلى شيء ما فلا يقدح في ذلك ، كما لا يخفى ، انتهى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إنّما هو على إيجاده بسبب الترك ، وهو ليس أمرا مغايرا للذمّ على نفس الترك ، غاية الأمر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الذمّ إنّما يترتّب على الترك قبل زمان الفعل ، ولا ضير فيه ، لما تقدّم من أنّ الترك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حقيقي وترك حكمي ، والثاني في المقام متحقّق وإن لم يكن الأوّل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الهدم في زمان الأمر بالصعود فالأمر أوضح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الفاضل أيضا في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العاقل الخالص عن الأغراض ينهى عن الهدم المذكور إلزاما ، والنهي الإلزامي من العاقل الخالص عن دواعي الشهوة لا يكون إلاّ لداعي الحكمة ، فلا يكون إلاّ لقبح الشيء في نفسه ، كما تقرّر في غير هذا المقام ، فيكون الهدم المذكور قبيحا ويكون نقيضه واجبا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إثبات الوجوب النفسي للمقدّمة فهو ممّا لا ينبغي أن يصغى إليه ، والمذكور في الاستدلال لا ينهض بإثباته ، لأنّ النهي المذكور في الحقيقة عن ترك الصعود الّذي هو المأمور به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إثبات الوجوب الغيري بالمعنى الأعمّ من الإرشادي والإلزامي فمسلّم ، لكنّه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خصوص الإلزامي فللمانع أن 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الإنصاف هو ثبوته بحسب الوجدان ، فلا وجه للمنع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الاستدلال ينافي ذلك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 أيضا ، من أنّ إيجاب المسبّب يستلزم إيجاب السبب ، ويلزم من ذلك أن يكون إيجاب المشروط مستلزما لإيجاب الشرط ، لأنّ ترك الواجب قبيح وترك الشرط مستلزم لترك الواجب والسبب المستلزم للقبيح قبيح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أراد بذلك دفع التفصيل بين الشرط والسبب ، وإلاّ فكيف الاستدلال بمثل ذلك في قبال من لا يرى وجوب السبب أيضا؟ على أنّ الكلام في أنّ ما يستلزم القبيح هل هو قبيح أم لا؟ فالاستدلال المذكور ساقط عن أصله ، لكونه مصادرة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أيضا ، وهو أنّ من تأمّل في القواعد العلميّة ومارس المصالح الحكميّة وجرّب التدبيرات الكلّية وعرف مجاري أحكام العقلاء وحكمهم عرف </w:t>
      </w:r>
      <w:r>
        <w:rPr>
          <w:rStyle w:val="FootnoteAnchor"/>
          <w:rtl w:val="true"/>
        </w:rPr>
        <w:footnoteReference w:id="902"/>
      </w:r>
      <w:r>
        <w:rPr>
          <w:rFonts w:ascii="Amiri" w:hAnsi="Amiri" w:eastAsia="Amiri" w:cs="Amiri"/>
          <w:color w:val="111111"/>
          <w:sz w:val="28"/>
          <w:sz w:val="28"/>
          <w:szCs w:val="28"/>
          <w:rtl w:val="true"/>
          <w:lang w:bidi="ar-SA"/>
        </w:rPr>
        <w:t>أنّ ما يجب رعايته والأمر به والإلزام به قد يكون مطلوبا بالذات وقد يكون بالعرض من حيث إنّه نافع في حصول الغرض الأصلي والمطلوب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تدبير بلد أو عسكر كما أنّه يأمر بالامور النافعة لهم وينهى </w:t>
      </w:r>
      <w:r>
        <w:rPr>
          <w:rStyle w:val="FootnoteAnchor"/>
          <w:rtl w:val="true"/>
        </w:rPr>
        <w:footnoteReference w:id="903"/>
      </w:r>
      <w:r>
        <w:rPr>
          <w:rFonts w:ascii="IRNazanin" w:hAnsi="IRNazanin" w:eastAsia="IRNazanin"/>
          <w:color w:val="111111"/>
          <w:sz w:val="28"/>
          <w:sz w:val="28"/>
          <w:szCs w:val="28"/>
          <w:rtl w:val="true"/>
          <w:lang w:bidi="fa-IR"/>
        </w:rPr>
        <w:t xml:space="preserve">عن الامور </w:t>
      </w:r>
    </w:p>
    <w:p>
      <w:pPr>
        <w:pStyle w:val="BookText"/>
        <w:rPr/>
      </w:pPr>
      <w:r>
        <w:rPr>
          <w:rFonts w:ascii="Amiri" w:hAnsi="Amiri" w:eastAsia="Amiri" w:cs="Amiri"/>
          <w:color w:val="111111"/>
          <w:sz w:val="28"/>
          <w:sz w:val="28"/>
          <w:szCs w:val="28"/>
          <w:rtl w:val="true"/>
          <w:lang w:bidi="ar-SA"/>
        </w:rPr>
        <w:t xml:space="preserve">المضارّة لهم ، كذلك يأمر بالامور المؤدّية إلى خيراتهم </w:t>
      </w:r>
      <w:r>
        <w:rPr>
          <w:rStyle w:val="FootnoteAnchor"/>
          <w:rtl w:val="true"/>
        </w:rPr>
        <w:footnoteReference w:id="904"/>
      </w:r>
      <w:r>
        <w:rPr>
          <w:rFonts w:ascii="Amiri" w:hAnsi="Amiri" w:eastAsia="Amiri" w:cs="Amiri"/>
          <w:color w:val="111111"/>
          <w:sz w:val="28"/>
          <w:sz w:val="28"/>
          <w:szCs w:val="28"/>
          <w:rtl w:val="true"/>
          <w:lang w:bidi="ar-SA"/>
        </w:rPr>
        <w:t xml:space="preserve">ومعدّاتها وشرائطها والطريق الموصل إليها وينهى </w:t>
      </w:r>
      <w:r>
        <w:rPr>
          <w:rStyle w:val="FootnoteAnchor"/>
          <w:rtl w:val="true"/>
        </w:rPr>
        <w:footnoteReference w:id="905"/>
      </w:r>
      <w:r>
        <w:rPr>
          <w:rFonts w:ascii="Amiri" w:hAnsi="Amiri" w:eastAsia="Amiri" w:cs="Amiri"/>
          <w:color w:val="111111"/>
          <w:sz w:val="28"/>
          <w:sz w:val="28"/>
          <w:szCs w:val="28"/>
          <w:rtl w:val="true"/>
          <w:lang w:bidi="ar-SA"/>
        </w:rPr>
        <w:t xml:space="preserve">عن الامور المستلزمة لمضارّهم والمستلزمة لإخلال مصالحهم المؤدّية إليه ، ويريد ويكره على نسبة واحدة ، وأيّ مصلحة للشيء أنفع من توقّف المصلحة الذاتيّة عليه؟ ولمّا كانت المصالح مستلزمة للتكاليف الشرعيّة كما أنّ التكاليف الشرعيّة مستلزمة للتكاليف العقليّة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وجوب مقدّمة الواجب </w:t>
      </w:r>
      <w:r>
        <w:rPr>
          <w:rStyle w:val="FootnoteAnchor"/>
          <w:rtl w:val="true"/>
        </w:rPr>
        <w:footnoteReference w:id="906"/>
      </w:r>
      <w:r>
        <w:rPr>
          <w:rFonts w:ascii="IRNazanin" w:hAnsi="IRNazanin" w:eastAsia="IRNazanin"/>
          <w:color w:val="111111"/>
          <w:sz w:val="28"/>
          <w:sz w:val="28"/>
          <w:szCs w:val="28"/>
          <w:rtl w:val="true"/>
          <w:lang w:bidi="fa-IR"/>
        </w:rPr>
        <w:t>، انتهى بأدنى 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المصلحة إن كان </w:t>
      </w:r>
      <w:r>
        <w:rPr>
          <w:rStyle w:val="FootnoteAnchor"/>
          <w:rtl w:val="true"/>
        </w:rPr>
        <w:footnoteReference w:id="907"/>
      </w:r>
      <w:r>
        <w:rPr>
          <w:rFonts w:ascii="Amiri" w:hAnsi="Amiri" w:eastAsia="Amiri" w:cs="Amiri"/>
          <w:color w:val="111111"/>
          <w:sz w:val="28"/>
          <w:sz w:val="28"/>
          <w:szCs w:val="28"/>
          <w:rtl w:val="true"/>
          <w:lang w:bidi="ar-SA"/>
        </w:rPr>
        <w:t xml:space="preserve">ما هي ثابتة في المطلوب الذاتي كما أشعر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ويكره على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فمجال المنع فيه واسع ، بل العقل يقضي بخلافه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بها المصلحة الغيريّة التي تترشّح عن المصلحة الذاتيّة ، فإن اريد أنّ تلك المصلحة يستلزم التكليف بذيها فعلا فهو أيضا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 تلك المصلحة على وجه يصحّ معها الأمر بالمقدّمة فيما لو كان هناك ما يقضي بإظهار الأمر على وجه التفصيل فهو حقّ لا مناص عنه ، كما عرفت ممّا تقدّم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أنّ ما يشاهد من تعلّق الأمر الفعلي التفصيلي أحيانا ببعض المقدّمات ليس من جهة وصف المقدّميّة والمصلحة الغيريّة ، فإنّها بنفسها لا تقتضي أمرا على وجه التفصيل ، بل تحتاج إلى نكتة خارجة ، كالخوف عن غفلة المأمور عنها وخفائها ونحو ذلك ، بل الذي يقتضيه تلك المصلحة تعلّق حالة طلبيّة بسيطة ناشئة من تعلّق الطلب بالمطلوب الذاتي ، وهو كاف في ثبوتها ، ويتفصّل تلك الحالة الإجماليّة بالأوامر المفصّلة التي يقتضيها النكات الخارجيّة ، كما عرفت في تقرير </w:t>
      </w:r>
    </w:p>
    <w:p>
      <w:pPr>
        <w:pStyle w:val="BookText"/>
        <w:rPr/>
      </w:pPr>
      <w:r>
        <w:rPr>
          <w:rFonts w:ascii="Amiri" w:hAnsi="Amiri" w:eastAsia="Amiri" w:cs="Amiri"/>
          <w:color w:val="111111"/>
          <w:sz w:val="28"/>
          <w:sz w:val="28"/>
          <w:szCs w:val="28"/>
          <w:rtl w:val="true"/>
          <w:lang w:bidi="ar-SA"/>
        </w:rPr>
        <w:t>الدليل المختار على ما صرنا إليه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الحكم بوجوب المقدّمة ، كما عليه بناء الفقهاء في الكتب الاستدلاليّة الفقهيّة وغيرها ، من غير فرق بين أقسامها من الشرعيّة كالصلاة بالنسبة إلى الوضوء </w:t>
      </w:r>
      <w:r>
        <w:rPr>
          <w:rStyle w:val="FootnoteAnchor"/>
          <w:rtl w:val="true"/>
        </w:rPr>
        <w:footnoteReference w:id="908"/>
      </w:r>
      <w:r>
        <w:rPr>
          <w:rFonts w:ascii="Amiri" w:hAnsi="Amiri" w:eastAsia="Amiri" w:cs="Amiri"/>
          <w:color w:val="111111"/>
          <w:sz w:val="28"/>
          <w:sz w:val="28"/>
          <w:szCs w:val="28"/>
          <w:rtl w:val="true"/>
          <w:lang w:bidi="ar-SA"/>
        </w:rPr>
        <w:t>والعاديّة كتحصيل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مرادهم ليس مجرّد الاشتراط ، لثبوته في مقدّمات غير 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ذلك من الأحكام الضروريّة ، كما أذعن به المحقّق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العقائد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المحقّق الشريف حيث خصّ الوجوب بالمقدّمة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السبب المستلزم وغيره ، فإنّ إيجاب الشيء يستلزم إيجاب مقدّماته بديهة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الطوسي في محكي نقد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يتمّ الواجب إلاّ به وكان مقدورا على المكلّف كان واجبا عليه ، فإنّ الّذي كلّف الإتيان به كلّف به كيفما كان </w:t>
      </w:r>
      <w:r>
        <w:rPr>
          <w:rStyle w:val="FootnoteAnchor"/>
          <w:rtl w:val="true"/>
        </w:rPr>
        <w:footnoteReference w:id="911"/>
      </w:r>
      <w:r>
        <w:rPr>
          <w:rFonts w:ascii="Amiri" w:hAnsi="Amiri" w:eastAsia="Amiri" w:cs="Amiri"/>
          <w:color w:val="111111"/>
          <w:sz w:val="28"/>
          <w:sz w:val="28"/>
          <w:szCs w:val="28"/>
          <w:rtl w:val="true"/>
          <w:lang w:bidi="ar-SA"/>
        </w:rPr>
        <w:t>فإنّ الاقتصار في التعليل على ما ذكره يشعر بأنّه كاف في التصديق بما ذكره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الضرورة والوجدان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أظنّك في مرية من هذا بعد تصوّر تعلّق الخطاب الإيجابي والإرادة الحتميّة بشيء وتصوّر تعلّقهما بما يتوقّف على ذلك الشيء ولا يحصل بدونه ، تصوّرا مجرّدا عن العوارض ، وكيف يتصوّر من عاقل المنع من ترك شيء وعدم الرخصة فيه مع تجويز ترك مقدّمته التي يستلزم تركها تركه والرخصة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الأفاضل لقد أجادوا فيما أفادوا في الغاية ، إلاّ أنّ الأخير منهم قال في معنى الوجوب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ما ذكرنا من تعلّق الخطاب والطلب تبعا بمقدّمة المأمور به ليس من جهة كونها موقوفا عليها للمأمور به ، بل هو أعمّ من استلزام الفعل المأمور به ، حتى أنّ هذا المعنى ثابت أيضا بالنسبة إلى لوازم المأمور به الذي يكون وجودها تبعا لوجود المأمور به لا مقدّما عليه ، كما يحكم به الوجدان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انتساب الوجوب إلى اللوازم بنوع من العناية والمسامحة من قبيل إسناد الشيء إلى غير من هو له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حسن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الطلب الحاصل في المقدّمات هو من هذا القبيل فيكون ثبوت الوجوب وتعلّقه بالمطلوب الذاتي واسطة في عروض الطلب وصحّة انتسابه إليه مجازا ، فهو ليس في محلّه ؛ لما تقدّم أنّ الوجوب الثابت للمقدّمة إنّما هو معنى آخر فوق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 المعنى الثابت في المقدّمة إنّما هو ثابت في اللوازم التابعة للمأمور به وإن لم يتوقّف عليها نظرا إلى مجرّد استلزام تركها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استدلاله على ذلك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نجده من أنفسنا أنّ مدار ثبوت هذا المعنى من الوجوب هو التوقّف والتقدّم لا مجرّد استلزام الترك للترك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فالمتّهم فهمنا ، لاحتمال أن يكون الفرق الّذي نجده في أنفسنا بينهما باعتبار شدّة تلك الحالة وضعفها في المقامين ، إلاّ أنّه بعيد غاية بعد فرض اتّحاد المناط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تمام الكلام في احتجاج القائلين بالوجوب ، وربما يستندون إلى وجوه أخر ، كلّها مزيّفة لا حاجة إلى ذكرها وذكر ما فيها</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في تضعيف أدلّة القول بالوجوب يظهر وجه القول بعدم الوجوب مطلقا ، إذ بعد إبطال الوجوه التي يمكن إقامتها على المطلوب لا يحتاج النافي إلى استكشاف مطلوبه عن دليل ، ومع ذلك فقد استندوا إلى وجوه سخيفة لا ينبغي التعرّض لها ولإبطالها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284" w:name="pg16254_218699"/>
    </w:p>
    <w:p>
      <w:pPr>
        <w:pStyle w:val="Heading3"/>
        <w:numPr>
          <w:ilvl w:val="2"/>
          <w:numId w:val="1"/>
        </w:numPr>
        <w:rPr/>
      </w:pPr>
      <w:bookmarkStart w:id="285" w:name="__RefHeading___Toc4418306_1280447820"/>
      <w:bookmarkStart w:id="286" w:name="_Toc90"/>
      <w:bookmarkEnd w:id="284"/>
      <w:bookmarkEnd w:id="285"/>
      <w:r>
        <w:rPr>
          <w:rtl w:val="true"/>
        </w:rPr>
        <w:t>هداية</w:t>
      </w:r>
      <w:bookmarkEnd w:id="286"/>
    </w:p>
    <w:p>
      <w:pPr>
        <w:pStyle w:val="BookText"/>
        <w:rPr/>
      </w:pPr>
      <w:r>
        <w:rPr>
          <w:rFonts w:ascii="Amiri" w:hAnsi="Amiri" w:eastAsia="Amiri" w:cs="Amiri"/>
          <w:color w:val="111111"/>
          <w:sz w:val="28"/>
          <w:sz w:val="28"/>
          <w:szCs w:val="28"/>
          <w:rtl w:val="true"/>
          <w:lang w:bidi="ar-SA"/>
        </w:rPr>
        <w:t xml:space="preserve">في ذكر احتجاج المفصّل بين السبب وغيره ، وقد مرّ الكلام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 وأنّه لم يظهر لنا وجه في المراد منه بعد عدم إرادة العلّة التامّة منه ، إذ لا يعقل أن تكون واجبة ، لاشتمالها على امور غير اختياريّة خارجة عن مقدرة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 ما عدا غير المقدور من أجزاء العلّة التامّة الذي يعدّ في العادة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فالمنقول من احتجاجهم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الوجوب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فلإجماعات نقلها الآمدي </w:t>
      </w:r>
      <w:r>
        <w:rPr>
          <w:rStyle w:val="FootnoteAnchor"/>
          <w:rtl w:val="true"/>
        </w:rPr>
        <w:footnoteReference w:id="914"/>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915"/>
      </w:r>
      <w:r>
        <w:rPr>
          <w:rFonts w:ascii="Amiri" w:hAnsi="Amiri" w:eastAsia="Amiri" w:cs="Amiri"/>
          <w:color w:val="111111"/>
          <w:sz w:val="28"/>
          <w:sz w:val="28"/>
          <w:szCs w:val="28"/>
          <w:rtl w:val="true"/>
          <w:lang w:bidi="ar-SA"/>
        </w:rPr>
        <w:t>وغيرهما في خصوص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وجود المسبّب عند وجود السبب ضروريّ وعند عدمه ممتنع ، فلا يمكن تعلّق التكليف به لكونه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التوصّل إلى الواجب واجب إجماعا ، وليس ذلك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الطلب إنّما يتعلّق بفعل المكلّف من الحركات الإراديّة الصادرة عنه التابعة لتحريك القوّة المنبعثة في العضلات ، وأمّا الأمور التابعة لتلك الحركات المعلولة لها فليست فعلا للمكلّف ، بل فعل المكلّف يستتبع لها استتباع العلل للمعلولات أو استتباع الأشياء للامور المقارنة اقترانا عاديّا ، فلا يمكن تعلّق التكليف بها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الوجوب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فللأدلّة التي اعتمد عليها النافي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الدليل على الوجوب ، وعدم دلالة الأمر عليه بوجه من وجوه الدلالة وبخلوّ الخطب والمواعظ </w:t>
      </w:r>
      <w:r>
        <w:rPr>
          <w:rStyle w:val="FootnoteAnchor"/>
          <w:rtl w:val="true"/>
        </w:rPr>
        <w:footnoteReference w:id="916"/>
      </w:r>
      <w:r>
        <w:rPr>
          <w:rFonts w:ascii="Amiri" w:hAnsi="Amiri" w:eastAsia="Amiri" w:cs="Amiri"/>
          <w:color w:val="111111"/>
          <w:sz w:val="28"/>
          <w:sz w:val="28"/>
          <w:szCs w:val="28"/>
          <w:rtl w:val="true"/>
          <w:lang w:bidi="ar-SA"/>
        </w:rPr>
        <w:t>والأخبار عنه مع أنّه ممّا توفّرت الدواعي إلى نقله ، فلو كان واجبا كان منقولا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التي لا يخفى ضعفها على المتدرّب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دليل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على وجوب السبب خاصّة ، وإن اريد به النفي عن غيره فتحقّقه ممنوع ، سواء اريد به إجماع العقلاء أو العلماء ، والمنقول منه لا يجدي شيئا ولا يورث وهما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أنّ مورد إجماع العقلاء إنّما هو السبب فقط وأمّا في غيره فيحتمل اختلافهم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مراد المستدلّ حيث إنّه استدلّ للنفي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الإنصاف بحسب ما نجده من الوجدان عموم مورده في حكم العقلاء ، لأنّا لا نجد بعد اشتراكهما في توقّف الواجب عليها فرقا يوجب وجوبه دون غيره ، كما عرفت دعوى الضرورة على ذلك في كلام المحقّق الدواني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ينقطع ما استند إليه في النفي عن غير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الدلالة فيما إذا كان الدليل على وجوب ذي المقدّمة لفظيّا بوجه من وجوه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 الخطب والمواعظ لا يضرّ في ذلك ، لجواز الاتّكال على ما يقتضيه العقل ، مضافا إلى إمكان استفادة ذلك من وجوه لفظيّة ولو بوجه من الإيماء والإشعار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الَّذِينَ </w:t>
      </w:r>
      <w:r>
        <w:rPr>
          <w:rFonts w:eastAsia="Amiri" w:cs="Amiri" w:ascii="Amiri" w:hAnsi="Amiri"/>
          <w:color w:val="111111"/>
          <w:sz w:val="28"/>
          <w:szCs w:val="28"/>
          <w:rtl w:val="true"/>
          <w:lang w:bidi="ar-SA"/>
        </w:rPr>
        <w:t xml:space="preserve">... ) </w:t>
      </w:r>
      <w:r>
        <w:rPr>
          <w:rStyle w:val="FootnoteAnchor"/>
          <w:rtl w:val="true"/>
        </w:rPr>
        <w:footnoteReference w:id="919"/>
      </w:r>
      <w:r>
        <w:rPr>
          <w:rFonts w:ascii="Amiri" w:hAnsi="Amiri" w:eastAsia="Amiri" w:cs="Amiri"/>
          <w:color w:val="111111"/>
          <w:sz w:val="28"/>
          <w:sz w:val="28"/>
          <w:szCs w:val="28"/>
          <w:rtl w:val="true"/>
          <w:lang w:bidi="ar-SA"/>
        </w:rPr>
        <w:t>الآية وغير ذلك ممّا لا يخفى على الخبير الماهر ، وبذلك يتمّ اللطف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الفعل كامتناعه بعد وجود علّته وعدمها لا ينافي التكليف به ، وإلاّ لزم سقوط التكليف عن رأس ، لأنّ المفروض أنّ المقدّمة السببيّة أيضا من الأفعال الاختياريّة التي لا بدّ من انتهائها إلى غيرها من الامور الخارجة عن القدرة التي يمتنع تعلّق التكليف بها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تضعيف حجّة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ما ذكره إنّما يتمّ فيما إذا كان المسبّب الّذي تعلّق به الأمر من غير مقولة الحركة والفعل كأن يكون من مقولة الكيف أو غيره ، كالأمر بالعلم فيما إذا لم نقل بكونه من مقولة الفعل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بدّ وأن يكون المطلوب النفسي في ذلك الأمر هو التحصيل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المسبّب من مقولة الحركة والفعل كتحرّك المفتاح المسبّب عن تحريك اليد وإن لم يكن وجود المسبّب مغايرا لوجود السبب في الخارج ، فلا وجه للمنع عن تعلّق التكليف به ، لكونه فعلا من أفعال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تابعا لفعله الآخر فلا ينافي تعلّق التكليف به ، كما عرفت في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التوليديّة التي يتولّد من فعل المكلّف تارة يكون من مقولة الفعل والحركة الصادرة عنه ، سواء كان اختلافهما بمجرّد العنوان مع اتّحاد الموجود منهما في الخارج كالإحراق الحاصل بالإلقاء في النار وكتحريك المفتاح الحاصل بتحريك اليد ، أو كان الموجود منهما أيضا متعدّدا كحركة المفتاح وحركة اليد بناء على أنّ تلك الحركة القائمة بالمفتاح صاردة عن الفاعل أيضا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يكون من غير مقولة الفعل والحركة ، كالعلم الحاصل بالنظر والتحصيل الذي هو من مقولة الفعل والحركة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 لا مانع من تعلّق التكليف بعنوان المولود من فعله الآخر ، سواء </w:t>
      </w:r>
    </w:p>
    <w:p>
      <w:pPr>
        <w:pStyle w:val="BookText"/>
        <w:rPr/>
      </w:pPr>
      <w:r>
        <w:rPr>
          <w:rFonts w:ascii="Amiri" w:hAnsi="Amiri" w:eastAsia="Amiri" w:cs="Amiri"/>
          <w:color w:val="111111"/>
          <w:sz w:val="28"/>
          <w:sz w:val="28"/>
          <w:szCs w:val="28"/>
          <w:rtl w:val="true"/>
          <w:lang w:bidi="ar-SA"/>
        </w:rPr>
        <w:t xml:space="preserve">كان متّحدا مع عنوان المولّد </w:t>
      </w:r>
      <w:r>
        <w:rPr>
          <w:rStyle w:val="FootnoteAnchor"/>
          <w:rtl w:val="true"/>
        </w:rPr>
        <w:footnoteReference w:id="920"/>
      </w:r>
      <w:r>
        <w:rPr>
          <w:rFonts w:ascii="Amiri" w:hAnsi="Amiri" w:eastAsia="Amiri" w:cs="Amiri"/>
          <w:color w:val="111111"/>
          <w:sz w:val="28"/>
          <w:sz w:val="28"/>
          <w:szCs w:val="28"/>
          <w:rtl w:val="true"/>
          <w:lang w:bidi="ar-SA"/>
        </w:rPr>
        <w:t>أو مغايرا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فظاهر ، وأمّا الأوّل فلأنّ مدار التكليف وصحّته على القدرة على ذات الفعل بالعنوان الذي تعلّق به الأمر ، والمفروض كون الذات مقدورة ، وإلاّ لم يصحّ التكليف بالسبب أيضا لاتّحاد الذات فيهما ، وكونها معنونة بعنوان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 في الامتناع ، إلاّ من حيث توهّم وجوب وجود المسبّب مع وجود السبب ، سيّما إذا كان الذات فيهما متّحدة ، وقد عرفت الجواب عن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فلا يعقل أن يكون العنوان المولّد من الفعل موردا للتكليف والأمر ؛ ضرورة توقّف صحّته على أن يكون المأمور به فعلا من المأمور ، وأمّا إذا لم يكن فعلا له فلا وجه للأمر والطلب ، إلاّ أن يكون المأمور به حقيقة والمطلوب النفسي هو عنوان السبب ويكون المسبب الحاصل به داعيا إلى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وجوبه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النفسي غير منحصر فيما هو غاية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بالعلم لا بدّ وأن يكون مجازا على ما ذكرت ، وهو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ذلك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مادّة وهيئة ، والهيئة تدلّ على طلب إيجاد العلم الذي هو المادّة وهو بعينه مفاد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مجاز فيه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المتعلّق للطلب من مقولة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لوحظ من حيث إنّه فعل ومصدر ، لا حاجة إلى تقدير الإيجاد في متعلّق الطلب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الهيئة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الضرب ، إذ الإيجاد مأخوذ في المتعلّق ، </w:t>
      </w:r>
    </w:p>
    <w:p>
      <w:pPr>
        <w:pStyle w:val="BookText"/>
        <w:rPr/>
      </w:pPr>
      <w:r>
        <w:rPr>
          <w:rFonts w:ascii="Amiri" w:hAnsi="Amiri" w:eastAsia="Amiri" w:cs="Amiri"/>
          <w:color w:val="111111"/>
          <w:sz w:val="28"/>
          <w:sz w:val="28"/>
          <w:szCs w:val="28"/>
          <w:rtl w:val="true"/>
          <w:lang w:bidi="ar-SA"/>
        </w:rPr>
        <w:t>وهو الفعل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من حيث إنّه حاصل بالفعل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اسم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التعبير بالإيجاد وتقديره في متعلّق الطلب ، وهو عبارة اخرى من وجوب تحصيل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مراد القائل بأنّ الأمر بالمسبّب عين الأمر بالسبب ، وإلاّ فهو بظاهره فاسد جدّا ، إلاّ أنّه مع ذلك ليس قولا بالتفصيل في المقدّمات السببيّة وغيرها ، بل هو قول برجوع الأمر النفسي إلى بعض الأسباب ، لعدم قابليّة المسبّب للأمر ، لا لأنّه بعد حصول السبب خارج عن القدرة ، بل بواسطة أنّه ليس فعلا حتّى يتعلّق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ما ذكرنا تقدر على إرجاع الأمر المتعلّق بالمسبّب إلى الأمر بالسبب فيما إذا كان الذات فيهما متّحدة ، من دون لزوم تجوّز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طلب إيجاد الحرق ، وتحصيله في الخارج عن الإلقاء في النار ، فلا مجاز في اللفظ ، مع أنّ المأمور به في الواقع هو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ذلك بالنسبة إلى الشروط ، فإنّ الأمر بالصعود على السطح لا يرتبط بنصب السلّم ، بل كلّ من النصب والصعود من الأفعال الصادرة من الفاعل على وجه المباشرة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الأسباب التي تغاير المسبّبات في الخارج ويكون المسبّبات أيضا من الأفعال فلا داعي إلى التزامه وإن كان له وجه صحّة ، كما عرفت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تجريد المادّة عن الإيجاد بجعلها حاصل المصدر ، فيكون مدلول الهيئة طلب الإيجاد ، وهو يرادف الأمر بالسبب في اللبّ ، إلاّ أنّ الظاهر من الفعل المتعلّق للأمر هو كونه مصدرا ، فلا حاجة فيه إلى الإيجاد ، وعلى تقديره يجب إبقاء الأمر على ظاهره ، لجواز تعلّق التكليف بالمسبّبات ، لأنّ الإيجاب بالاختيار لا ينافي الاختيار ، والمسبّب أيضا فعل لا مانع من تعلّق التكليف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موجود بعينه في الأسباب المتّحدة كالإحراق ، فإنّه أيضا فعل ظاهر في كونه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الفرق من حيث إنّ الحرق ليس فعلا في الواقع ، بل هو من مقولة اخرى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اختلاف الموارد ، فتارة يحتاج إلى تقدير الإيجاد ، واخرى لا يحتاج؟</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تعلّق الطلب بغير الفعل محالا فاحتاج أن يكون متعلّقه فعلا ، فإن كان فهو ، وإلاّ فبدلالة الاقتضاء يجب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الموارد في كون بعضها فعلا دون الآخر هو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287" w:name="pg16254_218705"/>
    </w:p>
    <w:p>
      <w:pPr>
        <w:pStyle w:val="Heading3"/>
        <w:numPr>
          <w:ilvl w:val="2"/>
          <w:numId w:val="1"/>
        </w:numPr>
        <w:rPr/>
      </w:pPr>
      <w:bookmarkStart w:id="288" w:name="__RefHeading___Toc4418308_1280447820"/>
      <w:bookmarkStart w:id="289" w:name="_Toc91"/>
      <w:bookmarkEnd w:id="287"/>
      <w:bookmarkEnd w:id="288"/>
      <w:r>
        <w:rPr>
          <w:rtl w:val="true"/>
        </w:rPr>
        <w:t>هداية</w:t>
      </w:r>
      <w:bookmarkEnd w:id="289"/>
    </w:p>
    <w:p>
      <w:pPr>
        <w:pStyle w:val="BookText"/>
        <w:rPr/>
      </w:pPr>
      <w:r>
        <w:rPr>
          <w:rFonts w:ascii="Amiri" w:hAnsi="Amiri" w:eastAsia="Amiri" w:cs="Amiri"/>
          <w:color w:val="111111"/>
          <w:sz w:val="28"/>
          <w:sz w:val="28"/>
          <w:szCs w:val="28"/>
          <w:rtl w:val="true"/>
          <w:lang w:bidi="ar-SA"/>
        </w:rPr>
        <w:t xml:space="preserve">في ذكر احتجاج المفصّل بين الشروط الشرعيّة وبين غيرها في الوجوب </w:t>
      </w:r>
      <w:r>
        <w:rPr>
          <w:rStyle w:val="FootnoteAnchor"/>
          <w:rtl w:val="true"/>
        </w:rPr>
        <w:footnoteReference w:id="921"/>
      </w:r>
      <w:r>
        <w:rPr>
          <w:rFonts w:ascii="Amiri" w:hAnsi="Amiri" w:eastAsia="Amiri" w:cs="Amiri"/>
          <w:color w:val="111111"/>
          <w:sz w:val="28"/>
          <w:sz w:val="28"/>
          <w:szCs w:val="28"/>
          <w:rtl w:val="true"/>
          <w:lang w:bidi="ar-SA"/>
        </w:rPr>
        <w:t xml:space="preserve">في الأوّل وبعدمه في الثاني ، كما هو المحكيّ عن الحاجبي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فاستدلّ على الوجوب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واجبا لم يكن شرطا ، والتالي باطل ،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 فلأنّه لو لم يجب لجاز تركه ، وحينئذ فإمّا أن يكون الآتي بالمشروط دون الشرط آتيا بتمام المأمور به أو لا ، والتالي باطل ؛ إذ المفروض أنّه لم يتعلّق أمر بالشرط وانحصار الأمر بالمشروط ، فيجب الالتزام بالأوّل ، ولازمه عدم توقّفه على الشرط مع أنّه شرط ، وهو المراد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التالي ، فلأنّه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عدم الوجوب </w:t>
      </w:r>
      <w:r>
        <w:rPr>
          <w:rStyle w:val="FootnoteAnchor"/>
          <w:rtl w:val="true"/>
        </w:rPr>
        <w:footnoteReference w:id="923"/>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أدلّة النافين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مشترك الورود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عصى بالترك على تقدير وجوبه ، إمّا أن يكون آتيا بالمأمور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الثاني ؛ لأنّ لوجوب الشرط ليس مدخل </w:t>
      </w:r>
      <w:r>
        <w:rPr>
          <w:rStyle w:val="FootnoteAnchor"/>
          <w:rtl w:val="true"/>
        </w:rPr>
        <w:footnoteReference w:id="924"/>
      </w:r>
      <w:r>
        <w:rPr>
          <w:rFonts w:ascii="Amiri" w:hAnsi="Amiri" w:eastAsia="Amiri" w:cs="Amiri"/>
          <w:color w:val="111111"/>
          <w:sz w:val="28"/>
          <w:sz w:val="28"/>
          <w:szCs w:val="28"/>
          <w:rtl w:val="true"/>
          <w:lang w:bidi="ar-SA"/>
        </w:rPr>
        <w:t>في الإتيان بحقيقة المشروط وعدمه ، إذ المفروض خروجه عن المشروط على الوجهين ، فتعيّن الأوّل ، وهو المراد باللازم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لم يتعلّق أمر بالشرط لانحصار الأمر بالمشروط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الوجوب لا يؤثّر في دخول شيء في شيء وخروجه عنه ، غاية الأمر أنّه على تقدير تعلّق الأمر يكون هو موردا للأمر من غير دلالة على أمر زائد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أنّ الشرط الشرعي في معنى الشرط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حقيقة الصلاة واقعا ممّا لا يحصل في الواقع إلاّ بعد تلبّس المصلّي بالطهارة ، إذ الصلاة ليست هذه الحركات والسكنات التي هي بمرأى منّا ومسمع من غيرنا ، وإنّما هي حقيقة واقعيّة غير حاصلة إلاّ بما اعتبره الشارع فيها من الأجزاء والشرائط ، بناء على مذهب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بيان الشارع لها كشفا عمّا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أظهر بعد الإغماض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الشارع إنّما قيّد المشروط بالشرط الذي جعله شرطا ، ومن المعلوم أنّ الآتي بذات المقيّد بدون القيد لا يكون آتيا بالمقيّد من حيث إنّه مقيّد ، وخروج الشرط عن المشروط إنّما هو باعتبار ذاته ، وأمّا تقييده فلا بدّ من التزام دخوله في المشروط ، وبذلك يصير جزءا عقليّا للمشروط ، ولا ضير فيه ، فنختار أنّ الآتي بالمشروط فقط لا يكون آتيا بتمام المأمور به ، ولا ينافي ذلك فرض خروج ذات الشرط عن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الشرط باعتبار تقيّده معتبر في المشروط يلزم أن يكون الشرط العقلي أيضا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الدليل فيه حرفا بحرف ، كما هو ظاهر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توجيه الاستدلال بأنّه 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اعتبار عقليّ منتزع عن مطلوبيّة شيء في شيء على وجه خاصّ ، ولا معنى لجعل الشيء شرطا لشيء إلاّ طلبه في ضمن طلبه ، فلا بدّ من أن يكون الشرط الشرعي مأمورا به من الشارع ، وإلاّ لم يعقل كونه شرطا له ؛ لعدم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بيان </w:t>
      </w:r>
    </w:p>
    <w:p>
      <w:pPr>
        <w:pStyle w:val="BookText"/>
        <w:rPr/>
      </w:pPr>
      <w:r>
        <w:rPr>
          <w:rFonts w:ascii="Amiri" w:hAnsi="Amiri" w:eastAsia="Amiri" w:cs="Amiri"/>
          <w:color w:val="111111"/>
          <w:sz w:val="28"/>
          <w:sz w:val="28"/>
          <w:szCs w:val="28"/>
          <w:rtl w:val="true"/>
          <w:lang w:bidi="ar-SA"/>
        </w:rPr>
        <w:t xml:space="preserve">الشرطيّة إمّا أن يكون ممكنا بدون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بأنّ الماهيّة الفلانيّة يتوقّف حصول أثرها على الأمر الفلاني ، وهذا هو الوجه في انتزاع معنى الشرطيّة من 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إشكال في فساد الدليل ، وعلى الثاني لا وجه للفرق بين الشرط الشرعي وبين الشرط العقلي ، وعلى تقديره فاللازم التفصيل بين المقدّمات الشرعيّة وغيرها ، شرطا كانت أو جزءا أو سببا أو غيرها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الانتصار لمذهب المفصّل بما أشعر به العضدي في تقريب حجّة النفي في غير الشرط الشرعي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وجوبه وجوبه لزم تعقّل الموجب له ، وإلاّ أدّى إلى الأمر بما لا يشعر به </w:t>
      </w:r>
      <w:r>
        <w:rPr>
          <w:rStyle w:val="FootnoteAnchor"/>
          <w:rtl w:val="true"/>
        </w:rPr>
        <w:footnoteReference w:id="925"/>
      </w:r>
      <w:r>
        <w:rPr>
          <w:rFonts w:ascii="Amiri" w:hAnsi="Amiri" w:eastAsia="Amiri" w:cs="Amiri"/>
          <w:color w:val="111111"/>
          <w:sz w:val="28"/>
          <w:sz w:val="28"/>
          <w:szCs w:val="28"/>
          <w:rtl w:val="true"/>
          <w:lang w:bidi="ar-SA"/>
        </w:rPr>
        <w:t>، فإنّه يظهر منه أنّ وجه الأمر في الشرط هو شعور المشترط به ، فإنّ المفروض أنّ الآمر إنّما يأمر بالصلاة مع الطهارة لا مطلقا ، وهو في قوّة أمره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ما ذكرنا في توجيه الاستدلال ، وإلاّ فمجرّد الشعور لا يستلزم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فاللازم الأمر بالأجزاء أيضا ، لأنّها أيضا مشعور بها على تقدير وجوب الشعور بالشرط ، لا سيّما إذا كان جزءا شرعيّا ؛ على أنّ فتح هذا الباب يوجب انسداد باب إنكار وجوب المقدّمات في الأوامر الشرعيّة ، لامتناع الذهول والغفلة في حقّه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التفصيل أن يكون قولا في قبال التفصيل المقدّم وأن لا يكون المفصّل قائلا بوجوب الأسباب شرعيّة كانت أو غيرها وإن كان منافيا لما تقدّم من نقل الإجماع عن الآمدي والتفتازاني </w:t>
      </w:r>
      <w:r>
        <w:rPr>
          <w:rStyle w:val="FootnoteAnchor"/>
          <w:rtl w:val="true"/>
        </w:rPr>
        <w:footnoteReference w:id="926"/>
      </w:r>
      <w:r>
        <w:rPr>
          <w:rFonts w:ascii="Amiri" w:hAnsi="Amiri" w:eastAsia="Amiri" w:cs="Amiri"/>
          <w:color w:val="111111"/>
          <w:sz w:val="28"/>
          <w:sz w:val="28"/>
          <w:szCs w:val="28"/>
          <w:rtl w:val="true"/>
          <w:lang w:bidi="ar-SA"/>
        </w:rPr>
        <w:t>على وجوب السبب ، فإن التزم المفصّل بوجوب الأسباب فهو ، وإلاّ فاللازم إمّا التفصيل في الشروط في إخراج بعض أقسامها ، وإمّا القول بوجوب بعض الأسباب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الشروط الشرعيّة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الأفعال ، كالاستقرار في الصلاة واستقبال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الأحوال ، كالطهارة ، فإنّها هي الحالة الحاصلة بالأفعال المخصوصة من الوضوء وأخويه في نفس المكلّف المقارنة لأفعال الصلاة وأكوانها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تلك الأفعال فهي ليست من الشروط لانتفاء مقارنتها مع المشروط ولزومها في الشروط ، وقد عرفت فيما تقدّم أنّ الأمر الحاصل من الأفعال فيما إذا لم يكن فعلا فالتكليف إنّما يجب تعلّقه بأسبابه وإن كان مورد الأمر نفس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إمّا أن يقول بوجوب القسمين فلا بدّ من التزامه وجوب هذا القسم من الأسباب ، وإمّا أن لا يقول بوجوبهما فلا بدّ من التفصيل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وجوب هذا السبب إنّما هو بواسطة تعلّق الأمر الأصلي حقيقة به ، وهذا ليس تفصيلا في المسألة كما تقدّم ، لعدم اختصاصه بالأسباب الشرعيّة بل يجري في غيرها أيضا ، فلا ينافي اقتصاره في المسألة على وجوب الشرط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يظهر من العضدي التزامه بوجوب مطلق الأسباب ، حيث قال رادّا على ما احتجّ به القائل بالوجوب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بذلك إن أراد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اللابدّيّة فمسلّم ، وإن أراد أنّه مأمور به ، فأين دليله؟ وإن سلّم الإجماع ففي الأسباب بدليل خارجي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الأصلي حقيقة متعلّق بالسبب من دون لزوم تجوّز ،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الهادي</w:t>
      </w:r>
      <w:r>
        <w:rPr>
          <w:rFonts w:eastAsia="Amiri" w:cs="Amiri" w:ascii="Amiri" w:hAnsi="Amiri"/>
          <w:color w:val="111111"/>
          <w:sz w:val="28"/>
          <w:szCs w:val="28"/>
          <w:rtl w:val="true"/>
          <w:lang w:bidi="ar-SA"/>
        </w:rPr>
        <w:t xml:space="preserve">. </w:t>
      </w:r>
      <w:bookmarkStart w:id="290" w:name="pg16254_218709"/>
    </w:p>
    <w:p>
      <w:pPr>
        <w:pStyle w:val="Heading3"/>
        <w:numPr>
          <w:ilvl w:val="2"/>
          <w:numId w:val="1"/>
        </w:numPr>
        <w:rPr/>
      </w:pPr>
      <w:bookmarkStart w:id="291" w:name="__RefHeading___Toc4418310_1280447820"/>
      <w:bookmarkStart w:id="292" w:name="_Toc92"/>
      <w:bookmarkEnd w:id="290"/>
      <w:bookmarkEnd w:id="291"/>
      <w:r>
        <w:rPr>
          <w:rtl w:val="true"/>
        </w:rPr>
        <w:t>هداية</w:t>
      </w:r>
      <w:bookmarkEnd w:id="292"/>
    </w:p>
    <w:p>
      <w:pPr>
        <w:pStyle w:val="BookText"/>
        <w:rPr/>
      </w:pPr>
      <w:r>
        <w:rPr>
          <w:rFonts w:ascii="Amiri" w:hAnsi="Amiri" w:eastAsia="Amiri" w:cs="Amiri"/>
          <w:color w:val="111111"/>
          <w:sz w:val="28"/>
          <w:sz w:val="28"/>
          <w:szCs w:val="28"/>
          <w:rtl w:val="true"/>
          <w:lang w:bidi="ar-SA"/>
        </w:rPr>
        <w:t>قد عرفت أنّ الحاكم بوجود الملازمة بين طلب المقدّمة وذيها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نظر العقل بين أقسام الطلب من الوجوبي والتحريمي أو الاستحبابي وطلب ترك الشيء على وجه الكراهة والتنزيه ، لوجود ما هو المناط في الوجوبي في غيره ، فلا بدّ من القول بأنّ التحريم إنّما يترشّح من المحرّم الذاتي إلى ما يوجب وجوده ويوصل إليه ، مثل ترشّح الوجوب إلى ما به يتوصّل إليه ، وأمّا وجوب ما يتوصّل به </w:t>
      </w:r>
      <w:r>
        <w:rPr>
          <w:rStyle w:val="FootnoteAnchor"/>
          <w:rtl w:val="true"/>
        </w:rPr>
        <w:footnoteReference w:id="928"/>
      </w:r>
      <w:r>
        <w:rPr>
          <w:rFonts w:ascii="Amiri" w:hAnsi="Amiri" w:eastAsia="Amiri" w:cs="Amiri"/>
          <w:color w:val="111111"/>
          <w:sz w:val="28"/>
          <w:sz w:val="28"/>
          <w:szCs w:val="28"/>
          <w:rtl w:val="true"/>
          <w:lang w:bidi="ar-SA"/>
        </w:rPr>
        <w:t xml:space="preserve">إلى ترك الحرام فهو ثابت ممّا </w:t>
      </w:r>
      <w:r>
        <w:rPr>
          <w:rStyle w:val="FootnoteAnchor"/>
          <w:rtl w:val="true"/>
        </w:rPr>
        <w:footnoteReference w:id="929"/>
      </w:r>
      <w:r>
        <w:rPr>
          <w:rFonts w:ascii="Amiri" w:hAnsi="Amiri" w:eastAsia="Amiri" w:cs="Amiri"/>
          <w:color w:val="111111"/>
          <w:sz w:val="28"/>
          <w:sz w:val="28"/>
          <w:szCs w:val="28"/>
          <w:rtl w:val="true"/>
          <w:lang w:bidi="ar-SA"/>
        </w:rPr>
        <w:t>تقدّم من وجوب مقدّمة الواجب ، لعدم تعقّل الفرق بين أقسام الواجب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 وإنّما المهمّ بيان ما هو الموصل إلى ترك الحرام وتوضيح ما هو الموصل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الموصل إلى ترك الحرام ، ولعلّه موقوف على تمهيد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العلّة التامّة لوجود الشيء قد تكون أمرا واحدا لا تركّب فيه بوجه ، وقد تكون امورا متعدّدة تجمعها وحدة اعتباريّة أو غيرها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وجودها يوجب الوجود ومع ارتفاعها لا بدّ </w:t>
      </w:r>
    </w:p>
    <w:p>
      <w:pPr>
        <w:pStyle w:val="BookText"/>
        <w:rPr/>
      </w:pPr>
      <w:r>
        <w:rPr>
          <w:rFonts w:ascii="Amiri" w:hAnsi="Amiri" w:eastAsia="Amiri" w:cs="Amiri"/>
          <w:color w:val="111111"/>
          <w:sz w:val="28"/>
          <w:sz w:val="28"/>
          <w:szCs w:val="28"/>
          <w:rtl w:val="true"/>
          <w:lang w:bidi="ar-SA"/>
        </w:rPr>
        <w:t>من ارتفاع المعلول ، ضرورة امتناع الممكن مع ارتفاع العلّة ، سواء قلنا باستناد العدم إلى علّة أو لم نقل ، إذ على تقديره لا إشكال في ارتفاع المعلول وامتناعه ، غاية الأمر عدم جواز استناده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المعلول إنّما يستند إلى جميع أجزاء العلّة التي جمعها وحدة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عدمه فيقع بانعدام المركّب الذي فرض كونه علّة تامّة له ، وارتفاعه إمّا بارتفاع جميع الأجزاء وهو ظاهر ، أو بارتفاع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تعدّد العلل في جانب العدم ، بل علّة العدم على تقدير استناده إلى العلّة هو عدم العلّة التامّة ، وهو أمر واحد ، وإن ظهر في موردين ، كما إذا فرض تعدّد أفراد العلّة في جانب الوجود ، فإنّه لا يوجب تعدّد العلّة ، لأنّ القدر المشترك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فالمعلول في جانب العدم دائما إمّا مستند إلى انعدام جميع أجزاء العلّة دفعة من دون سبق ولحوق ، وإمّا يستند إلى انعدام الجزء الأوّل من أجزاء العلّة المقتضية للوجود ، إذ بانعدامه ينعدم المركّب ، ومع ذلك يمتنع تحقّق المعلول ، من غير فرق في ذلك بين أن يكون المعلول المعدوم من الامور الاختياريّة والأفعال الإراديّة أو غيرها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كان المعلول من الأفعال الاختياريّة فالجزء المعدوم من أجزاء علّة وجودها إذا لم يكن من الامور الغير الاختياريّة ، هو إرادة ذلك الفعل والداعي إليه بواسطة وجود معارض له ، إمّا مساويا لما هو الداعي إليه ولازمه الترديد ، أو أقوى منه ولازمه ترجيح العدم على الوجود ، وهو المراد بالصارف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 يتقدّم على ذلك جزء بالعدم فيما إذا كان ذلك الجزء من الامور الاختياريّة ، إذ إعدام </w:t>
      </w:r>
      <w:r>
        <w:rPr>
          <w:rStyle w:val="FootnoteAnchor"/>
          <w:rtl w:val="true"/>
        </w:rPr>
        <w:footnoteReference w:id="930"/>
      </w:r>
      <w:r>
        <w:rPr>
          <w:rFonts w:ascii="Amiri" w:hAnsi="Amiri" w:eastAsia="Amiri" w:cs="Amiri"/>
          <w:color w:val="111111"/>
          <w:sz w:val="28"/>
          <w:sz w:val="28"/>
          <w:szCs w:val="28"/>
          <w:rtl w:val="true"/>
          <w:lang w:bidi="ar-SA"/>
        </w:rPr>
        <w:t xml:space="preserve">ذلك الجزء لا يكون إلاّ بوجود الصارف عن ذلك الجزء أو عدم إرادته اللازم لعدم إرادة المعلول ، إمّا لذهول عنه فيما إذا لم يكن ملتفتا إليه بوجه وإمّا لترجيح عدمه على </w:t>
      </w:r>
    </w:p>
    <w:p>
      <w:pPr>
        <w:pStyle w:val="BookText"/>
        <w:rPr/>
      </w:pPr>
      <w:r>
        <w:rPr>
          <w:rFonts w:ascii="Amiri" w:hAnsi="Amiri" w:eastAsia="Amiri" w:cs="Amiri"/>
          <w:color w:val="111111"/>
          <w:sz w:val="28"/>
          <w:sz w:val="28"/>
          <w:szCs w:val="28"/>
          <w:rtl w:val="true"/>
          <w:lang w:bidi="ar-SA"/>
        </w:rPr>
        <w:t>وجوده بواسطة وجود معارض أقوى لما هو الداعي إليه ، وهو الصارف ، ويعبّر عنه بالكراهة عن ذلك المعلول أيضا ، فأسبق الأجزاء المعدومة لعلّة الوجود في الأفعال الاختياريّة بعد إحراز الامور الغير الاختياريّة التي لها دخل في وجود ما ، هي الإرادة المجامعة مع الصارف تارة والمفارقة عنه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ما ذكرنا تعلم أنّ سبب الترك منحصر في الصارف عن الحرام وما يحذو حذوه من عدم إرادة الحرام ، وأمّا سائر المقدّمات التي لها دخل في وجود الحرام فلا يستند إليها الترك ، وبذلك تخرج عن كونها مقدّمة ، فلا قاضي بوجوبها ، فلا وجه لحرمة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وجود الصارف عنه أو عدم إرادته لا دليل على وجوب ترك الامور التي يتوقّف عليها وجود الحرام ؛ لامتناع استناد الترك إليها لاستنادها بما هو أسبق منها في العدم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انحصار سبب الترك في الصارف ، لجواز عدم تمكّن المكلّف من ترك الحرام إلاّ بارتكاب فعل من الأفعال ، كما إذا علم من نفسه الوقوع في الزنا لو لم يخرج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وجوب ذلك الفعل أيضا وعدم انحصار الواجب في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المثال المفروض مستند إلى ذلك الصارف وعلّة لبقائه ، فالصارف كما هو علّة للترك علّة للخروج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بقاء الصارف ووجوده في الزمان الثاني مستند إلى الفعل ولا ضير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الاشتغال بفعل من الأفعال لأجل الفرار عن ارتكاب الحرام إمّا أن يكون في زمان إرادة ارتكاب الحرام ، أو في زمان خوف حصول الإرادة بذلك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محال ، لعدم تعقّل الاشتغال بشيء مع إرادة غيره ، إذ المراد بالإرادة هي الحالة التي تدعو إلى الفعل من دون معارض مساو لها أو راجح عليها ، ومع ذلك يجب صدور الفعل المراد ، ومعه يجب الصارف عن وجود غيره ، ومعه يمتنع </w:t>
      </w:r>
    </w:p>
    <w:p>
      <w:pPr>
        <w:pStyle w:val="BookText"/>
        <w:rPr/>
      </w:pPr>
      <w:r>
        <w:rPr>
          <w:rFonts w:ascii="Amiri" w:hAnsi="Amiri" w:eastAsia="Amiri" w:cs="Amiri"/>
          <w:color w:val="111111"/>
          <w:sz w:val="28"/>
          <w:sz w:val="28"/>
          <w:szCs w:val="28"/>
          <w:rtl w:val="true"/>
          <w:lang w:bidi="ar-SA"/>
        </w:rPr>
        <w:t>صدوره ، والمفروض الاشتغال به وهو خلف ،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كون الفعل مسبوقا بالصارف عن الحرام ، إذ لو لا الصارف عن الحرام لما تحقق ذلك الفعل ، فهو مقدّم عليه ، والترك مستند إليه ، إلاّ أنّ الصارف أنّ ذلك الفعل ممّا يجب الالتزام بوجوبه ، لأنّه إمّا مقدّمة لإبقاء الصارف لو فرض وجه ارتباط بين ذلك الفعل والصارف عن الحرام ، وإمّا معه يمتنع صدور الحرام وإن فرض انقلاب الصارف إلى إرادة الحرام ، وهو الأقرب ، إذ لا نجد وجها لاستناد بقاء الصارف إلى الاشتغال بفعل من الأفعال ، وإنّما بقاؤه مستند إلى ما يستند إليه حدوثه من خوف ونحوه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يجدي في امتناع الفعل الذي بواسطة وجود الصارف عنه في الزمان السابق ارتكبه الفاعل كما هو ظاهر ، وسيأتي تمام الكلام في ذلك إن شاء اللّه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الحال فيما يتوصّل به إلى فعل الحرام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مقدّمة فعل الحرام إنّما يحرم تبعا للحرمة الدائمة الثابتة لذيها ، وقد عرفت أنّ الحرمة التبعيّة لا يستتبع ذمّا ولا عقابا لكلّ فعل يقصد به التوصّل إلى فعل الحرام يكون </w:t>
      </w:r>
      <w:r>
        <w:rPr>
          <w:rStyle w:val="FootnoteAnchor"/>
          <w:rtl w:val="true"/>
        </w:rPr>
        <w:footnoteReference w:id="931"/>
      </w:r>
      <w:r>
        <w:rPr>
          <w:rFonts w:ascii="Amiri" w:hAnsi="Amiri" w:eastAsia="Amiri" w:cs="Amiri"/>
          <w:color w:val="111111"/>
          <w:sz w:val="28"/>
          <w:sz w:val="28"/>
          <w:szCs w:val="28"/>
          <w:rtl w:val="true"/>
          <w:lang w:bidi="ar-SA"/>
        </w:rPr>
        <w:t>حراما على ما نحو ما عرفت فيما يتوصّل به إلى الواجب ، فإنّ الحرمة التبعيّة إنّما يلحق عنوان المقدّميّة لا ذوات تلك المقدّمات ، ويمتنع حصول ذلك العنوان على وجه الاختيار إلاّ بعد القصد إلى ما يتوصّل به منها ، من غير فرق في ذلك بين العلّة التامّة لفعل الحرام أو أسبابه أو شرائطه ومعدّاته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الحكم بحرمة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والأسباب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يتوقّف على تشخيص أنّه قصد منه التوصّل إلى الحرام ، نظرا إلى أنّ إيجاد العلّة التامّة لفعل الحرام لا ينفكّ في الأغلب عن القصد إلى المعلول المحرّم ولو إجمالا ، بخلاف سائر المقدّمات ، فإنّ الحكم بالحرمة موقوف على إحراز القصد إلى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إذا حرم بعنوان خاصّ أو وجب ، لا يقع محرّما ولا واجبا إلاّ بعد أن يقع بذلك العنوان في الخارج على وجه الاختيار ، فإن وقع على وجه لا ينتزع منه ذلك العنوان اختيارا لا يكون محرّما ولا واجبا وإن أثّر أثر المحرّم والواجب من ترتّب ما يتوصّل به إليه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مقدّمة الحرام ما لم يكن سببا لم يكن حراما ، لأنّ الحرام ما كان يجب تركه عينا ، ولا يجب ترك شيء منها كذلك بعد السبب ، وهو الإرادة المقارنة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المقدّمات فيجب تركها تخييرا ، لحصول ترك الحرام بواحدة منها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فرض إمكان ترك الحرام بترك واحدة من المقدّمات غير الإرادة التي جعلها السبب لترك الحرام فلا وجه لجعل وجوب ترك السبب عينيّا ، لقيام ترك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يفرض إمكان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قدّمنا من أنّ أسبق الأجزاء الاختياريّة المعدومة للعلّة التامّة للأفعال الاختياريّة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 ترك غير الإرادة واجبا مطلقا ، لما عرفت من عدم التوقّف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عمّا استند إليه من أنّ الحرام ما يجب تركه عينا ، فنقول 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جميع المقدّمات التي يقصد بها التوصّل إلى الحرام واجب عينا ، غاية الأمر أنّه عند ترك الإرادة التي هي السبب لفعل الحرام لا يعقل وجود القيد ، فيرتفع موضوع ما هو الواجب ، وذلك لا يوجب العينيّة في الإرادة والتخيير في غيرها ، كما لا يخفى على المتدبّر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إنّما هو من حيث عنوان المقدّمة ، وهل هناك عنوان آخر غيرها يوجب تحريمها إذا ارتكبها الفاعل إعانة على فعل غيره أو على فعل نفسه أو غير ذلك من الوجوه والعناوين؟ فهو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تنقيحه من رسم هدايات لتهتدي بها إلى ما هو الحقّ من المرام ، بعون اللّه الملك العلاّم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254_218715"/>
      <w:bookmarkStart w:id="294" w:name="pg16254_218715"/>
      <w:bookmarkEnd w:id="294"/>
    </w:p>
    <w:p>
      <w:pPr>
        <w:pStyle w:val="Heading3"/>
        <w:numPr>
          <w:ilvl w:val="2"/>
          <w:numId w:val="1"/>
        </w:numPr>
        <w:rPr/>
      </w:pPr>
      <w:bookmarkStart w:id="295" w:name="pg16254_218715"/>
      <w:bookmarkStart w:id="296" w:name="__RefHeading___Toc4418312_1280447820"/>
      <w:bookmarkStart w:id="297" w:name="_Toc93"/>
      <w:bookmarkEnd w:id="295"/>
      <w:bookmarkEnd w:id="296"/>
      <w:r>
        <w:rPr>
          <w:rtl w:val="true"/>
        </w:rPr>
        <w:t>هداية</w:t>
      </w:r>
      <w:bookmarkEnd w:id="297"/>
    </w:p>
    <w:p>
      <w:pPr>
        <w:pStyle w:val="BookText"/>
        <w:rPr/>
      </w:pPr>
      <w:r>
        <w:rPr>
          <w:rFonts w:ascii="Amiri" w:hAnsi="Amiri" w:eastAsia="Amiri" w:cs="Amiri"/>
          <w:color w:val="111111"/>
          <w:sz w:val="28"/>
          <w:sz w:val="28"/>
          <w:szCs w:val="28"/>
          <w:rtl w:val="true"/>
          <w:lang w:bidi="ar-SA"/>
        </w:rPr>
        <w:t xml:space="preserve">إذا قصد الفاعل إيجاد معصية مجرّدا عنها وعمّا يتوصّل به إليها فهل فعل محرّما أو لا؟ وعلى الأوّل فهل العفو عنه ثابت في الشرع أو لا؟ ظاهر الأكثر هو الأوّل في المقامين ، بل لم نتحقّق خلافا صريحا في إنكار العفو عنه ما لم يتلبّس بالعمل ، وعنوان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كلماتهم دليل على ذهابهم إلى التحريم واستحقاق العقاب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نسب إلى السيّد </w:t>
      </w:r>
      <w:r>
        <w:rPr>
          <w:rStyle w:val="FootnoteAnchor"/>
          <w:rtl w:val="true"/>
        </w:rPr>
        <w:footnoteReference w:id="932"/>
      </w:r>
      <w:r>
        <w:rPr>
          <w:rFonts w:ascii="Amiri" w:hAnsi="Amiri" w:eastAsia="Amiri" w:cs="Amiri"/>
          <w:color w:val="111111"/>
          <w:sz w:val="28"/>
          <w:sz w:val="28"/>
          <w:szCs w:val="28"/>
          <w:rtl w:val="true"/>
          <w:lang w:bidi="ar-SA"/>
        </w:rPr>
        <w:t xml:space="preserve">وشيخنا الطبرسي </w:t>
      </w:r>
      <w:r>
        <w:rPr>
          <w:rStyle w:val="FootnoteAnchor"/>
          <w:rtl w:val="true"/>
        </w:rPr>
        <w:footnoteReference w:id="933"/>
      </w:r>
      <w:r>
        <w:rPr>
          <w:rFonts w:ascii="Amiri" w:hAnsi="Amiri" w:eastAsia="Amiri" w:cs="Amiri"/>
          <w:color w:val="111111"/>
          <w:sz w:val="28"/>
          <w:sz w:val="28"/>
          <w:szCs w:val="28"/>
          <w:rtl w:val="true"/>
          <w:lang w:bidi="ar-SA"/>
        </w:rPr>
        <w:t xml:space="preserve">وبعض العامّة بكونه معصية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 صريحا على عدم العفو ؛ لاحتمال إرادة الاستحقاق دون الفعليّة ، كما يظهر من نسبة السيّد الداماد </w:t>
      </w:r>
      <w:r>
        <w:rPr>
          <w:rStyle w:val="FootnoteAnchor"/>
          <w:rtl w:val="true"/>
        </w:rPr>
        <w:footnoteReference w:id="935"/>
      </w:r>
      <w:r>
        <w:rPr>
          <w:rFonts w:ascii="Amiri" w:hAnsi="Amiri" w:eastAsia="Amiri" w:cs="Amiri"/>
          <w:color w:val="111111"/>
          <w:sz w:val="28"/>
          <w:sz w:val="28"/>
          <w:szCs w:val="28"/>
          <w:rtl w:val="true"/>
          <w:lang w:bidi="ar-SA"/>
        </w:rPr>
        <w:t>عدم العقاب إلى فقهاء الفريقين والاصوليّين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أنّه لم يفعل حراما ، وهو الظاهر من الشهيد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المعصية لا تؤثّر ذمّا ما لم يتلبّس بها وهو ممّا ثبت في الأخبار العفو عنه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ثبوت الاستحقاق ، إلاّ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المعصية لا تؤثّر 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أظهر في الدلالة على عدم الاستحقاق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ذلك إلى الصدوق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أنّ من همّ بسيّئة </w:t>
      </w:r>
    </w:p>
    <w:p>
      <w:pPr>
        <w:pStyle w:val="BookText"/>
        <w:rPr/>
      </w:pPr>
      <w:r>
        <w:rPr>
          <w:rFonts w:ascii="Amiri" w:hAnsi="Amiri" w:eastAsia="Amiri" w:cs="Amiri"/>
          <w:color w:val="111111"/>
          <w:sz w:val="28"/>
          <w:sz w:val="28"/>
          <w:szCs w:val="28"/>
          <w:rtl w:val="true"/>
          <w:lang w:bidi="ar-SA"/>
        </w:rPr>
        <w:t xml:space="preserve">لم يكتب حتّى عملها ، فإن عملها كتب عليه سيّئة واحدة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ولعلّه ليس في محلّه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العفو ، إذ على تقدير عدم الاستحقاق ليس موردا للنفي والإثبات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بعضهم إلى المحقّق الطوسي القول الأوّل ، حيث قال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وإرادة القبيح قبيحة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وظنّي أنّه ليس المراد بالإرادة في عبارته قصد الفاعل ، بل الظاهر المراد منها هو طلب القبيح والأمر به ، كما يظهر بمراجعة شروحه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فيمكن الاستدلال على الحرمة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 فلقضاء صريح الوجدان باستحقاق الذمّ لمن همّ بمخالفة المولى واعتقدها في ضميره وعقد عليها في قلبه ، ولذا يحسن من المولى الإقدام على عقاب من همّ بقتل ولده وهتك حريمه على وجه لا يمنعه منه إلاّ عدم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ينبغي إنكاره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فيمكن استكشافه ممّا نسب إلى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كون ذلك معصية ممّا لا ريب فيه عندنا وكذا عند العامّة ، قال 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الفريقين من التفاسير وغيرها مشحونة بذلك ، إلاّ أنّ العفو أيضا ثابت ، بل هو من ضروريّات الدين </w:t>
      </w:r>
      <w:r>
        <w:rPr>
          <w:rStyle w:val="FootnoteAnchor"/>
          <w:rtl w:val="true"/>
        </w:rPr>
        <w:footnoteReference w:id="940"/>
      </w:r>
      <w:r>
        <w:rPr>
          <w:rFonts w:ascii="Amiri" w:hAnsi="Amiri" w:eastAsia="Amiri" w:cs="Amiri"/>
          <w:color w:val="111111"/>
          <w:sz w:val="28"/>
          <w:sz w:val="28"/>
          <w:szCs w:val="28"/>
          <w:rtl w:val="true"/>
          <w:lang w:bidi="ar-SA"/>
        </w:rPr>
        <w:t>وممّا ستقف عليه في الحكم بالعصيان في التجرّي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 ، فتدلّ عليه 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فِي أَنْفُسِكُمْ أَوْ تُخْفُوهُ يُحاسِبْكُمْ بِهِ اللّهُ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فإنّه يعمّ العزم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فإنّ العزم على المعصية من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94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سيّما بعد ملاحظة ما عن العيّاشي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يسأل عن السمع عمّا سمع </w:t>
      </w:r>
      <w:r>
        <w:rPr>
          <w:rStyle w:val="FootnoteAnchor"/>
          <w:rtl w:val="true"/>
        </w:rPr>
        <w:footnoteReference w:id="945"/>
      </w:r>
      <w:r>
        <w:rPr>
          <w:rFonts w:ascii="Amiri" w:hAnsi="Amiri" w:eastAsia="Amiri" w:cs="Amiri"/>
          <w:color w:val="111111"/>
          <w:sz w:val="28"/>
          <w:sz w:val="28"/>
          <w:szCs w:val="28"/>
          <w:rtl w:val="true"/>
          <w:lang w:bidi="ar-SA"/>
        </w:rPr>
        <w:t xml:space="preserve">والبصر عمّا نظر إليه والفؤاد عمّا عقد عليه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 من مراتب الميل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يجامع الموانع التي تمنع عن صدور الفعل ، فيكون المراد به القصد المجرّد أو الأعمّ منه ومن الإرادة التي يترتّب عليها الفعل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وقد ورد في تفسيرها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يعجبه أن يكون شراك نعله أجود من شراك نعل صاحبه فيدخل تحتها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 فهي كثيرة جدّا ، ومع ذلك فهي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وجود المؤاخذة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الكافر شرّ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 وإنّما خلّدوا أهل الجنّة في الجنّة لأنّ نيّاتهم كانت في الدنيا أن لو بقوا فيها أن يطيعوا اللّه أبدا ، فبالنيات خلّد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عن أبي جعفر عليه‌السلام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المؤمن أفضل من عمله وذلك لأنّه ينوي من الخير ما لا يدركه ، ونيّة الكافر شرّ من عمله وذلك لأنّه لينوي من الشرّ ما لا يدركه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الصادقين عليهما‌السلام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المؤمن أبلغ من عمله ، وكذلك الفاجر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المسلمان بسيفهما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سنّة </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فالقاتل والمقتول في النار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القاتل ، فما بال المقتول؟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 صاحبه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عن ابن بزيع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ترأّس ، ملعون من همّ بها ، ملعون من حدّث بها نفسه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 سريرة رآها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إن خيرا فخير وإن شرّا فشرّ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إلى غير ذلك ممّا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العفو ؛ لما قد مرّ من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تحقّق العصيان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الصادقين فيما رواه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سلّطت عليّ الشيطان وأجريته منّي مجرى الدم ، فاجعل لي شيئا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جعلت لك أنّ من همّ بسيّئة من ذرّيتك لم تكتب عليه ، فإن عملها كتبت عليه سيّئة ، ومن همّ منهم بحسنة فإن لم يعملها كتبت له حسنة ، فإن هو عملها كتبت له عشرا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فضل بن عثمان المرادي ، سمع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ويهمّ بالسيّئة أن يعملها ، فإن لم يعملها لم يكتب عليه شيء ، وإن هو عملها أجل سبع ساعات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توحيد الصدوق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بحسنة فلم يعملها كتبت له حسنة ، فإن عملها كتبت له عشرا ، ويضاعف اللّه لمن يشاء إلى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بسيّئة فلم يعملها لم تكتب عليه حتّى يعملها ، فإن لم يعملها كتبت له حسنة ، وإن عملها أجل تسع ساعات ، فإن تاب وندم عليها 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يتب ولم يندم عليها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واحدة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العبد بالسيّئة لم يكتب عليها ، وإذا همّ بحسنة كتب له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لآدم في ذرّيته أنّ من همّ بسيّئة لم تكتب عليه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 يهمّ بالسيّئة أن يعملها فلا يعملها فلا تكتب عليه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الرضا بما فعله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الراضي بفعل قوم كالداخل معهم فيه ، وعلى الداخل إثمان إثم الرضا وإثم الدخول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رضي بفعل فقد لزمه وإن لم يفعله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ويكرّر في الزيارات المأثورة عنهم عليهم‌السلام </w:t>
      </w:r>
      <w:r>
        <w:rPr>
          <w:rStyle w:val="FootnoteAnchor"/>
          <w:rtl w:val="true"/>
        </w:rPr>
        <w:footnoteReference w:id="9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أمّة سمعت بذلك فرضيت به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قَتَلْتُمُوهُمْ إِنْ كُنْتُمْ صادِقِينَ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القتل إلى المخاطبين مع تأخّرهم عن القاتلين لأجل </w:t>
      </w:r>
      <w:r>
        <w:rPr>
          <w:rStyle w:val="FootnoteAnchor"/>
          <w:rtl w:val="true"/>
        </w:rPr>
        <w:footnoteReference w:id="972"/>
      </w:r>
      <w:r>
        <w:rPr>
          <w:rFonts w:ascii="IRNazanin" w:hAnsi="IRNazanin" w:eastAsia="IRNazanin"/>
          <w:color w:val="111111"/>
          <w:sz w:val="28"/>
          <w:sz w:val="28"/>
          <w:szCs w:val="28"/>
          <w:rtl w:val="true"/>
          <w:lang w:bidi="fa-IR"/>
        </w:rPr>
        <w:t xml:space="preserve">رضاهم بفعلهم </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الرضا أيضا مرتبة من مراتب الإرادة والقصد ، غاية الأمر أنّه استعمل فيما وقع من الأفعال ، وهو لا يضرّ فيما نحن فيه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العقاب على فعل بعض المقدّمات بقصد ترتب الحرام ، </w:t>
      </w:r>
    </w:p>
    <w:p>
      <w:pPr>
        <w:pStyle w:val="BookText"/>
        <w:rPr/>
      </w:pPr>
      <w:r>
        <w:rPr>
          <w:rFonts w:ascii="Amiri" w:hAnsi="Amiri" w:eastAsia="Amiri" w:cs="Amiri"/>
          <w:color w:val="111111"/>
          <w:sz w:val="28"/>
          <w:sz w:val="28"/>
          <w:szCs w:val="28"/>
          <w:rtl w:val="true"/>
          <w:lang w:bidi="ar-SA"/>
        </w:rPr>
        <w:t xml:space="preserve">كغارس الخمر </w:t>
      </w:r>
      <w:r>
        <w:rPr>
          <w:rStyle w:val="FootnoteAnchor"/>
          <w:rtl w:val="true"/>
        </w:rPr>
        <w:footnoteReference w:id="974"/>
      </w:r>
      <w:r>
        <w:rPr>
          <w:rFonts w:ascii="Amiri" w:hAnsi="Amiri" w:eastAsia="Amiri" w:cs="Amiri"/>
          <w:color w:val="111111"/>
          <w:sz w:val="28"/>
          <w:sz w:val="28"/>
          <w:szCs w:val="28"/>
          <w:rtl w:val="true"/>
          <w:lang w:bidi="ar-SA"/>
        </w:rPr>
        <w:t xml:space="preserve">والماشي لسعاية مؤمن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عدم العقاب على المشي والغرس لا بقصد ذلك ، فيكون العقاب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الكلّ الأخبار الدالّة على حرمة الحسد </w:t>
      </w:r>
      <w:r>
        <w:rPr>
          <w:rStyle w:val="FootnoteAnchor"/>
          <w:rtl w:val="true"/>
        </w:rPr>
        <w:footnoteReference w:id="976"/>
      </w:r>
      <w:r>
        <w:rPr>
          <w:rFonts w:ascii="IRNazanin" w:hAnsi="IRNazanin" w:eastAsia="IRNazanin"/>
          <w:color w:val="111111"/>
          <w:sz w:val="28"/>
          <w:sz w:val="28"/>
          <w:szCs w:val="28"/>
          <w:rtl w:val="true"/>
          <w:lang w:bidi="fa-IR"/>
        </w:rPr>
        <w:t xml:space="preserve">واحتقاد الناس </w:t>
      </w:r>
      <w:r>
        <w:rPr>
          <w:rStyle w:val="FootnoteAnchor"/>
          <w:rtl w:val="true"/>
        </w:rPr>
        <w:footnoteReference w:id="977"/>
      </w:r>
      <w:r>
        <w:rPr>
          <w:rFonts w:ascii="Amiri" w:hAnsi="Amiri" w:eastAsia="Amiri" w:cs="Amiri"/>
          <w:color w:val="111111"/>
          <w:sz w:val="28"/>
          <w:sz w:val="28"/>
          <w:szCs w:val="28"/>
          <w:rtl w:val="true"/>
          <w:lang w:bidi="ar-SA"/>
        </w:rPr>
        <w:t xml:space="preserve">والآمرة على اجتناب </w:t>
      </w:r>
      <w:r>
        <w:rPr>
          <w:rStyle w:val="FootnoteAnchor"/>
          <w:rtl w:val="true"/>
        </w:rPr>
        <w:footnoteReference w:id="978"/>
      </w:r>
      <w:r>
        <w:rPr>
          <w:rFonts w:ascii="Amiri" w:hAnsi="Amiri" w:eastAsia="Amiri" w:cs="Amiri"/>
          <w:color w:val="111111"/>
          <w:sz w:val="28"/>
          <w:sz w:val="28"/>
          <w:szCs w:val="28"/>
          <w:rtl w:val="true"/>
          <w:lang w:bidi="ar-SA"/>
        </w:rPr>
        <w:t xml:space="preserve">الظنّ </w:t>
      </w:r>
      <w:r>
        <w:rPr>
          <w:rStyle w:val="FootnoteAnchor"/>
          <w:rtl w:val="true"/>
        </w:rPr>
        <w:footnoteReference w:id="979"/>
      </w:r>
      <w:r>
        <w:rPr>
          <w:rFonts w:ascii="Amiri" w:hAnsi="Amiri" w:eastAsia="Amiri" w:cs="Amiri"/>
          <w:color w:val="111111"/>
          <w:sz w:val="28"/>
          <w:sz w:val="28"/>
          <w:szCs w:val="28"/>
          <w:rtl w:val="true"/>
          <w:lang w:bidi="ar-SA"/>
        </w:rPr>
        <w:t>ونحو ذلك من الامور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الاستناد إليه في ثبوت العقاب للقصد المجرّد عن العمل ، إلاّ أنّه مع ذلك فالحكم بثبوت استحقاق العقاب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والقصد إمّا أن يكون من الأفعال الصادرة منّا ، كما يظهر من جملة من الفقهاء في تحديدها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إرادة تفعل بالقلب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تكون من مقولة الفعل والحركة الصادرة من الفاعل ، بل إنّما هي عبارة عمّا يدعو إلى تحريك العضلات من اعتقاد النفع في الفعل ، فيكون من الكيفيّات النفسانيّة الحاصلة تارة بأسباب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بغيرها من الامور الخارجة عن الاختيار ، كما عليه جماعة من محقّقي العدليّة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الإرادة والكراهة في عداد الكيفيّات </w:t>
      </w:r>
    </w:p>
    <w:p>
      <w:pPr>
        <w:pStyle w:val="BookText"/>
        <w:rPr/>
      </w:pPr>
      <w:r>
        <w:rPr>
          <w:rFonts w:ascii="Amiri" w:hAnsi="Amiri" w:eastAsia="Amiri" w:cs="Amiri"/>
          <w:color w:val="111111"/>
          <w:sz w:val="28"/>
          <w:sz w:val="28"/>
          <w:szCs w:val="28"/>
          <w:rtl w:val="true"/>
          <w:lang w:bidi="ar-SA"/>
        </w:rPr>
        <w:t xml:space="preserve">النفسانيّة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وهما نوعان من العلم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وهو الظاهر من التأمّل في الوجدان أيضا ، بل ويقتضيه البرهان أيضا ؛ من حيث إنّ النيّة والإرادة ونحوهما لو كان فعلا لكان اختياريّا عند القائل بكونها معصية ، إذ لا يعقل العقاب على الفعل الحاصل بغير الاختيار عند العدليّة ، وذلك يلازم كونها مسبوقة بالإرادة ، فيلزم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الارادة مرادة بنفسها على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الموجود بنفسه ، مدفوع بأنّ ضرورة العقل يحكم بالتساوي بين أفراد الفعل الاختياري في الحاجة إلى الإرادة والنيّة ، وعدم احتياجها إليها إنّما يكشف عن خروجها عن سلسلة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فساد قياسه بالوجود ؛ فإنّه خارج عمّا يصير موجودا به وهو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الكلام في الإرادة التي يتوقّف عليها صدور الفعل الاختياري عن المختار ، وصدور الفعل غير محتاج بعد تصوّر الفعل والتصديق بمنفعته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تعارض تلك المنفعة الملحوظة في نظر الفاعل منفعة اخرى في نظره موجودة في تركه مساوية للمنفعة القاضية بوجوده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آخر ، وذلك كاف في صدوره ، ولا حاجة إلى أمر آخر كما هو ظاهر عند المتأمّل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التحقيق يختلف مراتب ذلك الاعتقاد الداعي إلى صدور الفعل ، ويختصّ في كلّ مرتبة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يتسامح في إطلاق اسم بعض المراتب على بعضها نظرا إلى ظهور المراد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وإن كان بعيدا عن أنظار طلبة أهل العصر ، إلاّ أنّه بعد موافقته لما ذهب إليه الأكابر من أرباب التحقيق والعدل ولما نجده من أنفسنا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فعلى الثاني لا ينبغي الإشكال في الحكم بعدم استحقاق العقاب فيما إذا قصد الفعل واعتقد النفع فيه ، ولا سبيل إليه إلاّ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يعاقب على تحصيل ذلك الاعتقاد بالنظر أو بما يوجبه من أعمال الحواسّ الظاهرة الموجبة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سوء سريرة من قصد العصيان وخبث طينته ، ومن الجائز أن يعاقب من كان على تلك الحالة الخبيثة والملكة الرذيلة وإن لم يفعل فعلا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مطّرد ؛ لجواز حصول الاعتقاد بواسطة مقدّمات خارجة عن القدرة ، بل ولا يبعد دعوى أنّه الغالب في العلم الحاصل بمنافع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ممّا لا يلتزم به العدليّة ؛ لاقتصار العقاب عندهم على مخالفة الأمر الممتنع تعلّقه بغير ما هو من مقولة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عرفت من أنّه خلاف ما يصل إليه فهمنا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للعقاب على القصد ، إذ لا يزيد القصد من سائر الأفعال التي يتوقّف عليها الفعل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الأحكام الغيريّة وجوبا وتحريما لا تؤثّر ذمّا ولا يستتبع عقابا ، ولا يرى في العقل ما يوجب اختصاص القصد من سائر المقدّمات الاختياريّة ، فلا وجه للقول بعدم العقاب في غيره بل وامتناعه من حيث إنّها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في خصوص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ظهور الأخبار في الاستحقاق ، ويجعل ذلك دليلا على وجود عنوان نفسي في القصد إذا تجرّد عن وجود المقصود وإن لم يكن معلوما عندنا ، فيصحّ الحكم باستحقاق العقاب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القصد عند العقلاء لا يلازم عنوانا محرّما نفسيّا عندهم لو لم يكن نفس القصد كذلك كما هو المفروض ، ولم يظهر من الأخبار شيء يزيد على </w:t>
      </w:r>
    </w:p>
    <w:p>
      <w:pPr>
        <w:pStyle w:val="BookText"/>
        <w:rPr/>
      </w:pPr>
      <w:r>
        <w:rPr>
          <w:rFonts w:ascii="Amiri" w:hAnsi="Amiri" w:eastAsia="Amiri" w:cs="Amiri"/>
          <w:color w:val="111111"/>
          <w:sz w:val="28"/>
          <w:sz w:val="28"/>
          <w:szCs w:val="28"/>
          <w:rtl w:val="true"/>
          <w:lang w:bidi="ar-SA"/>
        </w:rPr>
        <w:t>ما عليه العقلاء كما لا يخفى على الملاحظ والناظر فيها ، فلا بدّ إمّا من القول بجواز العقاب على مقدّمة الحرام كائنا ما كانت ، أو الالتزام بعدم استحقاق عقاب القاصد في قصده ، وإلاّ لزم تعدّد العقاب على تقدير وجود المقصود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 بالمعصية والميل إليها والعزم عليها وقصدها مرتبة من مراتب المخالفة والمعصية ، فإنّ المخالفة قد يشتدّ وجودها وهي ما إذا وقعت المعصية بإيجاد الفعل المنهيّ عنه ، وقد تكون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لوحظت تلك المرتبة الضعيفة في حدّ نفسها على وجه ملاحظة المرتبة الضعيفة من السواد المأخوذة بشرط عدم اندكاكها واضمحلالها تحت مرتبة شديدة من السواد ، يترتّب عليها أحكام المخالفة من العقاب وغيره ، كما يترتّب على المرتبة الضعيفة من السواد أحكام السواد من اجتماع البصر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من حيث اندراجها وانطماسها تحت المرتبة الشديدة من المخالفة ، فالحكم إنّما هو لتلك المرتبة ، ولا ينسب إلى الضعيفة المنطمسة شيء من آثار المخالفة ، كما هو كذلك في السواد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وجوب التزام العقاب على القصد فيما إذا قارن وجود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لازم ذلك أن يكون العقاب على القصد أضعف من العقاب على أصل الفعل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ولكنّه لا يخلو عن نظر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المخالفة إنّما هو عنوان لفعل المنهيّ عنه أو لترك المأمور به وليست أمرا يمكن انتزاعها من 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اختلاف الشديد مع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بمجرّد الشدّة والضعف الراجع إلى زيادة ظهور أصل المعنى بعد كونه محفوظا في مقامه ونقصانه كذلك ، فلا بدّ أن يكون الضعيف من سنخ الشديد ومن تلك الحقيقة ، لا أمرا مغايرا له في الحقيقة </w:t>
      </w:r>
    </w:p>
    <w:p>
      <w:pPr>
        <w:pStyle w:val="BookText"/>
        <w:rPr/>
      </w:pPr>
      <w:r>
        <w:rPr>
          <w:rFonts w:ascii="Amiri" w:hAnsi="Amiri" w:eastAsia="Amiri" w:cs="Amiri"/>
          <w:color w:val="111111"/>
          <w:sz w:val="28"/>
          <w:sz w:val="28"/>
          <w:szCs w:val="28"/>
          <w:rtl w:val="true"/>
          <w:lang w:bidi="ar-SA"/>
        </w:rPr>
        <w:t>بل وفي المقولة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قلنا بأنّ حقيقة القصد راجعة إلى اعتقاد النفع ، فعدم إمكان كون القصد من حقيقة الفعل أو مرتبة من مراتبه أمر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 من مقولة الفعل فلم يظهر لنا أنّه يعدّ من مراتب وجود شرب الخمر ونحوا من أنحاء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المراد به تصوّره صحّ جعله نحوا من وجود الفعل ، لأنّ الوجود الذهني نحو من أنحاء وجود الشيء وظلّ له ، إلاّ أنّه لم يظهر من أحد الالتزام بأنّ تصوّر الشيء المحرّم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فنحن وإن استقصينا التأمّل فما وقفنا على وجه وجيه به يحكم بخروج القصد عن قاعدة عدم إيراث المقدّمة ذمّا ولا عقابا ؛ على أنّ فتح ذلك الباب توجب انسداد باب الإلزام على الأشعري القائل بالكسب ، فإنّ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العبد معزول عن الفعل بواسطة تعلّق قدرة البارئ وإرادته بصدور الفعل أنّه قاصد للفعل على وجه لو لم يسبقه إرادة البارئ كان الممكن فاعلا ، وهذا يكفي 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فعل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لله ، ولا يجوز أن يكون ذلك القصد منشأ للعقاب ، فإنّ الوجه في ذهابهم إلى هذه المقالة السخيفة دعوى امتناع صدور الوجود من الممكن نظرا إلى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مؤثّر في الوجود عدا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زعموه من معنى هذه القضيّة الصادقة فهو آت في القصد أيضا مطلقا ؛ مضافا إلى أنّ استنادهم إلى ذلك ينافي القول بأنّه لو لا سبق إرادته تعالى لكان فاعلا ، فإنّ ذلك محال حينئذ ، كما لا يخفى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لا ينبغي الإشكال في ظهور الأخبار والأدلّة اللفظيّة في حرمة العزم ، وكلماتهم مشحونة بذلك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دعوى استقلال العقل باستحقاق العقاب </w:t>
      </w:r>
    </w:p>
    <w:p>
      <w:pPr>
        <w:pStyle w:val="BookText"/>
        <w:rPr/>
      </w:pPr>
      <w:r>
        <w:rPr>
          <w:rFonts w:ascii="Amiri" w:hAnsi="Amiri" w:eastAsia="Amiri" w:cs="Amiri"/>
          <w:color w:val="111111"/>
          <w:sz w:val="28"/>
          <w:sz w:val="28"/>
          <w:szCs w:val="28"/>
          <w:rtl w:val="true"/>
          <w:lang w:bidi="ar-SA"/>
        </w:rPr>
        <w:t>على القصد ممنوعة ، بل ما لم يثبت عنوان يقيني عقلي أو شرعي لا يحسن في العقل العقاب عليه وعلى غيره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قصّر نظره على ما يراه من منافع الفعل الراجع إلى متابعة هواه ولم يصرف نفسه عن عدم المبالاة في تحصيل رضاء مولاه يعدّ سيّئ السريرة وخبيث الطينة ، فإن جاز في العقل أو في الشرع العقاب على مثله وإن لم يتحقّق منه مخالفة صحّ مفاد الأخبار ، وإلاّ فلا بدّ من حملها على ما لا ينافيه العقل ، كما هو الشأن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العقاب بدون المخالفة ليس من العدل ، كما يظهر من رواية عبد اللّه بن جعفر الحميري المرويّة في قرب الإسناد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النيّات من أهل الفسوق يؤخذ بها لاخذ كلّ من نوى الزنا بالزنا وكلّ من نوى السرقة بالسرقة وكلّ من نوى القتل بالقتل ، ولكنّ اللّه عدل كريم ليس الجور من شأنه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ومع ذلك فليس فيه كثير فائدة ، لثبوت العفو قطعا في المقام ، بل وذلك ممّا يتعاطونه أهل الأسواق من العوام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إلى تصرّف في الأخبار بحمل الدالّة منها على العقاب على صورة بقاء القصد والعجز عن الفعل لا باختياره ، وأخبار العفو على من ارتدع عن قصده بنفسه ، كما يومئ إليه بعض الأخبار المتقدّمة ، كقول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يهمّ بالسيّئة أن يعملها فلا يعملها فلا يكتب عليه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فإنّه ظاهر في أنّه لا يعملها اختيارا بارتداعه عن قصده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بحمل الأخبار المحرّمة </w:t>
      </w:r>
    </w:p>
    <w:p>
      <w:pPr>
        <w:pStyle w:val="BookText"/>
        <w:rPr/>
      </w:pPr>
      <w:r>
        <w:rPr>
          <w:rFonts w:ascii="Amiri" w:hAnsi="Amiri" w:eastAsia="Amiri" w:cs="Amiri"/>
          <w:color w:val="111111"/>
          <w:sz w:val="28"/>
          <w:sz w:val="28"/>
          <w:szCs w:val="28"/>
          <w:rtl w:val="true"/>
          <w:lang w:bidi="ar-SA"/>
        </w:rPr>
        <w:t xml:space="preserve">على ما إذا تلبّس بفعل بعض المقدّمات ، وحمل الأخبار الدالّة على العفو بمجرّد القصد ، كما يشعر به أخبار سفر المعصية </w:t>
      </w:r>
      <w:r>
        <w:rPr>
          <w:rStyle w:val="FootnoteAnchor"/>
          <w:rtl w:val="true"/>
        </w:rPr>
        <w:footnoteReference w:id="986"/>
      </w:r>
      <w:r>
        <w:rPr>
          <w:rFonts w:ascii="Amiri" w:hAnsi="Amiri" w:eastAsia="Amiri" w:cs="Amiri"/>
          <w:color w:val="111111"/>
          <w:sz w:val="28"/>
          <w:sz w:val="28"/>
          <w:szCs w:val="28"/>
          <w:rtl w:val="true"/>
          <w:lang w:bidi="ar-SA"/>
        </w:rPr>
        <w:t xml:space="preserve">والساعي للسعاية </w:t>
      </w:r>
      <w:r>
        <w:rPr>
          <w:rStyle w:val="FootnoteAnchor"/>
          <w:rtl w:val="true"/>
        </w:rPr>
        <w:footnoteReference w:id="987"/>
      </w:r>
      <w:r>
        <w:rPr>
          <w:rFonts w:ascii="Amiri" w:hAnsi="Amiri" w:eastAsia="Amiri" w:cs="Amiri"/>
          <w:color w:val="111111"/>
          <w:sz w:val="28"/>
          <w:sz w:val="28"/>
          <w:szCs w:val="28"/>
          <w:rtl w:val="true"/>
          <w:lang w:bidi="ar-SA"/>
        </w:rPr>
        <w:t xml:space="preserve">وغارس الكرم </w:t>
      </w:r>
      <w:r>
        <w:rPr>
          <w:rStyle w:val="FootnoteAnchor"/>
          <w:rtl w:val="true"/>
        </w:rPr>
        <w:footnoteReference w:id="988"/>
      </w:r>
      <w:r>
        <w:rPr>
          <w:rFonts w:ascii="Amiri" w:hAnsi="Amiri" w:eastAsia="Amiri" w:cs="Amiri"/>
          <w:color w:val="111111"/>
          <w:sz w:val="28"/>
          <w:sz w:val="28"/>
          <w:szCs w:val="28"/>
          <w:rtl w:val="true"/>
          <w:lang w:bidi="ar-SA"/>
        </w:rPr>
        <w:t>من حيث إنّ موردها هو القصد مع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بحمل أخبار المؤاخذة على غير المؤمنين وأخبار العفو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الحاجة هو أنّه لم يظهر من أخبار المؤاخذة سوى استحقاق العقاب دون فعليّته ، عدا رواية الخلود المخصوصة بالكفّار </w:t>
      </w:r>
      <w:r>
        <w:rPr>
          <w:rStyle w:val="FootnoteAnchor"/>
          <w:rtl w:val="true"/>
        </w:rPr>
        <w:footnoteReference w:id="989"/>
      </w:r>
      <w:r>
        <w:rPr>
          <w:rFonts w:ascii="Amiri" w:hAnsi="Amiri" w:eastAsia="Amiri" w:cs="Amiri"/>
          <w:color w:val="111111"/>
          <w:sz w:val="28"/>
          <w:sz w:val="28"/>
          <w:szCs w:val="28"/>
          <w:rtl w:val="true"/>
          <w:lang w:bidi="ar-SA"/>
        </w:rPr>
        <w:t>، ولا ينافي ذلك ثبوت العفو تفضّلا من اللّه الكريم على تلك الامّة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يظهر عدم جريان النزاع في أنّ القصد إلى المعصية هل هي كبيرة أو صغيرة ، إذ بعد عدم كونه معصية لا وجه لذلك ، وعلى تقديره فتعيين ذلك موقوف على تعيين معنى الكبيرة ، وهو خارج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جار بالنسبة إلى المعاصي الّتي لها خارج غير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القصد إلى الامور المبغوضة الاعتقاديّة ، كالقصد إلى الكفر ، فهو عين الكفر بناء على ما قرّرنا من أنّ مرجع القصد إلى الاعتقاد بالنفع ، وهو ظاهر بعد الإحاطة بما مرّ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بعضهم </w:t>
      </w:r>
      <w:r>
        <w:rPr>
          <w:rStyle w:val="FootnoteAnchor"/>
          <w:rtl w:val="true"/>
        </w:rPr>
        <w:footnoteReference w:id="990"/>
      </w:r>
      <w:r>
        <w:rPr>
          <w:rFonts w:ascii="Amiri" w:hAnsi="Amiri" w:eastAsia="Amiri" w:cs="Amiri"/>
          <w:color w:val="111111"/>
          <w:sz w:val="28"/>
          <w:sz w:val="28"/>
          <w:szCs w:val="28"/>
          <w:rtl w:val="true"/>
          <w:lang w:bidi="ar-SA"/>
        </w:rPr>
        <w:t>قد استشهد على كون العزم عصيانا بتقسيم الفقهاء الإصرار على الصغائر إلى الفعلي وهو المداومة عليها ، والحكمي وهو العزم على فعلها عند التمكّن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قصد الإفطار من المفطرات في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وضعفه ظاهر ؛ فإنّ ذلك يوجب كونه إصرارا فعليّا كنفس المداومة ، بل وكبيرة من الكبائر بناء على أنّ الإصرار بالصغيرة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الإفطار فهو ممّا لا يرتبط بالمقام ، لأنّ الوجه في كونها من المفطرات ارتفاع حقيقة الصوم بواسطة القصد إلى الإفطار ، فإنّ الصوم عبارة عن إمساك زمان محدود مخصوص تقرّبا إلى اللّه تعالى ، وذلك لا يتحقّق مع قصد الإفطار ، وأين ذلك من كون القصد عصيانا؟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حرمة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التوبة واجبة عقلا وشرعا ، وهي عبارة عن الندم على العمل والعزم على عدم العود ، فيكون هذا العزم واجبا فيكون تركه حراما ، فإذا كان ترك العزم على العود حراما فما ظنّك بالعزم على العود؟</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اعتقاد النفع على عدم العود وتخليصه عن الموانع والعوارض الشهوانيّة التي يمنع عن ترتّب مقتضى الاعتقاد بالنفع واجب ، ولكنّه لا يستلزم عقابا ، لأنّه من الواجبات العقليّة الإرشاديّة التي هي مبنيّة على لزوم دفع الضرر ، وقد قرّر في بعض المباحث المتقدّمة أنّ الأوامر المسوقة للإرشاد وبذل النصح عقليّة كانت أو شرعيّة لا تورث ذمّا ولا يستتبع عقابا على مخالفة الهيئة وطلبها ؛ على أنّه لو لم يكن من الواجبات الإرشاديّة أيضا لم يستحقّ العقاب ، لأنّ أجزاء الواجب بمنزلة المقدّمات لا يستلزم تركها عقابا في نفسه ، كما مرّ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محلّ الكلام إنّما هو في العزم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الخطرات العقليّة </w:t>
      </w:r>
      <w:r>
        <w:rPr>
          <w:rStyle w:val="FootnoteAnchor"/>
          <w:rtl w:val="true"/>
        </w:rPr>
        <w:footnoteReference w:id="991"/>
      </w:r>
      <w:r>
        <w:rPr>
          <w:rFonts w:ascii="Amiri" w:hAnsi="Amiri" w:eastAsia="Amiri" w:cs="Amiri"/>
          <w:color w:val="111111"/>
          <w:sz w:val="28"/>
          <w:sz w:val="28"/>
          <w:szCs w:val="28"/>
          <w:rtl w:val="true"/>
          <w:lang w:bidi="ar-SA"/>
        </w:rPr>
        <w:t>التي لا ينفكّ عنها الإنسان في الأغلب ، فقد ادّعي الضرورة في عدم كونها معصية ، لكونها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وإخواننا من المعاصي</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6254_218731"/>
      <w:bookmarkStart w:id="299" w:name="pg16254_218731"/>
      <w:bookmarkEnd w:id="299"/>
    </w:p>
    <w:p>
      <w:pPr>
        <w:pStyle w:val="Heading3"/>
        <w:numPr>
          <w:ilvl w:val="2"/>
          <w:numId w:val="1"/>
        </w:numPr>
        <w:rPr/>
      </w:pPr>
      <w:bookmarkStart w:id="300" w:name="pg16254_218731"/>
      <w:bookmarkStart w:id="301" w:name="__RefHeading___Toc4418314_1280447820"/>
      <w:bookmarkStart w:id="302" w:name="_Toc94"/>
      <w:bookmarkEnd w:id="300"/>
      <w:bookmarkEnd w:id="301"/>
      <w:r>
        <w:rPr>
          <w:rtl w:val="true"/>
        </w:rPr>
        <w:t>هداية</w:t>
      </w:r>
      <w:bookmarkEnd w:id="302"/>
    </w:p>
    <w:p>
      <w:pPr>
        <w:pStyle w:val="BookText"/>
        <w:rPr/>
      </w:pPr>
      <w:r>
        <w:rPr>
          <w:rFonts w:ascii="Amiri" w:hAnsi="Amiri" w:eastAsia="Amiri" w:cs="Amiri"/>
          <w:color w:val="111111"/>
          <w:sz w:val="28"/>
          <w:sz w:val="28"/>
          <w:szCs w:val="28"/>
          <w:rtl w:val="true"/>
          <w:lang w:bidi="ar-SA"/>
        </w:rPr>
        <w:t xml:space="preserve">إذا قارن القصد بفعل بعض مقدّمات الحرام ، فإن لم يحتمل وجود عنوان آخر غير عنوان المقدّميّة فيه لم يعقل العقاب ، وإن احتمل وجوده ولو بملاحظة استكشافه من الأخبار فلا بأس به ، مثل الأخبار الدالّة على تحريم القصد المقارن لفعل بعض المقدّمات ، مثل الأخبار الدالّة على حرمة الغرس للخمر </w:t>
      </w:r>
      <w:r>
        <w:rPr>
          <w:rStyle w:val="FootnoteAnchor"/>
          <w:rtl w:val="true"/>
        </w:rPr>
        <w:footnoteReference w:id="992"/>
      </w:r>
      <w:r>
        <w:rPr>
          <w:rFonts w:ascii="Amiri" w:hAnsi="Amiri" w:eastAsia="Amiri" w:cs="Amiri"/>
          <w:color w:val="111111"/>
          <w:sz w:val="28"/>
          <w:sz w:val="28"/>
          <w:szCs w:val="28"/>
          <w:rtl w:val="true"/>
          <w:lang w:bidi="ar-SA"/>
        </w:rPr>
        <w:t xml:space="preserve">والمشي للسعاية </w:t>
      </w:r>
      <w:r>
        <w:rPr>
          <w:rStyle w:val="FootnoteAnchor"/>
          <w:rtl w:val="true"/>
        </w:rPr>
        <w:footnoteReference w:id="993"/>
      </w:r>
      <w:r>
        <w:rPr>
          <w:rFonts w:ascii="Amiri" w:hAnsi="Amiri" w:eastAsia="Amiri" w:cs="Amiri"/>
          <w:color w:val="111111"/>
          <w:sz w:val="28"/>
          <w:sz w:val="28"/>
          <w:szCs w:val="28"/>
          <w:rtl w:val="true"/>
          <w:lang w:bidi="ar-SA"/>
        </w:rPr>
        <w:t xml:space="preserve">، وما دلّ على حرمة المعاونة على الإثم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على قتل مسلم بشطر كلمة أكبّه اللّه على منخره في النار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فيما لو قلنا بشمول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مقدّمات فعل النفس ، كما لعلّه يظهر من الشيخ الأجلّ كاشف الغطاء </w:t>
      </w:r>
      <w:r>
        <w:rPr>
          <w:rStyle w:val="FootnoteAnchor"/>
          <w:rtl w:val="true"/>
        </w:rPr>
        <w:footnoteReference w:id="995"/>
      </w:r>
      <w:r>
        <w:rPr>
          <w:rFonts w:ascii="Amiri" w:hAnsi="Amiri" w:eastAsia="Amiri" w:cs="Amiri"/>
          <w:color w:val="111111"/>
          <w:sz w:val="28"/>
          <w:sz w:val="28"/>
          <w:szCs w:val="28"/>
          <w:rtl w:val="true"/>
          <w:lang w:bidi="ar-SA"/>
        </w:rPr>
        <w:t>، ويحتمل أن يكون استناده بواسطة الفحوى أو تنقيح المناط</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الأخبار ظاهرة في أنّ عنوان الحرام ليس أمرا خارجا عن عنوان المقدميّة </w:t>
      </w:r>
      <w:r>
        <w:rPr>
          <w:rStyle w:val="FootnoteAnchor"/>
          <w:rtl w:val="true"/>
        </w:rPr>
        <w:footnoteReference w:id="996"/>
      </w:r>
      <w:r>
        <w:rPr>
          <w:rFonts w:ascii="Amiri" w:hAnsi="Amiri" w:eastAsia="Amiri" w:cs="Amiri"/>
          <w:color w:val="111111"/>
          <w:sz w:val="28"/>
          <w:sz w:val="28"/>
          <w:szCs w:val="28"/>
          <w:rtl w:val="true"/>
          <w:lang w:bidi="ar-SA"/>
        </w:rPr>
        <w:t>التي قد مرّ أنّها لا يعقل استتباعها 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الاستناد إلى بناء العقلاء فقد ظهر ما فيه </w:t>
      </w:r>
      <w:r>
        <w:rPr>
          <w:rStyle w:val="FootnoteAnchor"/>
          <w:rtl w:val="true"/>
        </w:rPr>
        <w:footnoteReference w:id="997"/>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الأمر أنّ العقلاء يذمّونه ويعيّرونه بواسطة خبث الباطن وفساد السريرة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استقلّ العقل أو الشرع بثبوت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دعواه في مثل رواية الإعانة على القتل بشطر كلمة ، فإنّه يعدّ في العقل ظلما على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ثبوت المبغوضيّة الغيريّة ، لاضمحلالها تحت المبغوضيّة الذاتيّة ، كما تقرّر فيما تقدّم </w:t>
      </w:r>
      <w:r>
        <w:rPr>
          <w:rStyle w:val="FootnoteAnchor"/>
          <w:rtl w:val="true"/>
        </w:rPr>
        <w:footnoteReference w:id="998"/>
      </w:r>
      <w:r>
        <w:rPr>
          <w:rFonts w:ascii="Amiri" w:hAnsi="Amiri" w:eastAsia="Amiri" w:cs="Amiri"/>
          <w:color w:val="111111"/>
          <w:sz w:val="28"/>
          <w:sz w:val="28"/>
          <w:szCs w:val="28"/>
          <w:rtl w:val="true"/>
          <w:lang w:bidi="ar-SA"/>
        </w:rPr>
        <w:t xml:space="preserve">وستعرفه في بعض المباحث الآتية </w:t>
      </w:r>
      <w:r>
        <w:rPr>
          <w:rStyle w:val="FootnoteAnchor"/>
          <w:rtl w:val="true"/>
        </w:rPr>
        <w:footnoteReference w:id="999"/>
      </w:r>
      <w:r>
        <w:rPr>
          <w:rFonts w:ascii="Amiri" w:hAnsi="Amiri" w:eastAsia="Amiri" w:cs="Amiri"/>
          <w:color w:val="111111"/>
          <w:sz w:val="28"/>
          <w:sz w:val="28"/>
          <w:szCs w:val="28"/>
          <w:rtl w:val="true"/>
          <w:lang w:bidi="ar-SA"/>
        </w:rPr>
        <w:t>، واللّه الهادي</w:t>
      </w:r>
      <w:r>
        <w:rPr>
          <w:rFonts w:eastAsia="Amiri" w:cs="Amiri" w:ascii="Amiri" w:hAnsi="Amiri"/>
          <w:color w:val="111111"/>
          <w:sz w:val="28"/>
          <w:szCs w:val="28"/>
          <w:rtl w:val="true"/>
          <w:lang w:bidi="ar-SA"/>
        </w:rPr>
        <w:t xml:space="preserve">. </w:t>
      </w:r>
      <w:bookmarkStart w:id="303" w:name="pg16254_218733"/>
    </w:p>
    <w:p>
      <w:pPr>
        <w:pStyle w:val="Heading3"/>
        <w:numPr>
          <w:ilvl w:val="2"/>
          <w:numId w:val="1"/>
        </w:numPr>
        <w:rPr/>
      </w:pPr>
      <w:bookmarkStart w:id="304" w:name="__RefHeading___Toc4418316_1280447820"/>
      <w:bookmarkStart w:id="305" w:name="_Toc95"/>
      <w:bookmarkEnd w:id="303"/>
      <w:bookmarkEnd w:id="304"/>
      <w:r>
        <w:rPr>
          <w:rtl w:val="true"/>
        </w:rPr>
        <w:t>هداية</w:t>
      </w:r>
      <w:bookmarkEnd w:id="305"/>
    </w:p>
    <w:p>
      <w:pPr>
        <w:pStyle w:val="BookText"/>
        <w:rPr/>
      </w:pPr>
      <w:r>
        <w:rPr>
          <w:rFonts w:ascii="Amiri" w:hAnsi="Amiri" w:eastAsia="Amiri" w:cs="Amiri"/>
          <w:color w:val="111111"/>
          <w:sz w:val="28"/>
          <w:sz w:val="28"/>
          <w:szCs w:val="28"/>
          <w:rtl w:val="true"/>
          <w:lang w:bidi="ar-SA"/>
        </w:rPr>
        <w:t>إذا تلبّس بما يراه معصية ولم يكن كما يراه في الواقع وهو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فعل فعلا محرّما ، أو لم يفعل ، أو فيما إذا لم يعارض الجهة الواقعيّة الجهة الظاهرية ، أو التوقّف؟ وجوه ،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كلماتهم في بعض المقامات الاتّفاق على الأوّل ، كما يظهر من دعوى جماعة الإجماع على أنّ ظانّ ضيق الوقت إذا أخّر الصلاة عصى وإن انكشف بقاء الوقت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 العلاّمة في التذكرة عدم العصيان لو انكشف الخلاف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ضيق الوقت عصى لو أخّر إن استمرّ الظنّ ، وإن انكشف خلافه توجّه عدم العصيان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بعض أجلّة سادات الأواخر في مفاتيحه </w:t>
      </w:r>
      <w:r>
        <w:rPr>
          <w:rStyle w:val="FootnoteAnchor"/>
          <w:rtl w:val="true"/>
        </w:rPr>
        <w:footnoteReference w:id="1002"/>
      </w:r>
      <w:r>
        <w:rPr>
          <w:rFonts w:ascii="Amiri" w:hAnsi="Amiri" w:eastAsia="Amiri" w:cs="Amiri"/>
          <w:color w:val="111111"/>
          <w:sz w:val="28"/>
          <w:sz w:val="28"/>
          <w:szCs w:val="28"/>
          <w:rtl w:val="true"/>
          <w:lang w:bidi="ar-SA"/>
        </w:rPr>
        <w:t>حيث استقرب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الأجلّة </w:t>
      </w:r>
      <w:r>
        <w:rPr>
          <w:rStyle w:val="FootnoteAnchor"/>
          <w:rtl w:val="true"/>
        </w:rPr>
        <w:footnoteReference w:id="1003"/>
      </w:r>
      <w:r>
        <w:rPr>
          <w:rFonts w:ascii="Amiri" w:hAnsi="Amiri" w:eastAsia="Amiri" w:cs="Amiri"/>
          <w:color w:val="111111"/>
          <w:sz w:val="28"/>
          <w:sz w:val="28"/>
          <w:szCs w:val="28"/>
          <w:rtl w:val="true"/>
          <w:lang w:bidi="ar-SA"/>
        </w:rPr>
        <w:t>بالتحريم عند عدم معارضة الجهة الواقعيّة للجهة الظاهريّة وبعدمه عند عدمها ، كما ستعرف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شيخنا البهائي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واستدل </w:t>
      </w:r>
      <w:r>
        <w:rPr>
          <w:rStyle w:val="FootnoteAnchor"/>
          <w:rtl w:val="true"/>
        </w:rPr>
        <w:footnoteReference w:id="1005"/>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بناء العقلاء على الذمّ والحكم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وبأنّا لو فرضنا شخصين قاطعين بأن قطع أحدهما بكون مائع معيّن خمرا وقطع الآخر بكون مائع آخر خمرا فشرب كلّ منهما ما اعتقده خمرا ، فاتّفق مصادفة أحدهما للواقع ومخالفة الآخر ، فإمّا أن يستحقّا العقاب ، أو لا يستحقّ كلّ واحد منهما ، أو يستحق المصادف دون غيره ،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بديهيّ البطلان كالثاني ، والثالث أيضا باطل لاستلزامه إناطة استحقاق العقاب بما هو خارج عن الاختيار وهو مناف لما يقتضيه العدل ، فتعيّن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إن اريد الذمّ على نفس الفعل المنتزع عنه عنوان التجرّي ، فالضرورة تقضي بعدم جواز الذمّ عليه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شرب الماء واقعا ممّا لا قبح فيه بحسب الواقع كما هو المفروض ، اللّهم إلاّ أن يكون مورد التجرّي فعلا من الأفعال القبيحة ، كما إذا اعتقد شرب النبيذ شرب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واقع على غير جهة الاختيار أو هو غير مقصود للفاعل المعتقد كونه شرب خمر ، فلا يقع على وجه الاختيار ، فلا وجه للذمّ عليه اتّفاقا ، من غير فرق بين أن يكون المورد مباحا واقعا 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الذمّ على عنوان التجرّي والإقدام بما يعتقده معصية ، ففيه أنّ التجرّي له موردان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العصيان الواقعي المفروض انتفاؤه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تخيّل العصيان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بهذا الوجه غير واقع على جهة الاختيار ، إذ المتجرّي يعتقد أنّه العصيان ، لا أنّه تخيّل العصيان ، فهو غير مقصود له ، فلا يجوز الذمّ عليه اتّفاقا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الذمّ على الفاعل من حيث إنّ هذا الفعل يكشف عن وجود ملكة </w:t>
      </w:r>
    </w:p>
    <w:p>
      <w:pPr>
        <w:pStyle w:val="BookText"/>
        <w:rPr/>
      </w:pPr>
      <w:r>
        <w:rPr>
          <w:rFonts w:ascii="Amiri" w:hAnsi="Amiri" w:eastAsia="Amiri" w:cs="Amiri"/>
          <w:color w:val="111111"/>
          <w:sz w:val="28"/>
          <w:sz w:val="28"/>
          <w:szCs w:val="28"/>
          <w:rtl w:val="true"/>
          <w:lang w:bidi="ar-SA"/>
        </w:rPr>
        <w:t>نفسانيّة رذيلة وحالة طبيعيّة خبيثة ، فإن اريد بالذمّ العقاب فهو موقوف على أنّ عقاب هذا العبد الذي لم يفعل قبيحا ينافي العدل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توبيخه وتعييره بإظهار ما فيه من الشقاوة والرذالة فهو لا يبعد تسليمه ، لكنّه لا يجدي في كون الفعل محرّما شرعا ، لأنّ استحقاق الذمّ على ما كشف عنه الفعل لا يوجب استحقاقه على نفس الفعل ، ولا سيما الذمّ على الوجه المذكور ، إذ من المعلوم أنّ الحكم العقلي باستحقاق الذمّ إنّما يلازم استحقاق العقاب شرعا إذا تعلّق بالفعل لا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الاستاذ في الرسالة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باستحقاق من صادف قطعه الواقع ، لأنّه عصى اختيارا دون من لم يصادف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التفاوت بالاستحقاق والعدم لا يحسن أن يناط بما هو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 العقاب بما لا يرجع بالأخرة إلى الاختيار قبيح ، إلاّ أنّ عدم العقاب لأمر لا يرجع إلى الاختيار قبحه غير معلوم ، كما يشهد به الأخبار الواردة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كان له مثل أجر من عمل بها ، ومن سنّ سنّة سيّئة كان له مثل وزر من عمل بها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فإذا فرضنا أنّ شخصين سنّا سنّة حسنة أو سيّئة واتّفق كثرة العامل بإحداهما وقلّة العامل بالاخرى ، فإنّ مقتضى الروايات كون ثواب الأوّل أو عقابه أعظم ، وقد اشتهر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للمصيب أجرين وللمخطئ أجرا واحدا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والأخبار في مثل ذلك في طرفي الثواب والعقاب بحد التواتر ، انتهى ما أفاد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سند المنع غير وجيه ، فإنّ مدخليّة بعض الامور الغير الاختياريّة في العقاب والثواب ممّا لا بدّ منه ، وإلاّ لم يعقل الاستشهاد بالأخبار </w:t>
      </w:r>
    </w:p>
    <w:p>
      <w:pPr>
        <w:pStyle w:val="BookText"/>
        <w:rPr/>
      </w:pPr>
      <w:r>
        <w:rPr>
          <w:rFonts w:ascii="Amiri" w:hAnsi="Amiri" w:eastAsia="Amiri" w:cs="Amiri"/>
          <w:color w:val="111111"/>
          <w:sz w:val="28"/>
          <w:sz w:val="28"/>
          <w:szCs w:val="28"/>
          <w:rtl w:val="true"/>
          <w:lang w:bidi="ar-SA"/>
        </w:rPr>
        <w:t>المذكورة ، فإنّ كثرة العامل وقلّته على ما فرضه ممّا له مدخل في العقاب والثواب ، وهما من الامور الغير الاختياريّة بالنسبة إلى من سنّ السنّة الحسنة أو السيّئة ، وإن كان لنا كلام في كون العقاب والثواب في مورد الأخبار من هذا القبيل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والعقاب من لوازم الإطاعة والعصيان ، وتحقّقهما يتوقّف على امور بعضها اختياريّة وبعضها غير اختياريّة على وجه لو فرض انتفاؤهما أو انتفاء أحدهما لم يتحقّق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الحركة الصادرة من المكلّف التي هي من مقولة الأفعال ، فإنّه لا بدّ وأن تكون اختياريّة مسبوقة بالقصد واعتقاد النفع فيه ، كما هو المراد بالفعل الاختياري ، فلو لم يكن كذلك لم يتحقّق عصيان ولا 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من المولى إلى الفعل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الحركة الاختياريّة بما تعلّق به الفعل في عنوان الأمر ، فإنّ تعلّق الشرب بما هو خمر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متعلّق الشرب هو الخمر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الغير الاختياريّة ، إلاّ أنّه لا بدّ من ذلك في تحقّق الإطاعة والعصيان ، والقدر المسلّم من اعتبار الاختيار في التكليف هو أن تكون الحركة اختياريّة ، بل لا وجه لاعتبار الأزيد من ذلك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الجواب عن الاستدلال أيضا ، فإنّا نختار الثالث</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يوجب إناطة العقاب بما هو خارج عن الاختيار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قبح إناطة العقاب بما هو خارج عن الاختيار على وجه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جميع ما يعتبر فيه من الامور الغير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 لكنّه غير لازم في الحكم بالعقاب في من صادف قطعه الواقع ، لأنّ الحركة المتعلّقة بما هو متعلّق الأمر واقعا اختياريّة فلا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قبح استقلاله في الحكم بعدم العقاب في من لم يصادف الواقع فهو غير مسلّم ، إذ بذلك يرتفع موضوع العصيان ، والعقاب موقوف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مدخليّة ما هو خارج عن الاختيار في الاستحقاق قبيحة فهو ممنوع ، ضرورة توقّف الإطاعة والعصيان الموجبين للاستحقاق على امور غير اختياريّة شتّى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الحركة الاختياريّة ما تعلّق به الفعل في عنوان الأمر والنهي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الإجماع من جماعة على العصيان </w:t>
      </w:r>
      <w:r>
        <w:rPr>
          <w:rStyle w:val="FootnoteAnchor"/>
          <w:rtl w:val="true"/>
        </w:rPr>
        <w:footnoteReference w:id="1009"/>
      </w:r>
      <w:r>
        <w:rPr>
          <w:rFonts w:ascii="Amiri" w:hAnsi="Amiri" w:eastAsia="Amiri" w:cs="Amiri"/>
          <w:color w:val="111111"/>
          <w:sz w:val="28"/>
          <w:sz w:val="28"/>
          <w:szCs w:val="28"/>
          <w:rtl w:val="true"/>
          <w:lang w:bidi="ar-SA"/>
        </w:rPr>
        <w:t>فلا سبيل إليها في المسائل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انكشاف جهة تعبّديّة من الإجماع ، مدفوع بأنّ المسألة من فروع الإطاعة والعصيان التي لا تعقل فيها التعبّديّة بوجه ، ولو فرض ورود أمر أو نهي شرعي فيها لا بدّ من حملها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مخالفة جماعة من الفحول في ذلك ، كما عرفت من العلاّمة </w:t>
      </w:r>
      <w:r>
        <w:rPr>
          <w:rStyle w:val="FootnoteAnchor"/>
          <w:rtl w:val="true"/>
        </w:rPr>
        <w:footnoteReference w:id="1010"/>
      </w:r>
      <w:r>
        <w:rPr>
          <w:rFonts w:ascii="Amiri" w:hAnsi="Amiri" w:eastAsia="Amiri" w:cs="Amiri"/>
          <w:color w:val="111111"/>
          <w:sz w:val="28"/>
          <w:sz w:val="28"/>
          <w:szCs w:val="28"/>
          <w:rtl w:val="true"/>
          <w:lang w:bidi="ar-SA"/>
        </w:rPr>
        <w:t>حيث حكم بعدم العصيان فيما لو انكشف خطاء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المعصية وتلبّس بما يراه معصية فظهر خلافها ففي تأثير هذه النية نظر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حكاية التوقّف عن شيخنا البهائي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مرّ يظهر وجه القول بعدم العصيان ، إذ يكفي فيه عدم الدليل عليه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 فيظهر من بعض الأجلّة التفصيل في صورة القطع بتحريم شيء غير محرّم واقعا ، فرجّح استحقاق العقاب بفعله ، إلاّ أن يعتقد تحريم واجب غير مشروط بقصد القربة ، فإنّه لا يبعد عدم استحقاق العقاب عليه مطلقا أو بعض الموارد ، نظرا إلى معارضة الجهة الواقعيّة للجهة الظاهريّة ، فإنّ قبح التجرّي عندنا ليس ذاتيّا بل يختلف بالوجوه والاعتبار ، فمن اشتبه عليه مؤمن ورع بكافر واجب </w:t>
      </w:r>
    </w:p>
    <w:p>
      <w:pPr>
        <w:pStyle w:val="BookText"/>
        <w:rPr/>
      </w:pPr>
      <w:r>
        <w:rPr>
          <w:rFonts w:ascii="Amiri" w:hAnsi="Amiri" w:eastAsia="Amiri" w:cs="Amiri"/>
          <w:color w:val="111111"/>
          <w:sz w:val="28"/>
          <w:sz w:val="28"/>
          <w:szCs w:val="28"/>
          <w:rtl w:val="true"/>
          <w:lang w:bidi="ar-SA"/>
        </w:rPr>
        <w:t>القتل فحسب أنّه ذلك الكافر وتجرّى فلم يقتله ، فإنّه لا يستحقّ الذمّ على هذا الفعل عقلا عند من انكشف له الواقع وإن كان معذورا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جزم بوجوب قتل نبيّ فتجرّى ولم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المولى الحكيم إذا أمر عبده بقتل عدوّ له فصادف العبد ابنه وزعمه ذلك العدوّ فتجرّى ولم يقتله أنّ المولى إذا اطّلع على حاله لا يذمّه على هذا التجرّي ، بل يرضى به وإن كان معذورا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نصب له طريقا غير القطعي إلى معرفة عدوّه فأدّى الطريق إلى تعيين ابنه فتجرّى ولم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حيث يتحقّق عند المتجرّي لا يجديه إن لم يصادف الواقع ، ولذا يلزمه العقل بالعمل بالطريق المنصوب ، لما فيه من القطع بالسلامة من العقاب ، بخلاف ما لو ترك العمل به ، فإنّ المظنون فيه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التجرّي على الحرام في المكروهات الواقعيّة أشدّ منه في مباحاتها ، وهو فيها أشدّ منه في مندوباتها ، ويختلف باختلافهما ضعفا وشدّة كالمكروهات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تراعي في الواجبات الواقعيّة ما هو الأقوى من جهاته وجهات التجرّي </w:t>
      </w:r>
      <w:r>
        <w:rPr>
          <w:rStyle w:val="FootnoteAnchor"/>
          <w:rtl w:val="true"/>
        </w:rPr>
        <w:footnoteReference w:id="101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قبح الفعل في التجرّي فلا شكّ في كونه ذاتيا لا يختلف بالوجوه والاعتبار ، فإنّ منشأ الحكم المذكور على ما نراه غير قابل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ما يراه غيرنا من قبح الفعل في صورة التجرّي ، فإنّه يزعم أنّ ذلك ظلم في حقّ من يستحقّ الطاعة ، ولا شكّ في أنّ موضوع الظلم ممّا يمتنع عروض جهة محسّنة 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إمكان عروض جهة محسّنة فلا إشكال في لزوم كون تلك الجهة من عناوين الأفعال الاختياريّة حتّى يعقل اتّصافها بالحسن ، فيصير بذلك محسّنة للجهة المقبّحة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ما زعمه معارضا للجهة المقبّحة من الأفعال </w:t>
      </w:r>
    </w:p>
    <w:p>
      <w:pPr>
        <w:pStyle w:val="BookText"/>
        <w:rPr/>
      </w:pPr>
      <w:r>
        <w:rPr>
          <w:rFonts w:ascii="Amiri" w:hAnsi="Amiri" w:eastAsia="Amiri" w:cs="Amiri"/>
          <w:color w:val="111111"/>
          <w:sz w:val="28"/>
          <w:sz w:val="28"/>
          <w:szCs w:val="28"/>
          <w:rtl w:val="true"/>
          <w:lang w:bidi="ar-SA"/>
        </w:rPr>
        <w:t>الغير المتصوّرة للفاعل ، وهو غير مقصود الوقوع منه ، فلا يكون اختياريّا فلا وجه للمعارضة ، من غير فرق في ذلك بين أن يكون عنوان التجرّي مقتضيا للقبح كالكذب مثلا أو لم يكن كذلك بل يكون من الأفعال التي لا يدرك حسنها ولا قبحها إلاّ بعد ملاحظة لحوق الجهات والعنوانات ، وإن كان محلّ الكلام لا بدّ وأن يكون من الأوّل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أنّ الفعل الذي صار موردا لانتزاع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قتل المؤمن في المثال المفروض في كلامه كفعله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الأفعال الاختياريّة المقصودة ، فلا يتّصف بحسن ولا قبح ، وما يكون كذلك لا يعقل تصرّفه في العنوان الذي فرضنا عدم اتّصافه بحسن ولا قبح أو اتّصافه بقبح يمكن ارتفاعه بورود جهة محسّنة بإيراث حسن فيه أو رفع قبح عنه ، ولذا اعترف في كلامه في مقامين بأنّه معذور لو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الجواب عن الدليل العقلي أنّه لا امتناع في تأثير الامور الغير الاختياريّة في العقاب وعدمه ، وعلى هذا فلا مانع من ارتفاع القبح من عنوان التجرّي بواسطة فعل وقع التجرّي في ضمنه وإن لم يكن على وجه الاختيار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بين المقامين ؛ من حيث إنّ مدخليّة ذلك الأمر الخارج عن الاختيار في حسن الفعل وقبحه ممّا لا مناص عنها ، إذ عنوان الحسن هو شرب الخمر الواقعي الذي لا يعقل وجود هذا العنوان ولو على وجه الاختيار إلاّ بتعلّق الشرب الواقعي الاختياري بما هو خمر واقعي ، فالأمر الخارج عن الاختيار هناك محقّق لموضوع هو حسن ، لا أنّه محسّن لما لا حسن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فيما نحن بصدده ، فإنّ المفروض في كلام المفصّل كون التجرّي من العناوين الاختياريّة التي لا حسن فيها ولا قبح أو يقتضي القبح ويزيد تحسين ذلك العنوان بإيراث حسن فيه أو دفع قبح عنه بواسطة لحوق ما ليس بحسن ، وذلك ممّا يحكم بفساده ضرورة العقل ، كما لا يخفى على المنصف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لازم القول بقبح التجرّي من حيث الفعل هو تعدّد العقاب فيما إذا صادف المعصية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بالتداخل بمعنى اختفائه تحت ظلّ المعصية على وجه لا ينسب إليه حكم من أحكامه لوجود ما هو أقوى منه ، كاندكاك الانقياد في جنب سطوع نور الطاعة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عرفته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في المقام إلى الأخبار المتقدّمة </w:t>
      </w:r>
      <w:r>
        <w:rPr>
          <w:rStyle w:val="FootnoteAnchor"/>
          <w:rtl w:val="true"/>
        </w:rPr>
        <w:footnoteReference w:id="1014"/>
      </w:r>
      <w:r>
        <w:rPr>
          <w:rFonts w:ascii="Amiri" w:hAnsi="Amiri" w:eastAsia="Amiri" w:cs="Amiri"/>
          <w:color w:val="111111"/>
          <w:sz w:val="28"/>
          <w:sz w:val="28"/>
          <w:szCs w:val="28"/>
          <w:rtl w:val="true"/>
          <w:lang w:bidi="ar-SA"/>
        </w:rPr>
        <w:t>الدالّة على حرمة القصد المجرّد أو مع فعل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ليس في محلّه ، إذ الكلام في تحريم الفعل الذي يعتقده معصية ، والقصد وغيره ممّا لا مدخل له فيه ولو قلنا بكونه محرّما أيضا ، مع أنّك قد عرفت الكلام فيه </w:t>
      </w:r>
      <w:r>
        <w:rPr>
          <w:rStyle w:val="FootnoteAnchor"/>
          <w:rtl w:val="true"/>
        </w:rPr>
        <w:footnoteReference w:id="1015"/>
      </w:r>
      <w:r>
        <w:rPr>
          <w:rFonts w:ascii="Amiri" w:hAnsi="Amiri" w:eastAsia="Amiri" w:cs="Amiri"/>
          <w:color w:val="111111"/>
          <w:sz w:val="28"/>
          <w:sz w:val="28"/>
          <w:szCs w:val="28"/>
          <w:rtl w:val="true"/>
          <w:lang w:bidi="ar-SA"/>
        </w:rPr>
        <w:t>بما لا مزيد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يجعل القصد أيضا من مراتب التجرّي ، فإنّ له مراتب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الاشتغال ببعض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التلبّس بما يراه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بما يحتمل كونه معصية رجاء كونها معصية ، نظير الاحتياط في إحراز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به لعدم المبالاة لمصادفة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به رجاء أن لا يكون معصية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صدق التجرّي في صور الاحتمال أن يكون هناك دليل شرعي أو عقلي على عدم جواز ارتكاب تلك المحتملات ، إذ لو لم يكن هناك دليل على عدم الجواز فجواز ارتكاب المحتملات ممّا لا كلام فيه عند القائلين بأصالة البراءة ، كما لا يخفى على المتدبّر</w:t>
      </w:r>
      <w:r>
        <w:rPr>
          <w:rFonts w:eastAsia="Amiri" w:cs="Amiri" w:ascii="Amiri" w:hAnsi="Amiri"/>
          <w:color w:val="111111"/>
          <w:sz w:val="28"/>
          <w:szCs w:val="28"/>
          <w:rtl w:val="true"/>
          <w:lang w:bidi="ar-SA"/>
        </w:rPr>
        <w:t xml:space="preserve">. </w:t>
      </w:r>
      <w:bookmarkStart w:id="306" w:name="pg16254_218741"/>
    </w:p>
    <w:p>
      <w:pPr>
        <w:pStyle w:val="Heading3"/>
        <w:numPr>
          <w:ilvl w:val="2"/>
          <w:numId w:val="1"/>
        </w:numPr>
        <w:rPr/>
      </w:pPr>
      <w:bookmarkStart w:id="307" w:name="__RefHeading___Toc4418318_1280447820"/>
      <w:bookmarkStart w:id="308" w:name="_Toc96"/>
      <w:bookmarkEnd w:id="306"/>
      <w:bookmarkEnd w:id="307"/>
      <w:r>
        <w:rPr>
          <w:rtl w:val="true"/>
        </w:rPr>
        <w:t>هداية</w:t>
      </w:r>
      <w:bookmarkEnd w:id="308"/>
    </w:p>
    <w:p>
      <w:pPr>
        <w:pStyle w:val="Heading4"/>
        <w:numPr>
          <w:ilvl w:val="3"/>
          <w:numId w:val="1"/>
        </w:numPr>
        <w:rPr/>
      </w:pPr>
      <w:bookmarkStart w:id="309" w:name="__RefHeading___Toc4418320_1280447820"/>
      <w:bookmarkStart w:id="310" w:name="_Toc97"/>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إذا أعان المكلّف على إيجاد فعل محرّم أو إبقائه ، فظاهر الأصحاب الحكم بتحريمه ، كما يظهر من موارد استدلالاتهم في الفروع </w:t>
      </w:r>
      <w:r>
        <w:rPr>
          <w:rStyle w:val="FootnoteAnchor"/>
          <w:rtl w:val="true"/>
        </w:rPr>
        <w:footnoteReference w:id="1016"/>
      </w:r>
      <w:r>
        <w:rPr>
          <w:rFonts w:ascii="Amiri" w:hAnsi="Amiri" w:eastAsia="Amiri" w:cs="Amiri"/>
          <w:color w:val="111111"/>
          <w:sz w:val="28"/>
          <w:sz w:val="28"/>
          <w:szCs w:val="28"/>
          <w:rtl w:val="true"/>
          <w:lang w:bidi="ar-SA"/>
        </w:rPr>
        <w:t xml:space="preserve">، بل ادّعى الإجماع على ذلك جماعة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فإنّ النهي ظاهر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واستفاضت على تحريمه أيضا الأخبار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على قتل مسلم ولو بشطر كلمة جاء يوم القيامة مكتوبا بين عينيه ، آيس من رحمة اللّه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ظالم ليعينه وهو يعلم أنّه ظالم فقد خرج عن الإسلام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ينادي مناد أين الظلمة؟ أين أعوان الظلمة؟ أين أشباه الظلمة؟ فيجتمعون </w:t>
      </w:r>
    </w:p>
    <w:p>
      <w:pPr>
        <w:pStyle w:val="BookText"/>
        <w:rPr/>
      </w:pPr>
      <w:r>
        <w:rPr>
          <w:rFonts w:ascii="Amiri" w:hAnsi="Amiri" w:eastAsia="Amiri" w:cs="Amiri"/>
          <w:color w:val="111111"/>
          <w:sz w:val="28"/>
          <w:sz w:val="28"/>
          <w:szCs w:val="28"/>
          <w:rtl w:val="true"/>
          <w:lang w:bidi="ar-SA"/>
        </w:rPr>
        <w:t xml:space="preserve">في تابوت من حديد ، ثمّ يرمى بهم في جهنّم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علّق سوطا بين يدي سلطان جائر جعلها اللّه حيّة طولها سبعون ألف ذراع فيسلّط اللّه عليه في نار جهنّم خالدا مخلّدا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يدّعى استقلال العقل في الحكم بقبح إيجاد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على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الإعانة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محرّما نفسيّا وإن كان مقدّمة لحصول فعل الغير ، مثل الأمر بقتل أحد ممّا يعدّ عند العقلاء ظلما في حقّ المقتول والمظلوم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في العقل من الظلم ولا من عنوان آخر محرّم نفسا ، كغرس الكرم المتّخذ منه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استقلال العقل إنّما يسلّم في القسم الأوّل دون الثاني ، إذ غاية الأمر أن يكون الغير آتيا بمقدّمة من مقدّمات فعل الغير ، ولا كلام في لحوق الحرمة التبعيّة الغيريّة النازلة من المحرّم النفسي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القائلين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وجهها عند العقل ، إذ لا فرق في نظر العقل بين إيجاد المكلّف مقدّمة من مقدّمات فعل نفسه المحرّم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وجود عنوان نفسي في تلك الموارد ولو بملاحظة الأخبار المصرّحة بالتحريم والعقاب المخصوص بالمحرّمات النفسيّة تمّ ما ذكر ، لكنّه بعيد جدّا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وقع الإشكال من جماعة في صدق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الموارد ؛ من حيث اعتبار القصد إلى الفعل المعان عليه فيه ، أو اعتبار ترتّبه عليه ، أو العلم بالترتّب</w:t>
      </w:r>
      <w:r>
        <w:rPr>
          <w:rFonts w:eastAsia="Amiri" w:cs="Amiri" w:ascii="Amiri" w:hAnsi="Amiri"/>
          <w:color w:val="111111"/>
          <w:sz w:val="28"/>
          <w:szCs w:val="28"/>
          <w:rtl w:val="true"/>
          <w:lang w:bidi="ar-SA"/>
        </w:rPr>
        <w:t xml:space="preserve">. </w:t>
      </w:r>
      <w:bookmarkStart w:id="311" w:name="pg16254_218743"/>
    </w:p>
    <w:p>
      <w:pPr>
        <w:pStyle w:val="Heading4"/>
        <w:numPr>
          <w:ilvl w:val="3"/>
          <w:numId w:val="1"/>
        </w:numPr>
        <w:rPr/>
      </w:pPr>
      <w:bookmarkStart w:id="312" w:name="__RefHeading___Toc4418322_1280447820"/>
      <w:bookmarkStart w:id="313" w:name="_Toc98"/>
      <w:bookmarkEnd w:id="311"/>
      <w:bookmarkEnd w:id="312"/>
      <w:r>
        <w:rPr>
          <w:rtl w:val="true"/>
        </w:rPr>
        <w:t xml:space="preserve">وتنقيح البحث في موارد </w:t>
      </w:r>
      <w:r>
        <w:rPr>
          <w:rtl w:val="true"/>
        </w:rPr>
        <w:t>:</w:t>
      </w:r>
      <w:bookmarkEnd w:id="31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القصد فيه وعدمه ، فظاهر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نسبه إليهم الاستاذ في الفقه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القصد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استفاده من موارد استدلالاتهم ، كاستناد الفاضل إلى تحريم المعاونة في الحكم بحرمة بيع السلاح من أعداء الدين على وجه الإطلاق من دون تقييد بصورة القصد إلى تقويتهم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المحقّق الثاني بذلك على حرمة بيع العصير النجس من مستحلّه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1026"/>
      </w:r>
      <w:r>
        <w:rPr>
          <w:rFonts w:ascii="Amiri" w:hAnsi="Amiri" w:eastAsia="Amiri" w:cs="Amiri"/>
          <w:color w:val="111111"/>
          <w:sz w:val="28"/>
          <w:sz w:val="28"/>
          <w:szCs w:val="28"/>
          <w:rtl w:val="true"/>
          <w:lang w:bidi="ar-SA"/>
        </w:rPr>
        <w:t>ممّا يقف عليه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اعتبار القصد فيه ، قال المحقّق الثاني في ردّ من تمسّك بالآية في الحكم بحرمة بيع العنب ممّن يعمله خمرا في محكي 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الآية المنع من كون محلّ النزاع معاونة ، وإنّما يظهر المعاونة مع بيعه لذلك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جماعة من المتأخّرين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الأقرب ، والوجه في ذلك هو مساعدة العرف على اعتبار القصد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يصحّ السلب عن المورد الّذي علم فيه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صدق الإعانة ولو عند عدم القصد فلا إشكال في اختصاص الحرام منها بما إذا كان القصد إلى الحرام محقّقا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المباحث السابقة من أنّ الفعل الواقع على جهات مختلفة لا تقع اختياريّا من جهة خاصّة إلاّ بعد القصد إلى تلك الجهة ، وهو من الامور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الفعل إذا كان محرّما بعنوانه الخاصّ لا يقع على صفة الحرمة إلاّ إذا وقع بذلك العنوان المحرّم على وجه الاختيار ، إذ الفعل الاضطراري ولو من جهة خاصّة لا يعقل اتّصافه بالحرمة من تلك الجهة الاضطراريّة ، فعنوان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الحكم عليه لكونه وقع على صفة الحرمة لا بدّ أن يكون ذلك العنوان مقصودا ، وإلاّ لم يكن ذلك العنوان اختياريّا ، فلم يعقل وقوعه على صفة الحرمة ، والقصد إلى عنوان الإعانة لا ينفكّ عن القصد إلى المعان عليه ، فإذا لم يكن قاصدا للمعان عليه لم يكن قاصدا للإعانة ، نظير ما تقدّم من اعتبار القصد إلى الواجب في وقوع المقدّمة على صفة الوجوب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اعتبار أحد الأمرين في 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القصد كما في التجارة التي يترتّب عليها أخذ العشور للعشّار ، فإنّه لو لم يكن قاصدا إلى أخذ العشور بل كان قاصدا إلى تحصيل المنافع لنفسه لم يصدق عليه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الصدق العرفي وإن لم يكن قاصدا ، كما في إعطاء العصا للظالم مع طلبه منه لضرب مظلوم ، وفي طلب القلم لكتابة ظلم فيعطيه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حمل الروايات الدالّة على جواز بيع العنب ممّن يعمله خمرا </w:t>
      </w:r>
      <w:r>
        <w:rPr>
          <w:rStyle w:val="FootnoteAnchor"/>
          <w:rtl w:val="true"/>
        </w:rPr>
        <w:footnoteReference w:id="1029"/>
      </w:r>
      <w:r>
        <w:rPr>
          <w:rFonts w:ascii="Amiri" w:hAnsi="Amiri" w:eastAsia="Amiri" w:cs="Amiri"/>
          <w:color w:val="111111"/>
          <w:sz w:val="28"/>
          <w:sz w:val="28"/>
          <w:szCs w:val="28"/>
          <w:rtl w:val="true"/>
          <w:lang w:bidi="ar-SA"/>
        </w:rPr>
        <w:t xml:space="preserve">، فإنّها محمولة على صورة عدم تحقّق القصد مع عدم الصدق العرفي أيضا ، كما عليه الأكثر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أفاده نظر ؛ لأنّ الإعانة ليس مشتركا لفظيّا بين مواردها وأقسامها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فإمّا أن يكون القصد معتبرا في حقيقته أو لا </w:t>
      </w:r>
    </w:p>
    <w:p>
      <w:pPr>
        <w:pStyle w:val="BookText"/>
        <w:rPr/>
      </w:pPr>
      <w:r>
        <w:rPr>
          <w:rFonts w:ascii="Amiri" w:hAnsi="Amiri" w:eastAsia="Amiri" w:cs="Amiri"/>
          <w:color w:val="111111"/>
          <w:sz w:val="28"/>
          <w:sz w:val="28"/>
          <w:szCs w:val="28"/>
          <w:rtl w:val="true"/>
          <w:lang w:bidi="ar-SA"/>
        </w:rPr>
        <w:t>يكون ، فعلى الأوّل لا وجه للحكم بصدق الإعانة في مورد يشكّ في وجود القصد ، فكيف بما إذا علم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وجه لجعله مناطا لصدق المفهوم ولو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ليس داخلا في حقيقة الإعانة ، إلاّ أنّ عند وجوده يعلم وجود الإعانة ، فيكون القدر المتيقّن من موارده ومصاديقه مورد القصد ، لا أنّه معتبر فيه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يتمّ فيما إذا لم يستدلّ بعدم القصد على عدم الإعانة ، كما عرفت من استناده في التجارة إلى عدم </w:t>
      </w:r>
      <w:r>
        <w:rPr>
          <w:rStyle w:val="FootnoteAnchor"/>
          <w:rtl w:val="true"/>
        </w:rPr>
        <w:footnoteReference w:id="1031"/>
      </w:r>
      <w:r>
        <w:rPr>
          <w:rFonts w:ascii="Amiri" w:hAnsi="Amiri" w:eastAsia="Amiri" w:cs="Amiri"/>
          <w:color w:val="111111"/>
          <w:sz w:val="28"/>
          <w:sz w:val="28"/>
          <w:szCs w:val="28"/>
          <w:rtl w:val="true"/>
          <w:lang w:bidi="ar-SA"/>
        </w:rPr>
        <w:t>صدق الإعانة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المفاهيم العرفيّة ما نقطع بكونها على هذا الوجه كما في القتل العمدي ، فإنه صادق مع القصد إليه ولو لم يكن العمل الذي يقع في ضمنه القتل ممّا يترتّب عليه القتل في العرف والعادة ، بإدخال إبرة في عضو من أعضائه على وجه لو لم يكن قاصدا لا يقال إنّه عمد إلى القتل ، فمناط الصدق في المقام هو القصد ، وهو صادق أيضا فيما إذا أدخل السيف أو السكّين في جوفه وإن شكّ في وجود القصد إلى القتل ، بل ولو قطع بعدم قصده إليه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أنّه غير معقول في صورة اتّحاد المعنى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هو استكشاف القصد عند إيجاد ما هو موصل إلى القتل بحسب العادة وإن كان قصدا تبعيّا ، كأن يكون مقصوده من إدخال السيف في جوفه اختبار سيفه ، لكنّه لا ينفكّ عن القصد إلى قتله ولو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صدقه بدون القصد ومع العلم بعدمه في الصورة المفروضة فظاهرة الفساد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العمدي معناه القصد إلى القتل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جهل الفاعل كونه موصلا إلى القتل لم يصدق معه القتل العمدي ، لعدم القصد استقلالا وتبعا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لو فرض فيما ذكره المحقّق الأردبيلي من المثال وجود داع آخر غير الضرب على وجه احتمل كونه داعيا إلى إعطاء القلم لا نسلّم فيه صدق الإعانة ، وهو ظاهر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ترتّب الفعل المعاون عليه في صدق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 العرف بعد إحراز القصد إلى حصول ذلك الفعل لا يتوقّفون في الحكم بكونه إعانة ، ولا يتوقّعون في ذلك حصول المعاون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اعتبار الترتّب هو توقّفه في جواز الحكم عليه بكونه إعانة ، إلاّ مع العلم بترتّبه فيما إذا قلنا بأنّ الترتّب كاشف عن كونه إعانة </w:t>
      </w:r>
      <w:r>
        <w:rPr>
          <w:rStyle w:val="FootnoteAnchor"/>
          <w:rtl w:val="true"/>
        </w:rPr>
        <w:footnoteReference w:id="1032"/>
      </w:r>
      <w:r>
        <w:rPr>
          <w:rFonts w:ascii="Amiri" w:hAnsi="Amiri" w:eastAsia="Amiri" w:cs="Amiri"/>
          <w:color w:val="111111"/>
          <w:sz w:val="28"/>
          <w:sz w:val="28"/>
          <w:szCs w:val="28"/>
          <w:rtl w:val="true"/>
          <w:lang w:bidi="ar-SA"/>
        </w:rPr>
        <w:t xml:space="preserve">، كما يظهر من بعض الأفاضل في عوائده </w:t>
      </w:r>
      <w:r>
        <w:rPr>
          <w:rStyle w:val="FootnoteAnchor"/>
          <w:rtl w:val="true"/>
        </w:rPr>
        <w:footnoteReference w:id="1033"/>
      </w:r>
      <w:r>
        <w:rPr>
          <w:rFonts w:ascii="Amiri" w:hAnsi="Amiri" w:eastAsia="Amiri" w:cs="Amiri"/>
          <w:color w:val="111111"/>
          <w:sz w:val="28"/>
          <w:sz w:val="28"/>
          <w:szCs w:val="28"/>
          <w:rtl w:val="true"/>
          <w:lang w:bidi="ar-SA"/>
        </w:rPr>
        <w:t xml:space="preserve">حيث إنّه تخيّل أنّه لو فعل شخص فعلا بقصد تحقّق الإثم الفلاني من الغير فلم يتحقّق منه لم يحرم من جهة صدق الإعانة وإن أثم من جهة القصد إلى حصول فعل المعاون عليه ، بناء على أنّ الاشتغال بمقدّمات الحرام بقصد تحقّقه حرام ، وأنّه لو تحقّق الفعل كان حراما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القصد إلى المحرّم ، ومن جهة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بعض عوائده </w:t>
      </w:r>
      <w:r>
        <w:rPr>
          <w:rStyle w:val="FootnoteAnchor"/>
          <w:rtl w:val="true"/>
        </w:rPr>
        <w:footnoteReference w:id="1034"/>
      </w:r>
      <w:r>
        <w:rPr>
          <w:rFonts w:ascii="Amiri" w:hAnsi="Amiri" w:eastAsia="Amiri" w:cs="Amiri"/>
          <w:color w:val="111111"/>
          <w:sz w:val="28"/>
          <w:sz w:val="28"/>
          <w:szCs w:val="28"/>
          <w:rtl w:val="true"/>
          <w:lang w:bidi="ar-SA"/>
        </w:rPr>
        <w:t xml:space="preserve">بأنّه لو سافر بقصد فعل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له مانع عنه يكون آثما ، ولو فعل يكون له العقاب والإثم لأجلهما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يظهر وجهه ممّا قرّرنا من حيث صدق الإعانة ولو مع عدم العلم بالترتّب ، كما في صورة احتمال وجود المعاون عليه ، ولا يتوقّف الحكم على العلم بالترتّب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اعتبار العلم بالترتّب أيضا وإن لم يترتّب في الواقع في صدق الإعانة ، بل لو فرض ثبوت حرمة نفسيّة لعنوان الإعانة كان إيجاد الفعل الذي </w:t>
      </w:r>
    </w:p>
    <w:p>
      <w:pPr>
        <w:pStyle w:val="BookText"/>
        <w:rPr/>
      </w:pPr>
      <w:r>
        <w:rPr>
          <w:rFonts w:ascii="Amiri" w:hAnsi="Amiri" w:eastAsia="Amiri" w:cs="Amiri"/>
          <w:color w:val="111111"/>
          <w:sz w:val="28"/>
          <w:sz w:val="28"/>
          <w:szCs w:val="28"/>
          <w:rtl w:val="true"/>
          <w:lang w:bidi="ar-SA"/>
        </w:rPr>
        <w:t>يحتمل توقّف الحرام عليه أو ترتّبه عليه بقصد التوصّل إلى الحرام أولى بأن يكون حراما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القول بثبوت الحرمة النفسيّة للمشتغل بمقدّمات الحرام ممّا لم نقف له على وجه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الالتزام بتعدّد العقاب ممّا لا وجه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خصوص مسألة السفر لا يخلو عن شيء ، بل المدقّق الشيرواني أنكر وجود القول به في أقوال العلماء </w:t>
      </w:r>
      <w:r>
        <w:rPr>
          <w:rStyle w:val="FootnoteAnchor"/>
          <w:rtl w:val="true"/>
        </w:rPr>
        <w:footnoteReference w:id="1035"/>
      </w:r>
      <w:r>
        <w:rPr>
          <w:rFonts w:ascii="Amiri" w:hAnsi="Amiri" w:eastAsia="Amiri" w:cs="Amiri"/>
          <w:color w:val="111111"/>
          <w:sz w:val="28"/>
          <w:sz w:val="28"/>
          <w:szCs w:val="28"/>
          <w:rtl w:val="true"/>
          <w:lang w:bidi="ar-SA"/>
        </w:rPr>
        <w:t xml:space="preserve">وإن كان إنكاره في غير محلّه ؛ لما يظهر من الصالح المقدّس المازندراني </w:t>
      </w:r>
      <w:r>
        <w:rPr>
          <w:rStyle w:val="FootnoteAnchor"/>
          <w:rtl w:val="true"/>
        </w:rPr>
        <w:footnoteReference w:id="1036"/>
      </w:r>
      <w:r>
        <w:rPr>
          <w:rFonts w:ascii="Amiri" w:hAnsi="Amiri" w:eastAsia="Amiri" w:cs="Amiri"/>
          <w:color w:val="111111"/>
          <w:sz w:val="28"/>
          <w:sz w:val="28"/>
          <w:szCs w:val="28"/>
          <w:rtl w:val="true"/>
          <w:lang w:bidi="ar-SA"/>
        </w:rPr>
        <w:t>نسبته إلى أكثر العامّة والمتكلّمين والمحدّثين ومنهم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بما لا مزيد عليه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الفاعل بفعله وصول الغير إلى مقدّمة مشتركة بين المعصية وغيرها مع العلم بصرف الغير إيّاها في المعصية ، فهل يعدّ ذلك معاونة على تلك المعصية أو لا؟ كما إذا أراد البائع تملّك المشتري للعنب بواسطة حصول ثمنه في ملكه مع العلم بأنّه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يجعل من ذلك ما مثّل به المحقّق الأردبيلي </w:t>
      </w:r>
      <w:r>
        <w:rPr>
          <w:rStyle w:val="FootnoteAnchor"/>
          <w:rtl w:val="true"/>
        </w:rPr>
        <w:footnoteReference w:id="1038"/>
      </w:r>
      <w:r>
        <w:rPr>
          <w:rFonts w:ascii="Amiri" w:hAnsi="Amiri" w:eastAsia="Amiri" w:cs="Amiri"/>
          <w:color w:val="111111"/>
          <w:sz w:val="28"/>
          <w:sz w:val="28"/>
          <w:szCs w:val="28"/>
          <w:rtl w:val="true"/>
          <w:lang w:bidi="ar-SA"/>
        </w:rPr>
        <w:t>من إعطاء العصا بيد الظالم وإعطاء القلم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وجه ، لاحتمال أن يكون وجود العصا بيده مطلوبا نفسيّا للمعطي ، إلاّ أنّه بعيد في الغاية ، فيستكشف من بعد سائر الدواعي أنّ الداعي إلى الفعل المذكور هو قصد الضرب والظلم ، فيحكمون بكونه إعانة ، كما تقدّم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فالظاهر بناء على ما تقدّم من اعتبار القصد إلى المحرّم في صدق الإعانة أنّه لا يكون معاونة على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فرض أنّ إيجاد شرط الحرام بقصد التوصّل إلى الحرام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بعض الأفاضل في عوائده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الحكم بأنّ البيع إعانة على الحرام ، وهو تملّك المشتري للعنب بقصد التخمير ، فلو اشترى لا بقصده وإن علم البائع أنّه سيجعله خمرا بإرادة جديدة لم تكن إعانة لا على التخمير ولا على التملّك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القصد إليه ، وأمّا الثاني فلأنّ الشراء المحرّم هو ما قصد به التوصّل إلى الحرام ، والمفروض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المنع من الحرمة النفسيّة في مقدّمات الحرام ، والحرمة الغيريّة لا يستلزم ذمّا ولا عقابا ، فلا يكون إثما وعدوانا حتّى يكون الإعانة عليه إعانة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قصد الإعانة على تلك المقدّمة من حيث إيصالها إلى ذيها كان إعانة على الإثم من حيث إنّ القصد إلى المقدّمة على الوجه المذكور يلازم القصد إلى المحرّم النفسي ، فيكون إعانة على الإثم والعدوان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الإتيان بشرط الحرام حرام من حيث كونه داخلا في عنوان التجرّي بعد قصد التوصّل به إلى الحرام ، فإيجاد الشراء يكون محرّما وإثما لكونه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البيع مع عدم القصد إلى حصول التملّك الموقوف عليه الحرام لا يكون حراما ، لا من حيث الإعانة على المحرّم الواقعي لعدم القصد إليه ، ولا من حيث الإعانة على حصول التجرّي المحرّم ، لأنّ التجرّي ليس نفس الشراء بل الشراء المتلبّس بالقصد ، والبيع إنّما هو إعانة على نفس الشراء لا على المتلبّس بالقصد ، لأنّ ذلك لا ينفك عن قصد المحرّم الواقعي كما لا يخفى ، والمفروض خلافه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من جهة التجرّي حيث كان أمرا مركّبا من الشراء والقصد كان البيع إعانة على الشراء ، وهو جزء من المركّب الحرام ، فيكون إعانة على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مسلّم إذا أوجد البيع قصدا إلى حصول عنوان التجرّي ، وهو لا ينفكّ عن القصد إلى المحرّم الواقعي ، وأمّا بدون القصد إليه فلا نسلّم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المحقّق الأردبيلي الاستناد إلى قاعدة وجوب دفع المنكر </w:t>
      </w:r>
      <w:r>
        <w:rPr>
          <w:rStyle w:val="FootnoteAnchor"/>
          <w:rtl w:val="true"/>
        </w:rPr>
        <w:footnoteReference w:id="1040"/>
      </w:r>
      <w:r>
        <w:rPr>
          <w:rFonts w:ascii="Amiri" w:hAnsi="Amiri" w:eastAsia="Amiri" w:cs="Amiri"/>
          <w:color w:val="111111"/>
          <w:sz w:val="28"/>
          <w:sz w:val="28"/>
          <w:szCs w:val="28"/>
          <w:rtl w:val="true"/>
          <w:lang w:bidi="ar-SA"/>
        </w:rPr>
        <w:t>في الموارد التي منع من صدق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اميّة لو لا وجدوا من يجبي لهم الصدقات ويشهد جماعتهم ما سلبونا حقّنا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دلّ على مذمّة الناس في فعل ما لو تركوه لم يتحقّق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 في الخبر بواسطة أنّ نفس الرجوع إلى الطاغوت من أعظم المعاصي ، لما قد امروا أن يكفروا به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الإنصاف أنّه خلاف الظاهر ، فإنّ المنساق حرمة أفعالهم من حيث ترتّب المفاسد عليها وهو سلب حقوقهم عليهم‌السلام ، ولا ينافيه تحريم نفس الرجوع إلى مخالفيهم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يمكن التعويل إلى تلك القاعدة في جميع موارد المسألة ، إذ لا يبعد دعوى القطع على عدم وجوب تعجيز من يعلم أنّه سيهمّ بالمعصية ، وإنّما الثابت بالعقل القاضي بوجوب اللطف وجوب ردع من همّ بها وأشرف على الوقوع فيها حدوثا وبقاء ؛ مضافا إلى اختصاص ذلك بصورة العلم بعدم حصول المعصية ، فلو لم يعلم البائع بأنّ منعه منه ينفع في دفع المنكر أو علم أنّه لا ينفع ، لا دليل على وجوب الردع</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حرام على كلّ أحد فلا وجه للاعتذار بأنّه لو تركه لم يعلم نفعه في دفع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البيع إنّما هو بواسطة عدم وقوع المنكر في الخارج ، وهو أمر واحد يجب على عامّة المكلّفين دفعه على وجه الاجتماع ، لعدم الاقتدار عليه إلاّ بالاجتماع ، فإذا علم واحد بعدم الاجتماع أو شكّ فيه علم بعدم الاقتدار أو شكّ في الاقتدار ، وعلى الوجهين لا دليل على المنع ، أمّا على الأوّل فظاهر ، وأمّا على الثاني فللتعويل على أصالة عدم الاجتماع الخارجي في المقام من غير توقّف على فحص على تقدير قياسه بسائر الاصول المعمولة في تشخيص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ذلك مطلوبا من كلّ أحد على وجه الاستقلال كأن يكون المطلوب امورا متعدّدة ، لم يحسن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المذكورة ، فبعد ما عرفت من إمكان دعوى القطع على عدم وجوب الردع في جميع مراتبه ، لا بدّ أن يحمل على حرمة إعانتهم بالامور المذكورة </w:t>
      </w:r>
      <w:r>
        <w:rPr>
          <w:rStyle w:val="FootnoteAnchor"/>
          <w:rtl w:val="true"/>
        </w:rPr>
        <w:footnoteReference w:id="1043"/>
      </w:r>
      <w:r>
        <w:rPr>
          <w:rFonts w:ascii="Amiri" w:hAnsi="Amiri" w:eastAsia="Amiri" w:cs="Amiri"/>
          <w:color w:val="111111"/>
          <w:sz w:val="28"/>
          <w:sz w:val="28"/>
          <w:szCs w:val="28"/>
          <w:rtl w:val="true"/>
          <w:lang w:bidi="ar-SA"/>
        </w:rPr>
        <w:t>فيها ، وقد قرّر في محلّه حرمة إعانة الظلمة حتّى في المباحات ، فضلا عن جباية الصدقات وإعطائها عليهم وحضور الجماعات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وفذلكة المرام من البداية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الإعانة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صدقها عند القصد إلى المعان عليه من غير فرق في ذلك بين إيجاد العلّة التامّة للمعان لو فرض أو السبب أو الشرط أو غيره من وجوه ما يتوقّف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صدقها عند عدم القصد إليه ، من غير فرق بين الأقسام أيضا ، إلاّ أنّ فرض عدم القصد مع إيجاد السبب والعلّة بعيد ؛ ولذا يستكشف من إيجادهما القصد ، فيحكم بكونه إعانة من غير توقّف على الترتّب أو العلم بالترتّب أو العلم بالمدخليّة ، بل يكفي احتمال الترتّب والمدخليّة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أيضا في ذلك بين الإعانة على فعل المقدّمات وغيرها ؛ إذ ما لم يرجع إلى القصد بفعل المحرّم الواقعي لم يحرم ، ومع رجوعه إليه كان الفرق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القصد إلى إيجاد مقدّمة فعل الغير مع قصد الغير التوصّل به إلى الحرام ، فإن كان ترك ذلك الفعل علّة تامّة لترك الحرام في الخارج فيجب ، وإلاّ فلا دليل على وجوبه ، كما عرفت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المسألة بعون اللّه تعالى ، ختم اللّه لنا ولإخواننا المؤمنين بالخير والسعادة بحق محمّد وآله الطيّبين الطاهرين المعصومين الغرّ الميامين ، صلّى اللّه عليهم وسلّم تسليما كثيرا</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6254_218753"/>
      <w:bookmarkStart w:id="315" w:name="pg16254_218753"/>
      <w:bookmarkEnd w:id="315"/>
    </w:p>
    <w:p>
      <w:pPr>
        <w:pStyle w:val="BookText"/>
        <w:rPr/>
      </w:pPr>
      <w:bookmarkStart w:id="316" w:name="pg16254_218753"/>
      <w:bookmarkEnd w:id="3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Heading2"/>
        <w:numPr>
          <w:ilvl w:val="1"/>
          <w:numId w:val="1"/>
        </w:numPr>
        <w:rPr/>
      </w:pPr>
      <w:bookmarkStart w:id="317" w:name="__RefHeading___Toc4418324_1280447820"/>
      <w:bookmarkStart w:id="318" w:name="_Toc99"/>
      <w:bookmarkEnd w:id="317"/>
      <w:r>
        <w:rPr>
          <w:rtl w:val="true"/>
        </w:rPr>
        <w:t>القول في أنّ الأمر بالشيء هل يقتضي النهي عن ضدّه أو لا؟</w:t>
      </w:r>
      <w:bookmarkEnd w:id="31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418326_1280447820"/>
      <w:bookmarkStart w:id="320" w:name="_Toc100"/>
      <w:bookmarkEnd w:id="319"/>
      <w:r>
        <w:rPr>
          <w:rtl w:val="true"/>
        </w:rPr>
        <w:t>اشارة</w:t>
      </w:r>
      <w:bookmarkEnd w:id="32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254_218755"/>
      <w:bookmarkStart w:id="322" w:name="pg16254_218755"/>
      <w:bookmarkEnd w:id="322"/>
    </w:p>
    <w:p>
      <w:pPr>
        <w:pStyle w:val="BookText"/>
        <w:rPr/>
      </w:pPr>
      <w:bookmarkStart w:id="323" w:name="pg16254_218755"/>
      <w:bookmarkEnd w:id="323"/>
      <w:r>
        <w:rPr>
          <w:rFonts w:ascii="Amiri" w:hAnsi="Amiri" w:eastAsia="Amiri" w:cs="Amiri"/>
          <w:color w:val="111111"/>
          <w:sz w:val="28"/>
          <w:sz w:val="28"/>
          <w:szCs w:val="28"/>
          <w:rtl w:val="true"/>
          <w:lang w:bidi="ar-SA"/>
        </w:rPr>
        <w:t xml:space="preserve">وتوضيح المقام في طيّ هدايات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418328_1280447820"/>
      <w:bookmarkStart w:id="325" w:name="_Toc101"/>
      <w:bookmarkEnd w:id="324"/>
      <w:r>
        <w:rPr>
          <w:rtl w:val="true"/>
        </w:rPr>
        <w:t>هداية</w:t>
      </w:r>
      <w:bookmarkEnd w:id="325"/>
    </w:p>
    <w:p>
      <w:pPr>
        <w:pStyle w:val="BookText"/>
        <w:rPr/>
      </w:pPr>
      <w:r>
        <w:rPr>
          <w:rFonts w:ascii="Amiri" w:hAnsi="Amiri" w:eastAsia="Amiri" w:cs="Amiri"/>
          <w:color w:val="111111"/>
          <w:sz w:val="28"/>
          <w:sz w:val="28"/>
          <w:szCs w:val="28"/>
          <w:rtl w:val="true"/>
          <w:lang w:bidi="ar-SA"/>
        </w:rPr>
        <w:t xml:space="preserve">لا إشكال في أنّ هذه المسألة ممّا لا يتوقّف تحريرها على أن يكون الأمر مدلولا عليه بدلالة لفظيّة ؛ لجريان السؤال على تقدير غيره أيضا ، فهل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المبادئ الأحكاميّة كما صنعه جماعة </w:t>
      </w:r>
      <w:r>
        <w:rPr>
          <w:rStyle w:val="FootnoteAnchor"/>
          <w:rtl w:val="true"/>
        </w:rPr>
        <w:footnoteReference w:id="1044"/>
      </w:r>
      <w:r>
        <w:rPr>
          <w:rFonts w:ascii="Amiri" w:hAnsi="Amiri" w:eastAsia="Amiri" w:cs="Amiri"/>
          <w:color w:val="111111"/>
          <w:sz w:val="28"/>
          <w:sz w:val="28"/>
          <w:szCs w:val="28"/>
          <w:rtl w:val="true"/>
          <w:lang w:bidi="ar-SA"/>
        </w:rPr>
        <w:t xml:space="preserve">، أو من الأدلّة العقليّة وإن كان الأمر لفظيّا أيضا؟ وقد مرّ الكلام فيما هو بمنزلة المعيار لتمييز المباحث ، فراجعه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يستشكل في وجه إفراد المقام بالبحث ، مع أنّ القول بالاقتضاء وعدمه من فروع القول بوجوب المقدّمة وعدمه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بين المقامين عموم من وجه ، لإمكان القول بوجوب المقدّمة مع القول بعدم الاقتضاء ؛ لإنكار المقدميّة مطلقا كما عليه السلطان </w:t>
      </w:r>
      <w:r>
        <w:rPr>
          <w:rStyle w:val="FootnoteAnchor"/>
          <w:rtl w:val="true"/>
        </w:rPr>
        <w:footnoteReference w:id="1046"/>
      </w:r>
      <w:r>
        <w:rPr>
          <w:rFonts w:ascii="Amiri" w:hAnsi="Amiri" w:eastAsia="Amiri" w:cs="Amiri"/>
          <w:color w:val="111111"/>
          <w:sz w:val="28"/>
          <w:sz w:val="28"/>
          <w:szCs w:val="28"/>
          <w:rtl w:val="true"/>
          <w:lang w:bidi="ar-SA"/>
        </w:rPr>
        <w:t xml:space="preserve">، أو على التفصيل كما عليه المحقّق الخوانساري </w:t>
      </w:r>
      <w:r>
        <w:rPr>
          <w:rStyle w:val="FootnoteAnchor"/>
          <w:rtl w:val="true"/>
        </w:rPr>
        <w:footnoteReference w:id="1047"/>
      </w:r>
      <w:r>
        <w:rPr>
          <w:rFonts w:ascii="Amiri" w:hAnsi="Amiri" w:eastAsia="Amiri" w:cs="Amiri"/>
          <w:color w:val="111111"/>
          <w:sz w:val="28"/>
          <w:sz w:val="28"/>
          <w:szCs w:val="28"/>
          <w:rtl w:val="true"/>
          <w:lang w:bidi="ar-SA"/>
        </w:rPr>
        <w:t>، أو يسلّم المقدميّة وينكر وجوبها مطلقا ، أو على أحد التفاصيل ، أو القول بالاقتضاء والقول بعدم وجوب مقدّمة الواجب نظرا إلى دعوى العينيّة أو التلازم ، إلاّ أنّ التعويل على قاعدة التلازم يوجب القول بوجوب المقدّمة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 المبنى لا دلالة فيه على فساد الابتناء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وجه لما قد أورده بعضهم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القول المذكور ، وأيّده بما أفاده المحقّق الخوانساري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يبعد كونه خرقا لمركّب الإجماع ، فإنّ مدرك القول المزبور أنّ الأمر بالإزالة مثلا يرجع إلى النهي عن الضدّ العامّ وهو الترك ، ومرجع النهي المزبور إلى النهي عن الضدّ الخاصّ ، لعدم صحّة تعلّق التكليف بالتروك ، وهو خرق للإجماع ؛ لانحصار القول في مسألة النهي في أنّ مرجع النهي إلى طلب الترك أو إلى طلب الكفّ ، وأمّا أنّ مرجع النهي إلى طلب ترك الضدّ الخاصّ فهو قول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التأييد في غير محلّه بعد فرض صحّة ما أفاده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تلك المسألة في المقدّمات الوجوديّة وفي المقام في المقدّمات العدميّة ، وهو كما ترى ممّا لا شاهد له بعد عموم العنوان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هناك كبرويّ والنزاع في المقام في أنّ الترك مقدّمة أم لا فيرجع إلى إثبات الصغرى ، وهو أيضا مناف لظاهر العنوان والأدلّة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بالضدّ إن كان هو الضدّ العامّ فالفرق ظاهر ، وإن كان الضدّ الخاصّ فالنسبة بين المسألتين عموم مطلق ؛ لأنّ المقام بناء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بمقدميّته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المسألة المتقدّمة ، وأمّا على القول بعدم المقدميّة ، فالفرق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التوفيق والهداية</w:t>
      </w:r>
      <w:r>
        <w:rPr>
          <w:rFonts w:eastAsia="Amiri" w:cs="Amiri" w:ascii="Amiri" w:hAnsi="Amiri"/>
          <w:color w:val="111111"/>
          <w:sz w:val="28"/>
          <w:szCs w:val="28"/>
          <w:rtl w:val="true"/>
          <w:lang w:bidi="ar-SA"/>
        </w:rPr>
        <w:t xml:space="preserve">. </w:t>
      </w:r>
      <w:bookmarkStart w:id="326" w:name="pg16254_218757"/>
    </w:p>
    <w:p>
      <w:pPr>
        <w:pStyle w:val="Heading3"/>
        <w:numPr>
          <w:ilvl w:val="2"/>
          <w:numId w:val="1"/>
        </w:numPr>
        <w:rPr/>
      </w:pPr>
      <w:bookmarkStart w:id="327" w:name="__RefHeading___Toc4418330_1280447820"/>
      <w:bookmarkStart w:id="328" w:name="_Toc102"/>
      <w:bookmarkEnd w:id="326"/>
      <w:bookmarkEnd w:id="327"/>
      <w:r>
        <w:rPr>
          <w:rtl w:val="true"/>
        </w:rPr>
        <w:t>هداية في تحقيق مقدميّة ترك أحد الضدّين لوجود الآخر</w:t>
      </w:r>
      <w:bookmarkEnd w:id="328"/>
    </w:p>
    <w:p>
      <w:pPr>
        <w:pStyle w:val="BookText"/>
        <w:rPr/>
      </w:pPr>
      <w:r>
        <w:rPr>
          <w:rFonts w:ascii="Amiri" w:hAnsi="Amiri" w:eastAsia="Amiri" w:cs="Amiri"/>
          <w:color w:val="111111"/>
          <w:sz w:val="28"/>
          <w:sz w:val="28"/>
          <w:szCs w:val="28"/>
          <w:rtl w:val="true"/>
          <w:lang w:bidi="ar-SA"/>
        </w:rPr>
        <w:t xml:space="preserve">في تحقيق مقدميّة ترك أحد الضدّين لوجود الآخر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أنظار الأعلام في ذلك ، فذهب الأكثر إلى توقّف الوجود على العدم وعدم توقّفه على الوجود </w:t>
      </w:r>
      <w:r>
        <w:rPr>
          <w:rStyle w:val="FootnoteAnchor"/>
          <w:rtl w:val="true"/>
        </w:rPr>
        <w:footnoteReference w:id="1051"/>
      </w:r>
      <w:r>
        <w:rPr>
          <w:rFonts w:ascii="Amiri" w:hAnsi="Amiri" w:eastAsia="Amiri" w:cs="Amiri"/>
          <w:color w:val="111111"/>
          <w:sz w:val="28"/>
          <w:sz w:val="28"/>
          <w:szCs w:val="28"/>
          <w:rtl w:val="true"/>
          <w:lang w:bidi="ar-SA"/>
        </w:rPr>
        <w:t xml:space="preserve">، واختار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المحقّق السلطان </w:t>
      </w:r>
      <w:r>
        <w:rPr>
          <w:rStyle w:val="FootnoteAnchor"/>
          <w:rtl w:val="true"/>
        </w:rPr>
        <w:footnoteReference w:id="1052"/>
      </w:r>
      <w:r>
        <w:rPr>
          <w:rFonts w:ascii="Amiri" w:hAnsi="Amiri" w:eastAsia="Amiri" w:cs="Amiri"/>
          <w:color w:val="111111"/>
          <w:sz w:val="28"/>
          <w:sz w:val="28"/>
          <w:szCs w:val="28"/>
          <w:rtl w:val="true"/>
          <w:lang w:bidi="ar-SA"/>
        </w:rPr>
        <w:t xml:space="preserve">وشيخنا البهائي </w:t>
      </w:r>
      <w:r>
        <w:rPr>
          <w:rStyle w:val="FootnoteAnchor"/>
          <w:rtl w:val="true"/>
        </w:rPr>
        <w:footnoteReference w:id="1053"/>
      </w:r>
      <w:r>
        <w:rPr>
          <w:rFonts w:ascii="Amiri" w:hAnsi="Amiri" w:eastAsia="Amiri" w:cs="Amiri"/>
          <w:color w:val="111111"/>
          <w:sz w:val="28"/>
          <w:sz w:val="28"/>
          <w:szCs w:val="28"/>
          <w:rtl w:val="true"/>
          <w:lang w:bidi="ar-SA"/>
        </w:rPr>
        <w:t xml:space="preserve">والكاظمي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الخوانساري توقّف وجود الضدّ المعدوم على رفع الضدّ الموجود وعدم توقّف وجود الضدّ على عدم الآخر إذا كان معدوما </w:t>
      </w:r>
      <w:r>
        <w:rPr>
          <w:rStyle w:val="FootnoteAnchor"/>
          <w:rtl w:val="true"/>
        </w:rPr>
        <w:footnoteReference w:id="1055"/>
      </w:r>
      <w:r>
        <w:rPr>
          <w:rFonts w:ascii="Amiri" w:hAnsi="Amiri" w:eastAsia="Amiri" w:cs="Amiri"/>
          <w:color w:val="111111"/>
          <w:sz w:val="28"/>
          <w:sz w:val="28"/>
          <w:szCs w:val="28"/>
          <w:rtl w:val="true"/>
          <w:lang w:bidi="ar-SA"/>
        </w:rPr>
        <w:t>، فهو تفصيل بين وجود الضدّ وعدمه والتزام بالتوقّف في صورة الوجود وبعدمه في صورة العدم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الحاجبي والعضدي </w:t>
      </w:r>
      <w:r>
        <w:rPr>
          <w:rStyle w:val="FootnoteAnchor"/>
          <w:rtl w:val="true"/>
        </w:rPr>
        <w:footnoteReference w:id="1056"/>
      </w:r>
      <w:r>
        <w:rPr>
          <w:rFonts w:ascii="Amiri" w:hAnsi="Amiri" w:eastAsia="Amiri" w:cs="Amiri"/>
          <w:color w:val="111111"/>
          <w:sz w:val="28"/>
          <w:sz w:val="28"/>
          <w:szCs w:val="28"/>
          <w:rtl w:val="true"/>
          <w:lang w:bidi="ar-SA"/>
        </w:rPr>
        <w:t>الالتزام بالتوقّف من الطرفين ، حيث استندا في دفع شبهة الكعبي إلى منع وجوب المقدّمة ، بل وجعلا ذلك دليلا على عدم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التزام التوقّف ، إذ لو لم يكن مقدّمة كيف يجعل ذلك دليلا </w:t>
      </w:r>
    </w:p>
    <w:p>
      <w:pPr>
        <w:pStyle w:val="BookText"/>
        <w:rPr/>
      </w:pPr>
      <w:r>
        <w:rPr>
          <w:rFonts w:ascii="Amiri" w:hAnsi="Amiri" w:eastAsia="Amiri" w:cs="Amiri"/>
          <w:color w:val="111111"/>
          <w:sz w:val="28"/>
          <w:sz w:val="28"/>
          <w:szCs w:val="28"/>
          <w:rtl w:val="true"/>
          <w:lang w:bidi="ar-SA"/>
        </w:rPr>
        <w:t>على عدم وجوبها؟ لاحتمال إبطالها بمنع المقدميّة في طرف الفعل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وأجابا عن الدليل الآتي أيضا بمنع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يتأتّى بعد تسليم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التزم باطّراد توقّف الترك على الأفعال الوجوديّة لزمه الدور على وجه لا مدفع له ، كما ستعرف عن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الأكثرون </w:t>
      </w:r>
      <w:r>
        <w:rPr>
          <w:rStyle w:val="FootnoteAnchor"/>
          <w:rtl w:val="true"/>
        </w:rPr>
        <w:footnoteReference w:id="1057"/>
      </w:r>
      <w:r>
        <w:rPr>
          <w:rFonts w:ascii="Amiri" w:hAnsi="Amiri" w:eastAsia="Amiri" w:cs="Amiri"/>
          <w:color w:val="111111"/>
          <w:sz w:val="28"/>
          <w:sz w:val="28"/>
          <w:szCs w:val="28"/>
          <w:rtl w:val="true"/>
          <w:lang w:bidi="ar-SA"/>
        </w:rPr>
        <w:t xml:space="preserve">لإثبات التوقّف في طرف الترك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صريح الوجدان بذلك ، فإنّا نجد بعد المراجعة والإنصاف من أنفسنا ترتّبا بين ترك الضدّ ووجود الآخر ، كما هو قضيّة الوجدان في الحكم بالتوقّف في جميع الامور التي يتوقّف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الضدّين متمانعان عن الآخر ، وعدم المانع من الامور التي يتوقّف عليها المعلول ، فعدم الضدّ مما يتوقّف عليه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التمانع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ضروريّ بعد تصوّر معنى التضادّ ، فإنّ عدم اجتماعهما في الوجود مأخوذ في حقيقة التضادّ ، فلا يجوز اتّصاف المحلّ بأحدهما إلاّ بعد خلوّه والفراغ عن الآخر ، وإلاّ لم يكونا ضدّين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عدم إمكان اجتماعهما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الحكم بالتمانع ، وهو أن يكون عدم أحدهما شرطا لوجود الآخر ووجوده مؤثّرا في عدم الآخر ، لجواز استناد عدمه إلى عدم علّته ووجود الآخر إلى وجود علّته ، غاية الأمر أن يكون علّة عدم أحدهما مقارنة لعلّة وجود الآخر ، فيمتنع وجودهما في محلّ واحد ، لعدم وجود علّتيهما معا مع انتفاء التمانع بالمعنى المتنازع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مجرّد المقارنة مع إمكان تبدّل العلّة المعدومة بالموجودة فهو فاسد ، لاستلزامه إمكان وجود الضدّين المستلزم لارتفاع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التلازم بين وجود علّة أحدهما وانتفاء علّة الآخر فننقل الكلام إلى عدم إمكان اجتماع العلّتين ، فإن كان لتمانع بينهما ثبت المدّعى فيهما وفي معلوليهما ؛ نظرا إلى سراية التمانع من العلّتين إليهما ، وإلاّ فجاز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إمكان وجود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فظاهرة ، فإنّ عدم المانع من أجزاء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امتناع استناد الموجود إلى المعدوم ، فإنّ ذلك يراد به أن يكون العدم معطيا للوجود ، لا أن يكون العدم شرطا لإيجاد الموجود </w:t>
      </w:r>
      <w:r>
        <w:rPr>
          <w:rStyle w:val="FootnoteAnchor"/>
          <w:rtl w:val="true"/>
        </w:rPr>
        <w:footnoteReference w:id="1058"/>
      </w:r>
      <w:r>
        <w:rPr>
          <w:rFonts w:ascii="Amiri" w:hAnsi="Amiri" w:eastAsia="Amiri" w:cs="Amiri"/>
          <w:color w:val="111111"/>
          <w:sz w:val="28"/>
          <w:sz w:val="28"/>
          <w:szCs w:val="28"/>
          <w:rtl w:val="true"/>
          <w:lang w:bidi="ar-SA"/>
        </w:rPr>
        <w:t>، فإنّه لا دليل على بطلانه ، إذ لا يلزم منه سدّ باب إثبات الصانع ولا أمرا مصادما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الدليل بوجه أخصر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امتناع وجود أحد الضدّين في مورد وجود الآخر إمّا وجوده أو أمر آخر ، والأوّل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 لامتناع ذلك ولو فرض انقلاب كلّ موجود معدوما وكلّ معدوم موجودا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ولإثبات عدم التوقّف في طرف الفعل بما هو المقرّر عندهم في دفع قول الكعبي ، كما ستقف عليه إن شاء اللّه تعالى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من أنكر التوقّف من الطرفين بوجوه ، أقواها وجهان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بالوجدان أنّه إذا حصل إرادة المأمور به وانتفى الصارف عنه حصل 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 به ، وترك ضدّه ، فيكونان إذن معلولي علّة واحدة ، فلا وجه لجعل ترك الضدّ من مقدّمات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p>
    <w:p>
      <w:pPr>
        <w:pStyle w:val="BookText"/>
        <w:rPr/>
      </w:pPr>
      <w:r>
        <w:rPr>
          <w:rFonts w:ascii="Amiri" w:hAnsi="Amiri" w:eastAsia="Amiri" w:cs="Amiri"/>
          <w:color w:val="111111"/>
          <w:sz w:val="28"/>
          <w:sz w:val="28"/>
          <w:szCs w:val="28"/>
          <w:rtl w:val="true"/>
          <w:lang w:bidi="ar-SA"/>
        </w:rPr>
        <w:t>السبب الباعث على حصول أحد النقيضين ، فإنّه هو الباعث على دفع الآخر من غير ترتّب وتوقّف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استحالة اجتماع الضدّ مع الضدّ الآخر لا يقضي بكونه مانعا عنه ، إذ الامور اللازمة للموانع ممّا يستحيل اجتماعها مع الممنوع ، مع أنّ وجودها ليس من الموانع ولا عدمها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القول بتوقّف الوجود على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باستناد ذلك العدم إلى ذلك الوجود ، إذ كما أنّ عدم المانع شرط فوجوده علّة لارتفاع المعلول ، وهو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جهة التوقّف بالشرطيّة والسببيّة لا يدفع المحذور لو لا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أورده المحقّق السبزواري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جعل الأضداد مانعا من حصول الحرام نظر ، إذ لو كان كذلك كانت المانعيّة من الطرفين ، لاستواء النسبة ، فإذا كانت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عن الزنا كان الزنا مانعا أيضا ، وحينئذ كان الزنا موقوفا على عدم الصلاة ، فيكون وجود الصلاة علّة لعدم الزنا ، والحال أنّ عدم الزنا علّة لوجود الصلاة ، لأنّ رفع الموانع من علّة الوجود ، فيلزم أن يكون العلّية من الطرفين ، انتهى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يرجع ما ذكره بعضهم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بمقدميّة الترك يوجب ثبوت قول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الأوّل بالمعارضة ، كما تقدّم من قضاء الوجدان بالتوقّف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فقد أجاب المحقّق الخوانساري عمّا ذكره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وجود الصلاة علّة لعدم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أنّه يتوقّف عليه ولا يحصل بدونه </w:t>
      </w:r>
    </w:p>
    <w:p>
      <w:pPr>
        <w:pStyle w:val="BookText"/>
        <w:rPr/>
      </w:pPr>
      <w:r>
        <w:rPr>
          <w:rFonts w:ascii="Amiri" w:hAnsi="Amiri" w:eastAsia="Amiri" w:cs="Amiri"/>
          <w:color w:val="111111"/>
          <w:sz w:val="28"/>
          <w:sz w:val="28"/>
          <w:szCs w:val="28"/>
          <w:rtl w:val="true"/>
          <w:lang w:bidi="ar-SA"/>
        </w:rPr>
        <w:t xml:space="preserve">فهو باطل ، لأنّ عدم الشيء ربما </w:t>
      </w:r>
      <w:r>
        <w:rPr>
          <w:rStyle w:val="FootnoteAnchor"/>
          <w:rtl w:val="true"/>
        </w:rPr>
        <w:footnoteReference w:id="1062"/>
      </w:r>
      <w:r>
        <w:rPr>
          <w:rFonts w:ascii="Amiri" w:hAnsi="Amiri" w:eastAsia="Amiri" w:cs="Amiri"/>
          <w:color w:val="111111"/>
          <w:sz w:val="28"/>
          <w:sz w:val="28"/>
          <w:szCs w:val="28"/>
          <w:rtl w:val="true"/>
          <w:lang w:bidi="ar-SA"/>
        </w:rPr>
        <w:t xml:space="preserve">يحصل لعدم علّته التامّة ، فوجود الزنا إذا كان علّته التامّة مجموعة يكون أحد أجزائها عدم المانع الذي هو الصلاة ، فعدمه إنّما يحصل بعدم ذلك المجموع ، وعدم المركّب إنّما يحصل بعدم أحد أجزائه ، ولا يتوقّف على خصوص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أنّه إذا فرض أنّ جميع أجزاء العلّة </w:t>
      </w:r>
      <w:r>
        <w:rPr>
          <w:rStyle w:val="FootnoteAnchor"/>
          <w:rtl w:val="true"/>
        </w:rPr>
        <w:footnoteReference w:id="1063"/>
      </w:r>
      <w:r>
        <w:rPr>
          <w:rFonts w:ascii="Amiri" w:hAnsi="Amiri" w:eastAsia="Amiri" w:cs="Amiri"/>
          <w:color w:val="111111"/>
          <w:sz w:val="28"/>
          <w:sz w:val="28"/>
          <w:szCs w:val="28"/>
          <w:rtl w:val="true"/>
          <w:lang w:bidi="ar-SA"/>
        </w:rPr>
        <w:t>للزنا حاصل سوى عدم الصلاة ، فحينئذ عدم الزنا موقوف على وجود الصلاة ووجودها موقوف على عدم الزنا ،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هذا الفرض محالا وامتناع صلاحيّة علّية الشيء على تقدير محال ممنوع ، انتهى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وإن كان دفعا للدور ، إلاّ أنّه التزام بعدم التوقّف من الطرفين ؛ لأنّ توقّف فعل الضدّ على ترك الآخر إنّما جاء من جهة كون الضدّ مانعا وعلّة لعدم الآخر ، وهو فرع إمكان وجود أحدهما مع تمام مقتضى الآخر ؛ إذ لو لا ذلك لم يكن العدم مستندا إلى وجود المانع بل إلى فقد المقتضي ، وبعد أن جوّز استحالة وجود أحدهما مع مقتضي الآخر ، فمن أين يحكم بتوقّف فعل أحدهما على ترك الآخر؟ لاحتمال أن يكون ما هو منشأ لانتزاع العلّية لوجود أحدهما موردا لانتزاع العلّية لعدم الآخر بعينه من غير توقّف ، بل على تقدير الاستحالة يتعيّن ذلك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محذور الدور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دوام التوقّف في جانب الفعل على الترك مسلّمة ، لكن دوامه في جانب توقّف الترك على الفعل غير مسلّم ، بل قطعيّ العدم ، كما عرفت في كلام المحقّق المذكور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الدور توقّف الترك على الفعل ولو في مورد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الترك الموقوف عليه الفعل عين الترك الموقوف على الفعل ، وليس كذلك بل هما مختلفان بالسبق واللحوق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جماعة منهم المحقّق المجيب المتقدّم </w:t>
      </w:r>
      <w:r>
        <w:rPr>
          <w:rStyle w:val="FootnoteAnchor"/>
          <w:rtl w:val="true"/>
        </w:rPr>
        <w:footnoteReference w:id="10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نفرض أنّ في وقت وجد الشوق إلى الزنا لكن لم يصل إلى حد الاجتماع ، وحينئذ عدم الزنا حاصل لعدم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هذه الصورة أن يعلم أنّه إذا لم يشتغل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ذلك الشوق ويصل إلى حدّ الاجتماع ويحصل الزنا في الزمان اللاحق ، فيشتغل بالصلاة في الوقت السابق خوفا من الوقوع في الزنا في اللاحق ، فلا دور مع توقّف الترك على الفعل ، ويزيد ذلك وضوحا بفرض آنات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الذي يحصل فيه الصارف عن الزنا مع العلم بأنّه لو لم يشتغل بالصلاة يصل شوقه إليه إلى حدّ الاجتماع ، وهو آن فراغ المحلّ عن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آن الاشتغال بالصلاة ، فعلى المشهور يتوقّف فعل الصلاة على عدم الزنا ، ولا يتوقّف عدم الزنا في هذا الآن على فعل الصلاة ، بل هو مستند إلى الصارف</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بعد الاشتغال بالصلاة ، ففي هذا الوقت يستند الترك إلى وجود الفعل قبله ، والفعل لا يتوقّف على هذا الترك ، وإنّما هو موقوف على الترك السابق والترك المقارن له ، وقد عرفت أنّ هذين التركين مستندان إلى الصارف دون الفعل ، فما يتوقّف عليه الفعل هو سابق عليه أو مقارن له ، وما يتوقّف على الفعل هو متأخّر عنه ، فاختلف الطرفان بالسبق واللحوق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أن يكون </w:t>
      </w:r>
    </w:p>
    <w:p>
      <w:pPr>
        <w:pStyle w:val="BookText"/>
        <w:rPr/>
      </w:pPr>
      <w:r>
        <w:rPr>
          <w:rFonts w:ascii="Amiri" w:hAnsi="Amiri" w:eastAsia="Amiri" w:cs="Amiri"/>
          <w:color w:val="111111"/>
          <w:sz w:val="28"/>
          <w:sz w:val="28"/>
          <w:szCs w:val="28"/>
          <w:rtl w:val="true"/>
          <w:lang w:bidi="ar-SA"/>
        </w:rPr>
        <w:t>الاشتغال بالصلاة في الفرض رافعا لتمكّن المكلّف من فعل الزنا ولو بواسطة عدم الالتفات والشعور به ، إذ لولاه لم يعقل استناد الترك إلى الفعل في وجه ولا بدّ من وجود الزنا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الالتفات بالزنا وتمكّنه منه في الآن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مقتضي الزنا موجودا أو معدوما ، فعلى الأوّل لا بدّ من وجوده ، إذ المفروض أنّ الآن الثالث زمان خلوّ المحلّ عن فعل الضدّ ، فيتمّ العلّة فيجب وجود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وجه لاستناد الترك إلى وجود الفعل ، بل المتّجه حينئذ أن يكون عدمه مستندا إلى عدم المقتضي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الجوابين ظاهر من حيث إنّ مدار الأوّل على المنع من إمكان فرض يكون الفعل مستندا إلى الترك ، ومدار الثاني على إمكان ذلك مع الاختلاف بالسبق واللحوق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التمانع شأنيّة وجود كلّ منهما لعلّية عدم الآخر في جميع الآنات ؛ لاستحالة انفكاك اللازم عن الملزوم وإن لم يكن مقتضيا دوام العلّية فعلا ، ولا ريب أنّ المحال إنّما هذه الشأنيّة لا دوام العلّية ، لأنّه يكفي في لزوم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توقّف ترك أحدهما على فعل الآخر في زمانه أمرا جائزا ممكنا بعد فرض دوام التوقّف من الطرف الآخر ، ولا حاجة إلى فرض وقوع التوقف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المجيب استحالة هذا الفرض فهو راجع إلى الجواب الأوّل ، وإن أراد دفع الدور في المثال المفروض بواسطة عدم توقّف فيه من الطرفين فهو لا يجدي في دفع المحال على الوجه الذي قرّرناه ، من فرض إمكان التوقّف من الطرف الآخر أيضا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التعويل في الجواب على احتمال استحالة اجتماع مقتضي أحد الضدّين مع وجود الآخر ، وهو كاف في الردّ على من أراد إثبات التوقّف أو إمكانه من الطرفين ، ولا حاجة إلى إثبات الاستحالة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والمثال المفروض ليس من هذا القبيل ؛ إذ الوجه في الاستحالة أنّ وجود مقتضي أحدهما كاف في إعدام الموجود وإيجاد الضدّ المعدوم فلا يجامع مقتضي أحدهما وجود الآخر ، والمفروض في المثال هو وجود المقتضي للزنا بعد ارتفاع الصلاة ، لا حال وجود الصلاة ؛ لما تقدّم من أنّ عدم الزنا حال وجود الصلاة لا بدّ وأن يكون مستندا إلى عدم المقتضي لا إلى وجود الصلاة ، فإنّ القول بتوقّف الترك حال الصلاة عليها دور لا مدفع له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يندفع ما قد يتوهّم من التنافي بين ما أفاده المحقّق المذكور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أعاظم المحقّقين أورد في تعليقه على المعالم كلاما لا بأس بنقله بطوله ، حيث أجاب عن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الضدّ من موانع وجود الضدّ الآخر مطلقا ولا يمكن فعل الآخر إلاّ بعد تركه ، وليس في وجود الآخر إلاّ شأنيّة كونه سببا لترك ذلك الضدّ ، إذ لا ينحصر السبب في ترك الشيء في وجود المانع منه ، فإنّ انتفاء كلّ جزء من أجزاء العلّة التامّة علّة تامّة لتركه ، ومع استناده إلى أحد تلك الأسباب لا توقّف له على السبب المفروض حتّى يرد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يلزم إذا فرض انحصار سبب الترك في وجود الفعل الذي يكون مانعا ، كأن يوجد جميع الأجزاء الوجوديّة للعلّة التامّة بحيث لو لا المانع لا يبقى للوجود حالة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الضدّ لا بدّ له من إرادة وهي كافية في سببيّة الترك ، ضرورة أنّ السبب الداعي إلى أحد الضدّين صارف عن الآخر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السبب الداعي إلى الإزالة كاف في حصول ترك الصلاة ، فلا يستند الترك إلى وجود الإزالة قطّ بعد لا بدّية الداعي في الإزالة قبل حصولها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كلام المحقّق الخوانساري أنّه قد سبقه بالجواب المذكور ، إلاّ أنّه لم يصرّح بالاستحالة ، وهذا المجيب قد صرّح به واستدلّ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ولقد أجاد فيما أفاد وأتى بما هو فوق المراد في دفع المحذور ، إلاّ أنّه غير خفيّ على الناظر أنّ ذلك حسم لمادّة التوقّف من رأس ، إذ ترك الصلاة وفعل الإزالة على ما فرضه ، كلّ واحد منهما مستند إلى الداعي ، فلا يعقل توقّف أحدهما على الآخر ، إذ التوقّف يحتاج إلى تقدّم مع أنّ المفروض أنّ أحدهما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تقرير الدور بين السبب الداعي إلى الإزالة مع نفس الصلاة لمكان المضادّة بينهما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الداعي إلى الإزالة سبب في ترك الصلاة ، فلو كان ترك الصلاة أيضا مقدّمة للسبب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 فلا بدّ من القول بعدم مقدّمية ترك الصلاة للسبب الداعي إلى الإزالة ، وهو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بمنع التضادّ بين الصلاة والسبب ، واستند فيه تارة إلى النقض بلوازم المتضادّين ، واخرى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مدار التضادّ على عدم إمكان الاجتماع الذاتي ، وإنّما هو متحقّق بين الإرادتين دون إرادة الإزالة ونفس الصلاة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الكلام إلى نفس الإرادتين وقرّر الدور فيهما ،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الفعل وعدمها إنّما يتفرّع على حصول الداعي ، فقد لا يوجد الداعي إلى الضدّ أصلا فيتفرّع عليه عدم إرادته من غير أن يتسبّب ذلك عن إرادة ضدّه بوجه من الوجوه ، وقد يكون الداعي إلى الضدّ موجودا ، لكن يغلبه الداعي إلى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يكون عدم إرادة الضدّ مستندا أيضا إلى إرادة المأمور به ليكون توقّف إرادة المأمور به على عدم إرادته موجبا للدور ، بل إنّما يستند إلى ما يتقدّمها من غلبة الداعي إلى المأمور به ومغلوبيّة الجانب الآخر الباعث على إرادة المأمور به وعدم إرادة الآخر ، فيكون وجود أحد الضدّين وانتفاء الآخر مستندا في الجملة إلى علّة واحدة من غير </w:t>
      </w:r>
    </w:p>
    <w:p>
      <w:pPr>
        <w:pStyle w:val="BookText"/>
        <w:rPr/>
      </w:pPr>
      <w:r>
        <w:rPr>
          <w:rFonts w:ascii="Amiri" w:hAnsi="Amiri" w:eastAsia="Amiri" w:cs="Amiri"/>
          <w:color w:val="111111"/>
          <w:sz w:val="28"/>
          <w:sz w:val="28"/>
          <w:szCs w:val="28"/>
          <w:rtl w:val="true"/>
          <w:lang w:bidi="ar-SA"/>
        </w:rPr>
        <w:t>أن يكون وجود أحدهما علّة في رفع الآخر ليلزم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توقّف حصول الفعل على عدم إرادة ضدّه حسبما 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نجري الكلام بالنسبة إلى غلبة الداعي إلى المأمور به وغلبة الداعي إلى ضدّه ؛ لكونهما ضدّين أيضا ، وقد صار رجحان الداعي إلى الفعل سببا لانتفاء رجحان الداعي إلى ضدّه ، والمفروض توقّف حصول الضدّ على انتفاء الآخر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سببيّة بين الأمرين ، بل رجحان الداعي إلى الفعل إنّما يكون بمرجوحيّة الداعي إلى الضدّ ، فهو حاصل في مرتبة حصول الآخر من غير توقّف بينهما لنقدّم </w:t>
      </w:r>
      <w:r>
        <w:rPr>
          <w:rStyle w:val="FootnoteAnchor"/>
          <w:rtl w:val="true"/>
        </w:rPr>
        <w:footnoteReference w:id="1067"/>
      </w:r>
      <w:r>
        <w:rPr>
          <w:rFonts w:ascii="Amiri" w:hAnsi="Amiri" w:eastAsia="Amiri" w:cs="Amiri"/>
          <w:color w:val="111111"/>
          <w:sz w:val="28"/>
          <w:sz w:val="28"/>
          <w:szCs w:val="28"/>
          <w:rtl w:val="true"/>
          <w:lang w:bidi="ar-SA"/>
        </w:rPr>
        <w:t>لذلك أحدهما على الآخر في الرتبة ، فرجحان الداعي إلى المأمور به يتكافأ في الوجود بمرجوحيّة الداعي إلى ضدّه ، إذ الرجحانيّة والمرجوحيّة من الامور المتضايفة ومن المقرّر عدم تقدم أحد المتضايفين على الآخر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المقام أنّ الأمرين المتقابلين إن كان تقابلهما من قبيل الإيجاب والسلب ، فلا توقّف لحصول أحد الطرفين على ارتفاع الآخر ؛ إذ حصول كلّ من الجانبين عين ارتفاع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تقابل العدم والملكة ، وقد عرفت عدم التوقّف في تقابل التضايف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المتقابلان على سبيل التضادّ فيتوقّف وجود كلّ على عدم الآخر ، إلاّ أن يرجع الأمر فيهما إلى أحد الوجوه الأخر كما في المقام </w:t>
      </w:r>
      <w:r>
        <w:rPr>
          <w:rStyle w:val="FootnoteAnchor"/>
          <w:rtl w:val="true"/>
        </w:rPr>
        <w:footnoteReference w:id="1068"/>
      </w:r>
      <w:r>
        <w:rPr>
          <w:rFonts w:ascii="IRNazanin" w:hAnsi="IRNazanin" w:eastAsia="IRNazanin"/>
          <w:color w:val="111111"/>
          <w:sz w:val="28"/>
          <w:sz w:val="28"/>
          <w:szCs w:val="28"/>
          <w:rtl w:val="true"/>
          <w:lang w:bidi="fa-IR"/>
        </w:rPr>
        <w:t>، انتهى ما أفاد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وإن كان دفعا للدور ، إلاّ أنّه أيضا التزام بعدم التوقّف ، كما </w:t>
      </w:r>
    </w:p>
    <w:p>
      <w:pPr>
        <w:pStyle w:val="BookText"/>
        <w:rPr/>
      </w:pPr>
      <w:r>
        <w:rPr>
          <w:rFonts w:ascii="Amiri" w:hAnsi="Amiri" w:eastAsia="Amiri" w:cs="Amiri"/>
          <w:color w:val="111111"/>
          <w:sz w:val="28"/>
          <w:sz w:val="28"/>
          <w:szCs w:val="28"/>
          <w:rtl w:val="true"/>
          <w:lang w:bidi="ar-SA"/>
        </w:rPr>
        <w:t>عرفت في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التقدّم إمّا أن يعتبر في نفس الضدّين 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يعتبر في إرادتيهما ، سواء قلنا بأنّها عين الداعي كما هو المتحقّق عندنا على ما تقدّم ، أو غيره كما يظهر ممّا أفاده في جواب الدور الوارد في الإرادتين وإن كان واردا على خلاف التحقيق ، إذ على تقدير الاختلاف وكونها ناشئة منه ينقل الكلام إليه ، ولا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تقدّم شيء على آخر إنّما يلازم تقدّم علّته على علّته ، إذ على تقدير التساوي بين العلّتين لا وجه للتقدّم ، وإلاّ لزم تساوي المعلول والعلّة في الرتبة والتقدّم ، واستحالته ضروريّة ، والمفروض في كلامه أنّ علّة وجود أحد الضدّين غلبة الداعي إليه ورجحانه المكافئ وجودا لمرجوحيّة الداعي الآخر ، وهو بعينه علّة عدم الآخر ، فالعلّتان لا تقدّم فيهما ، ولازمه عدم التقدّم في المعلولين ، وهو بعينه ما قصده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فلاعترافه بأنّ العلّتين في مرتبة واحدة ؛ مضافا إلى أنّ من المقرّر في مقامه أنّ الأصل في التقابل والتنافي هو التناقض وتقابل السلب والإيجاب ، والأقسام الباقية إنّما هي راجعة إليه بنحو من الاعتبار والعناية ، وهو أيضا ممّا لا ينبغي خفاؤه على الأذهان المستقيمة ، لأنّ الوجودين من دون اعتبار أمر عدميّ بينهما لا يعقل التنافي بينهما ، ومن الامور الظاهرة عدم توقّف أحد النقيضين على عدم الآخر كما أفاده المحقّق المجيب </w:t>
      </w:r>
      <w:r>
        <w:rPr>
          <w:rStyle w:val="FootnoteAnchor"/>
          <w:rtl w:val="true"/>
        </w:rPr>
        <w:footnoteReference w:id="1069"/>
      </w:r>
      <w:r>
        <w:rPr>
          <w:rFonts w:ascii="Amiri" w:hAnsi="Amiri" w:eastAsia="Amiri" w:cs="Amiri"/>
          <w:color w:val="111111"/>
          <w:sz w:val="28"/>
          <w:sz w:val="28"/>
          <w:szCs w:val="28"/>
          <w:rtl w:val="true"/>
          <w:lang w:bidi="ar-SA"/>
        </w:rPr>
        <w:t xml:space="preserve">وأشار إليه المحقّق المستدلّ </w:t>
      </w:r>
      <w:r>
        <w:rPr>
          <w:rStyle w:val="FootnoteAnchor"/>
          <w:rtl w:val="true"/>
        </w:rPr>
        <w:footnoteReference w:id="107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مثل السبب الباعث على حصول أحد النقيضين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للتوقّف</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الجواب عن أدلّة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عن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المنصف إذا راجع وجدانه في صدور الأفعال الاختياريّة يجد من نفسه عدم التوقّف ؛ فإنّ بعد تصوّر الفعل والقطع بأنّ فيه منفعة غير معارضة لا يتوقّف صدور الفعل على حالة منتظرة ، إذ النفس إمّا أن تكون فارغة عن فعل من الأفعال المضادّة لذلك الفعل المتصوّر أو لا يكون ، وعلى الوجهين لا بدّ من حصول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فلأنّ المفروض عدم مقاومة النفع المحرّك لصدوره للنفع الموجود في ذلك الفعل ، فلا بدّ من انقطاعه والاشتغال بما هو أتمّ نفعا في الأفعال المنوطة بالإرادة والدواعي ، وما يتخيّل من التوقّف فهو إنّما هو بواسطة عدم التعمّق في كيفيّة صدور الأفعال الإراديّة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لم يكن وجود علّة صدور أحدهما كافيا في عدم الآخر كان الحكم بالتوقّف بحسب الوجدان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التمانع وامتناع الاجتماع في محلّ واحد إنّما يقضي بالتوقّف فيما إذا لم يكن ذلك العدم مساويا في الرتبة لوجود الضدّ الآخر ، وبعد ما عرفت من التساوي فلا وجه للحكم بالتوقّف ، بل يكفي في ردّ الدليل احتمال التساوي كما لا يخفى على الناظر ، فنختار الشقّ الأوّل من الترديد الواقع في دفع السؤال هناك مرّة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التمانع بمعنى عدم إمكان اجتماعهما في الوجود لا يقضي بالتوقّف كما في سائر أقسام التقابل ، والشق الثاني مرّة اخرى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التمانع بمعنى عدم توقّف وجود أحدهما على عدم الآخر لا يقضي بالاجتماع في الوجود كما في سائر أقسام التقابل أيضا ؛ مضافا إلى أنّ الكبرى في ذلك الدليل لا يخلو عن منع ، فإنّ الموارد التي حكموا فيها بأنّ عدم الشيء شرط ووجوده مانع يحتمل أن يراد به التعبير والعنوان ، كأن يكون الشرط واقعا أمرا وجوديّا وإنّما جعل ذلك العدم عنوانا عنه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انقلاب كلّ موجود معدوما </w:t>
      </w:r>
    </w:p>
    <w:p>
      <w:pPr>
        <w:pStyle w:val="BookText"/>
        <w:rPr/>
      </w:pPr>
      <w:r>
        <w:rPr>
          <w:rFonts w:ascii="Amiri" w:hAnsi="Amiri" w:eastAsia="Amiri" w:cs="Amiri"/>
          <w:color w:val="111111"/>
          <w:sz w:val="28"/>
          <w:sz w:val="28"/>
          <w:szCs w:val="28"/>
          <w:rtl w:val="true"/>
          <w:lang w:bidi="ar-SA"/>
        </w:rPr>
        <w:t xml:space="preserve">يوجب انقلاب وجود علّة </w:t>
      </w:r>
      <w:r>
        <w:rPr>
          <w:rStyle w:val="FootnoteAnchor"/>
          <w:rtl w:val="true"/>
        </w:rPr>
        <w:footnoteReference w:id="1071"/>
      </w:r>
      <w:r>
        <w:rPr>
          <w:rFonts w:ascii="Amiri" w:hAnsi="Amiri" w:eastAsia="Amiri" w:cs="Amiri"/>
          <w:color w:val="111111"/>
          <w:sz w:val="28"/>
          <w:sz w:val="28"/>
          <w:szCs w:val="28"/>
          <w:rtl w:val="true"/>
          <w:lang w:bidi="ar-SA"/>
        </w:rPr>
        <w:t>الموجود بالعدم ، كما أنّ فرض انقلاب كلّ معدوم موجودا يوجب انقلاب عدم علّة الآخر بالوجود ، ومع ذلك يجب وجود المعدوم وعدم الموجود من دون توقّف ، فذلك الفرض مع فرض وجود الضدّ محال موجب للتناقض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عدم كلّ موجود ما عدا علّة وجود الموجود ووجود كلّ معدوم ما عدا علّة عدم المعدوم ، فهو ممّا لا ينبغي الإصغاء إليه ، لكونه خارجا عن المباحث العلميّة ، كما لا يخفى على من له دربة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وجود كلّ معدوم من أجزاء علّة المعدوم مع فرض وجود علّة الموجود فهذا مع أنّه تفكيك لعدم صحّة الفقرة الاخرى محال أيضا ، إذ فرض وجود مقتضى المعدوم لا يجامع وجود علّة الموجود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في المقام ، فإنّه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أفاده المحقّق الخوانساري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الرفع والدفع ، فأحد الضدّين إذا فرض وجوده في محلّ لا يمكن وجود الضدّ الآخر إلاّ بعد رفعه فالرفع ممّا يتوقف عليه وجود الضدّ ، وأمّا لو فرض المحلّ خاليا من الأضداد وفارغا عنها ، فاتّصاف المحلّ بأحدها لا يتوقّف على عدم الآخر ، لاستواء نسبة المحلّ إليها ، والأضداد متساوية الأقدام بالنسبة إليه ، فالتمانع إنّما يسلّم فيما إذ كان الضدّان موجودين ولا يتوقّف وجود أحدهما على عدم الآخر عند عدمها ، لعدم التمانع حينئذ</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الإيراد بما نقلنا عن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كلام آخر وهو أنّه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إذا كان موجودا فعدمه ممّا يتوقّف عليه وجود الشيء ، وأمّا إذا كان معدوما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قال المحقّق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إمكان اتّصاف شيء بالمانعيّة يكون عدم المانع موقوفا عليه ، وأما إذا لم يمكن اتّصاف الشيء بالمانعيّة فلا يكون حينئذ عدمه موقوفا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يلزم على المجيب دور إن حمل كلامه على ظاهره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الحكم بمانعيّة </w:t>
      </w:r>
      <w:r>
        <w:rPr>
          <w:rStyle w:val="FootnoteAnchor"/>
          <w:rtl w:val="true"/>
        </w:rPr>
        <w:footnoteReference w:id="1072"/>
      </w:r>
      <w:r>
        <w:rPr>
          <w:rFonts w:ascii="Amiri" w:hAnsi="Amiri" w:eastAsia="Amiri" w:cs="Amiri"/>
          <w:color w:val="111111"/>
          <w:sz w:val="28"/>
          <w:sz w:val="28"/>
          <w:szCs w:val="28"/>
          <w:rtl w:val="true"/>
          <w:lang w:bidi="ar-SA"/>
        </w:rPr>
        <w:t xml:space="preserve">الأضداد ممّا لا مجال لإنكاره وفي كلام الشيخ الرئيس أيضا التصريح بمانعيّتها </w:t>
      </w:r>
      <w:r>
        <w:rPr>
          <w:rStyle w:val="FootnoteAnchor"/>
          <w:rtl w:val="true"/>
        </w:rPr>
        <w:footnoteReference w:id="1073"/>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أولى بالمانعيّة من الضدّ؟ فلا وجه للإيراد على المجيب بأنّه جعل الضدّ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المانع مطلقا ليس موقوفا عليه ، بل هو من المقارنات للعلّة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 لكن هذا بحث لا اختصاص له بالمجيب وبمقامنا هذا </w:t>
      </w:r>
      <w:r>
        <w:rPr>
          <w:rStyle w:val="FootnoteAnchor"/>
          <w:rtl w:val="true"/>
        </w:rPr>
        <w:footnoteReference w:id="1074"/>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ارتفاع الدور بما ذكره من التفصيل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فرضنا اشتغال المحلّ بوجود أحد الأضداد كالسواد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 الآخر كالبياض موقوفا على ارتفاع الموجود ، لمكان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السواد في ذلك المحلّ لم يكن موقوفا على عدم البياض ، لأنّ هذا العدم سابق على علّة السواد ومقارن معها ، فلا توقّف من الطرف الآخر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الجواب الأوّل ظاهر ؛ حيث إنّ مدار الأوّل على تسليم توقّف وجود السواد على عدم البياض ، إلاّ أنّ عدم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إلى وجود المانع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الجواب الثاني على عدم تسليم التوقّف في صورة عدم اشتغال المحلّ به ، لما عرفت من استواء نسبة الأضداد إليه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خير </w:t>
      </w:r>
      <w:r>
        <w:rPr>
          <w:rStyle w:val="FootnoteAnchor"/>
          <w:rtl w:val="true"/>
        </w:rPr>
        <w:footnoteReference w:id="1075"/>
      </w:r>
      <w:r>
        <w:rPr>
          <w:rFonts w:ascii="Amiri" w:hAnsi="Amiri" w:eastAsia="Amiri" w:cs="Amiri"/>
          <w:color w:val="111111"/>
          <w:sz w:val="28"/>
          <w:sz w:val="28"/>
          <w:szCs w:val="28"/>
          <w:rtl w:val="true"/>
          <w:lang w:bidi="ar-SA"/>
        </w:rPr>
        <w:t>ما قيل ويقال في هذا المجال ، ومع ذلك فلا يخلو عن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بين حالة وجود الضدّ وحالة عدمه والتزام التوقّف في الأوّل دون الثاني ممّا لا سبيل إليه ، إذ غاية ما هناك أن يكون الموقوف عليه حاصلا في الثاني ، ولا معنى لمنع التوقّف في المقدّمات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الالتزام بالتوقّف فيما إذا كان الضدّ موجودا خلاف التحقيق ، كما عرفت في تقريب ما أفاده أوّلا من إمكان استحالة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الضدّ الموجود إنّما يجوز أن يكون مقدّمة لمجيء الضدّ المعدوم إذا كان وجود الضدّ مانعا عنه ليكون العدم مستندا إلى وجود المانع ، وهو فرع وجود تمام أجزاء علّة وجود المعدوم ، وإلاّ كان استناد العدم إلى عدم المقتضي ، فإنّه أسبق في المعدوميّة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لو تمّ فهو إنّما يتمّ في الأضداد التي هي من قبيل الأحوال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الأفعال الاختياريّة التي هي من </w:t>
      </w:r>
      <w:r>
        <w:rPr>
          <w:rStyle w:val="FootnoteAnchor"/>
          <w:rtl w:val="true"/>
        </w:rPr>
        <w:footnoteReference w:id="1076"/>
      </w:r>
      <w:r>
        <w:rPr>
          <w:rFonts w:ascii="Amiri" w:hAnsi="Amiri" w:eastAsia="Amiri" w:cs="Amiri"/>
          <w:color w:val="111111"/>
          <w:sz w:val="28"/>
          <w:sz w:val="28"/>
          <w:szCs w:val="28"/>
          <w:rtl w:val="true"/>
          <w:lang w:bidi="ar-SA"/>
        </w:rPr>
        <w:t>مقولة الحركة التي يتدرّج وجودها وينقضي شيئا فشيئا فلا يعقل ذلك ، فإنّ الحركة في كل آن غير الحركة في الآن الأوّل ، فإذا حصل مقتضى السكون يرتفع الحركة ويكونان من باب معلولي علّة واحدة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في المقام من عدم التوقّف والاستناد وإن كان بعد حكومة الإنصاف والاجتناب عن الاعتساف أمرا معلوما ، إلاّ أنّه ربما يمنع منه مانع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ثبوت التوقّف يكفي في المقام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إثبات التوقّف ونفيه هو إثبات تحريم الضدّ وبطلانه وعدمهما ، فعلى القول بالتوقّف والمقدّمية يكون ترك الضدّ واجبا فيكون فعله حراما فيكون فاسدا ، وعلى القول بعدم التوقّف لا يتوجّه إليه النهي الحاصل </w:t>
      </w:r>
    </w:p>
    <w:p>
      <w:pPr>
        <w:pStyle w:val="BookText"/>
        <w:rPr/>
      </w:pPr>
      <w:r>
        <w:rPr>
          <w:rFonts w:ascii="Amiri" w:hAnsi="Amiri" w:eastAsia="Amiri" w:cs="Amiri"/>
          <w:color w:val="111111"/>
          <w:sz w:val="28"/>
          <w:sz w:val="28"/>
          <w:szCs w:val="28"/>
          <w:rtl w:val="true"/>
          <w:lang w:bidi="ar-SA"/>
        </w:rPr>
        <w:t>من الأمر بتركه الناشئ من كونه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التوقّف لا مانع من التزام الصحّة بعد وجود الأمر بحكم الإطلاق وعدم العلم بالمانع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التزام الصحّة بين احتمال عدم التوقّف رأسا وبين احتماله على وجه يراه المحقّق الخوانساري عند خلوّ المحلّ عن الضدّين ، فإنّ من حاول إيجاد أحد الضدّين عند فراغ المحلّ عنهما لا يتوقّف إيجاده على عدم الآخر حتّى يصير واجبا من باب المقدّمة ، فيصير فعله حراما وفاسدا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329" w:name="pg16254_218773"/>
    </w:p>
    <w:p>
      <w:pPr>
        <w:pStyle w:val="BookText"/>
        <w:rPr/>
      </w:pPr>
      <w:bookmarkEnd w:id="32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 وصلّى اللّه على خير خلقه محمّد وآله الطيّبين الطاهرين ،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فهذه مسألة معروفة معركة للآراء ، يبحث فيها عن اقتضاء الأمر بالشيء النهي عن ضدّه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418332_1280447820"/>
      <w:bookmarkStart w:id="331" w:name="_Toc103"/>
      <w:bookmarkEnd w:id="330"/>
      <w:r>
        <w:rPr>
          <w:rtl w:val="true"/>
        </w:rPr>
        <w:t xml:space="preserve">وتنقيح الكلام فيه يستدعي رسم مقدّمات </w:t>
      </w:r>
      <w:r>
        <w:rPr>
          <w:rtl w:val="true"/>
        </w:rPr>
        <w:t>:</w:t>
      </w:r>
      <w:bookmarkEnd w:id="331"/>
    </w:p>
    <w:p>
      <w:pPr>
        <w:pStyle w:val="Heading4"/>
        <w:numPr>
          <w:ilvl w:val="3"/>
          <w:numId w:val="1"/>
        </w:numPr>
        <w:rPr/>
      </w:pPr>
      <w:bookmarkStart w:id="332" w:name="__RefHeading___Toc4418334_1280447820"/>
      <w:bookmarkStart w:id="333" w:name="_Toc104"/>
      <w:bookmarkEnd w:id="332"/>
      <w:r>
        <w:rPr>
          <w:rtl w:val="true"/>
        </w:rPr>
        <w:t>الاولى</w:t>
      </w:r>
      <w:bookmarkEnd w:id="33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النسبة بين هذه المسألة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مسألة مقدّمة الواجب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 يعني أنّ المثبت في كلّ من المسألتين يمكن أن يكون مثبتا في الاخرى ونافيا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المثبت في المسألة السابقة فان اعترف بكون ترك الضدّ مقدّمة لفعل ضدّه ثمّ اعترف بوجوب المقدّمات العدميّة نحو المقدّمات الوجوديّة ، فهو مثبت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يعترف بشيء من الأمرين أو بأحدهما كان مثبتا هناك ونافيا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المثبت في هذه المسألة فإن كان وجه الإثبات عنده كون ترك أحد الضدّين مقدّمة لفعل الآخر كان مثبتا في المقامين ، وإن كان وجهه دعوى عينيّة ترك أحدهما لفعل الآخر وبالعكس أمكن أن يكون نافيا في تلك المسألة ومثبتا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الثاني ، فإنّ نفي الوجوب أو الاقتضاء يمكن أن يجتمع مع النفي في الآخر ومع الإثبات بعين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فعلى تقدير كون ترك الضدّ مقدّمة لفعل الآخر يكون هذه المسألة فردا من أفراد المسألة السابقة وشعبة من 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ظاهر عناوينهم في المسألة السابقة اختصاص البحث بالمقدّمات الوجوديّة انفردت هذه المسألة منها في الذكر والعنوان ؛ مضافا إلى ما في مقدّميّة ترك الضدّ في البحث والنظر المقتضي لعقد باب مستقلّ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لا بأس في تحقيق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ترك الضدّ مقدّمة لفعل الآخر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الخوض في أصل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الاستعانة وعليه الاعتماد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العلماء في توقّف فعل الضدّ على ترك الآخر وبالعكس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البهائي والكاظمي وسلطان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التوقّف مطلقا </w:t>
      </w:r>
      <w:r>
        <w:rPr>
          <w:rStyle w:val="FootnoteAnchor"/>
          <w:rtl w:val="true"/>
        </w:rPr>
        <w:footnoteReference w:id="1079"/>
      </w:r>
      <w:r>
        <w:rPr>
          <w:rFonts w:ascii="Amiri" w:hAnsi="Amiri" w:eastAsia="Amiri" w:cs="Amiri"/>
          <w:color w:val="111111"/>
          <w:sz w:val="28"/>
          <w:sz w:val="28"/>
          <w:szCs w:val="28"/>
          <w:rtl w:val="true"/>
          <w:lang w:bidi="ar-SA"/>
        </w:rPr>
        <w:t xml:space="preserve">، وبه قال السبزواري فيما حكي عنه في الرسالة المعمولة ، وسنذكر عبارتها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الحاجبي والعضدي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من الطرفين ، حيث إنّهما ذكرا شبهة الكعبي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وأجابا عنها بمنع وجوب المقدّمة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اعتراف صريح بكون فعل أحد الأضداد مقدّمة لترك الضدّ الآخر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جاءا في بحث اقتضاء الأمر بالشيء النهي عن ضدّه أجابا عن الدليل المعروف الذي 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اعتراف بأنّ ترك أحد الضدّين مقدّمة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بين المتأخّرين </w:t>
      </w:r>
      <w:r>
        <w:rPr>
          <w:rStyle w:val="FootnoteAnchor"/>
          <w:rtl w:val="true"/>
        </w:rPr>
        <w:footnoteReference w:id="1082"/>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القوانين </w:t>
      </w:r>
      <w:r>
        <w:rPr>
          <w:rStyle w:val="FootnoteAnchor"/>
          <w:rtl w:val="true"/>
        </w:rPr>
        <w:footnoteReference w:id="1084"/>
      </w:r>
      <w:r>
        <w:rPr>
          <w:rFonts w:ascii="IRNazanin" w:hAnsi="IRNazanin" w:eastAsia="IRNazanin"/>
          <w:color w:val="111111"/>
          <w:sz w:val="28"/>
          <w:sz w:val="28"/>
          <w:szCs w:val="28"/>
          <w:rtl w:val="true"/>
          <w:lang w:bidi="fa-IR"/>
        </w:rPr>
        <w:t xml:space="preserve">والفصول </w:t>
      </w:r>
      <w:r>
        <w:rPr>
          <w:rStyle w:val="FootnoteAnchor"/>
          <w:rtl w:val="true"/>
        </w:rPr>
        <w:footnoteReference w:id="1085"/>
      </w:r>
      <w:r>
        <w:rPr>
          <w:rFonts w:ascii="Amiri" w:hAnsi="Amiri" w:eastAsia="Amiri" w:cs="Amiri"/>
          <w:color w:val="111111"/>
          <w:sz w:val="28"/>
          <w:sz w:val="28"/>
          <w:szCs w:val="28"/>
          <w:rtl w:val="true"/>
          <w:lang w:bidi="ar-SA"/>
        </w:rPr>
        <w:t xml:space="preserve">وأخيه في حاشيته على المعالم </w:t>
      </w:r>
      <w:r>
        <w:rPr>
          <w:rStyle w:val="FootnoteAnchor"/>
          <w:rtl w:val="true"/>
        </w:rPr>
        <w:footnoteReference w:id="10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التوقّف من طرف الوجود دون العدم ، فقالوا بكون الترك مقدّمة للفعل دون العكس ؛ حذرا من شبهة الكعبي المبنيّة على توقّف الترك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فالمذاهب مع مذهب الكعبي القائل بكون الفعل مقدّمة للترك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ويلوح من استاذ الكلّ المحقّق الخوانساري تفصيل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وجود الضدّ المعدوم على رفع الضدّ الموجود ، وعدم توقّف رفعه على وجود الآخر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الأوّلين يظهر من جواب حجّة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وحجّتهم على كون ترك الضدّ مقدّمة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كلّ منهما مع الآخر محال للمضادّة ، فيكون وجود كلّ منهما مانعا من حصول الآخر ، وعدم المانع من جملة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بوجوه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المقارنة الاتّفاقية بين وجود أحد الضدّين وعدم الآخر من دون توقّف الوجود على العدم ، بمنع كون وجود كلّ منهما مانعا من وجود الآخر ؛ لأنّ مجرّد استحالة اجتماع الضدّ مع الضدّ الآخر لا يقتضي كونه مانعا منه ليكون عدمه مقدّمة لفعله ، إذ الامور اللازمة للموانع ممّا يستحيل اجتماعها مع الممنوع ، مع أنّ وجودها ليس من الموانع ولا عدمها من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بالوجدان أنّه إذا حصل إرادة المأمور به وانتفى الصارف عنه حصل 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المأمور به وترك ضدّه ، فيكونان إذا معلولي علّة واحدة ، فلا وجه لجعل ترك الضدّ من مقدّمات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السبب الباعث على حصول أحد النقيضين ، فإنّه هو الباعث على رفع الآخر من غير ترتيب وتوقّف بينهما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ترك الضدّ مقدّمة لفعل ضدّه لزم الدور ؛ فإنّ مقدّميّة الترك للفعل مبنيّة على كون وجود أحدهما مانعا عن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تقرير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المانعيّة من طرف يقتضي المانعيّة من الطرفين ، لاستواء النسبة في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ترك المانع من مقدّمات حصول الفعل ، فكذا وجود المانع سبب لارتفاع الفعل ، فيكون فعل الضدّ مثلا موقوفا على ترك الضدّ توقّف الشيء على عدم مانعة ، وترك الضدّ موقوفا على فعل ضدّه لكونه سببا لذلك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المسبّب على سببه أولى من توقّف الشيء على عدم المانع الذي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كذلك لزم صحّة قول الكعبي بانتفاء المباح على القول بوجوب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قد اتّضحت من بيان الملازمة المتقدّمة ، إذ على تقدير كون فعل الضدّ من مقدّمات ترك الآخر يكون فعل المباحات لترك الأضداد المحرّمة واجبا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الإيرادات الأربعة قد ذكرها الشيخ في حاشيته على المعالم </w:t>
      </w:r>
      <w:r>
        <w:rPr>
          <w:rStyle w:val="FootnoteAnchor"/>
          <w:rtl w:val="true"/>
        </w:rPr>
        <w:footnoteReference w:id="1088"/>
      </w:r>
      <w:r>
        <w:rPr>
          <w:rFonts w:ascii="Amiri" w:hAnsi="Amiri" w:eastAsia="Amiri" w:cs="Amiri"/>
          <w:color w:val="111111"/>
          <w:sz w:val="28"/>
          <w:sz w:val="28"/>
          <w:szCs w:val="28"/>
          <w:rtl w:val="true"/>
          <w:lang w:bidi="ar-SA"/>
        </w:rPr>
        <w:t>، وتصدّى لجواب بعضها بما يرجع إلى كلام المحقّق الخوانساري في جواب كلام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الأخيران جوابان عن الدليل المزبور على سبيل النقض الإجمالي ، </w:t>
      </w:r>
    </w:p>
    <w:p>
      <w:pPr>
        <w:pStyle w:val="BookText"/>
        <w:rPr/>
      </w:pPr>
      <w:r>
        <w:rPr>
          <w:rFonts w:ascii="Amiri" w:hAnsi="Amiri" w:eastAsia="Amiri" w:cs="Amiri"/>
          <w:color w:val="111111"/>
          <w:sz w:val="28"/>
          <w:sz w:val="28"/>
          <w:szCs w:val="28"/>
          <w:rtl w:val="true"/>
          <w:lang w:bidi="ar-SA"/>
        </w:rPr>
        <w:t>وهما دليلان على القول بعدم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الوجهين الأوّلين أوّلهما منع لدعوى التمانع ، وثانيهما ادّعاء قضاء الوجدان بعدم التوقّف ، فهو حينئذ دليل أيضا على عدم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السبزواري في الرسالة المعمولة في البحث عن وجوب المقدّمة ، حيث استدلّ النافي على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وجبت لزم صحّة قول الكعبي لعين ما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بما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جملة كلامه ما 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جعل الأضداد مانعا من حصول الحرام </w:t>
      </w:r>
      <w:r>
        <w:rPr>
          <w:rStyle w:val="FootnoteAnchor"/>
          <w:rtl w:val="true"/>
        </w:rPr>
        <w:footnoteReference w:id="1089"/>
      </w:r>
      <w:r>
        <w:rPr>
          <w:rFonts w:ascii="Amiri" w:hAnsi="Amiri" w:eastAsia="Amiri" w:cs="Amiri"/>
          <w:color w:val="111111"/>
          <w:sz w:val="28"/>
          <w:sz w:val="28"/>
          <w:szCs w:val="28"/>
          <w:rtl w:val="true"/>
          <w:lang w:bidi="ar-SA"/>
        </w:rPr>
        <w:t xml:space="preserve">نظر ، إذا لو كان كذلك كانت المانعيّة من الطرفين لاستواء النسبة ، فإذا كانت الصلاة مثلا مانعة من الزنا كان الزنا أيضا مانعا منها ، وحينئذ كان الزنا موقوفا على عدم الصلاة فيكون وجود الصلاة علّة لعدم الزنا ، والحال أنّ عدم الزنا علّة لوجود الصلاة ؛ لأنّ رفع الموانع علّة لوجوده ، فيلزم أن يكون العلّية من الطرفين ، وهذا خلف </w:t>
      </w:r>
      <w:r>
        <w:rPr>
          <w:rStyle w:val="FootnoteAnchor"/>
          <w:rtl w:val="true"/>
        </w:rPr>
        <w:footnoteReference w:id="10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الإيراد على مانعيّة الضدّ قريب من الدور المزبور ، إلاّ أنّ المأخوذ في هذا الإيراد كون عدم المانع أيضا علّة وأنّ جهة التوقّف في الطرفين هو العلّية ، والمأخوذ في تقرير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شرط وأنّ جهة التوقّف في أحد الطرفين على نحو الاشتراط كما في توقّف فعل الضدّ على ترك الآخر ، وفي الطرف الآخر على جهة العلّية كما في توقّف تركه على فعل الآخر توقّف الشيء على علّته وسببه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الخوانساري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 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وجود الصلاة علّة لعدم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أنّه يتوقّف عليه ولا يحصل بدونه فهو باطل ، لأنّ عدم الشيء إنّما يحصل بعدم علّته التامّة ، فوجود الزنا إذا كان علّته التامّة </w:t>
      </w:r>
    </w:p>
    <w:p>
      <w:pPr>
        <w:pStyle w:val="BookText"/>
        <w:rPr/>
      </w:pPr>
      <w:r>
        <w:rPr>
          <w:rFonts w:ascii="Amiri" w:hAnsi="Amiri" w:eastAsia="Amiri" w:cs="Amiri"/>
          <w:color w:val="111111"/>
          <w:sz w:val="28"/>
          <w:sz w:val="28"/>
          <w:szCs w:val="28"/>
          <w:rtl w:val="true"/>
          <w:lang w:bidi="ar-SA"/>
        </w:rPr>
        <w:t>مجموعة يكون أحد أجزائها عدم المانع الذي هو الصلاة ، فعدمه إنّما يحصل بعدم ذلك المجموع ، وعدم المركّب إنّما يحصل بعدم أحد أجزائه ولا يتوقّف على خصوص عدم المانع ، أي وجود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أنّه إذا فرض أنّ جميع أجزاء العلّة للزنا حاصل سوى عدم الصلاة ، فحينئذ عدم الزنا موقوف على وجود الصلاة ، ووجود الصلاة موقوف على عدم الزنا ،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هذا الفرض محالا وامتناع صلاحيّة علّية الشيء على تقدير محال ممنوع </w:t>
      </w:r>
      <w:r>
        <w:rPr>
          <w:rStyle w:val="FootnoteAnchor"/>
          <w:rtl w:val="true"/>
        </w:rPr>
        <w:footnoteReference w:id="109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المحال إنّما يلزم على تقدير علّية وجود أحد الضدّين لعدم الآخر ، وهذا إمّا </w:t>
      </w:r>
      <w:r>
        <w:rPr>
          <w:rStyle w:val="FootnoteAnchor"/>
          <w:rtl w:val="true"/>
        </w:rPr>
        <w:footnoteReference w:id="1092"/>
      </w:r>
      <w:r>
        <w:rPr>
          <w:rFonts w:ascii="Amiri" w:hAnsi="Amiri" w:eastAsia="Amiri" w:cs="Amiri"/>
          <w:color w:val="111111"/>
          <w:sz w:val="28"/>
          <w:sz w:val="28"/>
          <w:szCs w:val="28"/>
          <w:rtl w:val="true"/>
          <w:lang w:bidi="ar-SA"/>
        </w:rPr>
        <w:t>غير لازم أو غير جائز</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أحد الضدّين قد يكون باعتبار انتفاء شيء من </w:t>
      </w:r>
      <w:r>
        <w:rPr>
          <w:rStyle w:val="FootnoteAnchor"/>
          <w:rtl w:val="true"/>
        </w:rPr>
        <w:footnoteReference w:id="1093"/>
      </w:r>
      <w:r>
        <w:rPr>
          <w:rFonts w:ascii="Amiri" w:hAnsi="Amiri" w:eastAsia="Amiri" w:cs="Amiri"/>
          <w:color w:val="111111"/>
          <w:sz w:val="28"/>
          <w:sz w:val="28"/>
          <w:szCs w:val="28"/>
          <w:rtl w:val="true"/>
          <w:lang w:bidi="ar-SA"/>
        </w:rPr>
        <w:t>أجزاء علّة الوجود أو شروطه ، وحينئذ لا يكون العدم معلولا لوجود الضدّ الآخر المفروض كونه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باعتبار وجود الضدّ ومن جهته ، وذلك إنّما يكون إذا كان أجزاء علّة الوجود وشرائطه مجتمعة إلاّ عدم المانع الذي هو وجود الضدّ الآخر ، فحينئذ يستند عدم الضدّ إلى وجود ضدّه ويكون معلولا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الفرض ممّا أمكن دعوى استحالته ، فالدور المحال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وامتناع صلاحيّة عليّة الشيء على تقدير محال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دفع لإيراد متوهّم ، وهو أنّ جعل الأضداد مانعا حينئذ يكون محالا ؛ لأنّه موقوف على فرض محال ، وهو اجتماع وجود أحد الضدّين مع أجزاء علّة وجود الآخر وشرائطه عدا عدم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إبطالا لمانعيّة الضدّ وكونه علّة عدم الآخر ، وإنّما هو تعليق للمانعيّة على فرض ، وهذا لا يمنع أصل التمانع بعد ذلك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ليس نفيا للفساد على تقدير وجود الآلهة ، بل إنّما هو بيان للملازمة بين أمرين وإن كان الملزوم محالا ، فإنّ استحالة المقدّم لا يوجب كذب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فللقائل بالتمانع بين الأضداد إثبات المانعيّة على فرض وإن كان هذا الفرض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الكلام وإن كان يندفع به الدور ، إلاّ أنّه ينفي التوقّف رأسا ، فلا يكون ترك أحدهما مقدّمة لفعل الآخر أيضا فضلا عن كون الفعل مقدّمة للترك ؛ لأنّ توقّف فعل الضدّ على ترك الآخر إنّما جاء من جهة كون الضدّ مانعا وعلّة لعدم الآخر وكون عدم المانع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قلنا باستحالة كونه مانعا نظرا إلى استحالة اجتماع وجود أحدهما مع مقتضي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يجيء توقّف فعل أحدهما على ترك الآخر؟ ومن أين يثبت المقدّميّة؟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هذا الفرض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الدليل ، لأنّ غاية توجيهه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الضدّين ضدّان أيضا نحوهما ، وبعد فرض وجود أحد الضدّين ومقتضيه يمتنع وجود مقتضي الضدّ الآخر نحو امتناع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Style w:val="FootnoteAnchor"/>
          <w:rtl w:val="true"/>
        </w:rPr>
        <w:footnoteReference w:id="1094"/>
      </w:r>
      <w:r>
        <w:rPr>
          <w:rFonts w:ascii="Amiri" w:hAnsi="Amiri" w:eastAsia="Amiri" w:cs="Amiri"/>
          <w:color w:val="111111"/>
          <w:sz w:val="28"/>
          <w:sz w:val="28"/>
          <w:szCs w:val="28"/>
          <w:rtl w:val="true"/>
          <w:lang w:bidi="ar-SA"/>
        </w:rPr>
        <w:t>التضادّ بين مقتضي الضدّين في جميع الموارد وإن سلّم بالنسبة إلى بعضها ؛ مع أنّ مقتضيهما قد يكونان قائمين بموضوعين ، فلا يكونان من الأضداد المتواردة على محل واحد حتّى يمتنع اجتماعهما في الوجود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في وسع المحقّق المزبور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إرادة الصلاة وإرادة الزنا اللتين هما مقتضيان لهما تضادّ نحو تضادّ الصلاة والزنا ، فلا يمكن </w:t>
      </w:r>
    </w:p>
    <w:p>
      <w:pPr>
        <w:pStyle w:val="BookText"/>
        <w:rPr/>
      </w:pPr>
      <w:r>
        <w:rPr>
          <w:rFonts w:ascii="Amiri" w:hAnsi="Amiri" w:eastAsia="Amiri" w:cs="Amiri"/>
          <w:color w:val="111111"/>
          <w:sz w:val="28"/>
          <w:sz w:val="28"/>
          <w:szCs w:val="28"/>
          <w:rtl w:val="true"/>
          <w:lang w:bidi="ar-SA"/>
        </w:rPr>
        <w:t xml:space="preserve">أن يجتمع نفس الصلاة مع مقتضي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وجود الصلاة علّة لعدم الزنا ؛ لأنّ اجتماعهما يستلزم اجتماع إرادة الصلاة وإرادة الزنا ، وهما متضادّان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ننقل الكلام في نفس الإرادتين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الصلاة مانعة لإرادة الزنا فتكون علّة لعدمها ، فيجب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إرادة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 إذا كان ترك الزنا واجبا ، ويجب تركها إذا كان تركه حراما ، كما في صورة توقّف حفظ النفس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ادّعيت أيضا أنّه يجوز أن يكون اجتماع نفس إرادة الصلاة مع مقتضي إرادة الزنا مستحيلا ، فلا يكون إرادة الصلاة مانعة من إرادة الزنا وعلّة لعدمه ، لأنّ الاجتماع يستلزم اجتماع مقتضي إرادة الصلاة مع مقتضي إرادة الزنا ، وهذا محال لتضادّهما أيضا نحو تضادّ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إرادة الصلاة تعلّق أمر الشارع بها وكونها ذات مصلحة محتّمة وهو أمر قائم بنفس الصلاة ، ومقتضي إرادة الزنا ما فيه من اللذّة وحظّ النفس وذاك متعلّق بنفس الزنا ، ولا استحالة في وجود هذين المقتضيين في الموضوعين والمحلّين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حينئذ أن يجتمع إرادة الصلاة مع مقتضي إرادة الزنا وهو الداعي القائم بنفس الزنا ، فيكون وجود إرادة الصلاة حينئذ مانعا للزنا وعلّة لعدمه ، فيجب إيجادها من باب المقدّمة أو تركها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اجتماع داعي الضدّين كالصلاة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المقتضيين لإرادتهما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يوجد أحدهما دون الآخر؟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اختيار الطبيعة ، فإنّها إذا نظرت إلى داعي الصلاة وداعي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فتختار مقتضي أحدهما في حدّ ذاتها أو بملاحظة المرجّحات الأخر من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حسن تعجيل اللذّة أو خوف تأجيل العذاب ونحوها ، وإذا اختارت أحدهما تحقّق مقتضاه ، فيجوز اجتماع وجود الصلاة مع مقتضي الزنا ، وحينئذ يصحّ الحكم بوجوب إيجاد الصلاة لكونها علّة عدم إرادة الزنا التي هي مقتضية له ، فيتمّ الكلام من غير فرق بين أن يكون التمانع أوّلا ملحوظا بين الصلاة والزنا أو بين إرادتيهما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كلام المحقّق حزازة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لكان نفيا للتوقّف رأسا ، وهو مدّعى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تماميّته موقوفة على استحالة اجتماع أحد الضدّين مع تمام مقتضي الضدّ الآخر ، ووجهه غير واضح ، بل الظاهر جواز ذلك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وللمحقّق المزبور </w:t>
      </w:r>
      <w:r>
        <w:rPr>
          <w:rStyle w:val="FootnoteAnchor"/>
          <w:rtl w:val="true"/>
        </w:rPr>
        <w:footnoteReference w:id="1096"/>
      </w:r>
      <w:r>
        <w:rPr>
          <w:rFonts w:ascii="Amiri" w:hAnsi="Amiri" w:eastAsia="Amiri" w:cs="Amiri"/>
          <w:color w:val="111111"/>
          <w:sz w:val="28"/>
          <w:sz w:val="28"/>
          <w:szCs w:val="28"/>
          <w:rtl w:val="true"/>
          <w:lang w:bidi="ar-SA"/>
        </w:rPr>
        <w:t xml:space="preserve">تحقيق آخر في رفع الدور ، ذكره انتصارا لمن أجاب عن شبهة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يستند إلى عدم مقتضي الوجود ، وقد يكون مستندا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الضدّ الآخر الذي هو أحد المباحات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إنّما يعرض للمباحات أحيانا ، فلا يلزم انتفاء المباح رأسا دائما ، حيث إنّه رحمه‌اللّه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الدور حينئذ بناء على تحقّق المانعيّة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اعتذر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يتكلّف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أنّ 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موقوف في بعض الصور على فعل ضدّه في الوقت السابق عليه ، فلا يلزم الدور حينئذ</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أنّا نفرض أنّ في وقت مثلا وجد الشوق إلى الزنا لكن لم يصل إلى حدّ الجماع ، فحينئذ عدم الزنا حاصل لعدم الجماع الذي هو علّته التامّة من دون توقّف على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هذه الصورة أن يعلم أنّه إذا لم يشتغل بالصلاة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ذلك الشوق ويصل إلى حدّ الجماع ويحصل الزنا في الزمان اللاحق أيضا يشتغل بالصلاة في الوقت السابق ؛ لأنّ الاشتغال به يمكنه ، إذ الفرض أنّ عدم مانعة متحقّق في الزمان اللاحق أيضا ، بناء على عدم شرطه لا وجود مانعة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الإيراد والجواب على وجه ينطبق على ما نحن فيه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بكون فعل الضدّ مقدّمة لترك الآخر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الصور وفي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الدور أيضا بناء على تسليم التمانع من الطرفين ، إذ المفروض أنّ التمانع يقتضي أن يكون ترك كلّ منهما مقدّمة شرطيّة لفعل الآخر دائما ، فإذا اتّفق في بعض الصور توقّف الترك على الفعل أيضا من باب توقّف عدم المعلول على وجود المانع المقترن بتمام المقتضي فلا محيص من الدور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تقرير الإيراد المزبور الذي هو عين الدور الذي اورد في المقام على كون ترك الضدّ مقدّمة وكون كلّ واحد منهما مانعا عن الآخر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فتقريره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الضد لا يكون معلولا من فعل ضدّه موقوفا عليه إلاّ إذا كان زمان الترك والفعل مختلفا ، كما إذا كان فعل الضدّ في هذا الزمان علّة لترك الضدّ في الزمان المتأخّر اللاحق ، فيكون الذي يتوقّف على فعل الضدّ هو الترك الذي يتحقّق بعد زمان الفعل ، ولا يتوقّف الفعل على ذلك الترك ، بل على الترك المقارن له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فرض الضدّان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 كلّ واحد منهما موقوفا على ترك الآخر في زمان الفعل ، ولكن ترك كلّ منهما ليس موقوفا ومعلولا لفعل الآخر في زمانه ، بل إنّما يكون كذلك إذا كان ترك كلّ </w:t>
      </w:r>
    </w:p>
    <w:p>
      <w:pPr>
        <w:pStyle w:val="BookText"/>
        <w:rPr/>
      </w:pPr>
      <w:r>
        <w:rPr>
          <w:rFonts w:ascii="Amiri" w:hAnsi="Amiri" w:eastAsia="Amiri" w:cs="Amiri"/>
          <w:color w:val="111111"/>
          <w:sz w:val="28"/>
          <w:sz w:val="28"/>
          <w:szCs w:val="28"/>
          <w:rtl w:val="true"/>
          <w:lang w:bidi="ar-SA"/>
        </w:rPr>
        <w:t xml:space="preserve">واحد منهما في الزمان اللاحق موقوفا على مباشرة المكلّف بفعل الآخر في الحال ، فيكون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ترك الإزالة في وقتها ، ولا يكون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 الإزالة 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فعل الصلاة التي كانت موقوفة على الترك المزبور حتّى يرد الدور ؛ لعدم وجود مقتضيها في وقت الصلاة ، بل إنّما يكون ترك الإزالة في الزمان المتأخّر والزمان اللاحق موقوفا ومعلولا لفعل الصلاة الواقع فيما قبل ، وذلك إنّما يكون إذا كان جميع مقتضيات الإزالة موجودة في الآن اللاحق وكان تركها في ذاك الآن موقوفا على إيجاد مانعها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فيما قبل ، فلا يلزم الدور حينئذ ؛ لاختلاف طرفي التوقّف ، حيث إنّ مقدّمة الفعل هو الترك المقارن له في الوجود ، ومعلول هذا الفعل هو الترك المتأخّر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هذا الجواب عن الدور مبنيّ على دعوى استحالة توقّف الترك المقارن على هذا الفعل ، وهذا إنّما يتمّ إذا قلنا باستحالة اجتماع تمام مقتضي أحد الضدّين مع الضدّ الآخر حتّى يكون علّية فعله لترك الآخر في زمان واحد مستحيلا ، وقد عرفت منع هذه الاستحالة وأنّه يجوز أن يجتمع أحد الضدّين مع تمام مقتضي الآخر ، وحينئذ يرد الدور على فرض التمانع جدّا ؛ لأنّ التوقف حينئذ ثابت من الطرفين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الجواب عن الدور بالتقرير المزبور حقيقة يرجع إلى نفي التمانع وعدم التوقّف رأسا ، وذلك لأنّه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الضدّ إنّما يتوقّف على فعل ضدّه في الآن الثاني لا في آن الفعل كان معناه أنّهما غير متمانعين في الآن الأوّل ، إذ لو كانا متمانعين لكان عدم كلّ منهما موقوفا على وجود الآخر ، لأنّ عدم الممنوع مستند إلى وجود المانع ، فلا وجه لجعل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الإزالة في وقتها مع عدم كونها مقدّمة سببيّة لعدم الإزالة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الممنوع لا يجب استناده إلى </w:t>
      </w:r>
      <w:r>
        <w:rPr>
          <w:rStyle w:val="FootnoteAnchor"/>
          <w:rtl w:val="true"/>
        </w:rPr>
        <w:footnoteReference w:id="1097"/>
      </w:r>
      <w:r>
        <w:rPr>
          <w:rFonts w:ascii="Amiri" w:hAnsi="Amiri" w:eastAsia="Amiri" w:cs="Amiri"/>
          <w:color w:val="111111"/>
          <w:sz w:val="28"/>
          <w:sz w:val="28"/>
          <w:szCs w:val="28"/>
          <w:rtl w:val="true"/>
          <w:lang w:bidi="ar-SA"/>
        </w:rPr>
        <w:t xml:space="preserve">وجود المانع ، لإمكان استناده إلى فقد شيء من أجزاء المقتضي أو شرائطه ، فحينئذ لا ملازمة بين كونهما متمانعين في الآن الأوّل أيضا وبين استناد عدم أحدهما إلى وجود الآخر ، كاستناد عدم الإزالة إلى وجود الصلاة ، لجواز استناد عدم الإزالة </w:t>
      </w:r>
      <w:r>
        <w:rPr>
          <w:rStyle w:val="FootnoteAnchor"/>
          <w:rtl w:val="true"/>
        </w:rPr>
        <w:footnoteReference w:id="1098"/>
      </w:r>
      <w:r>
        <w:rPr>
          <w:rFonts w:ascii="Amiri" w:hAnsi="Amiri" w:eastAsia="Amiri" w:cs="Amiri"/>
          <w:color w:val="111111"/>
          <w:sz w:val="28"/>
          <w:sz w:val="28"/>
          <w:szCs w:val="28"/>
          <w:rtl w:val="true"/>
          <w:lang w:bidi="ar-SA"/>
        </w:rPr>
        <w:t xml:space="preserve">في آن الصلاة إلى عدم المقتضي ، فيكون عدم الإزالة مقدّمة لوجود الصلاة لكونه عدم المانع ، ولكن لا يكون وجود الصلاة مقدّمة لعدم الإزالة </w:t>
      </w:r>
      <w:r>
        <w:rPr>
          <w:rStyle w:val="FootnoteAnchor"/>
          <w:rtl w:val="true"/>
        </w:rPr>
        <w:footnoteReference w:id="1099"/>
      </w:r>
      <w:r>
        <w:rPr>
          <w:rFonts w:ascii="Amiri" w:hAnsi="Amiri" w:eastAsia="Amiri" w:cs="Amiri"/>
          <w:color w:val="111111"/>
          <w:sz w:val="28"/>
          <w:sz w:val="28"/>
          <w:szCs w:val="28"/>
          <w:rtl w:val="true"/>
          <w:lang w:bidi="ar-SA"/>
        </w:rPr>
        <w:t>المقارن معها في الوجود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التمانع شأنيّة وجود كلّ منهما لعلّية عدم الآخر في جميع الآنات ، لاستحالة انفكاك اللازم عن الملزوم وإن لم يكن مقتضاه دوام العلّية فعلا ، ولا ريب أنّ موجب الدور إنّما هو هذه الشأنيّة لا دوام العلّية ، لأنّه يكفي في لزوم الدور أن يكون توقّف ترك أحدهما على فعل الآخر في زمانه أمرا جائزا وممكنا ، إذ المفروض أنّ الترك مقدّمة للفعل دائما ، فإذا جاز توقّف الفعل أيضا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توقّف الشيء على ما يتوقّف عليه ، وهذا مستحيل جدّا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قيل بما ذكره المحقّق المزبور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علّية وجود أحد الضدّين لعدم الآخر مبنيّة على اجتماع وجوده مع مقتضي الآخر ؛ نظرا إلى أنّ المانع لا يكون علّة لعدم الممنوع إلاّ بعد وجود مقتضيه واجتماعهما ممّا يجوز </w:t>
      </w:r>
    </w:p>
    <w:p>
      <w:pPr>
        <w:pStyle w:val="BookText"/>
        <w:rPr/>
      </w:pPr>
      <w:r>
        <w:rPr>
          <w:rFonts w:ascii="Amiri" w:hAnsi="Amiri" w:eastAsia="Amiri" w:cs="Amiri"/>
          <w:color w:val="111111"/>
          <w:sz w:val="28"/>
          <w:sz w:val="28"/>
          <w:szCs w:val="28"/>
          <w:rtl w:val="true"/>
          <w:lang w:bidi="ar-SA"/>
        </w:rPr>
        <w:t xml:space="preserve">دعوى استحالته ، لاستريح </w:t>
      </w:r>
      <w:r>
        <w:rPr>
          <w:rStyle w:val="FootnoteAnchor"/>
          <w:rtl w:val="true"/>
        </w:rPr>
        <w:footnoteReference w:id="1100"/>
      </w:r>
      <w:r>
        <w:rPr>
          <w:rFonts w:ascii="Amiri" w:hAnsi="Amiri" w:eastAsia="Amiri" w:cs="Amiri"/>
          <w:color w:val="111111"/>
          <w:sz w:val="28"/>
          <w:sz w:val="28"/>
          <w:szCs w:val="28"/>
          <w:rtl w:val="true"/>
          <w:lang w:bidi="ar-SA"/>
        </w:rPr>
        <w:t>عن الدور ، لاستحالة توقّف الترك على الفعل في حين وجوده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كلام المحقّق الخوانساري في الجواب عن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الأصفهاني في حاشيته على المعالم في كلام طويل ، وذكره بطوله يوجب الملال ، غير أنّا نذكر خلاصة مجموع فقراته ، ومن أراد الاطّلاع عليه تفصيلا فليرجع إلى الحاشية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 الضدّ من موانع وجود الضدّ الآخر مطلقا ، فلا يمكن فعل الآخر إلاّ بعد تركه ، وليس في وجود الآخر إلاّ شأنيّة كونه سببا لترك ذلك الضدّ ، إذ لا ينحصر السبب في ترك الشيء في وجود المانع منه ، فإن انتفاء كلّ من أجزاء العلّة التامّة علّة تامّة لتركه ، ومع استناده إلى أحد تلك الأسباب لا توقّف له على السبب المفروض حتّى يرد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ما ذكره الخوانساري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 متوافقا المراد ، بل متّحدان حقيقة ، كما هو ظاهر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فرض انتفاء سائر الأسباب وانحصار الأمر في السبب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المانع الذي هو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الفرض غير ممكن ؛ لأنّ فعل الضدّ مسبوق بإرادته ، وهي كافية في التسبيب لترك ضدّه ، فليس يوجد مقام كان ترك الضدّ مستندا إلى نفس وجود ضدّه ، لوضوح أنّ الفعل مسبوق بالإرادة وهي صارفة من الآخر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الكلام المزبور بالنسبة إلى إرادة الضدّ ، لمضادتها مع الضدّ الآخر ، لامتناع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المضادّة وأنّ مجرّد امتناع الجمع بين الأمرين لا يقتضي المضادّة ، إذ قد يكون الامتناع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امتناع اجتماع إرادة أحد الضدّين مع الضدّ الآخر من جهة تضادّ هذه الإرادة لإرادة الآخر ، ولذا كان إرادة أحدهما صارفة عن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الكلام بالنسبة إلى الإرادة المفروضة وإرادة الضدّ الآخر فيلزم الدور ، لأنّ حصول الإرادة المفروضة سبب لعدم إرادة الضدّ الآخر ؛ لما ذكر من أنّ وجود أحد الضدّين سبب لانتفاء الآخر ، مع أنّ وجودها يتوقّف على انتفاء الآخر بناء على كون عدم الضدّ شرطا في حصول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الفعل وعدمها إنّما يتفرع على حصول الداعي وعدمه ، فقد لا يوجد الداعي مع الضدّ أصلا فيتفرّع عليه عدم الإرادة من غير أن يتسبّب ذلك من إرادة الضدّ الآخر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يوجد الداعي لكن يغلبه الداعي إلى الضدّ الآخر المأمور به مثلا ، فلا يكون عدم الإرادة حينئذ أيضا مستندا إلى إرادة الضدّ بل إلى غلبة داعيه ، وعلى أيّ حال فلا تأثير لنفس الإرادة في انتفاء الإرادة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منع استناد انتفاء إرادة الضدّ إلى إرادة ضدّه هنا مناف لما ذكره في الجواب عن السؤال الأوّل من أنّ إرادة الضدّ كافية في التسبيب لترك ضدّه ،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نجري الكلام والإيراد بالنسبة إلى غلبة الداعي إلى الضدّ المأمور به وغلبة الداعي إلى ضدّه ، لكونهما ضدّين أيضا ، وقد صار رجحان الداعي إلى الفعل سببا لانتفاء رجحان الداعي إلى ضدّه ، والمفروض توقّف الرجحان المزبور على انتفاء رجحان داعي الضدّ ، فيلزم الدور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سببيّة بين رجحان داعي الفعل وبين انتفاء رجحان </w:t>
      </w:r>
    </w:p>
    <w:p>
      <w:pPr>
        <w:pStyle w:val="BookText"/>
        <w:rPr/>
      </w:pPr>
      <w:r>
        <w:rPr>
          <w:rFonts w:ascii="Amiri" w:hAnsi="Amiri" w:eastAsia="Amiri" w:cs="Amiri"/>
          <w:color w:val="111111"/>
          <w:sz w:val="28"/>
          <w:sz w:val="28"/>
          <w:szCs w:val="28"/>
          <w:rtl w:val="true"/>
          <w:lang w:bidi="ar-SA"/>
        </w:rPr>
        <w:t xml:space="preserve">داعي ضدّه ، بل رجحان الداعي إلى الفعل إنّما يكون بعين مرجوحيّة الداعي إلى الضدّ ، فهما حاصلان في مرتبة واحدة من غير توقّف بينهما حتّى يتقدّم أحدهما على الآخر في الرتبة ، فرجحان الداعي إلى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مكافئ في الوجود بمرجوحيّة الداعي إلى ضدّه ، إذ الرجحانيّة والمرجوحيّة من الامور المتضايفة ، ومن المقرّر عدم تقدّم أحد المتضايفين على الآخر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أواخر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المقام أنّ الأمرين المتقابلين إن كان تقابلهما من قبيل الإيجاب والسلب فلا توقّف لحصول أحد الطرفين على ارتفاع الآخر ، إذ حصول كلّ من الجانبين عين ارتفاع الآخر ، وكذا الحال في تقابل العدم والملكة ، وقد عرفت عدم التوقّف في تقابل التضايف أيضا ، وأما المتقابلان على سبيل التضادّ فيتوقّف وجود كلّ على عدم الآخر ، إلاّ أن يرجع الأمر فيها إلى أحد الوجوه الأخر كما في المقام </w:t>
      </w:r>
      <w:r>
        <w:rPr>
          <w:rStyle w:val="FootnoteAnchor"/>
          <w:rtl w:val="true"/>
        </w:rPr>
        <w:footnoteReference w:id="1101"/>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 المناقشة في كثير من الكلمات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خاتمة كلامه قد استقرّت على أنّ ترك الضدّ أبدا معلول لانتفاء السبب الداعي أعني غلبة رجحانه ، فلا يكون مقام يستند فيه إلى وجود الضدّ الآخر أو إلى سبب وجوده ، وعند ذلك امتنع أن يكون أحد الضدّين مانعا عن الآخر ، لأنّ المانع من شأنه استناد عدم الممنوع إليه ، فلا يكون عدمه مقدّمة لوجود الآخر ، إذ المقدّمية إنّما جاءت من جهة كونه مانعا وكون عدم المانع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اعترف في صدر كلامه بذلك ومع ذلك قال متّصلا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انحصار سبب ترك الضدّ في فعل الضدّ الآخر غير ممكن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أنّه رحمه‌اللّه لمّا تصدّى لدفع الدور نظر إلى الواقع والحقّ وأفاد ما </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الضدّ وترك الضدّ الآخر من المقارنات الاتّفاقيّة نظرا إلى تقارن علّتيهما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علّة وجود أحدهما وعلّة عدم الآخر ، وهما غلبة رجحان داعي الوجود ومرجوحيّة داعي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 عن كون هذا التحقيق نفيا للتوقّف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أحد الأمرين على الآخر لا يمكن إلاّ إذا كان علّتاهما مختلفتين في الرتبة ، حتّى أنّه إذا فرض مساواة الشيئين في الرتبة امتنع تقدّم معلول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أن يكون أحد المعلولين مقدّمة لوجود الآخر ، إذ المقدمة سابقة على ذيها رتبة ، والفرض أنّهما في المرتبة سواء ، لاستواء علّتيهما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رحمه‌اللّه جعل علّة وجود أحد الضدّين غلبة الداعي إليه ، وجعل علّة عدم الآخر مرجوحيّة الداعي إليه ، وجعل هاتين العلّتين من المتضايفات التي اعترف بعدم تقدّم أحدهما على الآخر رتبة ، قائلا بأنّ أحدهما متحقّق بعين تحقّق الآخر ، كما هو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فالحكم بتوقّف وجود أحد الضدّين على عدم الآخر وكون العدم هذا مقدّمة لوجود الآخر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مدفع للدور على تقدير كون الترك مقدّمة للفعل ، وأنّ جميع ما قيل في دفعه يرجع بالأخرة إلى نفي التوقّف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التفصيل الذي نقلنا في صدر المسألة عند ذكر الأقوال من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الضدّ إذا كان موجودا كان رفعه مقدّمة لمجيء الآخر ، ممّا أمكن الركون إليه من غير أن يكون فيه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بقوله متّصلا بما حكينا عنه سابقا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كلام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إذا كان موجودا فعدمه ممّا يتوقّف عليه وجود الشيء ، وأما إذا كان معدوما فلا ، نظير ما قال المحقّق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إمكان اتّصاف شيء بالمانعيّة يكون عدم المانع موقوفا عليه ، وأمّا إذا لم يمكن اتّصاف الشيء بالمانعيّة فلا يكون حينئذ عدم المانع موقوفا عليه ، وعلى هذا لا يلزم على المجيب دور من حمل كلامه على ظاهره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الحكم بمانعية الأضداد ممّا لا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الشيخ الرئيس أيضا التصريح بمانعيّتها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أولى بالمانعيّة من الضدّ؟ فلا وجه للإيراد على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جعل الضدّ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بأنّ عدم المانع مطلقا ليس موقوفا عليه بل هو من مقارنات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 لكن هذا بحث لا اختصاص له بالمجيب وبمقامنا هذا </w:t>
      </w:r>
      <w:r>
        <w:rPr>
          <w:rStyle w:val="FootnoteAnchor"/>
          <w:rtl w:val="true"/>
        </w:rPr>
        <w:footnoteReference w:id="1102"/>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تمانع الأضداد وأنّ وجود أحدهما يمنع من وجود الآخر ، ولكن لا ملازمة بين كون الشيء مانعا وبين كون عدمه </w:t>
      </w:r>
      <w:r>
        <w:rPr>
          <w:rStyle w:val="FootnoteAnchor"/>
          <w:rtl w:val="true"/>
        </w:rPr>
        <w:footnoteReference w:id="1103"/>
      </w:r>
      <w:r>
        <w:rPr>
          <w:rFonts w:ascii="Amiri" w:hAnsi="Amiri" w:eastAsia="Amiri" w:cs="Amiri"/>
          <w:color w:val="111111"/>
          <w:sz w:val="28"/>
          <w:sz w:val="28"/>
          <w:szCs w:val="28"/>
          <w:rtl w:val="true"/>
          <w:lang w:bidi="ar-SA"/>
        </w:rPr>
        <w:t xml:space="preserve">مقدّمة ، لأنّ عدم المانع إذا كان مقارنا للعلّة التامّة أو سابقا عليها لم يكن موقوفا عليه ، إذ لا توقّف حينئذ للمعلول إلاّ على وجود علّته التامّة ، وأمّا إذا كان مؤخّرا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اجتمعت العلّة في الوجود مع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عدمه موقوفا عليه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فالذي يقتضيه تمانع الأضداد إنّما هو توقّف وجود الضدّ المعدوم على ارتفاع الضدّ الموجود أيضا ، وأمّا توقّف الضدّ الموجود أيضا على عدم الضدّ المعدوم الذي كان عدمه سابقا على علّة الموجود أو مقارنا معها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يلزم الدور في شيء ، لأنّا إذا فرضنا البياض شاغلا للمحلّ كان وجود السواد حينئذ في ذلك المحل موقوفا على ارتفاع البياض ، لاستحالة اجتماعهما ، ولكن وجود البياض الموجود ليس موقوفا على عدم السواد ؛ لأنّ هذا العدم سابق على علّة البياض أو مقارن معها ، فلا يكون وجود السواد المعدوم سببا لرفع البياض الذي كان مقدّمة لوجود السواد حتّى يلزم الدور ، لأنّ السواد إنّما يكون علة لرفع البياض إذا كان عدمه شرطا ، وبعد أن بنينا على أنّ عدم السواد المعدوم ليس مقدّمة شرطيّة لوجود البياض لم يكن وجه لعليّة السواد لعدم البياض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خلاصة مراده ، وهي خير ما يقال في هذا المقام ، ولذا جنح إليه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مع ذلك لا يخلو عن المناقشة ، والإشكال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عدم المانع المقارن مع العلّة أو المتقدّم </w:t>
      </w:r>
      <w:r>
        <w:rPr>
          <w:rStyle w:val="FootnoteAnchor"/>
          <w:rtl w:val="true"/>
        </w:rPr>
        <w:footnoteReference w:id="1104"/>
      </w:r>
      <w:r>
        <w:rPr>
          <w:rFonts w:ascii="Amiri" w:hAnsi="Amiri" w:eastAsia="Amiri" w:cs="Amiri"/>
          <w:color w:val="111111"/>
          <w:sz w:val="28"/>
          <w:sz w:val="28"/>
          <w:szCs w:val="28"/>
          <w:rtl w:val="true"/>
          <w:lang w:bidi="ar-SA"/>
        </w:rPr>
        <w:t xml:space="preserve">غير موقوف عليه غير ظاهر وجهه ، إذ لا نجد فرقا بين العدم المتقدّم أو المتأخّر من حيث عدم إمكان تحقّق المعلول بدونه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الفرق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المقارن أو المتقدّم مقدّمة حاصلة ، والعدم المتأخّر مقدّمة غير حاصلة ، وهذا القدر من الفرق لا يقتضي عدم التوقّف رأسا في الأوّل ، وإلاّ لانحصر المقدّمة في العلّة التامّة إذا كانت مركّبة من أجزاء مترتّبة </w:t>
      </w:r>
      <w:r>
        <w:rPr>
          <w:rStyle w:val="FootnoteAnchor"/>
          <w:rtl w:val="true"/>
        </w:rPr>
        <w:footnoteReference w:id="1106"/>
      </w:r>
      <w:r>
        <w:rPr>
          <w:rFonts w:ascii="Amiri" w:hAnsi="Amiri" w:eastAsia="Amiri" w:cs="Amiri"/>
          <w:color w:val="111111"/>
          <w:sz w:val="28"/>
          <w:sz w:val="28"/>
          <w:szCs w:val="28"/>
          <w:rtl w:val="true"/>
          <w:lang w:bidi="ar-SA"/>
        </w:rPr>
        <w:t>في الوجود ، لأنّه إذا تحقّقت الأجزاء والشرائط إلى أن انتهت إلى الجزء الأخير صدق أنّ المعلول في هذا الحال لا يتوقّف وروده إلاّ على ذلك الجزء ، فيلزم أن لا يكون أجزاء العلّة وشرائطها من المقدّمات ، وفساده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فالدور باق بحاله ، لمكان توقّف البياض المفروض وجوده على عدم السواد المفروض عدمه أيضا المقتضي لكون وجود السواد علّة لرفع البياض الذي كان موقوفا عليه لوجوده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الضدّ الموجود إنّما يجوز أن يكون مقدّمة لمجيء الضدّ المعدوم إذا كان وجود الضدّ الموجود مانعا عن مجيء الآخر المفروض عدمه ، لأنّ المقدّمية إنّما اخذت من جهة كون الضدّ مانعا وعدمه شرطا ، ومن المعلوم أنّ الموجود إنّما </w:t>
      </w:r>
    </w:p>
    <w:p>
      <w:pPr>
        <w:pStyle w:val="BookText"/>
        <w:rPr/>
      </w:pPr>
      <w:r>
        <w:rPr>
          <w:rFonts w:ascii="Amiri" w:hAnsi="Amiri" w:eastAsia="Amiri" w:cs="Amiri"/>
          <w:color w:val="111111"/>
          <w:sz w:val="28"/>
          <w:sz w:val="28"/>
          <w:szCs w:val="28"/>
          <w:rtl w:val="true"/>
          <w:lang w:bidi="ar-SA"/>
        </w:rPr>
        <w:t>يكون مانعا عن المعدوم إذا كان تمام مقتضيه وشرائطه موجودا حتّى يكون سبب العدم وجود الموجود ، وإلاّ لم يكن مانعا فعلا بل شأنا ، فلا يكون رفعه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قضيّة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مطلق عدم المانع ليس بموقوف عليه ، هو أن يكون تمام ما يقتضي وجود الضدّ الآخر المفروض عدمه موجودا في حال وجود الضدّ المفروض وجوده حتّى يكون رفعه مقدّمة ، إذ لو اعتبر الرفع المزبور قبل استكمال علّة وجود الضدّ المعدوم لكان هذا داخلا في أقسام عدم المانع المقارن مع العلّة أو المقدّم ، فلا يكون باعترافه مقدّمة ، فمقدّمية رفع الضدّ الموجود موقوف على اعتبار ملاحظته بعد استكمال أجزاء المقتضي للضدّ المعدوم وشرائطه ، فيلزم حينئذ أن يجوز اجتماع وجود أحد الضدّين مع تمام مقتضي الضدّ الآخر ، مع أنّه رحمه‌اللّه 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جواب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لا يمكن أن تكون علّة لعدم الزنا إلاّ إذا فرض تحقّق جميع أجزاء علّة الزنا من الشوق والإرادة ونحوهما حتّى يستند عدم الزنا حينئذ إلى وجود المانع فقط ، فيكون هو العلّة للعدم دون فقد المقتضي ، وأنّ هذا يجوز أن يكون محالا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كيف يتمكّن هنا من جعل رفع الضدّ الموجود مقدّمة لمجيء الضدّ المعدوم؟ مع أنّ مقدّمية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كلامه من عدم كون مطلق عدم المانع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فرض وجود علّة الزنا مثلا مع الصلاة مثلا حتّى يكون عدم الصلاة مقدّمة لترك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نحن لمّا منعنا استحالة ما ذكر وقلنا بأنّه يمكن اجتماع أحد الضدّين مع تمام مقتضى الضدّ الآخر وبيّنا ذلك ، أمكن لنا دعوى كون رفع الضدّ الموجود مقدّمة للضدّ المعدوم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هذا كلام صدر منه من جهة الاحتمال والمناقشة في المقال ، </w:t>
      </w:r>
    </w:p>
    <w:p>
      <w:pPr>
        <w:pStyle w:val="BookText"/>
        <w:rPr/>
      </w:pPr>
      <w:r>
        <w:rPr>
          <w:rFonts w:ascii="Amiri" w:hAnsi="Amiri" w:eastAsia="Amiri" w:cs="Amiri"/>
          <w:color w:val="111111"/>
          <w:sz w:val="28"/>
          <w:sz w:val="28"/>
          <w:szCs w:val="28"/>
          <w:rtl w:val="true"/>
          <w:lang w:bidi="ar-SA"/>
        </w:rPr>
        <w:t xml:space="preserve">فإنّ الحكم بذلك </w:t>
      </w:r>
      <w:r>
        <w:rPr>
          <w:rStyle w:val="FootnoteAnchor"/>
          <w:rtl w:val="true"/>
        </w:rPr>
        <w:footnoteReference w:id="1108"/>
      </w:r>
      <w:r>
        <w:rPr>
          <w:rFonts w:ascii="Amiri" w:hAnsi="Amiri" w:eastAsia="Amiri" w:cs="Amiri"/>
          <w:color w:val="111111"/>
          <w:sz w:val="28"/>
          <w:sz w:val="28"/>
          <w:szCs w:val="28"/>
          <w:rtl w:val="true"/>
          <w:lang w:bidi="ar-SA"/>
        </w:rPr>
        <w:t>بجواز اجتماع وجود أحد الضدّين مع تمام مقتضى الآخر لا يخلو عن إشكال وتأمّل ، إذ لو جاز ذلك لجاز اجتماع نفس المقتضيين أيضا قبل تحقّق أحد الضدّين ، إذ لا مدخليّة لتحقّقه في إمكان اجتماع المقتضيين وامتناعه ، وحينئذ يلزم الدور إذا اجتمعا في الوجود ولو في محلّين مختلفين ، لأنّ تأثير كلّ منهما أثره يتوقّف حينئذ على عدم تأثير الآخر ، ضرورة استحالة تأثيرهما معا لاستلزامه الجمع بين الأثرين المتضادّين ، مع أنّ عدم تأثير كلّ منهما لا سبب له إلاّ تأثير الآخر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الفرق بين اجتماع سبب الضدّين في الوجود معا من دون تقدّم أحدهما على الآخر ، وبين اجتماعهما متعاقبا بأن يتحقّق أحدهما أوّلا فيؤثّر أثره ثمّ يتحقّق الآخر ، فإنّ الأوّل مستحيل لما ذكر ، بخلاف الثاني فإنّه إذا فرض أنّ سبب أحد الضدّين وجد في حال عدم سبب الآخر كان تأثيره ممّا لا مانع له ، ثمّ بعد أن أثّر أثره فلا استحالة في وجود سبب الآخر في محلّ آخر ، لأنّ هذا السبب حينئذ لا يؤثّر تأثيرا باعتبار وجود المانع الذي قد سبقه ، أعني تأثير السبب المفروض وجوده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الدعوى في الفرق أيضا لا تخلو عن حزازة وإشكال ، كما يظهر للمتأمّل الدقيق</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فمن يقول باستحالة ذلك يعني اجتماع أحد الضدّين مع تمام سبب الآخر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على ما سمعت عنه في السابق في الجواب عن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الحكم بمقدّميّة رفع الضدّ الموجود لوجود المعدوم ، بل ينبغي له أن يجعل رفعه ووجود المعدوم معلولي علّة واحدة أو علّتين متساويتين في الرتبة ، كما عرفت عن الشيخ في الحاشية ، فإذن لا يكون توقّف بينهما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جميع ما ذكرنا وقبول حجّته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الأضداد القارّة كالسواد والبياض ، وأمّا في الأضداد الغير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والسكون وغيرهما من أفعال المكلّفين التي كلامنا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إليه ، لأنّا نعلم بالضرورة والوجدان أنّ المشتغل بالصلاة مثلا إذا حصل له ما يقتضي الإزالة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الشوق والإرادة والعزم وغير ذلك من الامور التي لا بدّ منها في تحقّق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الصلاة قهرا ، فيكون انقطاعها ووجود الإزالة في مرتبة واحدة من الوجود لا يمكن جعل أحدهما من مقدّمات وجود الآخر جدّا ؛ على أنّ المحتاج إليه في تحقّق الإزالة إنّما هو خلوّ زمانها عن فعل الصلاة مثلا ، ولا ريب أنّ قطع الصلاة ورفعها لا حاجة للإزالة إليهما إلاّ من جهة تفريغ زمانها عن فعل ضدّها كالصلاة ، فيكون الذي يتوقّف عليه فعل الإزالة حقيقة هو عدم الصلاة في زمان ذلك الفعل مطلقا ، سواء كان مسبوقا بالوجود فرفع أو كان باقيا على الحالة الاولى ، وحينئذ فجعل الرفع من مقدّمات مجيء الضدّ المعدوم حقيقة يرجع إلى كون مطلق عدم الضدّ من المقدّمات ، فيكون الرفع مقدّمة لتحصيل المقدّمة التي هي خلوّ زمان الضدّ عن ضدّه ، فيعود الدور الذي كان رفعه موقوفا على عدم كون مطلق العدم من المقدّمات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جيّدا في المقام ، فإنّه مزلّة للأقدام ومعركة للآراء ومن غوامض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أظنّك بعد الإحاطة بجميع ما تلونا عليك حقّ الإحاطة والتأمّل فيه كمال التأمّل ذا مرية في عدم توقّف شيء من فعل الضدّ على فعل ضدّه وتركه </w:t>
      </w:r>
      <w:r>
        <w:rPr>
          <w:rStyle w:val="FootnoteAnchor"/>
          <w:rtl w:val="true"/>
        </w:rPr>
        <w:footnoteReference w:id="1110"/>
      </w:r>
      <w:r>
        <w:rPr>
          <w:rFonts w:ascii="Amiri" w:hAnsi="Amiri" w:eastAsia="Amiri" w:cs="Amiri"/>
          <w:color w:val="111111"/>
          <w:sz w:val="28"/>
          <w:sz w:val="28"/>
          <w:szCs w:val="28"/>
          <w:rtl w:val="true"/>
          <w:lang w:bidi="ar-SA"/>
        </w:rPr>
        <w:t xml:space="preserve">، وإن اشتهر توقّف الفعل على الترك خاصّة من دون عكس بين كثير من أعاظم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1111"/>
      </w:r>
      <w:r>
        <w:rPr>
          <w:rFonts w:ascii="Amiri" w:hAnsi="Amiri" w:eastAsia="Amiri" w:cs="Amiri"/>
          <w:color w:val="111111"/>
          <w:sz w:val="28"/>
          <w:sz w:val="28"/>
          <w:szCs w:val="28"/>
          <w:rtl w:val="true"/>
          <w:lang w:bidi="ar-SA"/>
        </w:rPr>
        <w:t>، فإنّ الجواد قد يكبو والصارم قد ينبو والشهرة قد تكذب ، وكم ترك الأوّلون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يتّفق توقّف ترك أحد الضدّين في ثاني الزمان على إيجاد ضدّه في الزمان السابق ، ولكنّه خارج عن محلّ الكلام ، كما عرفت مثاله وبيانه في كلام المحقّق الخوانساري عند الاعتذار عن المجيب عن شبهة الكعبي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الأشياء</w:t>
      </w:r>
      <w:r>
        <w:rPr>
          <w:rFonts w:eastAsia="Amiri" w:cs="Amiri" w:ascii="Amiri" w:hAnsi="Amiri"/>
          <w:color w:val="111111"/>
          <w:sz w:val="28"/>
          <w:szCs w:val="28"/>
          <w:rtl w:val="true"/>
          <w:lang w:bidi="ar-SA"/>
        </w:rPr>
        <w:t xml:space="preserve">. </w:t>
      </w:r>
      <w:bookmarkStart w:id="334" w:name="pg16254_218795"/>
    </w:p>
    <w:p>
      <w:pPr>
        <w:pStyle w:val="Heading4"/>
        <w:numPr>
          <w:ilvl w:val="3"/>
          <w:numId w:val="1"/>
        </w:numPr>
        <w:rPr/>
      </w:pPr>
      <w:bookmarkStart w:id="335" w:name="__RefHeading___Toc4418336_1280447820"/>
      <w:bookmarkStart w:id="336" w:name="_Toc105"/>
      <w:bookmarkEnd w:id="334"/>
      <w:bookmarkEnd w:id="335"/>
      <w:r>
        <w:rPr>
          <w:rtl w:val="true"/>
        </w:rPr>
        <w:t xml:space="preserve">المقدّمة الثانية </w:t>
      </w:r>
      <w:r>
        <w:rPr>
          <w:rtl w:val="true"/>
        </w:rPr>
        <w:t xml:space="preserve">: </w:t>
      </w:r>
      <w:r>
        <w:rPr>
          <w:rtl w:val="true"/>
        </w:rPr>
        <w:t>في تحرير محلّ النزاع</w:t>
      </w:r>
      <w:bookmarkEnd w:id="336"/>
    </w:p>
    <w:p>
      <w:pPr>
        <w:pStyle w:val="BookText"/>
        <w:rPr/>
      </w:pPr>
      <w:r>
        <w:rPr>
          <w:rFonts w:ascii="Amiri" w:hAnsi="Amiri" w:eastAsia="Amiri" w:cs="Amiri"/>
          <w:color w:val="111111"/>
          <w:sz w:val="28"/>
          <w:sz w:val="28"/>
          <w:szCs w:val="28"/>
          <w:rtl w:val="true"/>
          <w:lang w:bidi="ar-SA"/>
        </w:rPr>
        <w:t xml:space="preserve">من حيث ضيق المأمور به وسعته ، أو وجوبه واستحبابه ، أو تخييره وتعيينه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المتصوّرة في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القمّي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النزاع ما إذا كان المأمور به مضيّقا والضدّ موسّعا ، ولو كانا موسّعين فلا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كانا مضيّقين فيلاحظ ما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الضدّين إمّا كلاهما من حقّ اللّه أو من حقّ الناس أو مختلفان ، وعلى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معا موسّعان أو مضيّقان أو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ضيق أحدهما الترجيح له مطلقا ، ومع سعتهما التخيير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فمع اتّحاد الحقيقة التخيير مطلقا ، إلاّ إذا كان أحدهما أهمّ في نظر الشارع كحفظ بيضة الإسلام ، ومع اختلافهما الترجيح لحقّ الناس إلاّ مع الأهميّة </w:t>
      </w:r>
      <w:r>
        <w:rPr>
          <w:rStyle w:val="FootnoteAnchor"/>
          <w:rtl w:val="true"/>
        </w:rPr>
        <w:footnoteReference w:id="111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هذا الكلام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إخراج الموسّعين عن محلّ النزاع ممّا لا وجه له ، فإنّ الملازمة التي أثبتوها بين الأمر بالشيء والنهي عن ضدّه عقليّة سارية في جميع الأوامر ، فكما أنّ الأمر المضيّق يقتضي النهي عن ضدّه الموسّع كذلك الأمر الموسّع يقتضي ذلك من غير فرق ، والحاكم بذلك هو العقل على القول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النهي في الموضعين يختلف حسب اختلاف الأمرين ، فالأمر المضيّق يقتضي النهي عن ضدّه على جهة التضييق والتعيين ، والأمر الموسّع يقتضيه على جهة التوسعة والتخيير ، </w:t>
      </w:r>
    </w:p>
    <w:p>
      <w:pPr>
        <w:pStyle w:val="BookText"/>
        <w:rPr/>
      </w:pPr>
      <w:r>
        <w:rPr>
          <w:rFonts w:ascii="Amiri" w:hAnsi="Amiri" w:eastAsia="Amiri" w:cs="Amiri"/>
          <w:color w:val="111111"/>
          <w:sz w:val="28"/>
          <w:sz w:val="28"/>
          <w:szCs w:val="28"/>
          <w:rtl w:val="true"/>
          <w:lang w:bidi="ar-SA"/>
        </w:rPr>
        <w:t xml:space="preserve">فالأضداد الواقعة في وقت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منهيّة على سبيل الضيق ويجب الاجتناب عنها فورا مضيّقا معيّنا ، والأضداد الواقعة في وقت الصلاة منهيّة توسعة فيجب الاجتناب عنها في مقدار فعل الصلاة من أوّل الوقت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المضيّقين المتساويين في الأهمّية ، فإنّ قاعدة الاقتضاء المزبورة قاضية باقتضاء كلّ منهما النهي عن الآخر على سبيل التخيير العارض للأمرين باعتبار التزاحم والتكافؤ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مضايقة في القول بخروج الموسّعين والمضيّقين عن تحت النزاع ؛ لعدم جدواه وانتفاء الثمرة المذكورة لهذا النزاع فيهما ، ضرورة معلوميّة عدم اقتضاء النهي التوسّعي التخييري المستفاد من الأمر الموسّع أو المضيّق بالنسبة إلى مضيّق آخر التحريم والفساد ، ولا فائدة حينئذ في تعميم البحث بالنسبة إلى غير الموسّع والمضيّق</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الأمر والنهي المشتمل عليهما عنوان المسألة في كلام الأوائل والأواخر إنّما هو الإلزام في الفعل والترك على سبيل الضيق والتحتّم والتعيين ، وهذا النحو من الأمر والنهي مختصّ بما إذا كان المأمور به مضيّقا والضدّ موسّعا ، إذ قد عرفت أنّ في شيء من الموسّعين والمضيّقين ليس إلزام في فعل شيء معيّن أو تركه ، بل التوسعة وتزاحم المضيّقين قاضيان بالرخصة في فعل كلّ فرد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الرخصة في الترك فواضح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الرخصة في الفعل ففي الموسّعين أيضا واضح ، لمعلوميّة أنّه إذا اجتمع واجبان موسّعان جاز للمكلّف فعل كلّ واحد منهما إلى تضايق وقت أحدهما ، فالنهي الذي يقتضيه الأمر بالموسّع موسّع مثل الأمر بمعنى أنّه يجوز للمكلّف فعل الضدّ في جميع أزمنة وجوب المأمور به ما لم يتضيّق وقته ، فيتعيّن الاجتناب حينئذ لذلك ، يعني لأجل مزاحمة المضيّق والموسّع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الرخصة في الفعل في المضيّقين فلأنّه الأصل في تزاحم الواجبين ، إذ المرجع </w:t>
      </w:r>
    </w:p>
    <w:p>
      <w:pPr>
        <w:pStyle w:val="BookText"/>
        <w:rPr/>
      </w:pPr>
      <w:r>
        <w:rPr>
          <w:rFonts w:ascii="Amiri" w:hAnsi="Amiri" w:eastAsia="Amiri" w:cs="Amiri"/>
          <w:color w:val="111111"/>
          <w:sz w:val="28"/>
          <w:sz w:val="28"/>
          <w:szCs w:val="28"/>
          <w:rtl w:val="true"/>
          <w:lang w:bidi="ar-SA"/>
        </w:rPr>
        <w:t>فيهما التخيير ، فيفعل المكلّف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الرخصة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ضدّ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 للنهي التضييقي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بما ذهب إليه جماعة من الاصوليّين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النواهي غير جائز ، بمعنى أنّه ليس حال النهي والأمر في الانقسام إلى التخييري والتعييني سواء ، لأنّه لا مانع من أن يكون المأمور به أحد هذه الامور على سبيل البدليّة والتخيير كالخصال ، ولكن المنهيّ عنه لا يجور أن يكون كذلك ، لأنّ النهي عن أحد هذين الأمرين أو الامور يستلزم تحريم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المذهب وإن كان سخيفا مختار المعتزلة </w:t>
      </w:r>
      <w:r>
        <w:rPr>
          <w:rStyle w:val="FootnoteAnchor"/>
          <w:rtl w:val="true"/>
        </w:rPr>
        <w:footnoteReference w:id="1114"/>
      </w:r>
      <w:r>
        <w:rPr>
          <w:rFonts w:ascii="Amiri" w:hAnsi="Amiri" w:eastAsia="Amiri" w:cs="Amiri"/>
          <w:color w:val="111111"/>
          <w:sz w:val="28"/>
          <w:sz w:val="28"/>
          <w:szCs w:val="28"/>
          <w:rtl w:val="true"/>
          <w:lang w:bidi="ar-SA"/>
        </w:rPr>
        <w:t xml:space="preserve">، إلاّ أنّه به يتعيّن كون محلّ النزاع ما ذكره ، إذ الموسّعان والمضيّقان لا يكون فيهما نهي على هذا المذهب ، لعدم جواز النهي عن الضدّ في وقت ما </w:t>
      </w:r>
      <w:r>
        <w:rPr>
          <w:rStyle w:val="FootnoteAnchor"/>
          <w:rtl w:val="true"/>
        </w:rPr>
        <w:footnoteReference w:id="1115"/>
      </w:r>
      <w:r>
        <w:rPr>
          <w:rFonts w:ascii="Amiri" w:hAnsi="Amiri" w:eastAsia="Amiri" w:cs="Amiri"/>
          <w:color w:val="111111"/>
          <w:sz w:val="28"/>
          <w:sz w:val="28"/>
          <w:szCs w:val="28"/>
          <w:rtl w:val="true"/>
          <w:lang w:bidi="ar-SA"/>
        </w:rPr>
        <w:t xml:space="preserve">في الموسّعين أو عن ضدّ ما </w:t>
      </w:r>
      <w:r>
        <w:rPr>
          <w:rStyle w:val="FootnoteAnchor"/>
          <w:rtl w:val="true"/>
        </w:rPr>
        <w:footnoteReference w:id="1116"/>
      </w:r>
      <w:r>
        <w:rPr>
          <w:rFonts w:ascii="Amiri" w:hAnsi="Amiri" w:eastAsia="Amiri" w:cs="Amiri"/>
          <w:color w:val="111111"/>
          <w:sz w:val="28"/>
          <w:sz w:val="28"/>
          <w:szCs w:val="28"/>
          <w:rtl w:val="true"/>
          <w:lang w:bidi="ar-SA"/>
        </w:rPr>
        <w:t>في المضيّقين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إشكال في سريان النزاع إلى سائر أقسام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العيني والكفائي ، والتخييري والتعييني ، والنفسي والغيري ، والتعبّدي والتوصّلي ، والأصلي والتبعي ، بمعنى أنّ المضيّق من هذه الواجبات يقتضي النهي عن الموسّع منها ، سواء كانا متجانسين بأن دار الأمر بين المضيّق والموسّع من العيني والكفائي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مثلا ، أو مختلفين بأن كان المضيّق من العيني مثلا والموسّع من الكفائي أو التخييري وبالعكس ، فإنّه على القول بالاقتضاء وعدمه فهذه الواجبات متساوية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كلام الفاضل القمّي رحمه‌اللّه يشملها أيضا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حصول النزاع فيما إذا كان الضدّ من الواجبات الموسّعة غير جيّد ، لأنّهم يتفرّعون </w:t>
      </w:r>
      <w:r>
        <w:rPr>
          <w:rStyle w:val="FootnoteAnchor"/>
          <w:rtl w:val="true"/>
        </w:rPr>
        <w:footnoteReference w:id="1117"/>
      </w:r>
      <w:r>
        <w:rPr>
          <w:rFonts w:ascii="Amiri" w:hAnsi="Amiri" w:eastAsia="Amiri" w:cs="Amiri"/>
          <w:color w:val="111111"/>
          <w:sz w:val="28"/>
          <w:sz w:val="28"/>
          <w:szCs w:val="28"/>
          <w:rtl w:val="true"/>
          <w:lang w:bidi="ar-SA"/>
        </w:rPr>
        <w:t xml:space="preserve">على هذه المسألة حرمة السفر وفساد المعاملات مع عدم </w:t>
      </w:r>
    </w:p>
    <w:p>
      <w:pPr>
        <w:pStyle w:val="BookText"/>
        <w:rPr/>
      </w:pPr>
      <w:r>
        <w:rPr>
          <w:rFonts w:ascii="Amiri" w:hAnsi="Amiri" w:eastAsia="Amiri" w:cs="Amiri"/>
          <w:color w:val="111111"/>
          <w:sz w:val="28"/>
          <w:sz w:val="28"/>
          <w:szCs w:val="28"/>
          <w:rtl w:val="true"/>
          <w:lang w:bidi="ar-SA"/>
        </w:rPr>
        <w:t>كونها من الواجبات جدّا ، فضلا عن كونها موسّعين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إرخاء عناء البحث إلى أودية المباحات والمكروهات والمستحبّات أيضا ؛ لأنّ اقتضاء الأمر المضيّق النهي عن الضدّ لا اختصاص له بما إذا كان الضدّ واجبا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رحمه‌اللّه إلى قلّة جدوى البحث فيما عدا الواجب الموسّع ؛ لأنّ الثمرة المعتدّ بها هي فساد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الفساد عند الكلّ أو الجلّ لا يثبت إلاّ للضدّ الذي كان من العبادات ، لأنّهم لا يقولون بفساد المعاملة بمثل هذا النهي المتولّد من الأمر ، ولا بحرمة السفر على وجه يترتّب عليه آثار التحريم من الإتمام والإمساك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ومع ذلك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الموسّع يشمل العبادي والتوصّلي ، مع أنّ الثمرة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في التوصّلي ، فكان عليه بعد الإغماض عن خروج المباحات والمكروهات والمستحبّات تقييد الموسّع بالعبادي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مواضع جريان هذا النزاع ما إذا كان المأمور به مضيّقا عينيا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مضيّقا تخييريّا كما سنبيّنه ، ومن المعلوم خروج هذا عن محلّ النزاع لو خصّص الضدّ بالواجب الموسّع</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جميع هذه المناقشات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عبارة عمّا لا حرج ولا ضيق فيه مثل الضيق الذي في المأمور به ، لا المصطلح عليه عند الاصولي ، لأنّ الموسّع بهذا المعنى يشمل المباح في مقابل المضيّق بل الموسّع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يلزم حينئذ أن يقال بفساد جميع المستحبّات في حقّ من عليه واجب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المستحبّ سواء كان موسّعا أو مضيّقا في مقابل الواجب ، ولو كان موسّعا 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زاحم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يتوجّه النهي إلى المستحبّ فيفسد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سهل بعد ما عرفت آنفا من أنّ النهي المتولّد من الأمر الموسّع ليس منشأ لشيء من آثار التحريم ؛ لأنّه نهي تخييري مرجعه إلى أنّه إن شاء يفعل وإن شاء يترك إلى أن ينتهي الأمر إلى الضيق المقتضي للنهي العيني المقتضي 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جهات الضيق والتوسعة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الذي فسّرناهما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الأوّل عبارة عن مطلق الحرج والثاني عبارة عن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باختلاف الجهات والاعتبارات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وجوه الضيق والتوسعة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المأمور به مضيّقا وزمان الضدّ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الوجوه وأشهرها ، ومثاله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المأمور به واجبا عينيّا مضيّقا 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الضدّ أيضا واجبا مضيّقا ولكن كان تخييريّا لا عينيّا ، مثل ما إذا كان على المكلّف كفّارة الخصال فورا وكان بعض أقسامها منافيا للصوم الذي فرض وجوبه عينيّا مضيّقا ، فإنّ الأمر بالصوم المزبور يقتضي النهي عن الضدّ المفروض وجوبه تخييريّا ، إذ يجب على المكلّف حينئذ اختيار الفرد الآخر الغير المنافي للصوم من أفراد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إذا وجب عليه السفر للزيارة بنذر مضيّقا وكان عليه إحدى الكفّارات على سبيل الضيق أيضا ، فإنّه يجب عليه اختيار غير الصوم من الكفّارة بناء على مضادته شرعا مع السفر ، فالأمر المضيّق يقتضي النهي عن المضيّق أيضا إذا اختلفا من حيث العينيّة والتخييريّة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الضدّ مستحبّا ، فإنّ الأمر الوجوبي المضيّق يقتضي النهي عن ضدّه المستحبّ ولو كان مضيّقا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التي لا تخفى على المتأمّل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التفصيل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غبار عليه ؛ لأنّا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تزاحم المضيّق والموسّع فالترجيح للأوّل مطلقا ، وإذا تزاحم المضيّقان فالحكم هو التخيير إن لم يكن أحدهما أهمّ في نظر الشارع</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وجوه الأهميّة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ربما يكون الاهتمام في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نفس الإمام وبيضة الإسلام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في نظر الشارع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التخيير عند التساوي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بأخذ أحدهما معيّنا لا بدّ له من ترجيح ، وإلاّ لكان تحكّما وترجيحا بلا مرجّح ، والمفروض مساواتهما في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التزام تخصيص في دليل أحدهما ، لأنّا نعلم قطعا ببقاء إطلاق الأمر فيهما معا ، ولكن الذي يدعونا إلى ترك أحدهما تخييرا هو تعذّر الامتثال بهما معا ، فكان العقل لمّا رأى </w:t>
      </w:r>
      <w:r>
        <w:rPr>
          <w:rStyle w:val="FootnoteAnchor"/>
          <w:rtl w:val="true"/>
        </w:rPr>
        <w:footnoteReference w:id="1120"/>
      </w:r>
      <w:r>
        <w:rPr>
          <w:rFonts w:ascii="Amiri" w:hAnsi="Amiri" w:eastAsia="Amiri" w:cs="Amiri"/>
          <w:color w:val="111111"/>
          <w:sz w:val="28"/>
          <w:sz w:val="28"/>
          <w:szCs w:val="28"/>
          <w:rtl w:val="true"/>
          <w:lang w:bidi="ar-SA"/>
        </w:rPr>
        <w:t xml:space="preserve">مساواتهما في نظر الشارع والمصلحة الكامنة الموجبة للطلب ورأى </w:t>
      </w:r>
      <w:r>
        <w:rPr>
          <w:rStyle w:val="FootnoteAnchor"/>
          <w:rtl w:val="true"/>
        </w:rPr>
        <w:footnoteReference w:id="1121"/>
      </w:r>
      <w:r>
        <w:rPr>
          <w:rFonts w:ascii="Amiri" w:hAnsi="Amiri" w:eastAsia="Amiri" w:cs="Amiri"/>
          <w:color w:val="111111"/>
          <w:sz w:val="28"/>
          <w:sz w:val="28"/>
          <w:szCs w:val="28"/>
          <w:rtl w:val="true"/>
          <w:lang w:bidi="ar-SA"/>
        </w:rPr>
        <w:t xml:space="preserve">عدم إمكان الجمع بين الامتثالين ، حكم بمعذوريّة المكلّف في ترك الامتثال بأحدهما لا على التعيين ، فخروج أحدهما من تحت الطلب الفعلي إنّما هو من جهة وجود المانع الذي هو تعذّر الامتثال ، لا فقدان المقتضي ، لأنّ المفروض أنّ كلّ واحد منهما واجد للمصلحة المقتضية للأمر حال المزاحمة نحو وجدانهما إيّاها في غير حال المزاحمة ، وإلاّ لخرج المقام عن مقام تعارض الواجبين المفروض وجوبهما معا في آن واحد ، ففرق إذا بين أن يكون الخروج من المطلوبيّة بسبب فقدان المقتضي مثل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أنقذ الغريق إلاّ زيدا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الخروج باعتبار وجود المانع عن الامتثال مع وجود المقتضي مثل قوله </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لزيد وعمرو إذا فرض توقّف إنقاذ أحدهما على عدم إنقاذ الآخر ، فإنّ خروج أحدهما الكلّي من تحت الطلب الفعلي ليس باعتبار فقدان مقتضى الوجوب في أحد الإنقاذين ، بل باعتبار وجود المانع الذي هو تعذّر الامتثال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أغرب بعض الأفاضل </w:t>
      </w:r>
      <w:r>
        <w:rPr>
          <w:rStyle w:val="FootnoteAnchor"/>
          <w:rtl w:val="true"/>
        </w:rPr>
        <w:footnoteReference w:id="1123"/>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المرجّح في المقام ملاحظة أدلّة الواجبين حتّى خصّص عنوان البحث في هذه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بالشيء إنّما يقتضي النهي عن الضدّ إذا كان دليل ذلك الأمر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وجوب الضدّ ظنّيا ، فإنّه لو كان الدليلان كلاهما قطعيّين فذاك فرض محال ، لأن الأمر بالضدّين في آن واحد ممتنع نحو امتناع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عكس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دليل الواجب ظنّيا ودليل الضدّ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الأمر الظنّي النهي عن الواجب القطعي الذي هو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دليل الواجب ودليل الضدّ كلاهما ظنّيين فيرجع إلى الترجيح ويؤخذ بالراجح ، فلا وجه لجعل أحدهما حينئذ ولو كان مضيّقا مقتضيا للنهي عن الآخر ولو كان موسّعا ، لاحتمال أن يكون الرجحان في طرف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غرابة هذا الكلام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تزاحم الواجبين والحقّين باب آخر غير باب تعارض الأدلّة المطلوب فيها ملاحظة حيثيّة القوّة والضعف ؛ لأنّ الواجبين إنّما يكونان فردين من كلّي واحد ، كإنقاذ الغريقين الموقوف إنقاذ كلّ منهما على ترك إنقاذ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ليس من موارد بحثنا في هذه المسألة ، ضرورة كونهما متساويين في الضيق والتوسعة حينئذ وكون الغرض الأصلي للاصولي متعلّقا بمزاحمة المضيّق والموسّع المقتضية للمغايرة بين الواجبين نوعا ودليلا ، إلاّ أنّه لا يبحث في هذه المسألة إلاّ عن حال الواجبين اللذين يبحث عنهما في تزاحم الحقوق من حيث كون العمل بكلّ من الدليلين مقطوعا به ولو كان أصل الدليل </w:t>
      </w:r>
      <w:r>
        <w:rPr>
          <w:rStyle w:val="FootnoteAnchor"/>
          <w:rtl w:val="true"/>
        </w:rPr>
        <w:footnoteReference w:id="1124"/>
      </w:r>
      <w:r>
        <w:rPr>
          <w:rFonts w:ascii="Amiri" w:hAnsi="Amiri" w:eastAsia="Amiri" w:cs="Amiri"/>
          <w:color w:val="111111"/>
          <w:sz w:val="28"/>
          <w:sz w:val="28"/>
          <w:szCs w:val="28"/>
          <w:rtl w:val="true"/>
          <w:lang w:bidi="ar-SA"/>
        </w:rPr>
        <w:t xml:space="preserve">ظنّيا ، وحينئذ </w:t>
      </w:r>
    </w:p>
    <w:p>
      <w:pPr>
        <w:pStyle w:val="BookText"/>
        <w:rPr/>
      </w:pPr>
      <w:r>
        <w:rPr>
          <w:rFonts w:ascii="Amiri" w:hAnsi="Amiri" w:eastAsia="Amiri" w:cs="Amiri"/>
          <w:color w:val="111111"/>
          <w:sz w:val="28"/>
          <w:sz w:val="28"/>
          <w:szCs w:val="28"/>
          <w:rtl w:val="true"/>
          <w:lang w:bidi="ar-SA"/>
        </w:rPr>
        <w:t>فلو كان دليل الواجب في كمال الضعف بالنسبة إلى فعل الضدّ كان كما لو تساويا في القوّة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في عنوان هذه المسألة معرفة التنافي والمضادّة بين الأمر بالمضيّق والأمر بالموسّع ، فلا بدّ أوّلا من معرفة منافاتهما ثمّ الرجوع إلى الأدلّة في مقام العلاج بطرح ما كان دليله ظنّيا ، إلاّ أن يجعل الفرق بين القطعي والظنّي رفعا للمنافاة في صورة التساوي مثلا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إذا كانا 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الأمر بالمضيّق منهما للنهي عن الموسّع ، أعني أنّه لا منافاة بينهما ، لأنّ المنافاة وعدمها لا يختلفان باتّفاق الدليلين في الاعتبار والقوّة واختلافهما ، فإن كان بين الأمر المضيّق والموسّع مضادّة فسواء كان دليلاهما قطعيّين أو ظنّيين أو مختلفين فهي ثابتة بينهما ، وإلاّ فلا وجه لملاحظة حال الدليلين في مسألة اقتضاء الأمر بالشيء النهي عن الضدّ ، بل هو كلام في غاية البعد من الصدور عن الأفاضل ، ولذا تجد الكتب 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فالدليل على تقديم الأهمّ من المضيّقين على الآخر تتبّع أحوال الشارع وحكم العقل بذلك وقاعدة الاشتغال السارية في جميع المقامات التي يدور الأمر فيها بين التخيير والتعيين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صاحب الوافية أنّ الحقّ هو التخيير </w:t>
      </w:r>
      <w:r>
        <w:rPr>
          <w:rStyle w:val="FootnoteAnchor"/>
          <w:rtl w:val="true"/>
        </w:rPr>
        <w:footnoteReference w:id="1125"/>
      </w:r>
      <w:r>
        <w:rPr>
          <w:rFonts w:ascii="Amiri" w:hAnsi="Amiri" w:eastAsia="Amiri" w:cs="Amiri"/>
          <w:color w:val="111111"/>
          <w:sz w:val="28"/>
          <w:sz w:val="28"/>
          <w:szCs w:val="28"/>
          <w:rtl w:val="true"/>
          <w:lang w:bidi="ar-SA"/>
        </w:rPr>
        <w:t>أيضا فاسدة جدّا بعد العلم الضروري بأنّه إذا دار الأمر بين حفظ نفس الإمام وحفظ غيره فالأوّل أهمّ عند الشارع المقدّس وأوجب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بالأهمّ ما هو راجح في نظر المكلّف لا في نظر الشارع ، فإنّ الرجحان الذي يراه المكلّف من دون استناده إلى ما يرجع إلى الشرع غير معتنى به جدّا ، فلا يحكم بالترجيح بل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 معرفة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كلمات الشارع والآثار المترتّبة من قبله على ترك الواجب أو فعل الحرام ، فإنّا إذا رأيناه قد حكم بفسق الكاذب وكفر قاتل النبي صلى‌اللّه‌عليه‌وآله علمنا أنّ حفظ نفسه الشريفة أهمّ في نظره المقدّس من الاجتناب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الظنّ بالأهمّية كاف في الحكم بالتخيير ؛ لأنّ العقل وقاعدة الاشتغال أيضا ناهضان على الحكم بذلك ، بل لا يبعد الحكم بالتعيين بمجرّد احتمال الرجحان والأهمّية ولو لقاعدة الاشتغال المزبورة السليمة عن المعارض</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المرجّح فعلا يقتضي وجوب الترجيح بل استحبابه ، ومنه ما لو دار الأمر بين الاجتناب عن سبّ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نفس آدميّ ، فإنّه مقام التخيير بين الأمرين على ما عزي </w:t>
      </w:r>
      <w:r>
        <w:rPr>
          <w:rStyle w:val="FootnoteAnchor"/>
          <w:rtl w:val="true"/>
        </w:rPr>
        <w:footnoteReference w:id="1126"/>
      </w:r>
      <w:r>
        <w:rPr>
          <w:rFonts w:ascii="Amiri" w:hAnsi="Amiri" w:eastAsia="Amiri" w:cs="Amiri"/>
          <w:color w:val="111111"/>
          <w:sz w:val="28"/>
          <w:sz w:val="28"/>
          <w:szCs w:val="28"/>
          <w:rtl w:val="true"/>
          <w:lang w:bidi="ar-SA"/>
        </w:rPr>
        <w:t xml:space="preserve">إلى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استحباب مراعاة حفظ النفس ، سيّما في حق قدوة الناس ورئيسهم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المنافاة بين قولنا بالترجيح الاستحبابي وقولنا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بالترجيح عند احتمال الرجحان ، لأنّ الفرق بين احتمال وجود الرجحان الملزم وبين القطع بعدمه ولوجود الرجحان الغير الملزم ما بين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إنكار حسن الترجيح واستحبابه رأسا فممّا لا يصغى إليه لمكاذبته للوجدان والتتبّع</w:t>
      </w:r>
      <w:r>
        <w:rPr>
          <w:rFonts w:eastAsia="Amiri" w:cs="Amiri" w:ascii="Amiri" w:hAnsi="Amiri"/>
          <w:color w:val="111111"/>
          <w:sz w:val="28"/>
          <w:szCs w:val="28"/>
          <w:rtl w:val="true"/>
          <w:lang w:bidi="ar-SA"/>
        </w:rPr>
        <w:t xml:space="preserve">. </w:t>
      </w:r>
      <w:bookmarkStart w:id="337" w:name="pg16254_218804"/>
    </w:p>
    <w:p>
      <w:pPr>
        <w:pStyle w:val="Heading4"/>
        <w:numPr>
          <w:ilvl w:val="3"/>
          <w:numId w:val="1"/>
        </w:numPr>
        <w:rPr/>
      </w:pPr>
      <w:bookmarkStart w:id="338" w:name="__RefHeading___Toc4418338_1280447820"/>
      <w:bookmarkStart w:id="339" w:name="_Toc106"/>
      <w:bookmarkEnd w:id="337"/>
      <w:bookmarkEnd w:id="338"/>
      <w:r>
        <w:rPr>
          <w:rtl w:val="true"/>
        </w:rPr>
        <w:t xml:space="preserve">المقدّمة الثالثة </w:t>
      </w:r>
      <w:r>
        <w:rPr>
          <w:rtl w:val="true"/>
        </w:rPr>
        <w:t xml:space="preserve">: </w:t>
      </w:r>
      <w:r>
        <w:rPr>
          <w:rtl w:val="true"/>
        </w:rPr>
        <w:t xml:space="preserve">في معرفة المراد من </w:t>
      </w:r>
      <w:r>
        <w:rPr>
          <w:rtl w:val="true"/>
        </w:rPr>
        <w:t xml:space="preserve">« </w:t>
      </w:r>
      <w:r>
        <w:rPr>
          <w:rtl w:val="true"/>
        </w:rPr>
        <w:t xml:space="preserve">الشيء </w:t>
      </w:r>
      <w:r>
        <w:rPr>
          <w:rtl w:val="true"/>
        </w:rPr>
        <w:t xml:space="preserve">» </w:t>
      </w:r>
      <w:r>
        <w:rPr>
          <w:rtl w:val="true"/>
        </w:rPr>
        <w:t xml:space="preserve">و </w:t>
      </w:r>
      <w:r>
        <w:rPr>
          <w:rtl w:val="true"/>
        </w:rPr>
        <w:t xml:space="preserve">« </w:t>
      </w:r>
      <w:r>
        <w:rPr>
          <w:rtl w:val="true"/>
        </w:rPr>
        <w:t xml:space="preserve">النهي </w:t>
      </w:r>
      <w:r>
        <w:rPr>
          <w:rtl w:val="true"/>
        </w:rPr>
        <w:t xml:space="preserve">» </w:t>
      </w:r>
      <w:r>
        <w:rPr>
          <w:rtl w:val="true"/>
        </w:rPr>
        <w:t>المشتمل عليهما عنوان البحث</w:t>
      </w:r>
      <w:bookmarkEnd w:id="339"/>
    </w:p>
    <w:p>
      <w:pPr>
        <w:pStyle w:val="BookText"/>
        <w:rPr/>
      </w:pPr>
      <w:r>
        <w:rPr>
          <w:rFonts w:ascii="Amiri" w:hAnsi="Amiri" w:eastAsia="Amiri" w:cs="Amiri"/>
          <w:color w:val="111111"/>
          <w:sz w:val="28"/>
          <w:sz w:val="28"/>
          <w:szCs w:val="28"/>
          <w:rtl w:val="true"/>
          <w:lang w:bidi="ar-SA"/>
        </w:rPr>
        <w:t xml:space="preserve">أمّا الأوّل ، فلعلّ الظاهر منه الشيء الوجودي ، ويمكن أن يراد به ما يعمّ التروك أيضا ، فيدخل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يتّجه القول بأنّ الأمر بالشيء عين النهي عن ضدّه العامّ ؛ لأنّ النهي عن ترك ترك </w:t>
      </w:r>
      <w:r>
        <w:rPr>
          <w:rStyle w:val="FootnoteAnchor"/>
          <w:rtl w:val="true"/>
        </w:rPr>
        <w:footnoteReference w:id="1127"/>
      </w:r>
      <w:r>
        <w:rPr>
          <w:rFonts w:ascii="Amiri" w:hAnsi="Amiri" w:eastAsia="Amiri" w:cs="Amiri"/>
          <w:color w:val="111111"/>
          <w:sz w:val="28"/>
          <w:sz w:val="28"/>
          <w:szCs w:val="28"/>
          <w:rtl w:val="true"/>
          <w:lang w:bidi="ar-SA"/>
        </w:rPr>
        <w:t>الزنا عبارة اخرى عن النهي عن فعله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يتّجه القول حينئذ بأنّ المراد بالنهي الذي يقتضيه الأمر بالشيء ما يعمّ الأصلي والتبعي ؛ لأنّ هذا النهي المستفاد من الأمر بالترك ليس إلاّ أصليّا ، كما أنّ النهي المتعلّق بالأضداد الخاصّة على القول بأنّ الأمر بها عين النهي عن 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الأمر بالسكون عبارة اخرى من النهي عن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أيضا أصليّا ، فاتّضح المراد من النهي بأنّه يعمّ الأصلي والتبعي معا ، فمن خصّصه بالتبعي أو بالأصلي فقد سها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أوقع المخصّص بالأصلي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كالقمّي طاب ثراه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خياله هذا ما رآه في كلمات الأصحاب في ذكر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الضدّ المصادم لوقت المأمور به كالصلاة الواقعة في وقت الإزالة ، فإنّه لا يتمّ إلاّ على تقدير كون النهي المتعلّق بالضدّ أصليّا ، إذ النواهي التبعيّة لا تقتضي الفساد خصوصا في المعاملات ، فحيث حكموا ببطلان الضدّ على القول بالاقتضاء علم أنّ النهي المتنازع فيه هو النهي الأصلي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ينقدح وجه كون الوجوب المتنازع فيه في بحث مقدّمة الواجب هو الوجوب الأصلي النفسي عنده رحمه‌اللّه كما تقدّم ؛ لأنّ حرمة الضدّ بزعمه إنّما تثبت من جهة المقدّميّة ، وإذ قد ثبت كون الحرمة هذه حرمة نفسيّة حاصلة من النهي النفسي الأصلي ثبت </w:t>
      </w:r>
      <w:r>
        <w:rPr>
          <w:rStyle w:val="FootnoteAnchor"/>
          <w:rtl w:val="true"/>
        </w:rPr>
        <w:footnoteReference w:id="1129"/>
      </w:r>
      <w:r>
        <w:rPr>
          <w:rFonts w:ascii="Amiri" w:hAnsi="Amiri" w:eastAsia="Amiri" w:cs="Amiri"/>
          <w:color w:val="111111"/>
          <w:sz w:val="28"/>
          <w:sz w:val="28"/>
          <w:szCs w:val="28"/>
          <w:rtl w:val="true"/>
          <w:lang w:bidi="ar-SA"/>
        </w:rPr>
        <w:t>أنّ الوجوب المتنازع فيه في بحث مقدّمة الواجب أصليّ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وجوب تبعيّ لا أصليّ ، وعلى هذا يلزم التعميم في النهي المتنازع فيه هنا ؛ لأنّ الحقّ الموافق للتحقيق والمشهور أيضا أنّ النهي المتعلّق بالأضداد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جهة العينيّة ، بل من جهة الاستلزام أو المقدّميّة ، فلو خصّصناه بالنهي الأصلي فكيف ينطبق هذا على القول </w:t>
      </w:r>
      <w:r>
        <w:rPr>
          <w:rStyle w:val="FootnoteAnchor"/>
          <w:rtl w:val="true"/>
        </w:rPr>
        <w:footnoteReference w:id="1130"/>
      </w:r>
      <w:r>
        <w:rPr>
          <w:rFonts w:ascii="IRNazanin" w:hAnsi="IRNazanin" w:eastAsia="IRNazanin"/>
          <w:color w:val="111111"/>
          <w:sz w:val="28"/>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حكمهم بفساد الضدّ يدلّ على كون النهي المتنازع فيه نفسيّا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الفساد إنّما هي المبغوضيّة ، والنهي إنّما يقتضي الفساد من جهة كشفه عنها ، والمبغوضيّة ليست من خصائص النهي الأصلي ، إذ قد يجتمع مع النهي التبعي أيضا ولو كانت المبغوضيّة أيضا تبعيّة ، وقد لا يجتمع مع النهي الأصلي ، إذ قد يكون النهي الأصلي غيريّا ، وقد تقدّم في مقدّمة الواجب أنّ الأوامر الغيريّة غير واجدة للمصالح أصلا إلاّ الوصلة إلى الغير فكذا النواهي ، فتدبّر جيّدا</w:t>
      </w:r>
      <w:r>
        <w:rPr>
          <w:rFonts w:eastAsia="Amiri" w:cs="Amiri" w:ascii="Amiri" w:hAnsi="Amiri"/>
          <w:color w:val="111111"/>
          <w:sz w:val="28"/>
          <w:szCs w:val="28"/>
          <w:rtl w:val="true"/>
          <w:lang w:bidi="ar-SA"/>
        </w:rPr>
        <w:t xml:space="preserve">. </w:t>
      </w:r>
      <w:bookmarkStart w:id="340" w:name="pg16254_218806"/>
    </w:p>
    <w:p>
      <w:pPr>
        <w:pStyle w:val="Heading4"/>
        <w:numPr>
          <w:ilvl w:val="3"/>
          <w:numId w:val="1"/>
        </w:numPr>
        <w:rPr/>
      </w:pPr>
      <w:bookmarkStart w:id="341" w:name="__RefHeading___Toc4418340_1280447820"/>
      <w:bookmarkStart w:id="342" w:name="_Toc107"/>
      <w:bookmarkEnd w:id="340"/>
      <w:bookmarkEnd w:id="341"/>
      <w:r>
        <w:rPr>
          <w:rtl w:val="true"/>
        </w:rPr>
        <w:t xml:space="preserve">المقدّمة الرابعة </w:t>
      </w:r>
      <w:r>
        <w:rPr>
          <w:rtl w:val="true"/>
        </w:rPr>
        <w:t xml:space="preserve">: </w:t>
      </w:r>
      <w:r>
        <w:rPr>
          <w:rtl w:val="true"/>
        </w:rPr>
        <w:t>في الضدّ</w:t>
      </w:r>
      <w:bookmarkEnd w:id="342"/>
    </w:p>
    <w:p>
      <w:pPr>
        <w:pStyle w:val="BookText"/>
        <w:rPr/>
      </w:pPr>
      <w:r>
        <w:rPr>
          <w:rFonts w:ascii="Amiri" w:hAnsi="Amiri" w:eastAsia="Amiri" w:cs="Amiri"/>
          <w:color w:val="111111"/>
          <w:sz w:val="28"/>
          <w:sz w:val="28"/>
          <w:szCs w:val="28"/>
          <w:rtl w:val="true"/>
          <w:lang w:bidi="ar-SA"/>
        </w:rPr>
        <w:t xml:space="preserve">ومعناه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والمعاند مطلقا </w:t>
      </w:r>
      <w:r>
        <w:rPr>
          <w:rStyle w:val="FootnoteAnchor"/>
          <w:rtl w:val="true"/>
        </w:rPr>
        <w:footnoteReference w:id="1131"/>
      </w:r>
      <w:r>
        <w:rPr>
          <w:rFonts w:ascii="Amiri" w:hAnsi="Amiri" w:eastAsia="Amiri" w:cs="Amiri"/>
          <w:color w:val="111111"/>
          <w:sz w:val="28"/>
          <w:sz w:val="28"/>
          <w:szCs w:val="28"/>
          <w:rtl w:val="true"/>
          <w:lang w:bidi="ar-SA"/>
        </w:rPr>
        <w:t xml:space="preserve">، وفي اصطلاح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لا يجتمع مع وجوديّ آخر في محلّ واحد في زمان واحد </w:t>
      </w:r>
      <w:r>
        <w:rPr>
          <w:rStyle w:val="FootnoteAnchor"/>
          <w:rtl w:val="true"/>
        </w:rPr>
        <w:footnoteReference w:id="1132"/>
      </w:r>
      <w:r>
        <w:rPr>
          <w:rFonts w:ascii="Amiri" w:hAnsi="Amiri" w:eastAsia="Amiri" w:cs="Amiri"/>
          <w:color w:val="111111"/>
          <w:sz w:val="28"/>
          <w:sz w:val="28"/>
          <w:szCs w:val="28"/>
          <w:rtl w:val="true"/>
          <w:lang w:bidi="ar-SA"/>
        </w:rPr>
        <w:t>، فالمتناقضان يندرجان تحت الضدّ اللغوي دون الاصطلاحي ، لأنّهما ليسا أمرين وجوديّين ، بل أحدهما وجودي والآخر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التضادّ مضافا إلى ما ذكر جواز تواردهما على محلّ واحد ، فيخرج نحو السواد والعلم ، فإنّهما وإن لم يجتمعا في محلّ واحد لكن ليسا ممّا يتواردان على محلّ واحد ، لأنّ محلّ كلّ واحد منهما مغاير لمحلّ الآخر ، فإنّ محلّ العلم القلب ومحلّ السواد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المنافاة راجعة إلى المتضادّين بحيث لا يجتمعان على محلّ واحد قابل لورود كلّ واحد منهما ذاتا ، فما ليس كذلك لا يكون من التضادّ في شيء ، مثل العلم والسواد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فقد اطلق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امور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الامور الوجوديّة المنافية للمأمور به ، مثل الأكل ، والشرب ، والمشي بالنسبة إلى الصلاة ، وهي بالنسبة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إطلاق الضدّ عليها حقيقة 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w:t>
      </w:r>
      <w:r>
        <w:rPr>
          <w:rStyle w:val="FootnoteAnchor"/>
          <w:rtl w:val="true"/>
        </w:rPr>
        <w:footnoteReference w:id="1133"/>
      </w:r>
      <w:r>
        <w:rPr>
          <w:rFonts w:ascii="Amiri" w:hAnsi="Amiri" w:eastAsia="Amiri" w:cs="Amiri"/>
          <w:color w:val="111111"/>
          <w:sz w:val="28"/>
          <w:sz w:val="28"/>
          <w:szCs w:val="28"/>
          <w:rtl w:val="true"/>
          <w:lang w:bidi="ar-SA"/>
        </w:rPr>
        <w:t xml:space="preserve">يكون بعض الأفعال الوجوديّة من </w:t>
      </w:r>
    </w:p>
    <w:p>
      <w:pPr>
        <w:pStyle w:val="BookText"/>
        <w:rPr/>
      </w:pPr>
      <w:r>
        <w:rPr>
          <w:rFonts w:ascii="Amiri" w:hAnsi="Amiri" w:eastAsia="Amiri" w:cs="Amiri"/>
          <w:color w:val="111111"/>
          <w:sz w:val="28"/>
          <w:sz w:val="28"/>
          <w:szCs w:val="28"/>
          <w:rtl w:val="true"/>
          <w:lang w:bidi="ar-SA"/>
        </w:rPr>
        <w:t>الموانع والنواقض بالنسبة إلى الآخر ، كمبطلات الصلاة ونواقض الطهارة وروافع الأحداث وموانع العقد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الضد على هذه الامور لا يخلو عن إشكال ومسامحة ، لأنّ نسبة كلّ واحد من الضدّين مثل نسبة الآخر إليه ، والأمر فيها ليس كذلك ، إذ المانع علّة لعدم الممنوع دون العكس ؛ مضافا إلى إشكال تصوير تواردهما على محلّ واحد ، فليتدبّر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الأفعال الوجوديّة المنافية للمأمور به ، ويسمّونه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وإطلاق الضدّ عليه أيضا خال عن حزازة ، بل هذا في الحقيقة راجع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 ويسمّونه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وهذا أشهر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الضدّ عليه لا يخلو عن مناقشة ، لأنّ الترك أمر عدميّ والمأخوذ في الضدّ المصطلح أن يكون أمرا وجوديّا كما مرّ ، فهو نقيض للفعل لا ضدّ له ، ولو جعل الترك عبارة عن اختيار العدم لكان وجها ، لأنّ هذا الاختيار أمر وجوديّ مضادّ للفعل الذي هو عبارة عن اختيار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يتصوّر الواسطة بين الفعل والترك ، وهي ما إذا ترك الفعل لا عن اختيار ، فإنّه ليس من الترك المفسّر باختيار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هذا النحو من الترك أيضا نقيض للفعل ، لأنّ نقيض الوجود العدم ، والعدم قد يكون مسبوقا بالاختيار وقد لا يكون كذلك ، فالأوّل أيضا فرد من أفراد مطلق العدم الذي هو نقيض للوجود وفرد النقيض نقيض ، لأنّ الاختيار أمر وجوديّ لا يجوز جعله فردا من العدم المطلق الذي هو نقيض للوجود ، وكون المختار هو العدم لا يجعل نفس الاختيار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فسّرنا الترك 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نقيضا للفعل جدّا ، وإن فسّرنا باختيار عدم الإيجاد أمكن جعله من الضدّ المصطلح</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استراح من جعل الترك بمعنى الكفّ ؛ لكونه من الامور الوجوديّة التي لا تجتمع مع الفعل أبدا في محلّ واحد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وإن لم يجتمعا في محلّ واحد ، ولكنّهما ليسا من المتضادّين المتواردين على محلّ واحد ، بل هما من قبيل العلم والسواد الذي قد عرفت خروجهما عن الحدّ بقيد التوارد ، لأنّ محلّ الكفّ هو النفس ومحلّ الفعل هو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الكلامين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كلام المستريح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الترك الذي كلامنا فيه هو الذي أخذ منعه فصلا للوجوب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طلب الشيء مع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بالضدّ العامّ هو ترك المأمور به الذي منع منه بمجرّد إيجاب المأمور به ، ولم يظهر من القائلين بكون المطلوب من النهي هو الكفّ وأنّ معنى الترك المطلوب من النهي عبارة عن طلب الكفّ أنّ مادّة الترك التي يدخلها النهي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اعتبر المنع منها قيدا وفصلا للوجوب أيضا عبارة عن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دعاهم إلى إرجاع الترك المطلوب من صيغة النهي إلى الكفّ أنّ مجرّد الترك أمر عدميّ لا يجوز تعلّق الطلب عليه وجودا وعدما ، وهذا غير موجود في المقام ؛ إذ المطلوب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طلب فعل الصلاة ، فلو فسّرنا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يكفي في جعل المطلوب من النهي أمرا مقدورا ، ولا حاجة إلى تفسيره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الكفّ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هذا من المستهجنات التي لا أظنّ قائلا بها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التروك سواء كانت مداليل الهيئة أو المادّة امور غير مقدورة ، فإنّ دليلهم المزبور على إرجاع مدلول النهي إلى الكفّ ، فلا يتفاوت فيه مدلول المادّة أو الهيئة حتّى أنّه يلزم على هذا التقدير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واضحة الفساد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تماميّة </w:t>
      </w:r>
    </w:p>
    <w:p>
      <w:pPr>
        <w:pStyle w:val="BookText"/>
        <w:rPr/>
      </w:pPr>
      <w:r>
        <w:rPr>
          <w:rFonts w:ascii="Amiri" w:hAnsi="Amiri" w:eastAsia="Amiri" w:cs="Amiri"/>
          <w:color w:val="111111"/>
          <w:sz w:val="28"/>
          <w:sz w:val="28"/>
          <w:szCs w:val="28"/>
          <w:rtl w:val="true"/>
          <w:lang w:bidi="ar-SA"/>
        </w:rPr>
        <w:t xml:space="preserve">دليلهم المزبور في المقام وإن كان تماما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الترك المنهيّ عنه في المقام أمر انتزع عن طلب الفعل ، فلا حاجة إلى إرجاعه إلى الكفّ بعد كون المراد من النهي عنه بعينه طلب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ذمّ إلاّ على فعل فلا بدّ من كون المراد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الكفّ وإلاّ لكان الذمّ على غير الفعل ، فهو أيضا أجنبيّ عن المقام ؛ لأنّه يكفي في تصحيح الذمّ هنا جعله مترتّبا على الكفّ عن الصلاة ، فلا حاجة إلى 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عن الكفّ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وقع عند المتأمّل الفطن لكلام المستريح ، بل ولا أظنّ أحدا من القائلين بأنّ المطلوب من النهي هو الكفّ أن يقول بأن المراد بالترك المنهيّ عنه في المقام هو الكفّ ، فإنّ كلّ واحد من المقامين بمراحل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خلط فاحش وخبط بيّن ، فتفطّن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كلام المعترض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 مضادّة الكفّ مع الفعل بدعوى تغاير المحلّ ممنوع ، لأنّ الحقّ أنّ محلّ الكفّ والفعل كليهما هو النفس وإن كان أثرهما ظاهرا في الجوارح ، لأنّ الفعل عبارة عن بعث النفس للجوارح والكفّ عن إمساكها ، والإمساك والبعث كلاهما حالان وفعلان للنفس ، وأثرهما إنّما يظهر في الأعضاء والجوارح ، فإنّ النفس إذا بعثت الجوارح على العمل حصل منه حركات مخصوصة في الجارحة من الأعضاء المخصوصة ، وإذا أمسكتها حصل منه القبض والسكون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الفعل عبارة عن نفس حاصل الأثر فقابله بأثر الإمساك الذي هو </w:t>
      </w:r>
    </w:p>
    <w:p>
      <w:pPr>
        <w:pStyle w:val="BookText"/>
        <w:rPr/>
      </w:pPr>
      <w:r>
        <w:rPr>
          <w:rFonts w:ascii="Amiri" w:hAnsi="Amiri" w:eastAsia="Amiri" w:cs="Amiri"/>
          <w:color w:val="111111"/>
          <w:sz w:val="28"/>
          <w:sz w:val="28"/>
          <w:szCs w:val="28"/>
          <w:rtl w:val="true"/>
          <w:lang w:bidi="ar-SA"/>
        </w:rPr>
        <w:t>الكفّ وهما متّحدا المحلّ جدّا ، وإن جعلت عبارة عن بعث النفس فقابله بنفس الإمساك على أيّ تقدير ، فالكفّ والفعل محلّهما واحد يمكن تواردهما على ذلك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محلاّهما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اجتماعهما في محلّيهما نحو العلم والسواد ، والفعل والكفّ عنه أبدا لا يجتمعان في عالم الوجود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فيما إذا أردنا جعل إطلاق الضدّ على الترك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هذا الإطلاق مجازيّ لعلاقة المجاورة ، لأنّ الأفعال الخارجيّة المقارنة لترك المأمور به لمّا كانت أضدادا حقيقيّة للمأمور به سمّي الترك بالضدّ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تسميته بالضدّ العام هو اجتماعه مع جميع الأضداد ، وذلك واضح</w:t>
      </w:r>
      <w:r>
        <w:rPr>
          <w:rFonts w:eastAsia="Amiri" w:cs="Amiri" w:ascii="Amiri" w:hAnsi="Amiri"/>
          <w:color w:val="111111"/>
          <w:sz w:val="28"/>
          <w:szCs w:val="28"/>
          <w:rtl w:val="true"/>
          <w:lang w:bidi="ar-SA"/>
        </w:rPr>
        <w:t xml:space="preserve">. </w:t>
      </w:r>
      <w:bookmarkStart w:id="343" w:name="pg16254_218811"/>
    </w:p>
    <w:p>
      <w:pPr>
        <w:pStyle w:val="Heading4"/>
        <w:numPr>
          <w:ilvl w:val="3"/>
          <w:numId w:val="1"/>
        </w:numPr>
        <w:rPr/>
      </w:pPr>
      <w:bookmarkStart w:id="344" w:name="__RefHeading___Toc4418342_1280447820"/>
      <w:bookmarkStart w:id="345" w:name="_Toc108"/>
      <w:bookmarkEnd w:id="343"/>
      <w:bookmarkEnd w:id="344"/>
      <w:r>
        <w:rPr>
          <w:rtl w:val="true"/>
        </w:rPr>
        <w:t xml:space="preserve">المقدّمة الخامسة </w:t>
      </w:r>
      <w:r>
        <w:rPr>
          <w:rtl w:val="true"/>
        </w:rPr>
        <w:t xml:space="preserve">: </w:t>
      </w:r>
      <w:r>
        <w:rPr>
          <w:rtl w:val="true"/>
        </w:rPr>
        <w:t xml:space="preserve">في بيان المراد من </w:t>
      </w:r>
      <w:r>
        <w:rPr>
          <w:rtl w:val="true"/>
        </w:rPr>
        <w:t xml:space="preserve">« </w:t>
      </w:r>
      <w:r>
        <w:rPr>
          <w:rtl w:val="true"/>
        </w:rPr>
        <w:t xml:space="preserve">الاقتضاء </w:t>
      </w:r>
      <w:r>
        <w:rPr>
          <w:rtl w:val="true"/>
        </w:rPr>
        <w:t xml:space="preserve">» </w:t>
      </w:r>
      <w:r>
        <w:rPr>
          <w:rtl w:val="true"/>
        </w:rPr>
        <w:t>المتنازع فيه</w:t>
      </w:r>
      <w:bookmarkEnd w:id="345"/>
    </w:p>
    <w:p>
      <w:pPr>
        <w:pStyle w:val="BookText"/>
        <w:rPr/>
      </w:pPr>
      <w:r>
        <w:rPr>
          <w:rFonts w:ascii="Amiri" w:hAnsi="Amiri" w:eastAsia="Amiri" w:cs="Amiri"/>
          <w:color w:val="111111"/>
          <w:sz w:val="28"/>
          <w:sz w:val="28"/>
          <w:szCs w:val="28"/>
          <w:rtl w:val="true"/>
          <w:lang w:bidi="ar-SA"/>
        </w:rPr>
        <w:t>والمراد به ما يعمّ العينيّة وإن كان الظاهر منه التضمّن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كلام صاحب المعالم في الضدّ العام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نزاع من حيث أصل الاقتضاء وإنّما النزاع في كيفيّته وأنّه هل من باب العينيّة أو التضمّن أو الالتزام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إذ الصريح منه أنّ الاقتضاء المتنازع فيه ما يعمّ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إمكان القول بالعينيّة في الضدّ العامّ ، كما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من بعض العناوين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بالشيء نهي عن ضدّه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اختصاص النزاع بالعينيّة ، ولكن المراد به أيضا الأعمّ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الفرق بين العينيّة والدلالة المطابقة يظهر بالتأمّل في الفرق بين الاثنين ونصف الأربعة وبين دلالة لفظ الاثنين على معناه ، فإنّ الثاني على سبيل المطابقة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اتّحاد الاثنين ونصف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bookmarkStart w:id="346" w:name="pg16254_218812"/>
    </w:p>
    <w:p>
      <w:pPr>
        <w:pStyle w:val="Heading3"/>
        <w:numPr>
          <w:ilvl w:val="2"/>
          <w:numId w:val="1"/>
        </w:numPr>
        <w:rPr/>
      </w:pPr>
      <w:bookmarkStart w:id="347" w:name="__RefHeading___Toc4418344_1280447820"/>
      <w:bookmarkStart w:id="348" w:name="_Toc109"/>
      <w:bookmarkEnd w:id="346"/>
      <w:bookmarkEnd w:id="347"/>
      <w:r>
        <w:rPr>
          <w:rtl w:val="true"/>
        </w:rPr>
        <w:t xml:space="preserve">[ </w:t>
      </w:r>
      <w:r>
        <w:rPr>
          <w:rtl w:val="true"/>
        </w:rPr>
        <w:t xml:space="preserve">الأقوال في المسألة </w:t>
      </w:r>
      <w:r>
        <w:rPr>
          <w:rtl w:val="true"/>
        </w:rPr>
        <w:t>]</w:t>
      </w:r>
      <w:bookmarkEnd w:id="348"/>
    </w:p>
    <w:p>
      <w:pPr>
        <w:pStyle w:val="Heading4"/>
        <w:numPr>
          <w:ilvl w:val="3"/>
          <w:numId w:val="1"/>
        </w:numPr>
        <w:rPr/>
      </w:pPr>
      <w:bookmarkStart w:id="349" w:name="__RefHeading___Toc4418346_1280447820"/>
      <w:bookmarkStart w:id="350" w:name="_Toc110"/>
      <w:bookmarkEnd w:id="349"/>
      <w:r>
        <w:rPr>
          <w:rtl w:val="true"/>
        </w:rPr>
        <w:t>اشارة</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rtl w:val="true"/>
          <w:lang w:bidi="ar-SA"/>
        </w:rPr>
        <w:t>]</w:t>
      </w:r>
      <w:r>
        <w:rPr>
          <w:rStyle w:val="FootnoteAnchor"/>
          <w:rtl w:val="true"/>
        </w:rPr>
        <w:footnoteReference w:id="1139"/>
      </w:r>
    </w:p>
    <w:p>
      <w:pPr>
        <w:pStyle w:val="Heading4"/>
        <w:numPr>
          <w:ilvl w:val="3"/>
          <w:numId w:val="1"/>
        </w:numPr>
        <w:rPr/>
      </w:pPr>
      <w:bookmarkStart w:id="351" w:name="__RefHeading___Toc4418348_1280447820"/>
      <w:bookmarkStart w:id="352" w:name="_Toc111"/>
      <w:bookmarkEnd w:id="351"/>
      <w:r>
        <w:rPr>
          <w:rtl w:val="true"/>
        </w:rPr>
        <w:t xml:space="preserve">إذا تمهّدت المقدّمات ، فالأقوال في الضدّ العام خمسة </w:t>
      </w:r>
      <w:r>
        <w:rPr>
          <w:rtl w:val="true"/>
        </w:rPr>
        <w:t>:</w:t>
      </w:r>
      <w:bookmarkEnd w:id="352"/>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الاقتضاء رأسا ، وهذا صريح العضدي </w:t>
      </w:r>
      <w:r>
        <w:rPr>
          <w:rStyle w:val="FootnoteAnchor"/>
          <w:rtl w:val="true"/>
        </w:rPr>
        <w:footnoteReference w:id="1140"/>
      </w:r>
      <w:r>
        <w:rPr>
          <w:rFonts w:ascii="Amiri" w:hAnsi="Amiri" w:eastAsia="Amiri" w:cs="Amiri"/>
          <w:color w:val="111111"/>
          <w:sz w:val="28"/>
          <w:sz w:val="28"/>
          <w:szCs w:val="28"/>
          <w:rtl w:val="true"/>
          <w:lang w:bidi="ar-SA"/>
        </w:rPr>
        <w:t xml:space="preserve">والحاجبي </w:t>
      </w:r>
      <w:r>
        <w:rPr>
          <w:rStyle w:val="FootnoteAnchor"/>
          <w:rtl w:val="true"/>
        </w:rPr>
        <w:footnoteReference w:id="1141"/>
      </w:r>
      <w:r>
        <w:rPr>
          <w:rFonts w:ascii="Amiri" w:hAnsi="Amiri" w:eastAsia="Amiri" w:cs="Amiri"/>
          <w:color w:val="111111"/>
          <w:sz w:val="28"/>
          <w:sz w:val="28"/>
          <w:szCs w:val="28"/>
          <w:rtl w:val="true"/>
          <w:lang w:bidi="ar-SA"/>
        </w:rPr>
        <w:t xml:space="preserve">والمنسوب إلى العميدي </w:t>
      </w:r>
      <w:r>
        <w:rPr>
          <w:rStyle w:val="FootnoteAnchor"/>
          <w:rtl w:val="true"/>
        </w:rPr>
        <w:footnoteReference w:id="1142"/>
      </w:r>
      <w:r>
        <w:rPr>
          <w:rFonts w:ascii="Amiri" w:hAnsi="Amiri" w:eastAsia="Amiri" w:cs="Amiri"/>
          <w:color w:val="111111"/>
          <w:sz w:val="28"/>
          <w:sz w:val="28"/>
          <w:szCs w:val="28"/>
          <w:rtl w:val="true"/>
          <w:lang w:bidi="ar-SA"/>
        </w:rPr>
        <w:t xml:space="preserve">وجمهور المعتزلة </w:t>
      </w:r>
      <w:r>
        <w:rPr>
          <w:rStyle w:val="FootnoteAnchor"/>
          <w:rtl w:val="true"/>
        </w:rPr>
        <w:footnoteReference w:id="1143"/>
      </w:r>
      <w:r>
        <w:rPr>
          <w:rFonts w:ascii="Amiri" w:hAnsi="Amiri" w:eastAsia="Amiri" w:cs="Amiri"/>
          <w:color w:val="111111"/>
          <w:sz w:val="28"/>
          <w:sz w:val="28"/>
          <w:szCs w:val="28"/>
          <w:rtl w:val="true"/>
          <w:lang w:bidi="ar-SA"/>
        </w:rPr>
        <w:t xml:space="preserve">وكثير من الأشاعرة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المعالم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الضدّ العام في أصل الاقتضاء بل في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على وجه العينيّة ، على معنى أنّ الأمر بالشيء والنهي عن تركه عنوانان متّحدان ممتازان بحسب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على وجه التضمّن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ورابعها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اللفظي والعقلي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تصوّر العينيّة والتضمّن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تصوّر الالتزام فيتمّ بدعوى عدم كون المنع من الترك جزءا من ماهيّة الوجوب ، بجعله عبارة عن مجرّد طلب الفعل على جهة الالتزام الذي هو في المرتبة العليا من الطلب وتحته الطلب الندبي الذي لا إلزام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فيه ، بل إنّما البعد في كون الوجوب مركّبا عن طلب الفعل والمنع من </w:t>
      </w:r>
    </w:p>
    <w:p>
      <w:pPr>
        <w:pStyle w:val="BookText"/>
        <w:rPr/>
      </w:pPr>
      <w:r>
        <w:rPr>
          <w:rFonts w:ascii="Amiri" w:hAnsi="Amiri" w:eastAsia="Amiri" w:cs="Amiri"/>
          <w:color w:val="111111"/>
          <w:sz w:val="28"/>
          <w:sz w:val="28"/>
          <w:szCs w:val="28"/>
          <w:rtl w:val="true"/>
          <w:lang w:bidi="ar-SA"/>
        </w:rPr>
        <w:t xml:space="preserve">الترك ، لأنّ ذلك يستلزم تركّب كلّ واحد من الأحكام الخمسة من الحكمين ، لأنّ الوجوب حينئذ يتضمّن النهي عن الترك الذي يقتضي التحريم ، والتحريم نهي عن الفعل ويتضمّن إيجاب الترك ، والإباحة مركّبة من الإذن في الفعل والإذن في الترك ، فيكون الإباحة مركّبة من الإذنين والإباحتين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طلب فعل مع المنع من الترك ، فلا يراد به الترك ، بل إنّما يراد به أنّ الوجوب مرتّبة من الطلب لو التفت الآمر إلى الترك لم يكن راضيا به ، بخلاف الاستحباب ، فإنّ فيه من الطلب ما لو التفت إلى الترك لكان راضيا به ، فعدم الرضا بالترك من اللوازم الغير البيّنة للوجوب ، لا جزئه ولا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دليل القول بعدم الاقتضاء رأسا ، كما ذهب إليه الحاجبي والعضدي وغيرهما ، لأنّ لهم دعوى عدم كون هذا النحو من المنع التعليقي نهيا ، نحو دعوى النافين لوجوب المقدّمة لعدم كون الإرادة الإجماليّة التي أثبتنا للمقدّمات بحكم العقل والوجدان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الأحكام الخمسة بسيطة لا تركّب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الوجوب والاستحباب عبارتان عن المرتبتين من الطلب ليس إلاّ ، والحرمة والكراهة عبارتان عن المرتبتين من النهي والمبغوضيّة ليس إلاّ ، والإباحة عبارة عن رخصة بسيطة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اتّجه تصوير القول بالاقتضاء على وجه الالتزام ، كما يتّجه نفي الاقتضاء رأسا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الضدّ الخاصّ أربعة ، إذ لم نجد ولا حكي عن أحد القول بالتضمّن ، وإن كان القول به ليس بأبعد من القول بالعينيّة وأنّ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عين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بعض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الضدّ الخاصّ قول آخر للبهائي رحمه‌اللّه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يقتضي عدم الأمر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أولى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دعاه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الثمرة المترتّبة على النهي من فساد العبادة الموسّعة الواقعة في وقت المضيّق على هذا القول أوضح ، إذ ربّما أمكن دعوى الصحّة مع </w:t>
      </w:r>
      <w:r>
        <w:rPr>
          <w:rStyle w:val="FootnoteAnchor"/>
          <w:rtl w:val="true"/>
        </w:rPr>
        <w:footnoteReference w:id="1148"/>
      </w:r>
      <w:r>
        <w:rPr>
          <w:rFonts w:ascii="Amiri" w:hAnsi="Amiri" w:eastAsia="Amiri" w:cs="Amiri"/>
          <w:color w:val="111111"/>
          <w:sz w:val="28"/>
          <w:sz w:val="28"/>
          <w:szCs w:val="28"/>
          <w:rtl w:val="true"/>
          <w:lang w:bidi="ar-SA"/>
        </w:rPr>
        <w:t>النهي كما يجيء في الاستدلال ، ولا يمكن دعواها مع 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اقتضاء الأمر بالشيء عدم الأمر بالضدّ أقرب في الاعتبار والاستدلال من اقتضائه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في بادئ النظر يخالف القول باقتضائه النهي عن الضدّ ، ولكنّ التحقيق أنّ هذا القول إن لم يرجع إلى القول المشهور ففي غاية البعد من التحقيق</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يحتاج إلى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للامتثال في العبادات على القول بتعلّق الأوامر بالطبائع دون الأفراد إنّما هو تعلّق الأمر بعنوان وأفراد مقدّرة مندرجة تحته على نحو صدق الكلّي على الفرد ، ولا حاجة إلى تعلّق الأمر بخصوص ما يأتي به المكلّف من تلك الأفراد ، بل يكفي في صحّته اندراجه تحت ذلك الكلّي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أمر بعتق رقبة أو إتيان رجل فذلك الأمر المتعلّق بكلّيّ العتق يقتضي الإجزاء والصحة في الفرد الذي يأتي به المكلّف في مقام الامتثال من غير أن يكون بذلك الفرد بخصوصه أمر بخصوصه ، بل معنى كونه مأمورا به كون الكلّي الذي هو فرده مأمورا به ، فيكون احتياج أفراد العبادات إلى الأوامر احتياج كلّيّاتها إليه ، ثمّ عدم ورود تخصيص يوجب خروجه عن ذلك الكلّي نحو الصفة بحال متعلّق الموصوف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فعدم صحّة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كونه مجزئا في مقام الامتثال بذلك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ناشئا من منع المولى من الإتيان به في ذاك الفرد ، إذ لا حاجة لذلك الفرد من حيث كونه مجزئا مسقطا عن التكليف بذلك الكلّي إلى الإذن من المولى والأمر به ، وإلاّ لكان أفراد الماهيّة الواحدة التي يتعلّق بها أمر عيني واجبات عينيّة ، ضرورة عدم معقوليّة التفكيك بين الأمر المتعلّق بالكلّي والأوامر المتعلّقة بالأفراد من حيث العينيّة والسنخيّة بعد فرض سريان أمر ذلك الكلّي إلى الأفراد الواجد كلّ واحد منها للكلّي بتمامه ، فحيث ما نحكم ببطلان بعض الأفراد فلا بدّ لنا في ذلك من الاستناد إلى المنع في مقام الامتثال ، وإلاّ فيكفي في الحكم بالصحّة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الشرعي بكلّي ذلك الفرد ، واندراجه تحت ذلك ، من غير الاحتياج إلى أمر المولى بخصوص ذلك الفرد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تحقّق ذلك فظهر فساد قول البهائي ؛ لأنّ الكلام إنّما هو في الأضداد الموسّعة للمأمور به ، ولا ريب في أنّ الواجبات الموسّعة كلّيّات بحسب الأزمان ذات أفراد كثيرة ، فالحكم بفساد بعض أفرادها المصادم لزمان المأمور به المضيّق لا بدّ أن يستند إلى المنع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بأنّ الأمر بالمضيّق يقتضي المنع والنهي من الفرد من </w:t>
      </w:r>
      <w:r>
        <w:rPr>
          <w:rStyle w:val="FootnoteAnchor"/>
          <w:rtl w:val="true"/>
        </w:rPr>
        <w:footnoteReference w:id="1149"/>
      </w:r>
      <w:r>
        <w:rPr>
          <w:rFonts w:ascii="Amiri" w:hAnsi="Amiri" w:eastAsia="Amiri" w:cs="Amiri"/>
          <w:color w:val="111111"/>
          <w:sz w:val="28"/>
          <w:sz w:val="28"/>
          <w:szCs w:val="28"/>
          <w:rtl w:val="true"/>
          <w:lang w:bidi="ar-SA"/>
        </w:rPr>
        <w:t>الموسّع الواقع في وقته ، اتّجه الحكم بالفساد كما يقول به المشهور ، وإلاّ فمجرّد عدم كونه مأمورا به لا يحكم بفساده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الأفراد بمأمور به ومأذون فيه غير الإذن العقلي الذي ينشأ عن انطباق الكلّي المأمور به عليها ، سواء وقعت في وقت واجب مضيّق أم لا ، فلو كان الأمر بالشيء لا يقتضي النهي عن الضدّ فلا فائدة في القول بأنّه يقتضي عدم الأمر به بعد أن كان مقطوعا به مع قطع النظر عن ذلك الأمر المضيّق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يتمّ كلام البهائي بعد ثبوت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المضيّق بمنزلة التخصيص أو التقييد اللفظي لعنوان الضدّ الموسّع بغير الفرد الذي وقع في زمان ذلك المضيّق ، على أن يكون وجوب الإزالة فورا بمنزلة الاستثناء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حتّى يصير بمنزلة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الزمان الذي فرض فيه شيء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 فإنّه لو تمّ أنّ الأمر المضيّق يوجب مثل هذا التخصيص في عنوان الضدّ لتمّ قوله بأنّ عدم الأمر يكفي في الفساد ؛ لأنّ الفرد الواقع وقت الإزالة حينئذ لم يكن أوّلا داخلا تحت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يكن الأمر المتعلّق بالصلاة كافيا في حجّيّة هذا الفرد الخارج أوّلا من غير الاحتياج إلى المنع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أنّى له بإثبات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أحد يعلم أنّ الأمر بالشيء لو اقتضى النهي أو عدم الأمر فإنّما يقتضيهما من حكم العقل واستحالة التكليف بالأمرين في وقت وتقديم المضيّق ، والاستحالة هذه لا تقتضي التخصيص والتقييد في عنوان الصلاة بحسب المراد ، بل إنّما يقتضي المنع العقلي الذي هو في حكم المنع الشرعي عن الإتيان بغير الواجب الفوري من الصلاة وغيرها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التخيير في أفراد الموسّع بحسب الوقت تخييرا شرعيّا مثل التخيير في الواجبات التخييريّة ، فإنّ القول بأنّ الأمر بالشيء يقتضي عدم الأمر دون النهي ، يفيد حينئذ مفاد القول بأنّه يقتضي النهي ؛ لأنّ الأفراد حينئذ قد امر بها شرعا بخصوصها ، فمتى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المضيّق يوجب خروجها عن صفة المأمور به ، اتّجه الحكم بالبطلان من دون أن يكون هناك 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في الواجبات الموسّعة بحسب الأوقات تخيير </w:t>
      </w:r>
      <w:r>
        <w:rPr>
          <w:rStyle w:val="FootnoteAnchor"/>
          <w:rtl w:val="true"/>
        </w:rPr>
        <w:footnoteReference w:id="1151"/>
      </w:r>
      <w:r>
        <w:rPr>
          <w:rFonts w:ascii="Amiri" w:hAnsi="Amiri" w:eastAsia="Amiri" w:cs="Amiri"/>
          <w:color w:val="111111"/>
          <w:sz w:val="28"/>
          <w:sz w:val="28"/>
          <w:szCs w:val="28"/>
          <w:rtl w:val="true"/>
          <w:lang w:bidi="ar-SA"/>
        </w:rPr>
        <w:t>عقلي نحو التخيير بين أفراد الكلّي المأمور به ، لا تخيير شرعي كالتخيير في الواجبات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ثمرة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بأن نشير إليها قبل الشروع في ذكر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العقاب على فعل الضدّ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ترتّب العقاب في النواهي الغيريّة غير معلوم ، بل إنّما المعلوم خلافه ، كما مرّ تحقيقه في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اخروي راجع أمره إلى اللّه تعالى ، فلا فائدة في جعله أثرا في شيء من المسائل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يتفاوت فيه بين النفسي والغيري والأصلي والتبعي من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آثار شرعيّة أيضا إذا كان الضدّ من الامور التي توجب العصيان فيه حكما من الأحكام كالسفر ، بل ربما يوجب الفسق لو قيل بأنّ العصيان هذا من موانع العدالة ، وإن كان الحقّ خلافه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الواقعة في وقت المأمور به على القول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الثمرة من المسلّمات بين أكثر الأصحاب سيّما القدماء منهم ، كما يظهر من تتبّع كلماتهم وفتاويهم في أبواب الفقه ، كما في باب قضاء الصلاة ، فإنّ كثيرا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1152"/>
      </w:r>
      <w:r>
        <w:rPr>
          <w:rFonts w:ascii="Amiri" w:hAnsi="Amiri" w:eastAsia="Amiri" w:cs="Amiri"/>
          <w:color w:val="111111"/>
          <w:sz w:val="28"/>
          <w:sz w:val="28"/>
          <w:szCs w:val="28"/>
          <w:rtl w:val="true"/>
          <w:lang w:bidi="ar-SA"/>
        </w:rPr>
        <w:t xml:space="preserve">والسيّدين </w:t>
      </w:r>
      <w:r>
        <w:rPr>
          <w:rStyle w:val="FootnoteAnchor"/>
          <w:rtl w:val="true"/>
        </w:rPr>
        <w:footnoteReference w:id="1153"/>
      </w:r>
      <w:r>
        <w:rPr>
          <w:rFonts w:ascii="Amiri" w:hAnsi="Amiri" w:eastAsia="Amiri" w:cs="Amiri"/>
          <w:color w:val="111111"/>
          <w:sz w:val="28"/>
          <w:sz w:val="28"/>
          <w:szCs w:val="28"/>
          <w:rtl w:val="true"/>
          <w:lang w:bidi="ar-SA"/>
        </w:rPr>
        <w:t xml:space="preserve">والقاضي </w:t>
      </w:r>
      <w:r>
        <w:rPr>
          <w:rStyle w:val="FootnoteAnchor"/>
          <w:rtl w:val="true"/>
        </w:rPr>
        <w:footnoteReference w:id="1154"/>
      </w:r>
      <w:r>
        <w:rPr>
          <w:rFonts w:ascii="Amiri" w:hAnsi="Amiri" w:eastAsia="Amiri" w:cs="Amiri"/>
          <w:color w:val="111111"/>
          <w:sz w:val="28"/>
          <w:sz w:val="28"/>
          <w:szCs w:val="28"/>
          <w:rtl w:val="true"/>
          <w:lang w:bidi="ar-SA"/>
        </w:rPr>
        <w:t xml:space="preserve">والحلّي </w:t>
      </w:r>
      <w:r>
        <w:rPr>
          <w:rStyle w:val="FootnoteAnchor"/>
          <w:rtl w:val="true"/>
        </w:rPr>
        <w:footnoteReference w:id="1155"/>
      </w:r>
      <w:r>
        <w:rPr>
          <w:rFonts w:ascii="Amiri" w:hAnsi="Amiri" w:eastAsia="Amiri" w:cs="Amiri"/>
          <w:color w:val="111111"/>
          <w:sz w:val="28"/>
          <w:sz w:val="28"/>
          <w:szCs w:val="28"/>
          <w:rtl w:val="true"/>
          <w:lang w:bidi="ar-SA"/>
        </w:rPr>
        <w:t xml:space="preserve">والآبي </w:t>
      </w:r>
      <w:r>
        <w:rPr>
          <w:rStyle w:val="FootnoteAnchor"/>
          <w:rtl w:val="true"/>
        </w:rPr>
        <w:footnoteReference w:id="1156"/>
      </w:r>
      <w:r>
        <w:rPr>
          <w:rFonts w:ascii="Amiri" w:hAnsi="Amiri" w:eastAsia="Amiri" w:cs="Amiri"/>
          <w:color w:val="111111"/>
          <w:sz w:val="28"/>
          <w:sz w:val="28"/>
          <w:szCs w:val="28"/>
          <w:rtl w:val="true"/>
          <w:lang w:bidi="ar-SA"/>
        </w:rPr>
        <w:t xml:space="preserve">على ما حكي </w:t>
      </w:r>
    </w:p>
    <w:p>
      <w:pPr>
        <w:pStyle w:val="BookText"/>
        <w:rPr/>
      </w:pPr>
      <w:r>
        <w:rPr>
          <w:rFonts w:ascii="Amiri" w:hAnsi="Amiri" w:eastAsia="Amiri" w:cs="Amiri"/>
          <w:color w:val="111111"/>
          <w:sz w:val="28"/>
          <w:sz w:val="28"/>
          <w:szCs w:val="28"/>
          <w:rtl w:val="true"/>
          <w:lang w:bidi="ar-SA"/>
        </w:rPr>
        <w:t xml:space="preserve">عنهم وعن غيرهم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فوريّة القضاء وفساد الحاضرة قبل الإتيان بالفائتة مستندين إلى أخبار دالّة على وجوب المسارعة إلى الفائتة </w:t>
      </w:r>
      <w:r>
        <w:rPr>
          <w:rStyle w:val="FootnoteAnchor"/>
          <w:rtl w:val="true"/>
        </w:rPr>
        <w:footnoteReference w:id="1158"/>
      </w:r>
      <w:r>
        <w:rPr>
          <w:rFonts w:ascii="Amiri" w:hAnsi="Amiri" w:eastAsia="Amiri" w:cs="Amiri"/>
          <w:color w:val="111111"/>
          <w:sz w:val="28"/>
          <w:sz w:val="28"/>
          <w:szCs w:val="28"/>
          <w:rtl w:val="true"/>
          <w:lang w:bidi="ar-SA"/>
        </w:rPr>
        <w:t xml:space="preserve">، ولم يعترض عليهم أحد من المتأخّرين القائلين بعدم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الضدّ المتولّد من الأمر لا يقتضي الفساد ، بل أجابوا عنها بقدح الدلالة على الفوريّة أو بقدح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قد صرّح المحقّق في محكيّ المعتبر بأنّ القول بالمضايقة يقتضي الحكم بتحريم جميع الأشياء ، قال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بالمضايقة يلزم منه منع من عليه صلوات كثيرة أن يأكل شبعا وأن ينام زائدا على الضرورة ولا يتعيّش إلاّ لاكتساب قوت يومه له ولعياله وأنّه لو كان معه درهم ليومه حرم عليه الاكتساب ، والتزام ذلك مكابرة صرفة والتزام سوفسطائي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أبو الصلاح الحلبي إلى ذلك </w:t>
      </w:r>
      <w:r>
        <w:rPr>
          <w:rStyle w:val="FootnoteAnchor"/>
          <w:rtl w:val="true"/>
        </w:rPr>
        <w:footnoteReference w:id="1159"/>
      </w:r>
      <w:r>
        <w:rPr>
          <w:rFonts w:ascii="Amiri" w:hAnsi="Amiri" w:eastAsia="Amiri" w:cs="Amiri"/>
          <w:color w:val="111111"/>
          <w:sz w:val="28"/>
          <w:sz w:val="28"/>
          <w:szCs w:val="28"/>
          <w:rtl w:val="true"/>
          <w:lang w:bidi="ar-SA"/>
        </w:rPr>
        <w:t xml:space="preserve">، قلنا نحن نعلم من المسلمين كافّة خلاف ما ذكره ، فإنّ أكثر الناس يكون عليهم صلوات كثيرة ، فإذا صلّى الإنسان شهرين يومه استكثره الناس </w:t>
      </w:r>
      <w:r>
        <w:rPr>
          <w:rStyle w:val="FootnoteAnchor"/>
          <w:rtl w:val="true"/>
        </w:rPr>
        <w:footnoteReference w:id="11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ويستكشف من كلامه هذا أنّه لا مناص من الحكم بفساد الحاضرة قبل الفائتة على القول بالمضايقة ، مع أنّ اقتضاء النهي المتولّد من الأمر المضيّق الفساد لو كان عندهم محلّ مناقشة لكان الإشارة إلى منع الفساد من أمتن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نظرهم في خصوص حرمة الضدّ من الواجبات والمباحات ، لا في صحّته وفساده إذا كان من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قبح ما يستلزم القبيح إجماعي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أيضا من كلماتهم في باب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بالعبادات من وجوب الأداء فورا يقتضي الفساد </w:t>
      </w:r>
      <w:r>
        <w:rPr>
          <w:rStyle w:val="FootnoteAnchor"/>
          <w:rtl w:val="true"/>
        </w:rPr>
        <w:footnoteReference w:id="1162"/>
      </w:r>
      <w:r>
        <w:rPr>
          <w:rFonts w:ascii="Amiri" w:hAnsi="Amiri" w:eastAsia="Amiri" w:cs="Amiri"/>
          <w:color w:val="111111"/>
          <w:sz w:val="28"/>
          <w:sz w:val="28"/>
          <w:szCs w:val="28"/>
          <w:rtl w:val="true"/>
          <w:lang w:bidi="ar-SA"/>
        </w:rPr>
        <w:t xml:space="preserve">، حتّى إنّ العلاّمة قد صرّح في محكيّ القواعد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الصلاة في أوّل وقتها في حقّ من عليه الدين الواجب أداؤه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معظم الأصحاب خلفا عن سلف لا يناقشون في أمثال هذه المسائل في الكبرى ، يعني في كون النهي موجبا للفساد ، بل إنّما يناقشون في الصغرى ، المراد بها ثبوت فوريّة المأمور به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صدر من المحقّق الثاني في شرح القواعد </w:t>
      </w:r>
      <w:r>
        <w:rPr>
          <w:rStyle w:val="FootnoteAnchor"/>
          <w:rtl w:val="true"/>
        </w:rPr>
        <w:footnoteReference w:id="1164"/>
      </w:r>
      <w:r>
        <w:rPr>
          <w:rFonts w:ascii="Amiri" w:hAnsi="Amiri" w:eastAsia="Amiri" w:cs="Amiri"/>
          <w:color w:val="111111"/>
          <w:sz w:val="28"/>
          <w:sz w:val="28"/>
          <w:szCs w:val="28"/>
          <w:rtl w:val="true"/>
          <w:lang w:bidi="ar-SA"/>
        </w:rPr>
        <w:t xml:space="preserve">قول بصحّة العبادة ولو كان آثما في تقديمها على أداء الدين ، ثمّ تبعه بعض من متأخّري المتأخّرين كالشيخ الفقيه في كشف الغطاء </w:t>
      </w:r>
      <w:r>
        <w:rPr>
          <w:rStyle w:val="FootnoteAnchor"/>
          <w:rtl w:val="true"/>
        </w:rPr>
        <w:footnoteReference w:id="1165"/>
      </w:r>
      <w:r>
        <w:rPr>
          <w:rFonts w:ascii="Amiri" w:hAnsi="Amiri" w:eastAsia="Amiri" w:cs="Amiri"/>
          <w:color w:val="111111"/>
          <w:sz w:val="28"/>
          <w:sz w:val="28"/>
          <w:szCs w:val="28"/>
          <w:rtl w:val="true"/>
          <w:lang w:bidi="ar-SA"/>
        </w:rPr>
        <w:t xml:space="preserve">، وتبعه تلميذه الأصبهاني الشيخ محمّد تقي في حاشيته على المعالم </w:t>
      </w:r>
      <w:r>
        <w:rPr>
          <w:rStyle w:val="FootnoteAnchor"/>
          <w:rtl w:val="true"/>
        </w:rPr>
        <w:footnoteReference w:id="1166"/>
      </w:r>
      <w:r>
        <w:rPr>
          <w:rFonts w:ascii="Amiri" w:hAnsi="Amiri" w:eastAsia="Amiri" w:cs="Amiri"/>
          <w:color w:val="111111"/>
          <w:sz w:val="28"/>
          <w:sz w:val="28"/>
          <w:szCs w:val="28"/>
          <w:rtl w:val="true"/>
          <w:lang w:bidi="ar-SA"/>
        </w:rPr>
        <w:t xml:space="preserve">مع زيادة تحقيق منه في تصحيح ذلك ، ثمّ تبعهما أخوه الشيخ المحقّق صاحب الفصول </w:t>
      </w:r>
      <w:r>
        <w:rPr>
          <w:rStyle w:val="FootnoteAnchor"/>
          <w:rtl w:val="true"/>
        </w:rPr>
        <w:footnoteReference w:id="1167"/>
      </w:r>
      <w:r>
        <w:rPr>
          <w:rFonts w:ascii="Amiri" w:hAnsi="Amiri" w:eastAsia="Amiri" w:cs="Amiri"/>
          <w:color w:val="111111"/>
          <w:sz w:val="28"/>
          <w:sz w:val="28"/>
          <w:szCs w:val="28"/>
          <w:rtl w:val="true"/>
          <w:lang w:bidi="ar-SA"/>
        </w:rPr>
        <w:t xml:space="preserve">وغيره كصاحب القوانين </w:t>
      </w:r>
      <w:r>
        <w:rPr>
          <w:rStyle w:val="FootnoteAnchor"/>
          <w:rtl w:val="true"/>
        </w:rPr>
        <w:footnoteReference w:id="1168"/>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كشف الغطاء في البحث عن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المقدّمة في الحرام بعد شغل الذمّة لا ينافي الصحّة وإن استلزم المعصية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أنّه إذا عصى بترك المأمور به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بالضدّ فلا ينافي ذلك صحّة ذلك الضدّ إذا كان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مانع من أن يقول الآمر المطاع لمأموره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عزمت على معصيتي في ترك كذا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أقوى الوجوه في حكم الجاهل بالقصر والإتمام ، فاستفادته من مقتضى الخطاب لا من مقتضى الدخول تحت الخطاب ، فالقول بالاقتضاء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اقتضاء الأمر بالشيء النهي عن ضدّه وعدم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السداد </w:t>
      </w:r>
      <w:r>
        <w:rPr>
          <w:rStyle w:val="FootnoteAnchor"/>
          <w:rtl w:val="true"/>
        </w:rPr>
        <w:footnoteReference w:id="11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هذه العبارة وغيرها في بحث مقدّمة الواجب وبيّنا فسادها وفساد ما قيل في توجيهها وتشييدها من كلمات الشيخ في الحاشية وأخيه في الفصول بيان مشبع </w:t>
      </w:r>
      <w:r>
        <w:rPr>
          <w:rStyle w:val="FootnoteAnchor"/>
          <w:rtl w:val="true"/>
        </w:rPr>
        <w:footnoteReference w:id="1171"/>
      </w:r>
      <w:r>
        <w:rPr>
          <w:rFonts w:ascii="Amiri" w:hAnsi="Amiri" w:eastAsia="Amiri" w:cs="Amiri"/>
          <w:color w:val="111111"/>
          <w:sz w:val="28"/>
          <w:sz w:val="28"/>
          <w:szCs w:val="28"/>
          <w:rtl w:val="true"/>
          <w:lang w:bidi="ar-SA"/>
        </w:rPr>
        <w:t xml:space="preserve">، فلا نطيل بذكر ما فيها هنا ، بل نشير إجمالا إلى حاصل كلام الفاضل المحشّي ونجيب عنها ، وحاصل كلامه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تصادم الأمرين المضيّقين من المستحيلات الأوّليّة ، ولكن مصادمة الأمر المضيّق والأمر الموسّع لا ضير فيها ، لأنّ مرجعه إلى وجوب الموسّع على تقدير العصيان في ترك المضيّق ووجوب المضيّق مطلقا ، وهذا لا عيب فيه ، لأنّه ليس من التكليف بالأمرين في آن واحد ، ولا من التسوية بين المضيّق والموسّع في الوجوب ، بل هو تقديم للمضيّق على الموسّع ثمّ بقاء وجوب الموسّع على تقدير العصيان بترك </w:t>
      </w:r>
    </w:p>
    <w:p>
      <w:pPr>
        <w:pStyle w:val="BookText"/>
        <w:rPr/>
      </w:pPr>
      <w:r>
        <w:rPr>
          <w:rFonts w:ascii="Amiri" w:hAnsi="Amiri" w:eastAsia="Amiri" w:cs="Amiri"/>
          <w:color w:val="111111"/>
          <w:sz w:val="28"/>
          <w:sz w:val="28"/>
          <w:szCs w:val="28"/>
          <w:rtl w:val="true"/>
          <w:lang w:bidi="ar-SA"/>
        </w:rPr>
        <w:t>المضيّق ، ولا استحالة في ذلك ، وإنّما الاستحالة في طلب شيئين في آن ، فلا بدّ من جعل الأمر فيها تخييريا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جميع كلماته تلويحا وتصريحا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كرّ على ما فرّ ، لأنّا إذا قلنا ببقاء الأمر بالموسّع على تقدير العصيان بالمضيّق لزم أن يكون المكلّف حال إتيانه بالموسّع مكلّفا بإتيانه وبإتيان المضيّق أيضا ، لأن العصيان لا يوجب سقوط التكليف في ثاني زمان العصيان ، فيلزم اجتماع الأمرين في آن واحد ، وهو مستحيل 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استلزام القول بصحّة الموسّع على تقدير العصيان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المضيّق من جهة كونه محرّما ذاتا وواجبا من باب المقدّمة والوصلة إلى الموسّع ، وحاول الفاضل المحشّي المحيص عن هذا الإشكال ولم ينل مقصوده ، فإنّه باق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كلماته وفسادها في مبحث المقدّمة ، فارجع إليها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لا ينبغي للمتأمّل المنصف التأمّل في الثمرة المزبورة وأنّ الضدّ على تقدير كونه من العبادات يكون فاسدا جدّا ، سواء قلنا بأنّ النهي هذا أصلي ونفسي أو قلنا بأنّه 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تقدّم منّا في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الغيري لا يجعل الشيء عبادة ما لم يكن فيه رجحان ذاتي وأنّه لا يوجب صحّة العبادة ، قبالا لقول من جعل صحّة المقدّمة العباديّة وفسادها من الثمرات في وجوب المقدّمة وعدمه ؛ وذلك لأنّ الفرق بين الأمر والنهي واضح ، لأنّ النهي سواء كان غيريّا أو نفسيّا أصليّا أو تبعيّا فيه طلب ترك ، وطلب الترك لا يجتمع مع طلب الفعل ، فيكون باطلا بناء على اقتضاء النهي في العبادات الفساد ، بل يمكن الحكم بالفساد إذا كان من المعاملات أيضا بناء على اقتضاء النهي فيها أيضا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هذه الثمرة على الظاهر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w:t>
      </w:r>
      <w:r>
        <w:rPr>
          <w:rStyle w:val="FootnoteAnchor"/>
          <w:rtl w:val="true"/>
        </w:rPr>
        <w:footnoteReference w:id="1173"/>
      </w:r>
      <w:r>
        <w:rPr>
          <w:rFonts w:ascii="Amiri" w:hAnsi="Amiri" w:eastAsia="Amiri" w:cs="Amiri"/>
          <w:color w:val="111111"/>
          <w:sz w:val="28"/>
          <w:sz w:val="28"/>
          <w:szCs w:val="28"/>
          <w:rtl w:val="true"/>
          <w:lang w:bidi="ar-SA"/>
        </w:rPr>
        <w:t>قد أحسن في الالتفات إلى الإشكال في مسألة الجهل بالقصر والإتمام ونحوها ، كالجهل بالجهر والإخفاء ، ولكنّه ما أحسن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الإشكال على ما تفطّن له الاستاذ ثمّ وجد تفطّن الشيخ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ظواهر الأدلّة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بوجوب القصر في السفر ، وبوجوب الجهر فيما وظيفته ذلك من الصلاة ، مكلّف نحو سائر مقامات الجهل بالتقصير الذي هو حكم اللّه الواقعي ، كما لعلّه إليه يرشد حكمهم بالمعذوريّة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يحكم بمعذوريّته مع تقصيره وبقاء الوقت ومع عدم إتيانه بالمأمور به؟</w:t>
      </w:r>
    </w:p>
    <w:p>
      <w:pPr>
        <w:pStyle w:val="BookText"/>
        <w:rPr/>
      </w:pPr>
      <w:r>
        <w:rPr>
          <w:rFonts w:ascii="Amiri" w:hAnsi="Amiri" w:eastAsia="Amiri" w:cs="Amiri"/>
          <w:color w:val="111111"/>
          <w:sz w:val="28"/>
          <w:sz w:val="28"/>
          <w:szCs w:val="28"/>
          <w:rtl w:val="true"/>
          <w:lang w:bidi="ar-SA"/>
        </w:rPr>
        <w:t>وهذا الإشكال ما اتّضح إلى الآن حقيقة رفعه على مذهب العدليّة من التخطئة دون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بالمعذوريّة سقوط التكليف بما ليس بمأمور به عنه ، فهذا خلاف صريح الأخبار القاضية بأنّه قد تمّت صلاة من لا يدري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أتى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الذي أشار إليه الشيخ بالنظر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حالة جهله مأمور بالتعلّم وعلى تقدير العصيان به مأمور بما يعلم من الجهر أو الإخفات ، نظير مأموريّة الشخص بالصلاة على تقدير عصيانه بالإزالة ، كما ذكره وذكره أيضا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في غير موضع</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العصيان في الضدّ ، فيجري فيه الأحكام الثابتة للمعصية ، كما إذا كان الضدّ سفرا ، فإنّه إذا كان معصية يجب فيه إتمام الصلاة والصوم ، وقد أشرنا إليه آنفا</w:t>
      </w:r>
      <w:r>
        <w:rPr>
          <w:rFonts w:eastAsia="Amiri" w:cs="Amiri" w:ascii="Amiri" w:hAnsi="Amiri"/>
          <w:color w:val="111111"/>
          <w:sz w:val="28"/>
          <w:szCs w:val="28"/>
          <w:rtl w:val="true"/>
          <w:lang w:bidi="ar-SA"/>
        </w:rPr>
        <w:t xml:space="preserve">. </w:t>
      </w:r>
      <w:bookmarkStart w:id="353" w:name="pg16254_218823"/>
    </w:p>
    <w:p>
      <w:pPr>
        <w:pStyle w:val="BookText"/>
        <w:rPr/>
      </w:pPr>
      <w:bookmarkEnd w:id="353"/>
      <w:r>
        <w:rPr>
          <w:rFonts w:ascii="Amiri" w:hAnsi="Amiri" w:eastAsia="Amiri" w:cs="Amiri"/>
          <w:color w:val="111111"/>
          <w:sz w:val="28"/>
          <w:sz w:val="28"/>
          <w:szCs w:val="28"/>
          <w:rtl w:val="true"/>
          <w:lang w:bidi="ar-SA"/>
        </w:rPr>
        <w:t>والحق أنّ ترتّب أحكام المعصية على مثل هذا العصيان الناشئ عن النهي المقدّمي مشكل ، كما أنّ صيرورتها سببا للفسق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الامور</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4418350_1280447820"/>
      <w:bookmarkStart w:id="355" w:name="_Toc112"/>
      <w:bookmarkEnd w:id="354"/>
      <w:r>
        <w:rPr>
          <w:rtl w:val="true"/>
        </w:rPr>
        <w:t xml:space="preserve">هذا أوان الشروع في ذكر أدلّة الأقوال </w:t>
      </w:r>
      <w:r>
        <w:rPr>
          <w:rtl w:val="true"/>
        </w:rPr>
        <w:t>:</w:t>
      </w:r>
      <w:bookmarkEnd w:id="355"/>
    </w:p>
    <w:p>
      <w:pPr>
        <w:pStyle w:val="Heading5"/>
        <w:numPr>
          <w:ilvl w:val="4"/>
          <w:numId w:val="1"/>
        </w:numPr>
        <w:rPr/>
      </w:pPr>
      <w:bookmarkStart w:id="356" w:name="__RefHeading___Toc4418352_1280447820"/>
      <w:bookmarkStart w:id="357" w:name="_Toc113"/>
      <w:bookmarkEnd w:id="356"/>
      <w:r>
        <w:rPr>
          <w:rtl w:val="true"/>
        </w:rPr>
        <w:t>حجّة القول بنفي الاقتضاء رأسا في الضدّ العامّ</w:t>
      </w:r>
      <w:bookmarkEnd w:id="357"/>
    </w:p>
    <w:p>
      <w:pPr>
        <w:pStyle w:val="BookText"/>
        <w:rPr/>
      </w:pPr>
      <w:r>
        <w:rPr>
          <w:rFonts w:ascii="Amiri" w:hAnsi="Amiri" w:eastAsia="Amiri" w:cs="Amiri"/>
          <w:color w:val="111111"/>
          <w:sz w:val="28"/>
          <w:sz w:val="28"/>
          <w:szCs w:val="28"/>
          <w:rtl w:val="true"/>
          <w:lang w:bidi="ar-SA"/>
        </w:rPr>
        <w:t xml:space="preserve">ما قدّمت إليه الإشارة في تحرير الأقوال استطرادا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بأي وجه كان فرع ثبوت الملازمة بين طلب الشيء وطلب ترك تركه في نفس الطالب الآمر ، والملازمة ممنوعة بل منفيّة جدّا ، ضرورة غفلة الطالب للشيء كثيرا ما عن تركه فضلا عن أن يكون طالب ترك ذلك الترك ، وإذا كان الأمر كذلك فلا وجه لدعوى الاقتضاء الذي يتوقّف على كون الآمر شاعرا للترك وناهيا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أنّه لو كان الأمر نهيا عن الضدّ أو تضمّنه لم يحصل بدون تعقّل الضدّ والكفّ عنه ، لأنّه مطلوب النهي ، ونحن نقطع بالطلب مع الذهول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الضدّ العامّ ، وتعقّله حاصل ؛ لأنّه لو كان ذاهلا منه 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طلبه في المستقبل ، ولو سلّم فالكفّ واضح</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العضدي في توضيحه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بالضدّ هو الضدّ العامّ ، لا الأضداد الجزئيّة ، والذي يذهل عنه هو الثاني لا الأوّل ، لأنّ تعقّله حاصل ، ضرورة أنّ المأمور لو كان عازما على الفعل ومتلبّسا به لم يطلب الآمر منه ، لأنّه طلب الحاصل ، فإذن إنّما يطلبه إذا علم أنّه متلبّس بضدّه لا به ، وأنّه يستلزم تعقّل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يطلب منه الفعل في المستقبل ، فلا يمنع الالتباس به في الحال ، فيطلب منه أن يوجده في ثاني الحال كما يوجده في الحال ، ولو سلّم فالكفّ واضح يعلم بالمشاهدة ، ولا حاجة في العلم به إلى العلم بفعل الضدّ وإنّما يلزم النهي عن الكفّ ، وذلك واضح ولا نزاع لنا فيه ، فلا يصلح موردا للنزاع والاحتجاج </w:t>
      </w:r>
      <w:r>
        <w:rPr>
          <w:rStyle w:val="FootnoteAnchor"/>
          <w:rtl w:val="true"/>
        </w:rPr>
        <w:footnoteReference w:id="11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مرادهما ما ذكرنا ، إلاّ أنّ ظاهرهما تسليم الملازمة بين الأمر بالشيء والنهي عن الضدّ العامّ في الأمر بالمجمل ، ونحن إنّما نمنع عنها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إنّما يقتضي النهي عن الكفّ ، وهو ليس من الضدّ العامّ ولا من الخاصّ ، وأنّه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احتمل أن يكون مرادهما من الضدّ العامّ أحد الأضداد الوجوديّة لا بعينه ، كما يشعر به قول العضدي في تقرير الاعتراض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يطلبه إذا علم أنه متلبّس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حاجة في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بفعل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فغاية ما يمكن الاستدلال به على نفي الاقتضاء في الضدّ العامّ ما ذكرنا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التفصيلي عن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ملازما لطلب الشيء والأمر به في التصوّر والحضور في بال المتكلّم ، إلاّ أنّ النهي الشأني المراد به أنّ الآمر لو التفت إلى الترك لكان كارها له وساخطا وناهيا عنه موجود بالضرورة والوجدان ، وهذا القدر من النهي الشأني مساوق للنهي التفصيلي الفعلي في إفادة التحريم وسائر الأحكام ، نظير ما قدّمنا في وجوب المقدّمة من كونها مطلوبة للآمر بالطلب الإجمالي الشأني وكفاية هذا القدر من الطلب في 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ثبوت الملازمة بين هذا النهي الشأني وبين طلب المأمور به في نفس المتكلّم ولحاظ الذهن إما بالعينيّة أو بالاستلزام أو بالتضمّن على الاختلاف المزبور</w:t>
      </w:r>
      <w:r>
        <w:rPr>
          <w:rFonts w:eastAsia="Amiri" w:cs="Amiri" w:ascii="Amiri" w:hAnsi="Amiri"/>
          <w:color w:val="111111"/>
          <w:sz w:val="28"/>
          <w:szCs w:val="28"/>
          <w:rtl w:val="true"/>
          <w:lang w:bidi="ar-SA"/>
        </w:rPr>
        <w:t xml:space="preserve">. </w:t>
      </w:r>
      <w:bookmarkStart w:id="358" w:name="pg16254_218825"/>
    </w:p>
    <w:p>
      <w:pPr>
        <w:pStyle w:val="Heading5"/>
        <w:numPr>
          <w:ilvl w:val="4"/>
          <w:numId w:val="1"/>
        </w:numPr>
        <w:rPr/>
      </w:pPr>
      <w:bookmarkStart w:id="359" w:name="__RefHeading___Toc4418354_1280447820"/>
      <w:bookmarkStart w:id="360" w:name="_Toc114"/>
      <w:bookmarkEnd w:id="358"/>
      <w:bookmarkEnd w:id="359"/>
      <w:r>
        <w:rPr>
          <w:rtl w:val="true"/>
        </w:rPr>
        <w:t>حجّة القول بالعينيّة في الضدّ العام</w:t>
      </w:r>
      <w:bookmarkEnd w:id="360"/>
    </w:p>
    <w:p>
      <w:pPr>
        <w:pStyle w:val="BookText"/>
        <w:rPr/>
      </w:pPr>
      <w:r>
        <w:rPr>
          <w:rFonts w:ascii="Amiri" w:hAnsi="Amiri" w:eastAsia="Amiri" w:cs="Amiri"/>
          <w:color w:val="111111"/>
          <w:sz w:val="28"/>
          <w:sz w:val="28"/>
          <w:szCs w:val="28"/>
          <w:rtl w:val="true"/>
          <w:lang w:bidi="ar-SA"/>
        </w:rPr>
        <w:t xml:space="preserve">كصاحب الفصول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النهي عن الترك الذي هو الضدّ العامّ طلب ترك الترك ؛ لأنّ معنى النهي طلب الترك ، وطلب ترك الترك عين طلب الفعل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بالعينيّة اتّحاد مفهوميهما فهذا كذب واضح ، بل القائل المزبور قد صرّح أيضا بخلافه </w:t>
      </w:r>
      <w:r>
        <w:rPr>
          <w:rStyle w:val="FootnoteAnchor"/>
          <w:rtl w:val="true"/>
        </w:rPr>
        <w:footnoteReference w:id="1176"/>
      </w:r>
      <w:r>
        <w:rPr>
          <w:rFonts w:ascii="Amiri" w:hAnsi="Amiri" w:eastAsia="Amiri" w:cs="Amiri"/>
          <w:color w:val="111111"/>
          <w:sz w:val="28"/>
          <w:sz w:val="28"/>
          <w:szCs w:val="28"/>
          <w:rtl w:val="true"/>
          <w:lang w:bidi="ar-SA"/>
        </w:rPr>
        <w:t>، 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من الألفاظ المترادفة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الاتّحاد في الصدق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ما يصدق عليه الفعل في الخارج بعينه يصدق عليه ترك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أحدهما يكون حينئذ عين طلب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طريق المنع فيه مفتوح نظرا إلى دعوى عدم كون الفعل مصداقا لترك الترك الذي ليس إلاّ مفهوما عدميّا انتزاعيّا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أيضا ؛ لأنّ اتّحاد مصداقهما في الخارج لا يصير سببا لعينيّة طلب أحدهما مع طلب الآخر ، ضرورة أنّ طلب شيء ذي عنوانين بأحدهما يغاير طلبه بالآخر مفهوما ومصداقا ، لأنّ طلبه لكلّ من العنوانين يستدعي تصوّره وتعقّله بذلك العنوان مستقلاّ ، فكيف يكون طلب ذلك الشيء بأحدهما عين مفهوم طلب الآخر أو مصداقه مع الغفلة عن ذلك؟</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الضاحك والكاتب مثلا وإن كانا متصادقين على شيء واحد ، إلاّ أنّ طلب ذلك الشيء بعنوان الكتابة يغاير طلبه بعنوان الضحك مفهوما ومصداقا ، لأنّ تعدّد العنوان يقتضي تعدّد الطلب باعتبار اقتضائه تعدّد الالتفات</w:t>
      </w:r>
      <w:r>
        <w:rPr>
          <w:rFonts w:eastAsia="Amiri" w:cs="Amiri" w:ascii="Amiri" w:hAnsi="Amiri"/>
          <w:color w:val="111111"/>
          <w:sz w:val="28"/>
          <w:szCs w:val="28"/>
          <w:rtl w:val="true"/>
          <w:lang w:bidi="ar-SA"/>
        </w:rPr>
        <w:t xml:space="preserve">. </w:t>
      </w:r>
      <w:bookmarkStart w:id="361" w:name="pg16254_218826"/>
    </w:p>
    <w:p>
      <w:pPr>
        <w:pStyle w:val="BookText"/>
        <w:rPr/>
      </w:pPr>
      <w:bookmarkEnd w:id="361"/>
      <w:r>
        <w:rPr>
          <w:rFonts w:ascii="Amiri" w:hAnsi="Amiri" w:eastAsia="Amiri" w:cs="Amiri"/>
          <w:color w:val="111111"/>
          <w:sz w:val="28"/>
          <w:sz w:val="28"/>
          <w:szCs w:val="28"/>
          <w:rtl w:val="true"/>
          <w:lang w:bidi="ar-SA"/>
        </w:rPr>
        <w:t>نعم ، إذا التفت الطالب حين طلبه بأحد العنوانين إلى العنوان الآخر وعلم تصادقهما في الخارج استغنى بطلبه على أحد العنوانين عن طلبه بالعنوان الآخر ، ولكنّه ليس من الاتّحاد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كان مراد القائل بالعينيّة أنّ طلب الفعل طلب شيء هو عين مصداق ترك الترك فلا بأس به ، إلاّ أنّه لا يفيد ما هو بصدده من العينيّة بالنسبة إلى الكلّيين</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4418356_1280447820"/>
      <w:bookmarkStart w:id="363" w:name="_Toc115"/>
      <w:bookmarkEnd w:id="362"/>
      <w:r>
        <w:rPr>
          <w:rtl w:val="true"/>
        </w:rPr>
        <w:t>حجّة القول بالتضمّن في الضدّ العامّ</w:t>
      </w:r>
      <w:bookmarkEnd w:id="363"/>
    </w:p>
    <w:p>
      <w:pPr>
        <w:pStyle w:val="BookText"/>
        <w:rPr/>
      </w:pPr>
      <w:r>
        <w:rPr>
          <w:rFonts w:ascii="Amiri" w:hAnsi="Amiri" w:eastAsia="Amiri" w:cs="Amiri"/>
          <w:color w:val="111111"/>
          <w:sz w:val="28"/>
          <w:sz w:val="28"/>
          <w:szCs w:val="28"/>
          <w:rtl w:val="true"/>
          <w:lang w:bidi="ar-SA"/>
        </w:rPr>
        <w:t xml:space="preserve">كصاحب المعالم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يدلّ على الوجوب ، وماهيّة الوجوب مركّبة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المنع من الترك والآخر طلب الفعل ، فصيغة الأمر الدالّة على الوجوب دالّة على النهي من الترك بالتضمّن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المحشّين على المعالم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من الترك ليس جزءا لماهيّة الوجوب ، بل هو حكم من أحكام المأمور به وخاصّة من خواصّه ، إذ لا نتعقّل من الأمر بالشيء إلاّ الطلب الحتمي الذي هو عبارة عن بلوغ الطلب حدّا لازمه عدم الرضا بالترك واستحقاق التارك العقاب ، من دون أن يكون هناك طلب آخر متعلّق بترك الترك حتّى يكون المنع من الترك داخلا في ماهيّة الوجوب ، بل يكون خارجا عنها ولازما لها ، فيكون دلالة ما يدلّ على الوجوب على منع الترك دلالة التزاميّة دون التضمّنية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ذلك بما مرّ في توجيه القول بنفي الاقتضاء عند تحرير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والاستحباب مرتبتان من الطلب ممتازان بحسب مرتبتهما وأنفسهما ، </w:t>
      </w:r>
    </w:p>
    <w:p>
      <w:pPr>
        <w:pStyle w:val="BookText"/>
        <w:rPr/>
      </w:pPr>
      <w:r>
        <w:rPr>
          <w:rFonts w:ascii="Amiri" w:hAnsi="Amiri" w:eastAsia="Amiri" w:cs="Amiri"/>
          <w:color w:val="111111"/>
          <w:sz w:val="28"/>
          <w:sz w:val="28"/>
          <w:szCs w:val="28"/>
          <w:rtl w:val="true"/>
          <w:lang w:bidi="ar-SA"/>
        </w:rPr>
        <w:t>وضمّ المنع من الترك إلى الوجوب في الأفواه معناه أنّ مرتبة الوجوب لازمها أنّه لو التفت الآمر إلى الترك لم يكن راضيا به ، لا أنّه داخل في ماهيّته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الدالّ على الوجوب لا يدلّ على 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يتعلّق بالفعل والآخر ما يتعلّق بترك الترك ، وإلاّ لكان كلّ واحد من الأحكام الخمسة مركّبة من الحكمين ،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وإن كان بظاهره واردا ، إلاّ أنّه قد يذبّ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نجد بالمشاهدة والعيان أنّ الوجوب والاستحباب مشتركان في شيء هو الجنس ، وممتازان في شيء هو الفصل ، وأنّ ذلك الفصل من مقوّمات ماهيّة كلّ واحد منهما كما هو شأن الفصول ، ولا شيء يوجب امتياز الوجوب من الاستحباب إلاّ أنّ الطلب في الأوّل بمرتبة متقوّمة بعدم الرضا بالترك ، وفي الثاني بمرتبة لم تبلغ هذا الحدّ ، فيكون ذلك المقوّم الذي به صار الوجوب ممتازا عن الاستحباب داخلا في حقيقة الوجوب دخول الفصل في النوع ، وحينئذ فالدالّ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كصيغة الأمر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عدم الرضا بالترك بالتضمّن ، نحو دلالة اللفظ الموضوع للنوع على الفصل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إطلاق النهي عن الضدّ العامّ على هذا الفصل الذي لا بدّ من ثبوته للوجوب لا يخلو عن حزازة وركاكة ، لأنّ الظاهر من النهي كونه مقتضيا للتحريم الذي هو واحد من الأحكام الخمسة قبال الوجوب المتعلّق بالفعل ، وليس الأمر كذلك ، لأنّ فصل الوجوب ليس تحريم ترك الفعل على وجه يكون من المحرّمات الثابتة بالنواهي في قبال الواجبات ، إذ كلّ أحد يعلم أنّ الوجوب ليس إلاّ حكما وحدانيّا يعبّر عنه تارة بإيجاب الفعل ، واخرى بتحريم الترك ، نحو التعبير عن الإنسان بالحيوان الناطق تارة وبالناطق خاصّة اخرى ، لا أنّه يتضمّن حكمين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والآخر التحريم</w:t>
      </w:r>
      <w:r>
        <w:rPr>
          <w:rFonts w:eastAsia="Amiri" w:cs="Amiri" w:ascii="Amiri" w:hAnsi="Amiri"/>
          <w:color w:val="111111"/>
          <w:sz w:val="28"/>
          <w:szCs w:val="28"/>
          <w:rtl w:val="true"/>
          <w:lang w:bidi="ar-SA"/>
        </w:rPr>
        <w:t xml:space="preserve">. </w:t>
      </w:r>
      <w:bookmarkStart w:id="364" w:name="pg16254_218828"/>
    </w:p>
    <w:p>
      <w:pPr>
        <w:pStyle w:val="BookText"/>
        <w:rPr/>
      </w:pPr>
      <w:bookmarkEnd w:id="364"/>
      <w:r>
        <w:rPr>
          <w:rFonts w:ascii="Amiri" w:hAnsi="Amiri" w:eastAsia="Amiri" w:cs="Amiri"/>
          <w:color w:val="111111"/>
          <w:sz w:val="28"/>
          <w:sz w:val="28"/>
          <w:szCs w:val="28"/>
          <w:rtl w:val="true"/>
          <w:lang w:bidi="ar-SA"/>
        </w:rPr>
        <w:t xml:space="preserve">نعم ، تحريم الترك على الوجه الإجمالي والشأني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ذكره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بثبوته للوجوب ثبوت اللازم للملزوم ، لأنّا نعلم قطعا أنّ الآمر لو التفت إلى الترك وأراد أن يثبت له حكما من الأحكام الخمسة كان حاكما بحرمة ترك هذا الترك على سبيل النهي التحريمي ، فالمنع من الترك إذا فسّر بحدّ الوجوب ووجهه وجهة امتيازه عن الاستحباب كان الحقّ مع القول بالتضمّن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 بحرمة الترك على وجه الإجمال والشأنيّة حرمة تعدّ من الأحكام الخمسة في قبال وجوب الفعل كان الحقّ مع القول بالاستلزام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كلامنا هذا حجّة القول بالاستلزام في الضدّ العامّ أيضا ، كما أنّه قد ظهر أنّ المختار في الضدّ العامّ هو عدم الاقتضاء رأسا إن اريد بالنهي الفعلي التفصيلي ، والقول بالتضمّن إن اريد به وجه الوجوب وحدّه وفصله الذي ليس هو بحكم آخر في عرض وجوب الفعل ، والقول بالالتزام لو فسّر النهي بالنهي الإجمالي الشأني الموقوف على التفات الآمر وإرادته ، والقول بالعينيّة إن اريد بها اتّحاد مصداق المطلوبين في الخارج ، يعني مصداق الفعل ومصداق ترك الترك ، لا اتّحاد نفس الطلبين مصداقا أو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418358_1280447820"/>
      <w:bookmarkStart w:id="366" w:name="_Toc116"/>
      <w:bookmarkEnd w:id="365"/>
      <w:r>
        <w:rPr>
          <w:rtl w:val="true"/>
        </w:rPr>
        <w:t>حجّة القول بالعينيّة في الضدّ الخاصّ</w:t>
      </w:r>
      <w:bookmarkEnd w:id="36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عين النهي عن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مثله أو ضدّه أو خلافه ، واللازم باطل ،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 ووجه بطلان اللازم وسائر ما يرد على هذا الدليل من المناقشات مذكورة في كتب القوم مشهورة ، فلا حاجة إلى الإطناب</w:t>
      </w:r>
      <w:r>
        <w:rPr>
          <w:rFonts w:eastAsia="Amiri" w:cs="Amiri" w:ascii="Amiri" w:hAnsi="Amiri"/>
          <w:color w:val="111111"/>
          <w:sz w:val="28"/>
          <w:szCs w:val="28"/>
          <w:rtl w:val="true"/>
          <w:lang w:bidi="ar-SA"/>
        </w:rPr>
        <w:t xml:space="preserve">. </w:t>
      </w:r>
      <w:bookmarkStart w:id="367" w:name="pg16254_218829"/>
    </w:p>
    <w:p>
      <w:pPr>
        <w:pStyle w:val="Heading5"/>
        <w:numPr>
          <w:ilvl w:val="4"/>
          <w:numId w:val="1"/>
        </w:numPr>
        <w:rPr/>
      </w:pPr>
      <w:bookmarkStart w:id="368" w:name="__RefHeading___Toc4418360_1280447820"/>
      <w:bookmarkStart w:id="369" w:name="_Toc117"/>
      <w:bookmarkEnd w:id="367"/>
      <w:bookmarkEnd w:id="368"/>
      <w:r>
        <w:rPr>
          <w:rtl w:val="true"/>
        </w:rPr>
        <w:t>وأمّا حجّة القول بالتضمّن</w:t>
      </w:r>
      <w:bookmarkEnd w:id="369"/>
    </w:p>
    <w:p>
      <w:pPr>
        <w:pStyle w:val="BookText"/>
        <w:rPr/>
      </w:pPr>
      <w:r>
        <w:rPr>
          <w:rFonts w:ascii="Amiri" w:hAnsi="Amiri" w:eastAsia="Amiri" w:cs="Amiri"/>
          <w:color w:val="111111"/>
          <w:sz w:val="28"/>
          <w:sz w:val="28"/>
          <w:szCs w:val="28"/>
          <w:rtl w:val="true"/>
          <w:lang w:bidi="ar-SA"/>
        </w:rPr>
        <w:t xml:space="preserve">فهي أيضا مذكورة في تلك الكتب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طلب شيء يذمّ على تركه ، ولا ذمّ إلاّ على فعل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الكفّ أو أحد الأضداد الخاصّة ، فكأنّهم ذكروا الترك وأرادوا به سببه الذي هو أحد الأمرين المزبورين ، فيكون دلالة ما يدلّ على الوجوب على ذمّ الترك المراد به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 أو أحد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تضمّنية ، لكونه جزء معنى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Style w:val="FootnoteAnchor"/>
          <w:rtl w:val="true"/>
        </w:rPr>
        <w:footnoteReference w:id="1180"/>
      </w:r>
      <w:r>
        <w:rPr>
          <w:rFonts w:ascii="Amiri" w:hAnsi="Amiri" w:eastAsia="Amiri" w:cs="Amiri"/>
          <w:color w:val="111111"/>
          <w:sz w:val="28"/>
          <w:sz w:val="28"/>
          <w:szCs w:val="28"/>
          <w:rtl w:val="true"/>
          <w:lang w:bidi="ar-SA"/>
        </w:rPr>
        <w:t xml:space="preserve">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الترك مسبّبا عن الكفّ أو أحد الأضداد ، لأنّ الشيء إنّما يترك باعتبار عدم الداعي إليه ، بل هو كذلك في الأغلب ، فما صار الكفّ سببا لتركه نظرا إلى اعتبار الزجر في مفهومه بعد وجود الداعي ، ولا أحد الأضداد وإن كان لازما للترك في الوجود الخارجي من باب المقارنة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المقدّمة الأخيرة من أنّه لا ذمّ إلاّ على فعل ؛ لأنّ الترك مقدور نحو مقدوريّة الفعل ، فهما في جواز الذمّ وعدمه سواء</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4418362_1280447820"/>
      <w:bookmarkStart w:id="371" w:name="_Toc118"/>
      <w:bookmarkEnd w:id="370"/>
      <w:r>
        <w:rPr>
          <w:rtl w:val="true"/>
        </w:rPr>
        <w:t>حجّة القول بالاستلزام الوضعي</w:t>
      </w:r>
      <w:bookmarkEnd w:id="371"/>
    </w:p>
    <w:p>
      <w:pPr>
        <w:pStyle w:val="BookText"/>
        <w:rPr/>
      </w:pPr>
      <w:r>
        <w:rPr>
          <w:rFonts w:ascii="Amiri" w:hAnsi="Amiri" w:eastAsia="Amiri" w:cs="Amiri"/>
          <w:color w:val="111111"/>
          <w:sz w:val="28"/>
          <w:sz w:val="28"/>
          <w:szCs w:val="28"/>
          <w:rtl w:val="true"/>
          <w:lang w:bidi="ar-SA"/>
        </w:rPr>
        <w:t>لا بدّ أن تكون إحدى الأمارات وليس جوابها إلاّ المنع</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4418364_1280447820"/>
      <w:bookmarkStart w:id="373" w:name="_Toc119"/>
      <w:bookmarkEnd w:id="372"/>
      <w:r>
        <w:rPr>
          <w:rtl w:val="true"/>
        </w:rPr>
        <w:t xml:space="preserve">حجّة القول بالاستلزام المعنوي وجهان </w:t>
      </w:r>
      <w:r>
        <w:rPr>
          <w:rtl w:val="true"/>
        </w:rPr>
        <w:t>:</w:t>
      </w:r>
      <w:bookmarkEnd w:id="37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الضدّ مقدّمة لفعل الواجب ، ومقدّمة الواجب واجبة ، </w:t>
      </w:r>
    </w:p>
    <w:p>
      <w:pPr>
        <w:pStyle w:val="BookText"/>
        <w:rPr/>
      </w:pPr>
      <w:r>
        <w:rPr>
          <w:rFonts w:ascii="Amiri" w:hAnsi="Amiri" w:eastAsia="Amiri" w:cs="Amiri"/>
          <w:color w:val="111111"/>
          <w:sz w:val="28"/>
          <w:sz w:val="28"/>
          <w:szCs w:val="28"/>
          <w:rtl w:val="true"/>
          <w:lang w:bidi="ar-SA"/>
        </w:rPr>
        <w:t>فيكون فعله حراما ، وهذا معنى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بالاستلزام ؛ لأنّ وجوب المقدّمة ليس مدلولا تضمّنيّا أو مطابقيّا لما دلّ على وجوب ذيها ، بل إنّما هو مدلول التزامي بيّن ، بالمعنى الأعمّ أو غير بيّن ،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محيص عنه إلاّ بمنع وجوب المقدّمة كما صنعه صاحب المعالم </w:t>
      </w:r>
      <w:r>
        <w:rPr>
          <w:rStyle w:val="FootnoteAnchor"/>
          <w:rtl w:val="true"/>
        </w:rPr>
        <w:footnoteReference w:id="1181"/>
      </w:r>
      <w:r>
        <w:rPr>
          <w:rFonts w:ascii="Amiri" w:hAnsi="Amiri" w:eastAsia="Amiri" w:cs="Amiri"/>
          <w:color w:val="111111"/>
          <w:sz w:val="28"/>
          <w:sz w:val="28"/>
          <w:szCs w:val="28"/>
          <w:rtl w:val="true"/>
          <w:lang w:bidi="ar-SA"/>
        </w:rPr>
        <w:t xml:space="preserve">، أو بمنع وجوبها عند عدم إرادة المأمور به كما ذكره بعد التسليم والمماشاة ، أو بمنع كون الترك مقدّمة كما هو الحقّ المختار عند السلطان </w:t>
      </w:r>
      <w:r>
        <w:rPr>
          <w:rStyle w:val="FootnoteAnchor"/>
          <w:rtl w:val="true"/>
        </w:rPr>
        <w:footnoteReference w:id="1182"/>
      </w:r>
      <w:r>
        <w:rPr>
          <w:rFonts w:ascii="Amiri" w:hAnsi="Amiri" w:eastAsia="Amiri" w:cs="Amiri"/>
          <w:color w:val="111111"/>
          <w:sz w:val="28"/>
          <w:sz w:val="28"/>
          <w:szCs w:val="28"/>
          <w:rtl w:val="true"/>
          <w:lang w:bidi="ar-SA"/>
        </w:rPr>
        <w:t xml:space="preserve">والسبزواري </w:t>
      </w:r>
      <w:r>
        <w:rPr>
          <w:rStyle w:val="FootnoteAnchor"/>
          <w:rtl w:val="true"/>
        </w:rPr>
        <w:footnoteReference w:id="118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كلّ ذلك قد مرّ في تضاعيف الكلمات السابقة ، خصوصا الأخير الذي قد بسطنا الكلام فيه بذكر كلمات العلماء وجوابها وتوضيحها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الضدّ مستلزم لترك المأمور به ، وهو قبيح حرام ، فكذا ما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بالاستلزام الاقتضاء والعلّية أو الاشتراك في علّة واحدة ، فدعوى الاستلزام ممنوعة ؛ لأنّ فعل الضدّ ليس سببا لترك المأمور به ، لأنّ سببه إنّما هو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مستمرّ مع فعل أحد الأضداد في الخارج ومقارن معه ، ولكن </w:t>
      </w:r>
      <w:r>
        <w:rPr>
          <w:rStyle w:val="FootnoteAnchor"/>
          <w:rtl w:val="true"/>
        </w:rPr>
        <w:footnoteReference w:id="1184"/>
      </w:r>
      <w:r>
        <w:rPr>
          <w:rFonts w:ascii="Amiri" w:hAnsi="Amiri" w:eastAsia="Amiri" w:cs="Amiri"/>
          <w:color w:val="111111"/>
          <w:sz w:val="28"/>
          <w:sz w:val="28"/>
          <w:szCs w:val="28"/>
          <w:rtl w:val="true"/>
          <w:lang w:bidi="ar-SA"/>
        </w:rPr>
        <w:t xml:space="preserve">غير الاقتضاء والعلّية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مسبّبا لما هو سبب للترك حتى يشتركا في علّة واحدة ، لأنّ علة الترك الصارف وعلّة الفعل الإرادة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مجرّد عدم الانفكاك في الخارج من غير أن يكون بينهما علّية أو اشتراك في العلّة ، فدعوى الاستلزام مقبولة ، ولكن القول بأنّ المستلزم للحرام حرام </w:t>
      </w:r>
    </w:p>
    <w:p>
      <w:pPr>
        <w:pStyle w:val="BookText"/>
        <w:rPr/>
      </w:pPr>
      <w:r>
        <w:rPr>
          <w:rFonts w:ascii="Amiri" w:hAnsi="Amiri" w:eastAsia="Amiri" w:cs="Amiri"/>
          <w:color w:val="111111"/>
          <w:sz w:val="28"/>
          <w:sz w:val="28"/>
          <w:szCs w:val="28"/>
          <w:rtl w:val="true"/>
          <w:lang w:bidi="ar-SA"/>
        </w:rPr>
        <w:t>حينئذ ممنوعة ، لأنّ مجرّد التلازم من دون أحد الوصفين لا يقتضي الاشتراك ، وإنّما يقتضيه إذا كان ذلك التلازم ناشئا عن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ذكره في المعالم من الجواب عن هذا الاستدلال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عدم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المقارنة من دون استحالة الانفكاك ، بل لعلّ في كلامه تصريح بذلك ، إذ لو كان المراد به استحالة الانفكاك لم يتصوّر قسم ثالث للتلازم ، لأنّ استحالة الانفكاك لا بدّ لها من سبب ، وليس ذلك إلاّ العلّية أو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ذكرنا من كون المراد بالتلازم المقارنة الاتّفاقية ، اعترافه بكون ترك الضدّ مقدّمة لفعل المأمور به في الجواب من الدليل الأوّل ، حيث أجاب عنه بمنع وجوب المقدّمة ، لا بمنع المقدّميّة ؛ لأنّ القول بمجرّد مقدّمية الترك للفعل لا يقتضي الاستحالة مع إنكار مقدّمية الفعل للترك ، لأنّه إذا لم يكن الفعل مقدّمة للترك وعلّة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مفارقة الترك حينئذ من الفعل عقلا ، نظرا إلى عدم كونه معلولا للفعل حتّى يمنع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فتحقيق أصل المسألة موقوف على معرفة حكم المتلازمين في الوجود الخارجي من حيث جواز اختلافهما في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المتقارنان من حيث الاتّفاق ، فمن ضروريّات حكم العقل جواز الاختلاف فيهما ، لإمكان انفكاك كلّ منهما عن الآخر كما هو المفروض ، وما لا يجوز فيه الانفكاك لأمر عرضيّ فهو مندرج في أحد القسمين المزبورين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العلّة والمعلول ، فقد عرفت في البحث عن المقدّمات أنّ حرمة المعلول يقتضي حرمة العلّة عقلا ، وقد تقدّم هناك تفصيل الكلام في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قبح علّة </w:t>
      </w:r>
    </w:p>
    <w:p>
      <w:pPr>
        <w:pStyle w:val="BookText"/>
        <w:rPr/>
      </w:pPr>
      <w:r>
        <w:rPr>
          <w:rFonts w:ascii="Amiri" w:hAnsi="Amiri" w:eastAsia="Amiri" w:cs="Amiri"/>
          <w:color w:val="111111"/>
          <w:sz w:val="28"/>
          <w:sz w:val="28"/>
          <w:szCs w:val="28"/>
          <w:rtl w:val="true"/>
          <w:lang w:bidi="ar-SA"/>
        </w:rPr>
        <w:t>الحرام من أوّليّات حكم العقل ولو كان غيريّا غير موجب للعقاب غير العقاب المترتّب على فعل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تعليل تحريم بعض المحرّمات في الشريعة بقبح المعلول ، كما يستفاد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الخمر والميسر لأجل كونهما سببين لقبائح اخرى من البغضاء والعداوة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الآية ونحوها إنّما تدلّ على الحرمة النفسيّة وأين هذه من الحرمة الغيريّة التي أنت بصدد إثباتها؟ لأنّ غرضنا الاستظهار من الشرع على صدق حكم العقل بقبح علّة القبيح في الجملة ولو كان حكم الشرع أزيد من حكم العقل من حيث التقبيح</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حرمة العلّة ، فالظاهر أنّها بمجرّدها لا يقتضي حرمة المعلول في شيء ؛ لأنّ المنقصة المقتضية للنهي لعلّها تكون مختصّة بالعلّة ، فلا شيء من مقتضى </w:t>
      </w:r>
      <w:r>
        <w:rPr>
          <w:rStyle w:val="FootnoteAnchor"/>
          <w:rtl w:val="true"/>
        </w:rPr>
        <w:footnoteReference w:id="1187"/>
      </w:r>
      <w:r>
        <w:rPr>
          <w:rFonts w:ascii="Amiri" w:hAnsi="Amiri" w:eastAsia="Amiri" w:cs="Amiri"/>
          <w:color w:val="111111"/>
          <w:sz w:val="28"/>
          <w:sz w:val="28"/>
          <w:szCs w:val="28"/>
          <w:rtl w:val="true"/>
          <w:lang w:bidi="ar-SA"/>
        </w:rPr>
        <w:t>حرمة المعلول ، لا المنقصة الذاتية ولا الجهة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w:t>
      </w:r>
      <w:r>
        <w:rPr>
          <w:rStyle w:val="FootnoteAnchor"/>
          <w:rtl w:val="true"/>
        </w:rPr>
        <w:footnoteReference w:id="1188"/>
      </w:r>
      <w:r>
        <w:rPr>
          <w:rFonts w:ascii="Amiri" w:hAnsi="Amiri" w:eastAsia="Amiri" w:cs="Amiri"/>
          <w:color w:val="111111"/>
          <w:sz w:val="28"/>
          <w:sz w:val="28"/>
          <w:szCs w:val="28"/>
          <w:rtl w:val="true"/>
          <w:lang w:bidi="ar-SA"/>
        </w:rPr>
        <w:t>يكشف حرمة العلّة عن حرمة المعلول ، فينتقل من قبح شرب الخمر مثلا إلى قبح معلوله الذي هو السكر ، ولكنّه خارج عن فعل المكلّف الذي هو متعلّق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قلّت الجدوى في البحث عن اقتضاء حرمة العلّة أو كشفها عن حرمة المعلول ؛ لأنّ فرض كون العلّة المحرّمة ومعلولها من أفعال المكلّفين معا في المحرّمات عزيز أو 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قبح المعلول بمعنى المنقصة التي تعرض لغير الأفعال أيضا لا بأس باستفادته من تقبيح الشارع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جميع المحرّمات كاشفة عن هذا القبح على مذهب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الاستكشاف إناطة الحكم بالوصف في العلل المنصوصة غالبا ، 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ظهر حكم المعلولين لعلّة واحدة ، فإنّه إذا قلنا باقتضاء حرمة المعلول حرمة العلّة وبالعكس ، فلا بدّ من اقتضاء حرمة أحد المعلولين حرمة الآخر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ظهر فساد قول الكعبي ، وزالت 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المباحات الذاتيّة بالعرض ، لأنّ غاية ما يستدلّ على ذلك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المباح مقدّمة لترك الحرام ، وهذا واجب ، فيكون فعل المباح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وفعل المباح متلازمان في الوجود الخارجي ، فيكونان متّحدين في الحكم ، لاستحالة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عين فعل المباح ، فوجوب تركه ليس إلاّ وجوب فعل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الكل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فقد اجيب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الكلام في حال خلوّ المكلّف من شرائط التكليف ، كالغفلة والاضطرار ونحوهما ممّا لا تكليف معه ، فإنّ ترك الحرام في تلك الحالة غير مأمور به ، لعدم توجّه النهي إلى الغافل أو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ترك المنهيّ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يعرض الوجوب المقدّمي للأضداد المباحة للفعل المحرّم ، فلا يلزم من وجوب ترك الحرام وتوقّفه على فعل المباح نفي المباح رأسا ، وإنّما يلزم وجوب المباح أحيانا ، كما في حال تعلّق التكليف بترك الحرام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منقول من السلطان في حاشيته على المعالم </w:t>
      </w:r>
      <w:r>
        <w:rPr>
          <w:rStyle w:val="FootnoteAnchor"/>
          <w:rtl w:val="true"/>
        </w:rPr>
        <w:footnoteReference w:id="1189"/>
      </w:r>
      <w:r>
        <w:rPr>
          <w:rFonts w:ascii="Amiri" w:hAnsi="Amiri" w:eastAsia="Amiri" w:cs="Amiri"/>
          <w:color w:val="111111"/>
          <w:sz w:val="28"/>
          <w:sz w:val="28"/>
          <w:szCs w:val="28"/>
          <w:rtl w:val="true"/>
          <w:lang w:bidi="ar-SA"/>
        </w:rPr>
        <w:t xml:space="preserve">، وليس بمرضيّ على التحقيق ؛ لأنّ عروض الإباحة للمباحات بالعرض وحال خلوّ المكلّف عن </w:t>
      </w:r>
    </w:p>
    <w:p>
      <w:pPr>
        <w:pStyle w:val="BookText"/>
        <w:rPr/>
      </w:pPr>
      <w:r>
        <w:rPr>
          <w:rFonts w:ascii="Amiri" w:hAnsi="Amiri" w:eastAsia="Amiri" w:cs="Amiri"/>
          <w:color w:val="111111"/>
          <w:sz w:val="28"/>
          <w:sz w:val="28"/>
          <w:szCs w:val="28"/>
          <w:rtl w:val="true"/>
          <w:lang w:bidi="ar-SA"/>
        </w:rPr>
        <w:t xml:space="preserve">شرائط التكليف لا يقدح في مدّعى الكعبي ، لأنّ غرضه أنّ الشارع لم يجعل أحكاما خمسة ، بل إنّما جعل أحكاما أربعة أو حكمين مثلا </w:t>
      </w:r>
      <w:r>
        <w:rPr>
          <w:rStyle w:val="FootnoteAnchor"/>
          <w:rtl w:val="true"/>
        </w:rPr>
        <w:footnoteReference w:id="1190"/>
      </w:r>
      <w:r>
        <w:rPr>
          <w:rFonts w:ascii="Amiri" w:hAnsi="Amiri" w:eastAsia="Amiri" w:cs="Amiri"/>
          <w:color w:val="111111"/>
          <w:sz w:val="28"/>
          <w:sz w:val="28"/>
          <w:szCs w:val="28"/>
          <w:rtl w:val="true"/>
          <w:lang w:bidi="ar-SA"/>
        </w:rPr>
        <w:t xml:space="preserve">؛ لأنّ ما عدا الواجب والمحرّم واجب نحو وجوب ترك الحرام ، فكما أنّ خروج ترك الحرام عن وصف الوجوب أحيانا لا يقدح في كون حكم اللّه الأوّلي في حقّه </w:t>
      </w:r>
      <w:r>
        <w:rPr>
          <w:rStyle w:val="FootnoteAnchor"/>
          <w:rtl w:val="true"/>
        </w:rPr>
        <w:footnoteReference w:id="1191"/>
      </w:r>
      <w:r>
        <w:rPr>
          <w:rFonts w:ascii="Amiri" w:hAnsi="Amiri" w:eastAsia="Amiri" w:cs="Amiri"/>
          <w:color w:val="111111"/>
          <w:sz w:val="28"/>
          <w:sz w:val="28"/>
          <w:szCs w:val="28"/>
          <w:rtl w:val="true"/>
          <w:lang w:bidi="ar-SA"/>
        </w:rPr>
        <w:t>هو الوجوب وفي فعله هو التحريم ، كذلك سقوط التكليف عن فعل المباحات باعتبار عدم تعلّق التكليف بما هو مطلوب لأجله من ترك الحرام لا يوجب اتّصافه بالإباحة وخروجه عن صفة الوجوب الغيري بحسب جعل اللّه الأوّلي وحكمه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الجواب سديد ممّن ادّعى عدم اتّصاف شيء في العالم بالإباحة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يقول به الكعبي ، وإلاّ فالجواب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المقدّمية ؛ نظرا إلى منع علّية فعل المباح لترك الحرام حتّى يكون مقدّمة سببيّة له ، لأنّ ترك الشيء مستند إلى وجود الصارف عنه ، فمع وجوده يكون فعل المباح من مقارنات ترك الحرام اتّفاقا من غير استناد الترك إلى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انتفاء الصارف ووجود الداعي إلى الحرام كان فعل المباح حينئذ مقدّمة سببيّة لترك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بوجوب المقدّمات لا بدّ من الالتزام بوجوبه ، ولكنه لا ينهض بإثبات دعوى الكعبي ؛ لأنّه لا يلزم من كون فعل المباحات مقدّمة لترك الحرام حال انتفاء الصارف نفي المباح رأسا ، بل إنّما يلزم وجوب أحدها في بعض الأحيان ، ولا ضير فيه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هذا التقدير يثبت الوجوب التخييري </w:t>
      </w:r>
    </w:p>
    <w:p>
      <w:pPr>
        <w:pStyle w:val="BookText"/>
        <w:rPr/>
      </w:pPr>
      <w:r>
        <w:rPr>
          <w:rFonts w:ascii="Amiri" w:hAnsi="Amiri" w:eastAsia="Amiri" w:cs="Amiri"/>
          <w:color w:val="111111"/>
          <w:sz w:val="28"/>
          <w:sz w:val="28"/>
          <w:szCs w:val="28"/>
          <w:rtl w:val="true"/>
          <w:lang w:bidi="ar-SA"/>
        </w:rPr>
        <w:t xml:space="preserve">للمباحات دائما ؛ لأنّ ترك الحرام على ما قرّر يكون له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وجود الصارف والاخرى فعل شيء من الأضداد المباحة ، فكلّ منهما يجب بالوجوب التخييري ، فيثبت قول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استناد الترك إلى الفعل أمر غير ممكن ، لأنّ فعل الضدّ مسبوق بإرادته أبدا ، وهي مضادّة مع إرادة الحرام ، فيكون من مقدّمات إرادة الفعل وجود الصارف عن الحرام ، ففعل الضدّ أبدا مسبوق بالصارف الذي فرض كونه سببا أيضا لترك الحرام ، فالترك دائما مستند إلى الصارف ، فيبقى فعل المباح على حالة الإباحة لكونه من المقارنات الاتّفاقيّة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الصارف عن الحرام على فعل الضدّ المباح وجب حينئذ من باب المقدّمة ، فيصدق أنّ الواجب إمّا فعل الضدّ أو الصارف ، فيكون فعل أحد المباحات واجبا بالوجوب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غير جائز ، وإلاّ لزم الدور ، لأنّ وجود الصارف من أحد الضدّين من مقدّمات وجود فعل الضدّ الآخر ، لأنّ فعل الضدّ مسبوق بإرادته لا محالة ، وهذه الإرادة باعتبار مضادّتها مع إرادة الحرام موقوفة على عدمها جدّا ، ولا نعني بالصارف عن الحرام إلاّ انتفاء إرادته ، فلو فرض توقّف هذا الصارف على فعل الضدّ المباح أيضا توقّف المعلول على العلّة لزم الدور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إذا كان الصارف موجودا فلا إشكال في عدم كون فعل المباح مقدّمة كما عرفت ، وإذا فرض انتفاء الصارف كان التكليف حينئذ ساقطا بالنسبة إلى ترك الحرام إذا كان هذا الانتفاء بحيث لا يقتدر المكلّف على إيجاده ، وبعد سقوط التكليف عنه لا معنى لوجوب المباحات مقدّمة ، كما عرفت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فرض توقّف انتفاء الصارف على فعل المباح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يتوقّف انتقاء الصارف عن الحرام في الزمان اللاحق على فعل شيء من الأضداد في الزمان </w:t>
      </w:r>
    </w:p>
    <w:p>
      <w:pPr>
        <w:pStyle w:val="BookText"/>
        <w:rPr/>
      </w:pPr>
      <w:r>
        <w:rPr>
          <w:rFonts w:ascii="Amiri" w:hAnsi="Amiri" w:eastAsia="Amiri" w:cs="Amiri"/>
          <w:color w:val="111111"/>
          <w:sz w:val="28"/>
          <w:sz w:val="28"/>
          <w:szCs w:val="28"/>
          <w:rtl w:val="true"/>
          <w:lang w:bidi="ar-SA"/>
        </w:rPr>
        <w:t xml:space="preserve">السابق عليه ، فيكون فعل المباح في الزمان السابق واجبا من باب المقدّمة ، ولكنّه لا يفيد نفي المباح رأسا ، كما ذكره جماعة من المجيبين عن شبهة الكعبي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توقّف ترك فعل اختياري على فعل اختياري آخر ممّا لا معنى له ؛ لأنّ حاصله أنّ المكلّف لو لم يأت بالفعل المباح لدخل في الحرام بسوء اختياره ، وهذا لا يستلزم توقّف ترك ذاك الحرام على فعل المباح لا عقلا ولا عادة ولا شرعا ، لأنّ المفروض أنّه لو لم يفعل المباح لكان قادرا على ترك الحرام ومختارا فيه ، فلا يتوقّف حينئذ على فعل المباح حتّى يجب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الاستدلال على وجوب المباح في هذه الحالة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 لأنّ إيجاب نحو هذا الفعل المباح المفروض كونه سببا لترك الحرام ولو اختيارا لطف من اللّه تعالى ، ووجوب اللطف عليه ثابت عند العدليّة ، من غير فرق بين أن يكون متعلّقه فعله سبحانه أو فعل العبد ، وحينئذ أمكن القول بوجوب المباح إذا اقتضى ترك الحرام من باب الاتّفاق ولو اختيارا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قاض بوجوب نحو هذا الفعل مع قطع النظر عن جهة توقّف الترك الواجب عليه بحكم الوجدان والعرف ؛ فإنّا إذا راجعنا إلى أنفسنا وجدنا تحريك العقل إلى مباشرة الفعل الذي فيه اجتناب عن الحرام ولو من باب الاتّفاق ، فإن تمّ الوجهان أمكن القول بوجوب المباح حينئذ ، وإلاّ فلا يمكن الاستدلال عليه من باب المقدّمة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في جميع المباحات بالنسبة إلى فعل المحرّمات ؛ لأنّ المكلّف إذا لم يأت بأحد المباحات لوقع في الحرام قطعا ولو بسوء اختياره ، فلو كان مجرّد عدم انفكاك فعل المباح من ترك الحرام مقتضيا </w:t>
      </w:r>
    </w:p>
    <w:p>
      <w:pPr>
        <w:pStyle w:val="BookText"/>
        <w:rPr/>
      </w:pPr>
      <w:r>
        <w:rPr>
          <w:rFonts w:ascii="Amiri" w:hAnsi="Amiri" w:eastAsia="Amiri" w:cs="Amiri"/>
          <w:color w:val="111111"/>
          <w:sz w:val="28"/>
          <w:sz w:val="28"/>
          <w:szCs w:val="28"/>
          <w:rtl w:val="true"/>
          <w:lang w:bidi="ar-SA"/>
        </w:rPr>
        <w:t>لوجوبه فلا وجه لمنع المقدّميّة رأسا إلاّ فيما إذا توقّف ترك الحرام على فعل المباح ، ضرورة ثبوت هذا النحو من التوقّف الراجع إلى أنّ المكلّف لو لم يأت بالمباح لعصى بسوء اختياره بين ترك الحرام وفعل أحد المباحات في جميع المقامات ، فما وجه تكذيب الكعبي في دعوى التوقّف مطلقا؟</w:t>
      </w:r>
    </w:p>
    <w:p>
      <w:pPr>
        <w:pStyle w:val="BookText"/>
        <w:rPr/>
      </w:pPr>
      <w:r>
        <w:rPr>
          <w:rFonts w:ascii="Amiri" w:hAnsi="Amiri" w:eastAsia="Amiri" w:cs="Amiri"/>
          <w:color w:val="111111"/>
          <w:sz w:val="28"/>
          <w:sz w:val="28"/>
          <w:szCs w:val="28"/>
          <w:rtl w:val="true"/>
          <w:lang w:bidi="ar-SA"/>
        </w:rPr>
        <w:t xml:space="preserve">نعم ، يمكن أن يعرض الوجوب للمباح في بعض الأحيان ، كما إذا توقّف ترك الحرام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من المباحات ، مثل ما إذا علم أنّه لو لم يتحوّل من مكانه إلى داره يشرب الخمر كرها ، وحينئذ يجب عليه التحوّل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التحوّل لا بدّ أن يكون مسبوقا بالصارف عن الشرب في الزمان المستقبل أيضا لكونه من مقدّماته وترك الشرب إنّما يستند إلى هذا الصارف دون فعل الضدّ ؛ لأنّ المفروض صدور الفعل عنه إلجاء أو عدم كفاية الصارف الفعلي في تركه ، فضلا عن الصارف الموجود في الزمان المتقدّم ، لكن قد يتوقّف في بقاء التكليف في صورة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الإلجاء إنّما نشأ من اختياره لعلمه به وتمكّنه من دفعه ، فيكون كمن فوّت القدرة في الامتثال قبل مجيء زمان الفعل ، مثل ما سمعت في إراقة ماء الوضوء قبل الوقت وإعجاز النفس عن الحجّ قبل ذي حجّة في مبحث وجوب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الجواب عن الاستلزام </w:t>
      </w:r>
      <w:r>
        <w:rPr>
          <w:rStyle w:val="FootnoteAnchor"/>
          <w:rtl w:val="true"/>
        </w:rPr>
        <w:footnoteReference w:id="1194"/>
      </w:r>
      <w:r>
        <w:rPr>
          <w:rFonts w:ascii="Amiri" w:hAnsi="Amiri" w:eastAsia="Amiri" w:cs="Amiri"/>
          <w:color w:val="111111"/>
          <w:sz w:val="28"/>
          <w:sz w:val="28"/>
          <w:szCs w:val="28"/>
          <w:rtl w:val="true"/>
          <w:lang w:bidi="ar-SA"/>
        </w:rPr>
        <w:t>فغير خفيّ على من أحاط خبرا بما تلونا في إثبات جواز اختلاف المتلازمين في الحكم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العينيّة </w:t>
      </w:r>
      <w:r>
        <w:rPr>
          <w:rStyle w:val="FootnoteAnchor"/>
          <w:rtl w:val="true"/>
        </w:rPr>
        <w:footnoteReference w:id="1195"/>
      </w:r>
      <w:r>
        <w:rPr>
          <w:rFonts w:ascii="Amiri" w:hAnsi="Amiri" w:eastAsia="Amiri" w:cs="Amiri"/>
          <w:color w:val="111111"/>
          <w:sz w:val="28"/>
          <w:sz w:val="28"/>
          <w:szCs w:val="28"/>
          <w:rtl w:val="true"/>
          <w:lang w:bidi="ar-SA"/>
        </w:rPr>
        <w:t xml:space="preserve">فأوضح من البيان ؛ إذ كلّ أحد يعلم أنّ الأمر بترك الزنا ليس عين الأمر بضدّه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لا مفهوما ولا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حكي عنه أنّ الأمر بالحركة عين النهي </w:t>
      </w:r>
      <w:bookmarkStart w:id="374" w:name="pg16254_218838"/>
    </w:p>
    <w:p>
      <w:pPr>
        <w:pStyle w:val="BookText"/>
        <w:rPr/>
      </w:pPr>
      <w:bookmarkEnd w:id="374"/>
      <w:r>
        <w:rPr>
          <w:rFonts w:ascii="Amiri" w:hAnsi="Amiri" w:eastAsia="Amiri" w:cs="Amiri"/>
          <w:color w:val="111111"/>
          <w:sz w:val="28"/>
          <w:sz w:val="28"/>
          <w:szCs w:val="28"/>
          <w:rtl w:val="true"/>
          <w:lang w:bidi="ar-SA"/>
        </w:rPr>
        <w:t xml:space="preserve">عن السكون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أوقعه في هذا الخيال كونهما ضدّين لا ثالث لهما ، ولعمرك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في سائر المقامات إذا أخذنا الضدّ أحد الامور الوجوديّة ؛ لأنّه لا ثالث له ولفعل المأمور به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خفاء في كون ترك الحرام مقارنا للأضداد الوجوديّة في الخارج بحيث يتوهّم مثل الشهيد أنّ الأمر بالأوّل عين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الأقوال المعروفة</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4418366_1280447820"/>
      <w:bookmarkStart w:id="376" w:name="_Toc120"/>
      <w:bookmarkEnd w:id="375"/>
      <w:r>
        <w:rPr>
          <w:rtl w:val="true"/>
        </w:rPr>
        <w:t xml:space="preserve">بقي الكلام في قولين آخرين </w:t>
      </w:r>
      <w:r>
        <w:rPr>
          <w:rtl w:val="true"/>
        </w:rPr>
        <w:t>:</w:t>
      </w:r>
      <w:bookmarkEnd w:id="376"/>
    </w:p>
    <w:p>
      <w:pPr>
        <w:pStyle w:val="BookText"/>
        <w:rPr/>
      </w:pPr>
      <w:r>
        <w:rPr>
          <w:rFonts w:ascii="Amiri" w:hAnsi="Amiri" w:eastAsia="Amiri" w:cs="Amiri"/>
          <w:color w:val="111111"/>
          <w:sz w:val="28"/>
          <w:sz w:val="28"/>
          <w:szCs w:val="28"/>
          <w:rtl w:val="true"/>
          <w:lang w:bidi="ar-SA"/>
        </w:rPr>
        <w:t xml:space="preserve">أحدهما لبعض المحقّقين من متأخّري المتأخّرين ، والثاني لشيخنا البهائي وقد تقدّم لذلك ذكر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التفصيل بين ما إذا كان الضدّ من أسباب امتناع المأمور به في حقّ المكلّف كالمسافرة في البحر بالنسبة إلى إيصال الدين الواجب المضيّق ونحوه ، وبين ما إذا لم يكن كذلك كقراءة القرآن بالنسبة إلى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الضدّ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يوجب امتناع المأمور به أعني أداء الدين في حقّ المكلّف أبدا إذا كان من المعجّلات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الثاني ؛ فإنّ قراءة القرآن وإن كان ضدّا لأداء الشهادة ، إلاّ أنّه في كلّ آن من الآنات يقتدر على قطع القراءة وأداء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ترك أداء الحقّ المضيّق وتشاغل بالصلاة ، فإنّه يتمكّن في كلّ حال من أحوالها أن يتركها ويتشاغل بالواجب لسبق الحقّ المضيّق على الدخول فيها ، فيجوز الإبطال ، كالإبطال لغيره من الامور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المثال منقول عن صاحب هذا التفصيل ، ولعلّ مثالنا أحسن ؛ لما فيه من المناقشة والتأمّل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على هذا التفصيل 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الشيء إنّما يقتضي بحكم العقل والشرع والعرف إيجاب التهيّؤ له والتوصّل إليه ، فيجب فعل ما يقتضي وجوده وجوده وترك ما يقتضي تركه فعله ، كترك الحركة المقتضي لتحقّق السكون الواجب ، وترك ما يقتضي فعله عدم التمكّن منه كالمنافيات ، فالضدّ إن كان ممّا يوجب فعله عدم التمكّن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المانع من إيصال الحقّ المضيّق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 سواء قصد به الغاية المحرّمة أم لا ؛ لأنّ إباحته يقتضي عدم الإثم فيما يترتّب عليه ، فلو لم يكن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لعدم التمكّن منه محرّما لزم خروج الواجب عن كونه واجبا ؛ ولأنّ قضيّة إناطة الأحكام بالحكم والمصالح هو تحريم ما يقتضي رفع التمكّن من فعل الواجب ، ولما ورد من النهي عن دخول البحر قبل الصلاة لمن لا يتمكّن من الخروج عنه لأدائها </w:t>
      </w:r>
      <w:r>
        <w:rPr>
          <w:rStyle w:val="FootnoteAnchor"/>
          <w:rtl w:val="true"/>
        </w:rPr>
        <w:footnoteReference w:id="120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يرفع تمكّنه ، بل كان في جميع أفعال الضدّ متمكّنا من تركه وأداء الواجب ، فلا يلزم من إيجاب الواجب تحريم مثل هذا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ما حكي عنه من الاستدلال على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 الضدّ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الرافع للتمكّن عن الامتثال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لتركه ، إذ لا معنى للترك إلاّ صيرورة الواجب بحيث يتعذّر المكلّف عن الامتثال تعذّرا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الثاني ؛ فإنّ الاشتغال بالضدّ غير رافع للتمكّن كما هو المفروض ، ومن المعلوم أنّ ترك الواجب حرام ، ويحرم لذلك فعل الضدّ الرافع ، كما تقدّم من أنّ علّة الحرام 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أجاب صاحب الفصول </w:t>
      </w:r>
      <w:r>
        <w:rPr>
          <w:rStyle w:val="FootnoteAnchor"/>
          <w:rtl w:val="true"/>
        </w:rPr>
        <w:footnoteReference w:id="1201"/>
      </w:r>
      <w:r>
        <w:rPr>
          <w:rFonts w:ascii="Amiri" w:hAnsi="Amiri" w:eastAsia="Amiri" w:cs="Amiri"/>
          <w:color w:val="111111"/>
          <w:sz w:val="28"/>
          <w:sz w:val="28"/>
          <w:szCs w:val="28"/>
          <w:rtl w:val="true"/>
          <w:lang w:bidi="ar-SA"/>
        </w:rPr>
        <w:t>عن هذه الأدلّة في كلمات طويلة كلّها أو جلّها مبنيّة على المقدّمة الموصلة التي عرفت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نقتصر في المقال ونجيب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بالنقض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الأدلّة إن نهض في إثبات وجوب ترك الرافع للتمكّن فمقتضاه وجوب غير الرافع أيضا ، لأنّ الكلام في ضدّ الواجب المضيّق الذي وجوبه فوريّ ثابت في جميع آنات القدرة ، ولا ريب أنّ الاشتغال بضدّ مثل هذا الواجب الفوري يرفع التمكّن عن الامتثال به زمن الاشتغال مطلقا ، من غير فرق بين شيء من الأضداد ، فإنّ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من الأضداد المنافية للإزالة يوجب امتناع فعل الإزالة في آن وقوع الصلاة ، وقضيّة ما ذكر من الأدلّة الحكم بحرمة الصلاة لكونها رافعة للتمكّن من فعل الواجب الذي هو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فيما فرضنا من المثال ، إذ الاشتغال بقراءة القرآن يرفع التمكّن عن أداء الشهادة في آن القراءة ، نحو رافعيّة السفر للتمكّن عن إيصال الحقّ الواجب</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يكون فعل الضدّ مستوعبا لتمام وقت الواجب بحيث لا يتمكّن المكلّف من تركه ، وقد لا يكون كذلك بل يكون من الأفعال التي يقتدر المكلّف على تركها ، وكلاهما مشتركان في كونهما رافعين للتمكّن عن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الفرق بينهما هو أنّ رفع الأوّل مستمرّ إلى انقضاء وقت الواجب ورفع الثاني دائر مدار وجوده ، ولا يلزم في اتّصاف الشيء بالحرمة كونه رافعا للتمكّن عن الامتثال بالأمر الفوري مطلقا ، بل يكفي في ذلك كونه رافعا للتمكّن في آن ما ، ضرورة وجوب المسارعة إلى الامتثال في الأوامر الفوريّة في كلّ آن وحرمة التأخير ، بحيث إذا أخّر كان عاصيا تاركا للعمل بالقضيّة </w:t>
      </w:r>
      <w:r>
        <w:rPr>
          <w:rStyle w:val="FootnoteAnchor"/>
          <w:rtl w:val="true"/>
        </w:rPr>
        <w:footnoteReference w:id="1202"/>
      </w:r>
      <w:r>
        <w:rPr>
          <w:rFonts w:ascii="Amiri" w:hAnsi="Amiri" w:eastAsia="Amiri" w:cs="Amiri"/>
          <w:color w:val="111111"/>
          <w:sz w:val="28"/>
          <w:sz w:val="28"/>
          <w:szCs w:val="28"/>
          <w:rtl w:val="true"/>
          <w:lang w:bidi="ar-SA"/>
        </w:rPr>
        <w:t>الفوريّة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بالحل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تطابق العقل والشرع والعرف في إيجاب التهيّؤ للواجب والتوصّل بترك فعل الضدّ ولو رفع التمكّن لفعله </w:t>
      </w:r>
      <w:r>
        <w:rPr>
          <w:rStyle w:val="FootnoteAnchor"/>
          <w:rtl w:val="true"/>
        </w:rPr>
        <w:footnoteReference w:id="1203"/>
      </w:r>
      <w:r>
        <w:rPr>
          <w:rFonts w:ascii="Amiri" w:hAnsi="Amiri" w:eastAsia="Amiri" w:cs="Amiri"/>
          <w:color w:val="111111"/>
          <w:sz w:val="28"/>
          <w:sz w:val="28"/>
          <w:szCs w:val="28"/>
          <w:rtl w:val="true"/>
          <w:lang w:bidi="ar-SA"/>
        </w:rPr>
        <w:t>دليل القول باقتضاء الأمر بالشيء النهي عن الضدّ مطلقا ؛ لأنّ ترك الأضداد تهيّؤ لفعل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بوجوب المقدّمة فهو قائل بوجوب ترك الضدّ من باب المقدّمة بعد تسليم كون الترك من مقدّمات الفعل لا من المقارنات ، فيكون الأمر بالشيء مقتضيا للنهي عن الضدّ ، إذ لا نعني بالنهي إلاّ ما كان تركه واجبا مطلقا ، من غير فرق بين الرافع للتمكّن وغيره ، لأنّ النظر الدقيق يرى جميع الأضداد رافعة للتمكّن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الواضحات استحالة اجتماع الضدّين وعدم تمكّن وجود أحدهما في آن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صيرورة بعض الأضداد رافعا للتمكّن إلى انقضاء وقت الواجب دون بعض فلا ربط له بأطراف مسألتنا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يقول بوجوبها أو يقول به ولكن يمنع عن كون الترك مقدّمة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كالسلطان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يمنع عن حكم العقل والشرع والعرف بوجوب التهيّؤ إن كان من منكري وجوب المقدّمة ، أو يمنع عن كون ترك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كان أو غير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التهيّؤ والتوصّل ، بدعوى كون التهيّؤ إنّما هو انتفاء الصارف الذي يحرّك إلى فعل الواجب وترك أضداده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اقتضاء إناطة الحكم بالمصالح تحريم ما يقتضي رفع التمكّن من فعل الواجب ، فمع كونه عبارة اخرى عن القول بحرمة سبب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 بسبب فوات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الورود بين الضدّ الرافع والغير الرافع ، لما عرفت من كونهما رافعين معا ؛ وكذا ما ورد من النهي عن دخول البحر قبل الصلاة ، فإنّه لو دلّ </w:t>
      </w:r>
    </w:p>
    <w:p>
      <w:pPr>
        <w:pStyle w:val="BookText"/>
        <w:rPr/>
      </w:pPr>
      <w:r>
        <w:rPr>
          <w:rFonts w:ascii="Amiri" w:hAnsi="Amiri" w:eastAsia="Amiri" w:cs="Amiri"/>
          <w:color w:val="111111"/>
          <w:sz w:val="28"/>
          <w:sz w:val="28"/>
          <w:szCs w:val="28"/>
          <w:rtl w:val="true"/>
          <w:lang w:bidi="ar-SA"/>
        </w:rPr>
        <w:t>على المدّعى نسبته إلى المقامين متساوية ؛ مضافا إلى ما فيه أوّلا من خروجه عن محلّ الكلام ، لأنّ الصلاة ليست من الواجبات الفوريّة المضيّقة التي كلامنا فيها ، فلا ضير في كون الضدّ رافعا عن التمكّن بها ما لم يرفع التمكّن إلى انقضاء الوقت ، إذ ليست المسارعة إليها واجبة حتى يكون ضدّه مطلقا ولو كان رافعا في مقدار زمانه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مضايقة في نحو الصلاة من الواجبات الموسّعة الالتزام بحرمة ضدّها الذي يرفع التمكّن منها رأسا دون غيره ممّا لا يرفع التمكّن ، بل لعلّ الحقّ هو هذا بناء على اقتضاء الأمر بالشيء للنهي عن الضدّ ، لأنّ الواجب الموسّع إذا لاحظته وقايسته مع الضدّ الذي يصير سبب امتناعها في حق المكلّف يكون في حكم الواجب المضيّق في اقتضائه للنهي عنه ، لكون تركه مقدّمة لأداء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قايسته بالضدّ الذي لا يرفع التمكّن من الواجب إلى آخر الوقت ، فإنّ تركه حينئذ ليس مقدّمة لفعل الواجب على وجه الانحصار ، لإمكان الواجب في زمان آخر غير زمان ذلك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الجواب عن الوجه الذي ذكرناه دليلا على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الرافع للتمكّن سببا لترك الواجب دون غيره ؛ لأنّ كلاّ منهما سبب للترك بالنسبة إلى الإتيان بالواجب المضيّق في زمان الضدّ وإن كان الأوّل رافعا للتمكّن بالنسبة إلى تمام العمر أو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المقام حتّى يظهر لك بطلان هذا التفصيل بما لا مزيد عليه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إلى ما فيه عند تحرير الأقوال ، إذ قد ذكرنا أنّ هذا القول إن لم يرجع إلى اقتضاء الأمر بالشيء النهي عن الضدّ كان بمعزل عن التحقيق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العبادة لا يحتاج إلى تعلّق الأمر بها إذا كانت مندرجة تحت عنوان مأمور به ، بل يكفي في صحّتها انطباقها على ذلك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الثابت للطبائع لا يسري إلى الأفراد ، وإلاّ لزم كون جميع الأفراد واجبات عينيّة إذا كان الأمر المتعلّق بالكلّي أمرا عينيّا لا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هنا في تزييف هذا القول الذي ذهب إليه بعض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الرياض على ما صرّح به في مبحث العلم بغصبيّة الثوب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الأمر بالشيء يقتضي عدم الأمر بضدّه لا النهي عنه لا دليل عليه إلاّ دعوى كون الأمر بالضدّين تكليفا بالمحال ، فلا بدّ من الحكم بعدم تعلّق الأمر بأحدهما إذا ثبت وجوب الآخر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أردت من تعلّق الأمر بالضدّين تعلّق الأمر الشرعي أو العقلي بهما عينيّا أو تخييريّا شرعيّا أو عقليّا ، فالأمر كما ذكرت من كونه تكليفا بالمحال ، ولكن مصادمة فرد من أفراد الواجب الموسّع مع الواجب المضيّق ليس من هذا القبيل ، لأنّ الفرد بخصوصه ليس ممّا ورد فيه أمر شرعيّ أو عقليّ عينيّا أو تخييريّا ؛ لأنّ معنى كون الفرد مأمورا به كون الكلّي الذي هو فرده مطلوبا للشارع ثمّ انطباق ذلك الفرد على ذلك الكلّي ، فليس الفرد في فرديّته مأمورا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صحّة العبادة على الأمر فليس معناه إلاّ ورود الأمر على عنوان تلك العبادة وطبيعتها ، مثلا إذا قال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فالمأمور به هنا إنّما هو الإتيان بالكلّي المنطبق على خصوصيّات الإتيان بحسب الزمان والمكان والمأتيّ به ، وأمّا خصوصيّات الإتيان وأفرادها فلم يتعلّق بها عن الكلّي انطباقه عليها وحصوله في ضمنها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الطبيعة لا بدّ وأن يسري إلى الأفراد ، نظير سريان الحلاوة الثابتة لطبيعة التمر إلى جميع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الطبائع ولوازمها مختلفة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ثابت لها من حيث هي مع قطع النظر عن الوجود الذهني والخارجي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ثابت لها بشرط وجودها في الخارج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ثابت لها بشرط الوجود الذهني كما في القضايا الطبيعيّة ،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نوع والحيوان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السريان إنّما هو مسلّم في الأوّلين ، وأمّا في الثالث فمن الواضح امتناع السريان فيه ، وإلاّ لكان كلّ فرد من أفراد الحيوان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العارض للماهيّات من هذا القبيل ، فإنّه ليس عارضا للطبيعة من حيث هي هي ، ولا بها بشرط وجودها في الخارج ، بل يعرض لها بشرط وجودها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كذلك ، لأنّ الوجوب في الحقيقة ليس من صفات الماهيّة بل هو عبارة عن الطلب القائم بنفس المتكلّم المتعلّق بإيجاد تلك الطبيعة ، وطلب الإيجاد لا يمكن أن يعتبر فيه بشرط كون المطلوب في الذهن دون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من تعلّق الأمر بهما تعلّق الأمر بأحدهما وبكلّي الآخر فما ذكرت من كونه تكليفا بالمسمّى ممنوع ، لأنّ المسمّى إنّما هو طلب الأمرين لا طلب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انطباق الآخر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يقضي بعدم تعلّق الأمر الشرعي بالفرد لا عينا ولا تخييرا ، وأمّا الأمر العقلي التخييري فليس في وسعك إنكار هذا ، لأنّ العقل إذا وجد تعلّق الأمر بالكلّي حكم بكون كلّ واحد من أفراده مطلوبا على جهة التخيير ، وهذا الطلب العقلي التخييري أيضا يستحيل اجتماعه مع طلب ضدّه عينا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بالتخيير العقلي حكم العقل بكون الأفراد مطلوبة للشارع على سبيل التخيير ، فهذا يرجع إلى التخيير الشرعي ، إذ لا نعني بالتخيير الشرعي إلاّ طلب الشارع أشياء على جهة التخيير كالخصال ، وهذا أوّل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أردت بالتخيير العقلي أنّ العقل إذا وجد تعلّق الأمر بعنوان كلّي ولم يجد التخصيص حكم بحصول الامتثال في ضمن كلّ فرد ، فهذا بعينه هو الانطباق الذي ادّعينا كونه كافيا في الامتثال وأنّه ليس من الطلب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سمّيته بانطباق الفرد على الكلّي هو الذي يعدّ امرا عرفا وحكمه حكم الأمر الصريح في صحّة العمل وسقوط </w:t>
      </w:r>
      <w:r>
        <w:rPr>
          <w:rStyle w:val="FootnoteAnchor"/>
          <w:rtl w:val="true"/>
        </w:rPr>
        <w:footnoteReference w:id="1206"/>
      </w:r>
      <w:r>
        <w:rPr>
          <w:rFonts w:ascii="Amiri" w:hAnsi="Amiri" w:eastAsia="Amiri" w:cs="Amiri"/>
          <w:color w:val="111111"/>
          <w:sz w:val="28"/>
          <w:sz w:val="28"/>
          <w:szCs w:val="28"/>
          <w:rtl w:val="true"/>
          <w:lang w:bidi="ar-SA"/>
        </w:rPr>
        <w:t>التكليف وحصول الإجزاء وترتّب الثواب والعقاب والإطاعة والعصيان وغيرها من أحكام المأمور به ، سمّيته بالأمر أم لا ، ولا ريب في استحالة هذا الانطباق في أحد الضدّين على وجه يؤثّر في الصحّة مع تعلّق الأمر بالضدّ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 فإنّ القبح والاستحالة إنّما هي في خصائص تعلّق الطلب بالضدّين ، فلا يثبت بطلب أحدهما وانطباق الآخر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ذكرنا ليس مبنيّا على القول بكون متعلّق الأمر هي الطبيعة دون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من ظاهر كلماتنا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بتعلّق الأوامر بالأفراد لتمّ ما ذكرنا أيضا ، لأنّ معنى تعلّق الأمر بالفرد أنّ المطلوب إنّما هو الحصّة من الطبيعة في الخارج في ضمن فرد ما ، ولا ريب أنّ نسبة فرد ما إلى خصوص الأفراد مثل نسبة الكلّي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إنّما هو أحد الأفراد على سبيل البدليّة ، ومعنى البدليّة حصول الامتثال بكلّ فرد لانطباقه على فرد ما ، فتدبّر جيّدا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يستدلّ على هذا القول بنحو ما اخترنا في هذه المسألة ومسألة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التخييري الشرعي الشأني ثابت لجميع الأفراد ولو كان الأمر الفعلي منتفيا ؛ لأنّ الآمر إذا التفت 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يثبت لها حكما من الأحكام امتنع أن يثبت شيئا إلاّ الوجوب التخييري ، وحينئذ أمكن دعوى </w:t>
      </w:r>
      <w:bookmarkStart w:id="377" w:name="pg16254_218846"/>
    </w:p>
    <w:p>
      <w:pPr>
        <w:pStyle w:val="BookText"/>
        <w:rPr/>
      </w:pPr>
      <w:bookmarkEnd w:id="377"/>
      <w:r>
        <w:rPr>
          <w:rFonts w:ascii="Amiri" w:hAnsi="Amiri" w:eastAsia="Amiri" w:cs="Amiri"/>
          <w:color w:val="111111"/>
          <w:sz w:val="28"/>
          <w:sz w:val="28"/>
          <w:szCs w:val="28"/>
          <w:rtl w:val="true"/>
          <w:lang w:bidi="ar-SA"/>
        </w:rPr>
        <w:t>اقتضاء الأمر بالشيء عدم هذا الأمر الشأني للضدّ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أنّ من يقول بهذا فلا ينبغي له إنكار اقتضاء الأمر النهي الشأني عن الضدّ ، كما أثبتنا ذلك واخترناه في المسألة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النهي الشأني قائم مقام النهي الفعلي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4418368_1280447820"/>
      <w:bookmarkStart w:id="379" w:name="_Toc121"/>
      <w:bookmarkEnd w:id="378"/>
      <w:r>
        <w:rPr>
          <w:rtl w:val="true"/>
        </w:rPr>
        <w:t>تذنيب</w:t>
      </w:r>
      <w:bookmarkEnd w:id="379"/>
    </w:p>
    <w:p>
      <w:pPr>
        <w:pStyle w:val="BookText"/>
        <w:rPr/>
      </w:pPr>
      <w:r>
        <w:rPr>
          <w:rFonts w:ascii="Amiri" w:hAnsi="Amiri" w:eastAsia="Amiri" w:cs="Amiri"/>
          <w:color w:val="111111"/>
          <w:sz w:val="28"/>
          <w:sz w:val="28"/>
          <w:szCs w:val="28"/>
          <w:rtl w:val="true"/>
          <w:lang w:bidi="ar-SA"/>
        </w:rPr>
        <w:t xml:space="preserve">هل النهي عن الشيء يقتضي الأمر بضدّه العامّ أو الخاصّ ، على القول باقتضاء الأمر به النهي عنهما أو عن أحدهما أم لا؟ ذهب الكعبي إلى أنّ النهي عن الشيء أمر بضدّه الخاصّ </w:t>
      </w:r>
      <w:r>
        <w:rPr>
          <w:rStyle w:val="FootnoteAnchor"/>
          <w:rtl w:val="true"/>
        </w:rPr>
        <w:footnoteReference w:id="1207"/>
      </w:r>
      <w:r>
        <w:rPr>
          <w:rFonts w:ascii="Amiri" w:hAnsi="Amiri" w:eastAsia="Amiri" w:cs="Amiri"/>
          <w:color w:val="111111"/>
          <w:sz w:val="28"/>
          <w:sz w:val="28"/>
          <w:szCs w:val="28"/>
          <w:rtl w:val="true"/>
          <w:lang w:bidi="ar-SA"/>
        </w:rPr>
        <w:t xml:space="preserve">لوجوه قد عرفت جوابها بما لا مزيد عليها ، وخالفه أكثر العامّة </w:t>
      </w:r>
      <w:r>
        <w:rPr>
          <w:rStyle w:val="FootnoteAnchor"/>
          <w:rtl w:val="true"/>
        </w:rPr>
        <w:footnoteReference w:id="1208"/>
      </w:r>
      <w:r>
        <w:rPr>
          <w:rFonts w:ascii="Amiri" w:hAnsi="Amiri" w:eastAsia="Amiri" w:cs="Amiri"/>
          <w:color w:val="111111"/>
          <w:sz w:val="28"/>
          <w:sz w:val="28"/>
          <w:szCs w:val="28"/>
          <w:rtl w:val="true"/>
          <w:lang w:bidi="ar-SA"/>
        </w:rPr>
        <w:t xml:space="preserve">وجميع الخاصّة </w:t>
      </w:r>
      <w:r>
        <w:rPr>
          <w:rStyle w:val="FootnoteAnchor"/>
          <w:rtl w:val="true"/>
        </w:rPr>
        <w:footnoteReference w:id="1209"/>
      </w:r>
      <w:r>
        <w:rPr>
          <w:rFonts w:ascii="Amiri" w:hAnsi="Amiri" w:eastAsia="Amiri" w:cs="Amiri"/>
          <w:color w:val="111111"/>
          <w:sz w:val="28"/>
          <w:sz w:val="28"/>
          <w:szCs w:val="28"/>
          <w:rtl w:val="true"/>
          <w:lang w:bidi="ar-SA"/>
        </w:rPr>
        <w:t>إلاّ في مواضع مستثناة متقدّمة إليها الإشارة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اقتضاؤه الأمر بضدّه العامّ ، مثل اقتضاء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بترك الزنا ، فالظاهر أنّه مثل اقتضاء الأمر النهي عن الضدّ العام ، فالكلام الذي سبق </w:t>
      </w:r>
      <w:r>
        <w:rPr>
          <w:rStyle w:val="FootnoteAnchor"/>
          <w:rtl w:val="true"/>
        </w:rPr>
        <w:footnoteReference w:id="1210"/>
      </w:r>
      <w:r>
        <w:rPr>
          <w:rFonts w:ascii="Amiri" w:hAnsi="Amiri" w:eastAsia="Amiri" w:cs="Amiri"/>
          <w:color w:val="111111"/>
          <w:sz w:val="28"/>
          <w:sz w:val="28"/>
          <w:szCs w:val="28"/>
          <w:rtl w:val="true"/>
          <w:lang w:bidi="ar-SA"/>
        </w:rPr>
        <w:t>هناك جار هاهنا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القول بكلّ واحد منهما عين الآخر على بعض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المراد اتّحاد مصداق المطلوبين دون الطلبين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بالعينيّة على التفسير المراد به اتّحاد نفس الطلبين لا يخلو عن استقامة ، فارجع إلى ما تقدّم حتّى يتضح لك الحال في أطراف المسألة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 يتفرّع على اقتضاء الأمر بالشيء النهي عن الضدّ اقتضاء الأمر الندبي كراهة ضدّه العامّ أو الخاصّ ، وعلى اقتضاء النهي عن الشيء الأمر بضدّه استحباب ضدّ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الأمر الندبي لا يقتضي كراهة ضدّه العامّ فضلا عن الخاصّ ، إذ ليس في ترك المندوب إلاّ فوت بعض المصالح ، وليس هذا بمبغوض للشارع حتّى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المكروه طلب تركه مع الإذن في الفعل كان ترك ترك المستحب مطلوبا وفعل تركه مأذونا ، ولكنّه مع ذلك لا يعدّ من المكروه ، لأنّه عبارة عن شيء وجودي مطلوب تركه ، فلا يصدق على أمر عدميّ مطلوب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اقتضاء النهي على وجه الكراهة استحباب ضدّه العام ، فالظاهر أنّه لا ضير فيه ؛ لأنّ الفرار عن المنقصة مطلوب عند الشارع ، ولا نعني بالمستحبّ إلاّ ما كان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استحباب الضدّ الخاصّ فهو مبنيّ على تماميّة قول الكعبي ، ولا نقول به ، كما مرّ غير مرّة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على خير خلقه محمّد وآله أجمعين ولعنة اللّه على أعدائهم أجمعين</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254_218849"/>
      <w:bookmarkStart w:id="381" w:name="pg16254_218849"/>
      <w:bookmarkEnd w:id="381"/>
    </w:p>
    <w:p>
      <w:pPr>
        <w:pStyle w:val="BookText"/>
        <w:rPr/>
      </w:pPr>
      <w:bookmarkStart w:id="382" w:name="pg16254_218849"/>
      <w:bookmarkEnd w:id="38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2"/>
        <w:numPr>
          <w:ilvl w:val="1"/>
          <w:numId w:val="1"/>
        </w:numPr>
        <w:rPr/>
      </w:pPr>
      <w:bookmarkStart w:id="383" w:name="__RefHeading___Toc4418370_1280447820"/>
      <w:bookmarkStart w:id="384" w:name="_Toc122"/>
      <w:bookmarkEnd w:id="383"/>
      <w:r>
        <w:rPr>
          <w:rtl w:val="true"/>
        </w:rPr>
        <w:t>القول في جواز اجتماع الأمر والنهي في شيء واحد</w:t>
      </w:r>
      <w:bookmarkEnd w:id="38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4418372_1280447820"/>
      <w:bookmarkStart w:id="386" w:name="_Toc123"/>
      <w:bookmarkEnd w:id="385"/>
      <w:r>
        <w:rPr>
          <w:rtl w:val="true"/>
        </w:rPr>
        <w:t>اشارة</w:t>
      </w:r>
      <w:bookmarkEnd w:id="386"/>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6254_218851"/>
      <w:bookmarkStart w:id="388" w:name="pg16254_218851"/>
      <w:bookmarkEnd w:id="388"/>
    </w:p>
    <w:p>
      <w:pPr>
        <w:pStyle w:val="Heading3"/>
        <w:numPr>
          <w:ilvl w:val="2"/>
          <w:numId w:val="1"/>
        </w:numPr>
        <w:rPr/>
      </w:pPr>
      <w:bookmarkStart w:id="389" w:name="pg16254_218851"/>
      <w:bookmarkStart w:id="390" w:name="__RefHeading___Toc4418374_1280447820"/>
      <w:bookmarkStart w:id="391" w:name="_Toc124"/>
      <w:bookmarkEnd w:id="389"/>
      <w:bookmarkEnd w:id="390"/>
      <w:r>
        <w:rPr>
          <w:rtl w:val="true"/>
        </w:rPr>
        <w:t xml:space="preserve">وتوضيح المرام في طيّ مقدّمة وهدايات </w:t>
      </w:r>
      <w:r>
        <w:rPr>
          <w:rtl w:val="true"/>
        </w:rPr>
        <w:t>:</w:t>
      </w:r>
      <w:bookmarkEnd w:id="391"/>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أنّ هذه المسألة هل هي ملحقة بمسائل الاصول أو بمسائل الكلام؟ وعلى الأوّل فهل هي من مقاصدها أو من المبادئ؟</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بعضهم أنّها من المسائل الكلاميّة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له وجه ، فإنّه يبحث في الكلام عن أحوال المبدأ والمعاد ، حيث إنّها صناعة نظريّة تقدر معها على إثبات 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الصانع ، وصفاته التي يتوصّل بها إلى إثبات النبيّ ، والوصيّ ، والمعاد بما فيها من العقائد ، وليس البحث المذكور ممّا يرجع إليها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البحث من حيث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النزاع في فعله ، كما يبحث في جواز إقدار الكاذب على فعل خارق للعادة </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رجوع النزاع إليه ، كما يرشد إليه كلماتهم نقضا وإيرادا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كونها من المباحث العقليّة لا يقضي بإلحاقها إلى المسائل الكلاميّة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يبحث في الكلام عن بعض المطالب العقليّة من حيث إنّ لها دخلا في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المسائل المتعلّقة بالطبيعيّات ، وبعض مطالب الامور العامّة كإبطال الجزء </w:t>
      </w:r>
      <w:r>
        <w:rPr>
          <w:rStyle w:val="FootnoteAnchor"/>
          <w:rtl w:val="true"/>
        </w:rPr>
        <w:footnoteReference w:id="1213"/>
      </w:r>
      <w:r>
        <w:rPr>
          <w:rFonts w:ascii="Amiri" w:hAnsi="Amiri" w:eastAsia="Amiri" w:cs="Amiri"/>
          <w:color w:val="111111"/>
          <w:sz w:val="28"/>
          <w:sz w:val="28"/>
          <w:szCs w:val="28"/>
          <w:rtl w:val="true"/>
          <w:lang w:bidi="ar-SA"/>
        </w:rPr>
        <w:t>وإثباته بناء على ما زعموا من ابتناء أمر المعاد الجسماني عليه ، وكامتناع إعادة المعدوم وإمكانه لذلك أيضا ، وما نحن بصدده ليس من هذا القبيل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يظهر من بعض آخر </w:t>
      </w:r>
      <w:r>
        <w:rPr>
          <w:rStyle w:val="FootnoteAnchor"/>
          <w:rtl w:val="true"/>
        </w:rPr>
        <w:footnoteReference w:id="1214"/>
      </w:r>
      <w:r>
        <w:rPr>
          <w:rFonts w:ascii="Amiri" w:hAnsi="Amiri" w:eastAsia="Amiri" w:cs="Amiri"/>
          <w:color w:val="111111"/>
          <w:sz w:val="28"/>
          <w:sz w:val="28"/>
          <w:szCs w:val="28"/>
          <w:rtl w:val="true"/>
          <w:lang w:bidi="ar-SA"/>
        </w:rPr>
        <w:t>أنّ البحث فيها يرجع إلى البحث عن مقاصد الاصول ، فإنّها يستنبط منها صحّة الصلاة في الدار المغصوبة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 فإنّ الصحّة والفساد لا يترتّبان على الجواز والعدم ، بل التحقيق أنّ الصحّة متفرّعة على عدم التعارض والتناقض بين مدلولي الأمر والنهي ، وتشخيص ذلك موقوف على مسألة الجواز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المسألة من مباني المسألة الاصوليّة ، وهي وجود التعارض وتحقّق التناقض بين الأدلّة وعدمه ، فالحكم الفرعي لا يترتّب على هذه المسألة بدون توسيط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بأنّ البحث فيها إنّما هو بحث عن مبادئ </w:t>
      </w:r>
      <w:r>
        <w:rPr>
          <w:rStyle w:val="FootnoteAnchor"/>
          <w:rtl w:val="true"/>
        </w:rPr>
        <w:footnoteReference w:id="1215"/>
      </w:r>
      <w:r>
        <w:rPr>
          <w:rFonts w:ascii="Amiri" w:hAnsi="Amiri" w:eastAsia="Amiri" w:cs="Amiri"/>
          <w:color w:val="111111"/>
          <w:sz w:val="28"/>
          <w:sz w:val="28"/>
          <w:szCs w:val="28"/>
          <w:rtl w:val="true"/>
          <w:lang w:bidi="ar-SA"/>
        </w:rPr>
        <w:t xml:space="preserve">الأحكاميّة ، حيث يناسب عند ذكرها وتحقيقها ذكر بعض أحكامها وأوصافها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ملازمة وجوب شيء لوجوب مقدّمته ، ومن جواز اجتماع الحكمين مع تضادّهما ، كما تقدّم شطر من الكلام في ذلك في 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الوجه في ذكر العضدي له في المبادئ الأحكاميّة </w:t>
      </w:r>
      <w:r>
        <w:rPr>
          <w:rStyle w:val="FootnoteAnchor"/>
          <w:rtl w:val="true"/>
        </w:rPr>
        <w:footnoteReference w:id="1216"/>
      </w:r>
      <w:r>
        <w:rPr>
          <w:rFonts w:ascii="Amiri" w:hAnsi="Amiri" w:eastAsia="Amiri" w:cs="Amiri"/>
          <w:color w:val="111111"/>
          <w:sz w:val="28"/>
          <w:sz w:val="28"/>
          <w:szCs w:val="28"/>
          <w:rtl w:val="true"/>
          <w:lang w:bidi="ar-SA"/>
        </w:rPr>
        <w:t xml:space="preserve">، كشيخنا البهائي قدس‌سره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إيرادها في مباحث الأدلّة العقليّة ، من حيث إنّ العقل يحكم بارتفاع أحدهما قطعا عند الاجتماع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ضعيف ، إذ مجرّد ذلك لا يقضي به ما لم يلاحظ فيه ثمرة 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والإثبات في المسألة راجع إلى اللغة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بكلام المعالم </w:t>
      </w:r>
      <w:r>
        <w:rPr>
          <w:rStyle w:val="FootnoteAnchor"/>
          <w:rtl w:val="true"/>
        </w:rPr>
        <w:footnoteReference w:id="1219"/>
      </w:r>
      <w:r>
        <w:rPr>
          <w:rFonts w:ascii="Amiri" w:hAnsi="Amiri" w:eastAsia="Amiri" w:cs="Amiri"/>
          <w:color w:val="111111"/>
          <w:sz w:val="28"/>
          <w:sz w:val="28"/>
          <w:szCs w:val="28"/>
          <w:rtl w:val="true"/>
          <w:lang w:bidi="ar-SA"/>
        </w:rPr>
        <w:t>حيث أوردها في مباحث النهي المبحوث فيها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الضعف والوهن ؛ فإنّ البحث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كأدلّتهم وأجوبتهم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ينادي بأعلى صوته على فساد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مباحث المقدّمة ما يوضح فساده في الغاية ، فراجعه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صاحب المعالم ، فحيث إنّه لم يذكر في المعالم ما يشتمل على مبادئ </w:t>
      </w:r>
      <w:r>
        <w:rPr>
          <w:rStyle w:val="FootnoteAnchor"/>
          <w:rtl w:val="true"/>
        </w:rPr>
        <w:footnoteReference w:id="1220"/>
      </w:r>
      <w:r>
        <w:rPr>
          <w:rFonts w:ascii="Amiri" w:hAnsi="Amiri" w:eastAsia="Amiri" w:cs="Amiri"/>
          <w:color w:val="111111"/>
          <w:sz w:val="28"/>
          <w:sz w:val="28"/>
          <w:szCs w:val="28"/>
          <w:rtl w:val="true"/>
          <w:lang w:bidi="ar-SA"/>
        </w:rPr>
        <w:t>الأحكاميّة أوردها في مسائل النهي ، مع أنّ كلماته أيضا صريحة في فساد التوهّم المذكور في كلامه ، وإن كان له في كلامه وجه في نظائره كوجوب المقدّمة ، فتدبّر</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6254_218855"/>
      <w:bookmarkStart w:id="393" w:name="pg16254_218855"/>
      <w:bookmarkEnd w:id="393"/>
    </w:p>
    <w:p>
      <w:pPr>
        <w:pStyle w:val="Heading3"/>
        <w:numPr>
          <w:ilvl w:val="2"/>
          <w:numId w:val="1"/>
        </w:numPr>
        <w:rPr/>
      </w:pPr>
      <w:bookmarkStart w:id="394" w:name="pg16254_218855"/>
      <w:bookmarkStart w:id="395" w:name="__RefHeading___Toc4418376_1280447820"/>
      <w:bookmarkStart w:id="396" w:name="_Toc125"/>
      <w:bookmarkEnd w:id="394"/>
      <w:bookmarkEnd w:id="395"/>
      <w:r>
        <w:rPr>
          <w:rtl w:val="true"/>
        </w:rPr>
        <w:t xml:space="preserve">هداية </w:t>
      </w:r>
      <w:r>
        <w:rPr>
          <w:rtl w:val="true"/>
        </w:rPr>
        <w:t xml:space="preserve">: </w:t>
      </w:r>
      <w:r>
        <w:rPr>
          <w:rtl w:val="true"/>
        </w:rPr>
        <w:t>في بيان المراد من الألفاظ المأخوذة في العنوان</w:t>
      </w:r>
      <w:bookmarkEnd w:id="39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كتب اللغة </w:t>
      </w:r>
      <w:r>
        <w:rPr>
          <w:rStyle w:val="FootnoteAnchor"/>
          <w:rtl w:val="true"/>
        </w:rPr>
        <w:footnoteReference w:id="1221"/>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الانتقال وعدم الوقوف في حيّز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منه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بالمشاكلة في مقابل المنع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مانع منه ، فكأنّه غير واقف على أحد الطرفين من الوجود والعدم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جوّز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يمنع منه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الحاكم بالجواز فهو العقل والشرع ، وستعرف أنّ الجواز العرفي مرجعه إلى العقل ، غاية الأمر اختلاف موضوع الجوازين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معان خمسة ، فتارة يطلق في قبال الباطل والفاسد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في قبال القبيح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صدور المعجزة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في قبال ما يعدّ غلطا في اللغة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استعمال اللفظ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رجوع كلّ ذلك إلى معنى واحد ، كما لا يخفى على الفطن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ملاحظة إضافته إلى الأمر والنهي ظاهره وجودهما </w:t>
      </w:r>
    </w:p>
    <w:p>
      <w:pPr>
        <w:pStyle w:val="BookText"/>
        <w:rPr/>
      </w:pPr>
      <w:r>
        <w:rPr>
          <w:rFonts w:ascii="Amiri" w:hAnsi="Amiri" w:eastAsia="Amiri" w:cs="Amiri"/>
          <w:color w:val="111111"/>
          <w:sz w:val="28"/>
          <w:sz w:val="28"/>
          <w:szCs w:val="28"/>
          <w:rtl w:val="true"/>
          <w:lang w:bidi="ar-SA"/>
        </w:rPr>
        <w:t>في موردهما بجميع خواصّهما وأحكامهما ولوازمهما ، من حصول الامتثال والتقرّب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الإسقاط فليس من الاجتماع في شيء ، كما هو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النظر في كلام العضدي بعد ما مثّل لمحلّ النزاع بالصلاة في الدار المغصوبة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لا يصحّ الصلاة لكن يسقط الفعل عندها ، 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وأكثر المتكلّمين والجبّائي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ولا تسقط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القول بالسقوط لا ينبغي ان يعدّ قولا ثالثا ، إذ لا اجتماع هناك ، فمرجعه إلى القول بالامتناع ، فيكون الصلاة عند القاضي من الواجبات التوصّليّة التي تسقط عند اجتماعها مع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بعد لا تخلو عن إجمال ؛ إذ ليس النزاع مختصّا بالصلاة ، فإنّها من مواردها كغيرها ، فإن أراد تصحيح الصلاة خاصّة فهي مسألة فرعيّة ، وإن أراد إقعاد قاعدة اصوليّة فلا وجه له كما هو ظاهر الاجتماع ، وإن أراد بيان رجوع كلّ من الأمر والنهي إلى أمر مغاير للآخر فهو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الخلط المذكور من الناقل ، فإنّ كلام القاضي مجمل في المقام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بحصول الواجب من دون إسقاط وعدم حصول اللوازم المترتّبة على حصول المأمور به على وجهه من الشرائط والأجزاء فهو ممّا لا ينبغي المصير إليه ، كما اختاره المحقّق القمّي رحمه‌اللّه ، حيث بنى في العبادات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الغدير في السفر وإن نوى الصائم فيه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المأمور به والمنهيّ عنه ، وعدم حصول لوازمه من التقرّب ، زاعما أنّ نيّة التقرّب لا تلازم وجود التقرّب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بمكان من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فلازم لفظ الاجتماع هو الالتزام بجميع لوازم الواجب والحرام من الثواب والعقاب والقرب والبعد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والنهي فالاقتصار على ظاهرهما يعطي كون النزاع في اجتماعهما نفسهما ، لا المأمور به والمنهيّ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مسألتين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كون الشيء الواحد متعلّقا للوجوب والحرمة من جهتين في محلّ النزاع فيهما؟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بعامّ ونهى عن آخر بينهما عموم من وجه ، فأتى المكلّف بالفرد الجامع ، فهل يحصل به الامتثال مع الإثم أم لا؟</w:t>
      </w:r>
    </w:p>
    <w:p>
      <w:pPr>
        <w:pStyle w:val="BookText"/>
        <w:rPr/>
      </w:pPr>
      <w:r>
        <w:rPr>
          <w:rFonts w:ascii="Amiri" w:hAnsi="Amiri" w:eastAsia="Amiri" w:cs="Amiri"/>
          <w:color w:val="111111"/>
          <w:sz w:val="28"/>
          <w:sz w:val="28"/>
          <w:szCs w:val="28"/>
          <w:rtl w:val="true"/>
          <w:lang w:bidi="ar-SA"/>
        </w:rPr>
        <w:t xml:space="preserve">وفرّق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الاولى لا ارتباط لها بتعلّق الأحكام للطبائع أو الأفراد ولا بوجوب المقدّمة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يحصل الفرد الذي هو محلّ الاجتماع في المسألة مثالا للاولى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فتتفرّع على المسألة الاولى ، فإنّ القائل بالجواز في الاولى يقول به فيها بالأولويّة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المانع فيحتمل أن يقول بالمنع والجواز أيضا في المسألة الثانية ، فإنّه على تقدير تعلّق الأحكام بالأفراد لا مجال للجواز ، لرجوعه إلى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تعلّقه بالطبائع فعلى القول بوجوب المقدّمة أيضا يكون من أفراد المسألة الاولى إن لم نقل بأنّ الفرد المحرّم من المقدّمة يوجب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قيل بعدم وجوب المقدّمة فيجوز </w:t>
      </w:r>
      <w:r>
        <w:rPr>
          <w:rStyle w:val="FootnoteAnchor"/>
          <w:rtl w:val="true"/>
        </w:rPr>
        <w:footnoteReference w:id="1227"/>
      </w:r>
      <w:r>
        <w:rPr>
          <w:rFonts w:ascii="Amiri" w:hAnsi="Amiri" w:eastAsia="Amiri" w:cs="Amiri"/>
          <w:color w:val="111111"/>
          <w:sz w:val="28"/>
          <w:sz w:val="28"/>
          <w:szCs w:val="28"/>
          <w:rtl w:val="true"/>
          <w:lang w:bidi="ar-SA"/>
        </w:rPr>
        <w:t xml:space="preserve">، أو قيل </w:t>
      </w:r>
      <w:r>
        <w:rPr>
          <w:rStyle w:val="FootnoteAnchor"/>
          <w:rtl w:val="true"/>
        </w:rPr>
        <w:footnoteReference w:id="1228"/>
      </w:r>
      <w:r>
        <w:rPr>
          <w:rFonts w:ascii="Amiri" w:hAnsi="Amiri" w:eastAsia="Amiri" w:cs="Amiri"/>
          <w:color w:val="111111"/>
          <w:sz w:val="28"/>
          <w:sz w:val="28"/>
          <w:szCs w:val="28"/>
          <w:rtl w:val="true"/>
          <w:lang w:bidi="ar-SA"/>
        </w:rPr>
        <w:t>بوجوبها مع حصول الامتثال بالفرد المحرّم ، فيجوز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اعترض على من عنون البحث باجتماع الوجوب والحرمة والأمر والنهي ، وبعد اختياره القول بالجواز استند إلى أنّ متعلّق الأمر هو الطبيعة والفرد مقدّمة وهي ليست بواجبة ، فإنّ هذه الدعوى غير مربوطة بهذه الحجّة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المناسبة بين الدليل والمدلول </w:t>
      </w:r>
      <w:r>
        <w:rPr>
          <w:rStyle w:val="FootnoteAnchor"/>
          <w:rtl w:val="true"/>
        </w:rPr>
        <w:footnoteReference w:id="12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عرفت من عنوان المسألتين هو المراد في كلام بعض الأواخر من التفكيك بين اجتماع الأمر والنهي المنسوبين إلى الآمر وبينهما منسوبين إلى المأمور ، حيث قال بامتناع الأوّل وجواز الثاني </w:t>
      </w:r>
      <w:r>
        <w:rPr>
          <w:rStyle w:val="FootnoteAnchor"/>
          <w:rtl w:val="true"/>
        </w:rPr>
        <w:footnoteReference w:id="1230"/>
      </w:r>
      <w:r>
        <w:rPr>
          <w:rFonts w:ascii="Amiri" w:hAnsi="Amiri" w:eastAsia="Amiri" w:cs="Amiri"/>
          <w:color w:val="111111"/>
          <w:sz w:val="28"/>
          <w:sz w:val="28"/>
          <w:szCs w:val="28"/>
          <w:rtl w:val="true"/>
          <w:lang w:bidi="ar-SA"/>
        </w:rPr>
        <w:t xml:space="preserve">، وهو مطابق لظاهر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التأمّل في كلمات المانعين والمجوّزين يعطي عدم الفرق بين المسألتين ، بمعنى أنّ العنوان يصلح للنزاعين ولكلّ واحد منهما أيضا ، كما يظهر من ملاحظة كلام العضدي حيث استند للحكم بالجواز بالدليل المذكور </w:t>
      </w:r>
      <w:r>
        <w:rPr>
          <w:rStyle w:val="FootnoteAnchor"/>
          <w:rtl w:val="true"/>
        </w:rPr>
        <w:footnoteReference w:id="1231"/>
      </w:r>
      <w:r>
        <w:rPr>
          <w:rFonts w:ascii="Amiri" w:hAnsi="Amiri" w:eastAsia="Amiri" w:cs="Amiri"/>
          <w:color w:val="111111"/>
          <w:sz w:val="28"/>
          <w:sz w:val="28"/>
          <w:szCs w:val="28"/>
          <w:rtl w:val="true"/>
          <w:lang w:bidi="ar-SA"/>
        </w:rPr>
        <w:t>مع أنّه عنون النزاع بما هو المعروف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جواب المانعين عن حجّة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المقصود من الأمر بالخياطة هو حصولها على أيّ وجه اتّفق ، فإنّه ظاهر في المأمور به والمنهي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يكون النزاع بين المانعين والمجوّزين في المسألة الثانية صغرويّا ، لأنّ النزاع إنّما هو في أوّل هذه المسألة ورجوعها إليها ، كما صرّح به البعض </w:t>
      </w:r>
      <w:r>
        <w:rPr>
          <w:rStyle w:val="FootnoteAnchor"/>
          <w:rtl w:val="true"/>
        </w:rPr>
        <w:footnoteReference w:id="1232"/>
      </w:r>
      <w:r>
        <w:rPr>
          <w:rFonts w:ascii="Amiri" w:hAnsi="Amiri" w:eastAsia="Amiri" w:cs="Amiri"/>
          <w:color w:val="111111"/>
          <w:sz w:val="28"/>
          <w:sz w:val="28"/>
          <w:szCs w:val="28"/>
          <w:rtl w:val="true"/>
          <w:lang w:bidi="ar-SA"/>
        </w:rPr>
        <w:t xml:space="preserve">أيضا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الأمر والنهي ظاهران في الإلزاميّين منهما ، إلاّ أنّ المناط فيهما موجود في غير الإلزاميّين أيضا ، ومن هنا يتخيّل عموم النزاع ،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بالأمر والنهي الإلزاميّين جميع أقسامهما من العينيّين والتخييريّين والمختلفين والكفائيّين وغير ذلك ، أو يختصّ ببعض الأقسام؟</w:t>
      </w:r>
    </w:p>
    <w:p>
      <w:pPr>
        <w:pStyle w:val="BookText"/>
        <w:rPr/>
      </w:pPr>
      <w:r>
        <w:rPr>
          <w:rFonts w:ascii="Amiri" w:hAnsi="Amiri" w:eastAsia="Amiri" w:cs="Amiri"/>
          <w:color w:val="111111"/>
          <w:sz w:val="28"/>
          <w:sz w:val="28"/>
          <w:szCs w:val="28"/>
          <w:rtl w:val="true"/>
          <w:lang w:bidi="ar-SA"/>
        </w:rPr>
        <w:t xml:space="preserve">وتفصيل القول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عندهم في خروج العينيّين من هذا النزاع ، كما هو صريح كلّ من خصّ النزاع بما إذا كان للمكلّف مندوحة في الامتثال </w:t>
      </w:r>
      <w:r>
        <w:rPr>
          <w:rStyle w:val="FootnoteAnchor"/>
          <w:rtl w:val="true"/>
        </w:rPr>
        <w:footnoteReference w:id="1234"/>
      </w:r>
      <w:r>
        <w:rPr>
          <w:rFonts w:ascii="Amiri" w:hAnsi="Amiri" w:eastAsia="Amiri" w:cs="Amiri"/>
          <w:color w:val="111111"/>
          <w:sz w:val="28"/>
          <w:sz w:val="28"/>
          <w:szCs w:val="28"/>
          <w:rtl w:val="true"/>
          <w:lang w:bidi="ar-SA"/>
        </w:rPr>
        <w:t xml:space="preserve">دون ما إذا لم يكن مندوحة ، كمن توسّط أرضا مغصوبة ، وإن فرّط بعض المجوّزين حيث قال بالجواز فيه أيضا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ليس تفريطا بل هو قول بمقتضى مذهبه ، وإن كانت تلك المسألة خارجة عمّا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أيضا عنونوها بعد هذه المسألة ،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والنهي التخييريّين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التخيير فيهما عقليّا أو شرعيّا ، فلا ينبغي التأمّل في جواز اجتماعهما ، كما في الأمر بتزويج إحدى الاختين والنهي عن الاخرى ، فإنّ مرجع ذلك إلى وجوب إحداهما والنهي عن الجمع ، هذا في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العقلي كما لو فرض تعلّق الأمر بطبيعة باعتبار فرد والنهي عنها باعتبار فرد آخر ، إذ مرجعه إلى وجوب أحد الأفراد والنهي عن إلحاقه بفرد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العيني والنهي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يأمر بتزويج إحداهما عينا وينهى عنهما تخييرا ، فلا ينبغي التأمّل في عدم الجواز ، لكنّه ليس من المجوّز التزامه فيه أيضا بعيدا ، إذ لا مائز حقيقة في البين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التخييري والنهي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محلّ النزاع إذا كان التخيير </w:t>
      </w:r>
    </w:p>
    <w:p>
      <w:pPr>
        <w:pStyle w:val="BookText"/>
        <w:rPr/>
      </w:pPr>
      <w:r>
        <w:rPr>
          <w:rFonts w:ascii="Amiri" w:hAnsi="Amiri" w:eastAsia="Amiri" w:cs="Amiri"/>
          <w:color w:val="111111"/>
          <w:sz w:val="28"/>
          <w:sz w:val="28"/>
          <w:szCs w:val="28"/>
          <w:rtl w:val="true"/>
          <w:lang w:bidi="ar-SA"/>
        </w:rPr>
        <w:t xml:space="preserve">عقليّا ، وأمّا إذا كان شرعيّا فعلى تقدير تعلّق الطلب بكلّ واحد من الواجبين التخييريّين كأن يكون الطلب في أحدهما بدلا عن الطلب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المعتزلة والإماميّة في الواجب التخييري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الجواز ، فإنّ مناط الامتناع في الواجب العيني موجود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تعلّق الطلب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المطلوب بدلا عن مطلوب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التخيير العقلي ، إذ المطلوب هو القدر 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دخوله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العينيّان في قبال الكفائيّين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فيه الكلام كالكفائيّين ، إلاّ أنّه هنا شيء لا بأس بالتنبيه عليه ، وهو أنّه في الواجب الكفائي لا يلاحظ فيه حال المكلّفين ، بمعنى أنّه لو قلنا بوجوب غسل الميّت موافقا كان أو مخالفا على سبيل الكفاية لا وجه للقول بحرمته العيني أو كراهته ، فإنّ ذلك من اجتماع الحرمة العينيّة مع الوجوب العيني في قبال الوجوب والتحريم التخييريّين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كلام في خروجه عن محلّ النزاع</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الإشكال في حكمهم بكراهة تغسيل المخالفين بعد القول بوجوب غسلهم </w:t>
      </w:r>
      <w:r>
        <w:rPr>
          <w:rStyle w:val="FootnoteAnchor"/>
          <w:rtl w:val="true"/>
        </w:rPr>
        <w:footnoteReference w:id="1237"/>
      </w:r>
      <w:r>
        <w:rPr>
          <w:rFonts w:ascii="Amiri" w:hAnsi="Amiri" w:eastAsia="Amiri" w:cs="Amiri"/>
          <w:color w:val="111111"/>
          <w:sz w:val="28"/>
          <w:sz w:val="28"/>
          <w:szCs w:val="28"/>
          <w:rtl w:val="true"/>
          <w:lang w:bidi="ar-SA"/>
        </w:rPr>
        <w:t xml:space="preserve">، وحكمهم بكراهة القضاء بين الناس لمن لا يثق بنفسه </w:t>
      </w:r>
      <w:r>
        <w:rPr>
          <w:rStyle w:val="FootnoteAnchor"/>
          <w:rtl w:val="true"/>
        </w:rPr>
        <w:footnoteReference w:id="1238"/>
      </w:r>
      <w:r>
        <w:rPr>
          <w:rFonts w:ascii="Amiri" w:hAnsi="Amiri" w:eastAsia="Amiri" w:cs="Amiri"/>
          <w:color w:val="111111"/>
          <w:sz w:val="28"/>
          <w:sz w:val="28"/>
          <w:szCs w:val="28"/>
          <w:rtl w:val="true"/>
          <w:lang w:bidi="ar-SA"/>
        </w:rPr>
        <w:t xml:space="preserve">، فإنّ الإشكال فيهما زائد على الإشكال في مطلق العبادات المكروهة ؛ لأنّ الأمر فيها تخييري بخلاف الأمر فيهما ، فإنّه عينيّ وإن كان كفائيّا ؛ ولذلك قد يجاب عنه بما لا يجاب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المكروه فيهما هو المبادرة إليهما مع وجود من يقوم بالواجب </w:t>
      </w:r>
    </w:p>
    <w:p>
      <w:pPr>
        <w:pStyle w:val="BookText"/>
        <w:rPr/>
      </w:pPr>
      <w:r>
        <w:rPr>
          <w:rFonts w:ascii="Amiri" w:hAnsi="Amiri" w:eastAsia="Amiri" w:cs="Amiri"/>
          <w:color w:val="111111"/>
          <w:sz w:val="28"/>
          <w:sz w:val="28"/>
          <w:szCs w:val="28"/>
          <w:rtl w:val="true"/>
          <w:lang w:bidi="ar-SA"/>
        </w:rPr>
        <w:t>الكفائي ، بل لا بدّ في الواجب الكفائي من ملاحظة حال الفعل ، كالصلاة على الميت في المكان المغصوب ، فإنّه واجب تخييريّ كفائي ، فيكون من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أقسام الأمر والنهي من الموسّعين والمضيّقين والمشروطين أو التعبّديّين والتوصّليين وغير ذلك ، فلعلّه لا فرق بينها في دخولها في محلّ الكلام لو لم يدّع ظهور الأمر والنهي في بعضها ، وعلى تقديره فالمناط فيها واحد ، كما في غير الإلزاميّين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غير واحد منهم </w:t>
      </w:r>
      <w:r>
        <w:rPr>
          <w:rStyle w:val="FootnoteAnchor"/>
          <w:rtl w:val="true"/>
        </w:rPr>
        <w:footnoteReference w:id="1239"/>
      </w:r>
      <w:r>
        <w:rPr>
          <w:rFonts w:ascii="Amiri" w:hAnsi="Amiri" w:eastAsia="Amiri" w:cs="Amiri"/>
          <w:color w:val="111111"/>
          <w:sz w:val="28"/>
          <w:sz w:val="28"/>
          <w:szCs w:val="28"/>
          <w:rtl w:val="true"/>
          <w:lang w:bidi="ar-SA"/>
        </w:rPr>
        <w:t xml:space="preserve">تبعا للعضدي </w:t>
      </w:r>
      <w:r>
        <w:rPr>
          <w:rStyle w:val="FootnoteAnchor"/>
          <w:rtl w:val="true"/>
        </w:rPr>
        <w:footnoteReference w:id="1240"/>
      </w:r>
      <w:r>
        <w:rPr>
          <w:rFonts w:ascii="Amiri" w:hAnsi="Amiri" w:eastAsia="Amiri" w:cs="Amiri"/>
          <w:color w:val="111111"/>
          <w:sz w:val="28"/>
          <w:sz w:val="28"/>
          <w:szCs w:val="28"/>
          <w:rtl w:val="true"/>
          <w:lang w:bidi="ar-SA"/>
        </w:rPr>
        <w:t>أنّه هو الواحد بالوحدة الشخصيّة ، وأمّا الواحد بالوحدة الجنسيّة فلا نزاع في جواز الاجتماع فيه كما في السجود ، فإنّه مأمور به ومنهيّ عنه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التقييد أولى ؛ لما فيه من إيهامه خلاف المقصود ، إذ لا إشكال في امتناعه في الواحد بالجنس أيضا من حيث إنّه واحد ، وإنّما يجوز فيه باعتبار كثراته في مراتب أنواعه ، وكذا في الواحد بالنوع فإنّه يمتنع في وحدته أن يكون مأمورا به ومنهيّا عنه ، وإنّما يصحّ باعتبار كثراته في أشخاصه ، فعند التحقيق لا يكون الجنس ولا النوع على تقدير اعتبار الأخصّ منهما في تعلّق الأمر والنهي مأمورا به ولا منهيّا عنه</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6254_218863"/>
      <w:bookmarkStart w:id="398" w:name="pg16254_218863"/>
      <w:bookmarkEnd w:id="398"/>
    </w:p>
    <w:p>
      <w:pPr>
        <w:pStyle w:val="Heading3"/>
        <w:numPr>
          <w:ilvl w:val="2"/>
          <w:numId w:val="1"/>
        </w:numPr>
        <w:rPr/>
      </w:pPr>
      <w:bookmarkStart w:id="399" w:name="pg16254_218863"/>
      <w:bookmarkStart w:id="400" w:name="__RefHeading___Toc4418378_1280447820"/>
      <w:bookmarkStart w:id="401" w:name="_Toc126"/>
      <w:bookmarkEnd w:id="399"/>
      <w:bookmarkEnd w:id="400"/>
      <w:r>
        <w:rPr>
          <w:rtl w:val="true"/>
        </w:rPr>
        <w:t>هداية</w:t>
      </w:r>
      <w:bookmarkEnd w:id="401"/>
    </w:p>
    <w:p>
      <w:pPr>
        <w:pStyle w:val="Heading4"/>
        <w:numPr>
          <w:ilvl w:val="3"/>
          <w:numId w:val="1"/>
        </w:numPr>
        <w:rPr/>
      </w:pPr>
      <w:bookmarkStart w:id="402" w:name="__RefHeading___Toc4418380_1280447820"/>
      <w:bookmarkStart w:id="403" w:name="_Toc127"/>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ينبغي أن يذكر أمام المقصود امور لعلّها مربوطة به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418382_1280447820"/>
      <w:bookmarkStart w:id="405" w:name="_Toc128"/>
      <w:bookmarkEnd w:id="404"/>
      <w:r>
        <w:rPr>
          <w:rtl w:val="true"/>
        </w:rPr>
        <w:t>الأوّل</w:t>
      </w:r>
      <w:bookmarkEnd w:id="405"/>
    </w:p>
    <w:p>
      <w:pPr>
        <w:pStyle w:val="BookText"/>
        <w:rPr/>
      </w:pPr>
      <w:r>
        <w:rPr>
          <w:rFonts w:ascii="Amiri" w:hAnsi="Amiri" w:eastAsia="Amiri" w:cs="Amiri"/>
          <w:color w:val="111111"/>
          <w:sz w:val="28"/>
          <w:sz w:val="28"/>
          <w:szCs w:val="28"/>
          <w:rtl w:val="true"/>
          <w:lang w:bidi="ar-SA"/>
        </w:rPr>
        <w:t>أنّ متعلّق الأمر والنهي إمّا أن يكون متّحدا في الذهن والخارج ، أو يكون متعدّدا فيهما ، أو متّحدا في الخارج ومتعدّدا في الذهن ، ولا رابع لهذه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امتناع الاجتماع في الأوّل فإنّه تناقض صرف ، وجوازه في الثاني مع عدم الملازمة بينهما في الوجود ، وأمّا معها فقد عرفت الكلام فيه ، وسنورد ما يوضحه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أحدهما ملازما في الصدق للآخر كما في الإنسان والضاحك ، وقد لا يكون كأن يكون أحدهما أعمّ من الآخر مطلقا ،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أيضا عندهم في امتناع الاجتماع في القسم الأوّل ، لاتّفاق كلمتهم على اعتبار المندوحة في الامتثال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 فهو محلّ الكلام إن لم ينحصر أفراد أحدهما في فرد الآخر ، إذ على تقدير الانحصار يكون من الموارد التي لا مندوحة للمكلّف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القمّي رحمه‌اللّه عند تعرّضه لبيان الحكم </w:t>
      </w:r>
      <w:r>
        <w:rPr>
          <w:rStyle w:val="FootnoteAnchor"/>
          <w:rtl w:val="true"/>
        </w:rPr>
        <w:footnoteReference w:id="1241"/>
      </w:r>
      <w:r>
        <w:rPr>
          <w:rFonts w:ascii="Amiri" w:hAnsi="Amiri" w:eastAsia="Amiri" w:cs="Amiri"/>
          <w:color w:val="111111"/>
          <w:sz w:val="28"/>
          <w:sz w:val="28"/>
          <w:szCs w:val="28"/>
          <w:rtl w:val="true"/>
          <w:lang w:bidi="ar-SA"/>
        </w:rPr>
        <w:t xml:space="preserve">المتوسّط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المدار على التعدّد الذهني فقط وإن انحصر مفهوم أحدهما في مصاديق الآخر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بلوازم مذهبه في الواقع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يظهر من المحقّق القمّي رحمه‌اللّه أنّه خارج عن محلّ الكلام ، وجعل ذلك مناط الفرق بين هذه المسألة والمسألة الآتية من اقتضاء النهي الفساد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بعض الأجلّة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للتخصيص بذلك ؛ فإنّ أدلّة المجوّزين والمانعين يجري في العموم والخصوص المطلق ، ومجرّد كون المثال من العموم من وجه لا يقضي باختصاص البحث به بعد شمول العنوان والأدلّة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مدار الفرق بين المسألتين بأنّ الطبيعتين إن اتّحدتا حقيقة وتغايرتا اعتبارا بمجرّد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الأمر بالمطلق والنهي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المسألة الثانية ، وإلاّ فمن محلّ الكلام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أنّ مناط الفرق هو اتّحاد متعلّق الطلب وتعدّده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لكون المفهومين فيه متعدّدا يكون من محلّ الكلام ، والثاني لاتّحادهما يكون من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 النسبة عموما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عموما من وجه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الصبح ، ولا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فرق في محلّ الكلام بين كون النسبة عموما من وجه كما عرفت ، أو عموما مطلقا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ولا تغصب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إرجاع كلّ من الموردين إلى الآخر </w:t>
      </w:r>
    </w:p>
    <w:p>
      <w:pPr>
        <w:pStyle w:val="BookText"/>
        <w:rPr/>
      </w:pPr>
      <w:r>
        <w:rPr>
          <w:rFonts w:ascii="Amiri" w:hAnsi="Amiri" w:eastAsia="Amiri" w:cs="Amiri"/>
          <w:color w:val="111111"/>
          <w:sz w:val="28"/>
          <w:sz w:val="28"/>
          <w:szCs w:val="28"/>
          <w:rtl w:val="true"/>
          <w:lang w:bidi="ar-SA"/>
        </w:rPr>
        <w:t>باعتبار في أحدهما ، كأن يقال بأنّ النهي عن الغصب حال الصلاة راجع إلى النهي عن الصلاة في الدار المغصوبة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الكلمات يعطي انحصار الفرق بين المسألتين في اختصاص إحداهما بمورد دون اختها ، وليس كذلك ، بل التحقيق أنّ المسئول عنه في إحداهما غير مرتبط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المسئول في هذه المسألة هو إمكان اجتماع الطلبين فيما هو الجامع لتلك الماهيّة المطلوبة </w:t>
      </w:r>
      <w:r>
        <w:rPr>
          <w:rStyle w:val="FootnoteAnchor"/>
          <w:rtl w:val="true"/>
        </w:rPr>
        <w:footnoteReference w:id="1245"/>
      </w:r>
      <w:r>
        <w:rPr>
          <w:rFonts w:ascii="Amiri" w:hAnsi="Amiri" w:eastAsia="Amiri" w:cs="Amiri"/>
          <w:color w:val="111111"/>
          <w:sz w:val="28"/>
          <w:sz w:val="28"/>
          <w:szCs w:val="28"/>
          <w:rtl w:val="true"/>
          <w:lang w:bidi="ar-SA"/>
        </w:rPr>
        <w:t xml:space="preserve">فعلها والماهيّة المطلوبة </w:t>
      </w:r>
      <w:r>
        <w:rPr>
          <w:rStyle w:val="FootnoteAnchor"/>
          <w:rtl w:val="true"/>
        </w:rPr>
        <w:footnoteReference w:id="1246"/>
      </w:r>
      <w:r>
        <w:rPr>
          <w:rFonts w:ascii="Amiri" w:hAnsi="Amiri" w:eastAsia="Amiri" w:cs="Amiri"/>
          <w:color w:val="111111"/>
          <w:sz w:val="28"/>
          <w:sz w:val="28"/>
          <w:szCs w:val="28"/>
          <w:rtl w:val="true"/>
          <w:lang w:bidi="ar-SA"/>
        </w:rPr>
        <w:t xml:space="preserve">الترك ، من غير فرق في ذلك بين موارد الأمر والنهي ، فإنّه كما يصحّ السؤال عن هذه القضيّة فيما إذا كان بين المتعلّقين عموم من وجه ، فكذا يصحّ فيما إذا كان عموم مطلق ، سواء كان من قبيل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والمسئول عنه في المسألة الآتية هو أنّ النهي المتعلّق بشيء هل يستفاد منه أنّ ذلك الشيء ممّا لا يقع به الامتثال؟ حيث إن المستفاد من إطلاق الأمر حصول الامتثال بأيّ فرد كان ، فالمطلوب فيها هو استعلام أنّ النهي المتعلّق بفرد من أفراد المأمور به هل يقتضي رفع ذلك الترخيص الوضعي المستفاد من إطلاق الأمر أو لا؟ ولا ريب في أنّ هذه القضيّة كما يصحّ الاستفسار عنها فيما إذا كان بين المتعلّقين إطلاق وتقييد ، فكذلك يصحّ فيما إذا كان بينهما عموم من وجه ، كما إذا كان بينهما عموم مطلق</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فالظاهر أنّ اختلاف المورد لا يصير وجها لاختلاف المسألتين كما زعموا ، بل لا بدّ من اختلاف جهة الكلام ، وعلى تقدير اختلافها لا حاجة إلى التجشّم المذكور في بيان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ذكرنا لم ينطبق عليه الأقوال المذكورة في المقام الآتي ، كما لا يخفى</w:t>
      </w:r>
      <w:r>
        <w:rPr>
          <w:rFonts w:eastAsia="Amiri" w:cs="Amiri" w:ascii="Amiri" w:hAnsi="Amiri"/>
          <w:color w:val="111111"/>
          <w:sz w:val="28"/>
          <w:szCs w:val="28"/>
          <w:rtl w:val="true"/>
          <w:lang w:bidi="ar-SA"/>
        </w:rPr>
        <w:t xml:space="preserve">. </w:t>
      </w:r>
      <w:bookmarkStart w:id="406" w:name="pg16254_218866"/>
    </w:p>
    <w:p>
      <w:pPr>
        <w:pStyle w:val="BookText"/>
        <w:rPr/>
      </w:pPr>
      <w:bookmarkEnd w:id="406"/>
      <w:r>
        <w:rPr>
          <w:rFonts w:ascii="Amiri" w:hAnsi="Amiri" w:eastAsia="Amiri" w:cs="Amiri"/>
          <w:color w:val="111111"/>
          <w:sz w:val="28"/>
          <w:sz w:val="28"/>
          <w:szCs w:val="28"/>
          <w:rtl w:val="true"/>
          <w:lang w:bidi="ar-SA"/>
        </w:rPr>
        <w:t xml:space="preserve">ثمّ إنّ الظاهر اختصاص كلماتهم فيما نحن بصدده بما إذا كان العموم من وجه بين نفس الفعل المأمور به والفعل المنهيّ عنه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النسبة المأخوذة فيهما غير مستندة إلى أمر خارج عن الطبيعتين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العموم بينهما باعتبار متعلّقهما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الإكرام باعتبار الإضافة والتعلّق بالعالم والفاسق قد اختلفت ماهيّته على وجه العموم والخصوص من وجه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متفاهم المثالين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يمكن دفع ما ربما يورد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التناقض بين الخلاف في المقام وبين إطباقهم في مباحث الترجيح على التوقّف والرجوع إلى الاصول في تعارض العامّين من وجه أو التخيير أو غير ذلك من غير احتمال الجمع ، إلاّ أنّ المجوّز بعد مطالب بالفرق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مطالب بذلك فيما إذا لم تكن مندوحة وبين غيره ، وقد عرفت </w:t>
      </w:r>
      <w:r>
        <w:rPr>
          <w:rStyle w:val="FootnoteAnchor"/>
          <w:rtl w:val="true"/>
        </w:rPr>
        <w:footnoteReference w:id="1247"/>
      </w:r>
      <w:r>
        <w:rPr>
          <w:rFonts w:ascii="Amiri" w:hAnsi="Amiri" w:eastAsia="Amiri" w:cs="Amiri"/>
          <w:color w:val="111111"/>
          <w:sz w:val="28"/>
          <w:sz w:val="28"/>
          <w:szCs w:val="28"/>
          <w:rtl w:val="true"/>
          <w:lang w:bidi="ar-SA"/>
        </w:rPr>
        <w:t>أنّ بعضهم قد طرّد الكلام فيه أيضا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418384_1280447820"/>
      <w:bookmarkStart w:id="408" w:name="_Toc129"/>
      <w:bookmarkEnd w:id="407"/>
      <w:r>
        <w:rPr>
          <w:rtl w:val="true"/>
        </w:rPr>
        <w:t xml:space="preserve">الثاني </w:t>
      </w:r>
      <w:r>
        <w:rPr>
          <w:rtl w:val="true"/>
        </w:rPr>
        <w:t xml:space="preserve">: </w:t>
      </w:r>
      <w:r>
        <w:rPr>
          <w:rtl w:val="true"/>
        </w:rPr>
        <w:t>في بيان الأقوال في هذه المسألة</w:t>
      </w:r>
      <w:bookmarkEnd w:id="40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فيها على قولين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أكثر أصحابنا </w:t>
      </w:r>
      <w:r>
        <w:rPr>
          <w:rStyle w:val="FootnoteAnchor"/>
          <w:rtl w:val="true"/>
        </w:rPr>
        <w:footnoteReference w:id="1248"/>
      </w:r>
      <w:r>
        <w:rPr>
          <w:rFonts w:ascii="Amiri" w:hAnsi="Amiri" w:eastAsia="Amiri" w:cs="Amiri"/>
          <w:color w:val="111111"/>
          <w:sz w:val="28"/>
          <w:sz w:val="28"/>
          <w:szCs w:val="28"/>
          <w:rtl w:val="true"/>
          <w:lang w:bidi="ar-SA"/>
        </w:rPr>
        <w:t xml:space="preserve">وجمهور المعتزلة </w:t>
      </w:r>
      <w:r>
        <w:rPr>
          <w:rStyle w:val="FootnoteAnchor"/>
          <w:rtl w:val="true"/>
        </w:rPr>
        <w:footnoteReference w:id="1249"/>
      </w:r>
      <w:r>
        <w:rPr>
          <w:rFonts w:ascii="Amiri" w:hAnsi="Amiri" w:eastAsia="Amiri" w:cs="Amiri"/>
          <w:color w:val="111111"/>
          <w:sz w:val="28"/>
          <w:sz w:val="28"/>
          <w:szCs w:val="28"/>
          <w:rtl w:val="true"/>
          <w:lang w:bidi="ar-SA"/>
        </w:rPr>
        <w:t xml:space="preserve">وبعض الأشاعرة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كالباقلاني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الامتناع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والسيّد الجليل في إحقاق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والعميدي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وصاحبي المعالم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وصاحب التجريد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عليه ، بل ادّعى بعضهم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وليس بذلك البعيد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الأشاعرة على الجواز ، ووافقهم جمع من أفاضل متأخّري أصحابنا ، كالمحقّق الخوانساري في تداخل الأغسال من المشارق </w:t>
      </w:r>
      <w:r>
        <w:rPr>
          <w:rStyle w:val="FootnoteAnchor"/>
          <w:rtl w:val="true"/>
        </w:rPr>
        <w:footnoteReference w:id="1250"/>
      </w:r>
      <w:r>
        <w:rPr>
          <w:rFonts w:ascii="Amiri" w:hAnsi="Amiri" w:eastAsia="Amiri" w:cs="Amiri"/>
          <w:color w:val="111111"/>
          <w:sz w:val="28"/>
          <w:sz w:val="28"/>
          <w:szCs w:val="28"/>
          <w:rtl w:val="true"/>
          <w:lang w:bidi="ar-SA"/>
        </w:rPr>
        <w:t xml:space="preserve">، وجمال الدين </w:t>
      </w:r>
      <w:r>
        <w:rPr>
          <w:rStyle w:val="FootnoteAnchor"/>
          <w:rtl w:val="true"/>
        </w:rPr>
        <w:footnoteReference w:id="1251"/>
      </w:r>
      <w:r>
        <w:rPr>
          <w:rFonts w:ascii="Amiri" w:hAnsi="Amiri" w:eastAsia="Amiri" w:cs="Amiri"/>
          <w:color w:val="111111"/>
          <w:sz w:val="28"/>
          <w:sz w:val="28"/>
          <w:szCs w:val="28"/>
          <w:rtl w:val="true"/>
          <w:lang w:bidi="ar-SA"/>
        </w:rPr>
        <w:t xml:space="preserve">، والمدقّق الشيرواني </w:t>
      </w:r>
      <w:r>
        <w:rPr>
          <w:rStyle w:val="FootnoteAnchor"/>
          <w:rtl w:val="true"/>
        </w:rPr>
        <w:footnoteReference w:id="1252"/>
      </w:r>
      <w:r>
        <w:rPr>
          <w:rFonts w:ascii="Amiri" w:hAnsi="Amiri" w:eastAsia="Amiri" w:cs="Amiri"/>
          <w:color w:val="111111"/>
          <w:sz w:val="28"/>
          <w:sz w:val="28"/>
          <w:szCs w:val="28"/>
          <w:rtl w:val="true"/>
          <w:lang w:bidi="ar-SA"/>
        </w:rPr>
        <w:t xml:space="preserve">، والسيّد الشارح للوافية </w:t>
      </w:r>
      <w:r>
        <w:rPr>
          <w:rStyle w:val="FootnoteAnchor"/>
          <w:rtl w:val="true"/>
        </w:rPr>
        <w:footnoteReference w:id="1253"/>
      </w:r>
      <w:r>
        <w:rPr>
          <w:rFonts w:ascii="Amiri" w:hAnsi="Amiri" w:eastAsia="Amiri" w:cs="Amiri"/>
          <w:color w:val="111111"/>
          <w:sz w:val="28"/>
          <w:sz w:val="28"/>
          <w:szCs w:val="28"/>
          <w:rtl w:val="true"/>
          <w:lang w:bidi="ar-SA"/>
        </w:rPr>
        <w:t xml:space="preserve">، والمحقّق القمّي رحمه‌اللّه </w:t>
      </w:r>
      <w:r>
        <w:rPr>
          <w:rStyle w:val="FootnoteAnchor"/>
          <w:rtl w:val="true"/>
        </w:rPr>
        <w:footnoteReference w:id="1254"/>
      </w:r>
      <w:r>
        <w:rPr>
          <w:rFonts w:ascii="IRNazanin" w:hAnsi="IRNazanin" w:eastAsia="IRNazanin"/>
          <w:color w:val="111111"/>
          <w:sz w:val="28"/>
          <w:sz w:val="28"/>
          <w:szCs w:val="28"/>
          <w:rtl w:val="true"/>
          <w:lang w:bidi="fa-IR"/>
        </w:rPr>
        <w:t xml:space="preserve">بل نسبه </w:t>
      </w:r>
      <w:r>
        <w:rPr>
          <w:rStyle w:val="FootnoteAnchor"/>
          <w:rtl w:val="true"/>
        </w:rPr>
        <w:footnoteReference w:id="1255"/>
      </w:r>
      <w:r>
        <w:rPr>
          <w:rFonts w:ascii="IRNazanin" w:hAnsi="IRNazanin" w:eastAsia="IRNazanin"/>
          <w:color w:val="111111"/>
          <w:sz w:val="28"/>
          <w:sz w:val="28"/>
          <w:szCs w:val="28"/>
          <w:rtl w:val="true"/>
          <w:lang w:bidi="fa-IR"/>
        </w:rPr>
        <w:t xml:space="preserve">إلى ظاهر </w:t>
      </w:r>
    </w:p>
    <w:p>
      <w:pPr>
        <w:pStyle w:val="BookText"/>
        <w:rPr/>
      </w:pPr>
      <w:r>
        <w:rPr>
          <w:rFonts w:ascii="Amiri" w:hAnsi="Amiri" w:eastAsia="Amiri" w:cs="Amiri"/>
          <w:color w:val="111111"/>
          <w:sz w:val="28"/>
          <w:sz w:val="28"/>
          <w:szCs w:val="28"/>
          <w:rtl w:val="true"/>
          <w:lang w:bidi="ar-SA"/>
        </w:rPr>
        <w:t xml:space="preserve">السيّد في الذريعة </w:t>
      </w:r>
      <w:r>
        <w:rPr>
          <w:rStyle w:val="FootnoteAnchor"/>
          <w:rtl w:val="true"/>
        </w:rPr>
        <w:footnoteReference w:id="1256"/>
      </w:r>
      <w:r>
        <w:rPr>
          <w:rFonts w:ascii="Amiri" w:hAnsi="Amiri" w:eastAsia="Amiri" w:cs="Amiri"/>
          <w:color w:val="111111"/>
          <w:sz w:val="28"/>
          <w:sz w:val="28"/>
          <w:szCs w:val="28"/>
          <w:rtl w:val="true"/>
          <w:lang w:bidi="ar-SA"/>
        </w:rPr>
        <w:t xml:space="preserve">، والأردبيلي </w:t>
      </w:r>
      <w:r>
        <w:rPr>
          <w:rStyle w:val="FootnoteAnchor"/>
          <w:rtl w:val="true"/>
        </w:rPr>
        <w:footnoteReference w:id="1257"/>
      </w:r>
      <w:r>
        <w:rPr>
          <w:rFonts w:ascii="Amiri" w:hAnsi="Amiri" w:eastAsia="Amiri" w:cs="Amiri"/>
          <w:color w:val="111111"/>
          <w:sz w:val="28"/>
          <w:sz w:val="28"/>
          <w:szCs w:val="28"/>
          <w:rtl w:val="true"/>
          <w:lang w:bidi="ar-SA"/>
        </w:rPr>
        <w:t xml:space="preserve">بل حكاه عن الفضل بن شاذان </w:t>
      </w:r>
      <w:r>
        <w:rPr>
          <w:rStyle w:val="FootnoteAnchor"/>
          <w:rtl w:val="true"/>
        </w:rPr>
        <w:footnoteReference w:id="1258"/>
      </w:r>
      <w:r>
        <w:rPr>
          <w:rFonts w:ascii="Amiri" w:hAnsi="Amiri" w:eastAsia="Amiri" w:cs="Amiri"/>
          <w:color w:val="111111"/>
          <w:sz w:val="28"/>
          <w:sz w:val="28"/>
          <w:szCs w:val="28"/>
          <w:rtl w:val="true"/>
          <w:lang w:bidi="ar-SA"/>
        </w:rPr>
        <w:t xml:space="preserve">مستظهرا من كلامه أنّه من مسلّمات الشيعة ، واستظهره من الكليني </w:t>
      </w:r>
      <w:r>
        <w:rPr>
          <w:rStyle w:val="FootnoteAnchor"/>
          <w:rtl w:val="true"/>
        </w:rPr>
        <w:footnoteReference w:id="1259"/>
      </w:r>
      <w:r>
        <w:rPr>
          <w:rFonts w:ascii="Amiri" w:hAnsi="Amiri" w:eastAsia="Amiri" w:cs="Amiri"/>
          <w:color w:val="111111"/>
          <w:sz w:val="28"/>
          <w:sz w:val="28"/>
          <w:szCs w:val="28"/>
          <w:rtl w:val="true"/>
          <w:lang w:bidi="ar-SA"/>
        </w:rPr>
        <w:t>أيضا ؛ حيث نقل كلام الفضل ولم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الاستظهار من كلام الفضل ممّا لا وجه له ، لأنّه هو الذي نقله الكليني في كتاب الطلاق ، وهو يدلّ على صحة الصلاة في الدار المغصوبة ، وهو أعمّ من القول بالجواز من وجوه أقلّها جريان العادة على عدم الحظر في الصلاة ، ويجري ذلك مجرى الإذن أو الأخبار الدالّة على أنّ للناس حقّا في الأرض </w:t>
      </w:r>
      <w:r>
        <w:rPr>
          <w:rStyle w:val="FootnoteAnchor"/>
          <w:rtl w:val="true"/>
        </w:rPr>
        <w:footnoteReference w:id="1260"/>
      </w:r>
      <w:r>
        <w:rPr>
          <w:rFonts w:ascii="Amiri" w:hAnsi="Amiri" w:eastAsia="Amiri" w:cs="Amiri"/>
          <w:color w:val="111111"/>
          <w:sz w:val="28"/>
          <w:sz w:val="28"/>
          <w:szCs w:val="28"/>
          <w:rtl w:val="true"/>
          <w:lang w:bidi="ar-SA"/>
        </w:rPr>
        <w:t xml:space="preserve">، أو القول بأنّ الكون خارج عن الصلاة بل إنّما هو من ضروريّات الجسم كما هو المحكيّ عن البهائي في حبل المتين </w:t>
      </w:r>
      <w:r>
        <w:rPr>
          <w:rStyle w:val="FootnoteAnchor"/>
          <w:rtl w:val="true"/>
        </w:rPr>
        <w:footnoteReference w:id="1261"/>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1262"/>
      </w:r>
      <w:r>
        <w:rPr>
          <w:rFonts w:ascii="Amiri" w:hAnsi="Amiri" w:eastAsia="Amiri" w:cs="Amiri"/>
          <w:color w:val="111111"/>
          <w:sz w:val="28"/>
          <w:sz w:val="28"/>
          <w:szCs w:val="28"/>
          <w:rtl w:val="true"/>
          <w:lang w:bidi="ar-SA"/>
        </w:rPr>
        <w:t>، أو القول بأنّ الصلاة من الواجبات التوصّلية التي تسقط عند اجتماعها مع الحرام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والمنقول من السيّد في الذريعة أظهر في عدم الجواز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يصحّ أن يقبح من المكلّف جميع أفعاله من وجه ويحسن على وجه آخر ، وعلى هذا الوجه يصحّ القول بأنّ من دخل زرع غيره على سبيل الغصب أنّ له الخروج عنه بنيّة التخلّص وليس له التصرّف بنيّة الإفساد ، وكذلك المجامع زانيا له الحركة بنيّة </w:t>
      </w:r>
    </w:p>
    <w:p>
      <w:pPr>
        <w:pStyle w:val="BookText"/>
        <w:rPr/>
      </w:pPr>
      <w:r>
        <w:rPr>
          <w:rFonts w:ascii="Amiri" w:hAnsi="Amiri" w:eastAsia="Amiri" w:cs="Amiri"/>
          <w:color w:val="111111"/>
          <w:sz w:val="28"/>
          <w:sz w:val="28"/>
          <w:szCs w:val="28"/>
          <w:rtl w:val="true"/>
          <w:lang w:bidi="ar-SA"/>
        </w:rPr>
        <w:t xml:space="preserve">التخلّص وليس له الحركة على وجه آخر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أنّ حال كون الفعل مطلوبا لا يكون مبغوضا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من حيث دخوله تحت عنوان ، كما هو صريح المثال المذكور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ينقل في المقام قول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العقل والعرف ، فيجوز عقلا ولا يجوز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بعضهم إلى الأردبيلي في شرح الإرشاد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السبب لبطلان الصلاة في الدار المغصوبة هو النهي عنها المستفاد من عدم جواز التصرّف في مال الغير ، فلا تبطل صلاة المضطرّ ولا الناسي ولا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علم السبب تحقّق </w:t>
      </w:r>
      <w:r>
        <w:rPr>
          <w:rStyle w:val="FootnoteAnchor"/>
          <w:rtl w:val="true"/>
        </w:rPr>
        <w:footnoteReference w:id="1264"/>
      </w:r>
      <w:r>
        <w:rPr>
          <w:rFonts w:ascii="Amiri" w:hAnsi="Amiri" w:eastAsia="Amiri" w:cs="Amiri"/>
          <w:color w:val="111111"/>
          <w:sz w:val="28"/>
          <w:sz w:val="28"/>
          <w:szCs w:val="28"/>
          <w:rtl w:val="true"/>
          <w:lang w:bidi="ar-SA"/>
        </w:rPr>
        <w:t xml:space="preserve">عدم بطلان عبادة ما لم تتّحدا وما لم يكن التصرّف في المكان عبادة ، مثل الصوم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الطهارة في المغصوب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الماء على العضو تصرّف في ملك الغير حيث وقع في فضائه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متّصل بالعضو الذي على المكان ، فإجراء الماء عليه مستلزم لتصرّف ما في المكان </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لكنّه بعيد فلا يصحّ وإلاّ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مجيء بطلان الوضوء من جهة أنّه مأمور بالخروج فاشتغل به عن ذلك فصار حراما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لو فرض مانعيّته فيه من حيث هو عن الخروج حتّى يحصل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مأمور بالوضوء في المكان المباح ، إذ الشارع لا يجوّز الوضوء في المكان المغصوب ، وهو ظاهر ، والمفهوم عرفا ولغة في مثل هذا الكلام عدم الرضا بالوضوء وبطلانه ، ولأنّه لم يأت بالمأمور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العقل يجوّز الصحة لو صرّح </w:t>
      </w:r>
    </w:p>
    <w:p>
      <w:pPr>
        <w:pStyle w:val="BookText"/>
        <w:rPr/>
      </w:pPr>
      <w:r>
        <w:rPr>
          <w:rFonts w:ascii="Amiri" w:hAnsi="Amiri" w:eastAsia="Amiri" w:cs="Amiri"/>
          <w:color w:val="111111"/>
          <w:sz w:val="28"/>
          <w:sz w:val="28"/>
          <w:szCs w:val="28"/>
          <w:rtl w:val="true"/>
          <w:lang w:bidi="ar-SA"/>
        </w:rPr>
        <w:t>بأنّه لو فعلت في المكان المغصوب بعد نهيك عنه يصحّ وعوقبت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يمكن القول بالبطلان في كثير من العبادات بل في بعض المعاملات والمناكحات </w:t>
      </w:r>
      <w:r>
        <w:rPr>
          <w:rStyle w:val="FootnoteAnchor"/>
          <w:rtl w:val="true"/>
        </w:rPr>
        <w:footnoteReference w:id="1266"/>
      </w:r>
      <w:r>
        <w:rPr>
          <w:rFonts w:ascii="IRNazanin" w:hAnsi="IRNazanin" w:eastAsia="IRNazanin"/>
          <w:color w:val="111111"/>
          <w:sz w:val="28"/>
          <w:sz w:val="28"/>
          <w:szCs w:val="28"/>
          <w:rtl w:val="true"/>
          <w:lang w:bidi="fa-IR"/>
        </w:rPr>
        <w:t>، انتهى ما أفاده قدّس اللّه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موضع الاستفادة من هذا الكلام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يأت بالمأمور به عرفا ، نعم العقل يجوّز الصحّة لو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 هذه الاستفادة ، إذ لم نجد لكلامه دلالة على المدّعى بوجه ، فإنّ ظاهر كلامه هو تعلّق النهي بالخارج عن العبادة ، ومع ذلك يستظهر إمكان فسادها عرفا مع إمكان الصحّة عقلا على تقدير التصريح ، فإنّ أوّل كلامه نصّ في الامتناع مطلقا ، ثمّ التفت إلى ملاحظة قاعدة الأمر بالشيء مع النهي عن ضدّه ، ولذلك بنى تماميّته على فرض المانعيّة ، ثمّ تفطّن في </w:t>
      </w:r>
      <w:r>
        <w:rPr>
          <w:rStyle w:val="FootnoteAnchor"/>
          <w:rtl w:val="true"/>
        </w:rPr>
        <w:footnoteReference w:id="1267"/>
      </w:r>
      <w:r>
        <w:rPr>
          <w:rFonts w:ascii="Amiri" w:hAnsi="Amiri" w:eastAsia="Amiri" w:cs="Amiri"/>
          <w:color w:val="111111"/>
          <w:sz w:val="28"/>
          <w:sz w:val="28"/>
          <w:szCs w:val="28"/>
          <w:rtl w:val="true"/>
          <w:lang w:bidi="ar-SA"/>
        </w:rPr>
        <w:t>الاستدلال بإمكان استفادة البطلان من تعلّق النهي بالخارج ، نظرا إلى أنّ هذه العبارة في العرف ينساق منها الفساد وإن كان على تقدير التصريح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النسبة فيما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ينسب ذلك إلى فاضل الرياض أيضا ، وكأنّه مسموع منه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كان هناك مفصّل ، فالذي ينبغي أن يراد هو أنّ هناك موضوعين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الأمر بطبيعة والنهي بطبيعة اخرى ، غاية الأمر اتّحادهما في الوجود الخارجي ، ولا ضير في ذلك كما يراه المجوّز</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الأمر والنهي ابتداء بجزئي أو بجميع جزئيّات تينك الطبيعتين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في أنّ الثاني ممّا لا يجوّزه العاقل ، فاللفظ الوارد في مقام الأمر والنهي وإن كان مفاده لغة تعلّق الأمر بالطبيعة والنهي بطبيعة اخرى ، وهذا الموضوع ممّا يجوّزه العقل ، إلاّ أنّ المنساق منه في العرف هو تعلّق الأمر والنهي بالفرد لا بالطبيعة ، وبعد استفادته من اللفظ ، فلا إشكال في الحكم بعدم الجواز عقلا أيضا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أيضا أنّ نسبة عدم الجواز إلى العرف ليس إلاّ بواسطة استفادة العرف موضوعا من اللفظ الوارد في مقام الأمر والنهي يحكم فيه العقل بالامتناع ، وليس المراد هو أنّ العرف حاكم بعدم الجواز في مقابل العقل ، كما ظنّه بعض عوام الطلبة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فالحاكم دائما هو العقل ، والعرف أيضا لا يمكن تخلّفه عن العقل من حيث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ليس العقل مستقلاّ في كيفيّة استفادتهم المطالب من الألفاظ ، بمعنى عدم الاكتفاء به فيها ، بل لا بدّ مع ذلك من العلم بالوضع وكيفيّات الاستعمالات في الموارد الخاصّة المستندة إلى القرائن المقاليّة والشواهد المقاميّة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هذه الجهة فلا مجال لغير العقل فيها ، كما يظهر في الحكم بالمجاز والتخصيص والتقييد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بعد استفادة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واستفادة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بواسطة عقولهم بالتناقض والتعارض بين المرادين ، ثمّ يستخرجون المراد منهما بتقديمهم الظهور الثابت في القرينة على الظهور الناشئ من الوضع لكونه أظهر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الطريقة المستقرّة في استخراج المطالب من العبائر واستكشاف المرادات من الضمائر ، وذلك نظير ما قلنا في بحث المقدّمة عند الاستدلال على وجوبها بعدم جواز التصريح بجواز تركها ، حيث إنّ المنساق من التصريح المذكور عرفا هو جواز الترك من كلّ الحيثيّات ، والمقصود جواز تركها من حيث نفسها ، فلا يمكن التصريح به لأجل هذه الحزازة ، لا من حيث إنّ المقدّمة واجبة</w:t>
      </w:r>
      <w:r>
        <w:rPr>
          <w:rFonts w:eastAsia="Amiri" w:cs="Amiri" w:ascii="Amiri" w:hAnsi="Amiri"/>
          <w:color w:val="111111"/>
          <w:sz w:val="28"/>
          <w:szCs w:val="28"/>
          <w:rtl w:val="true"/>
          <w:lang w:bidi="ar-SA"/>
        </w:rPr>
        <w:t xml:space="preserve">. </w:t>
      </w:r>
      <w:bookmarkStart w:id="409" w:name="pg16254_218872"/>
    </w:p>
    <w:p>
      <w:pPr>
        <w:pStyle w:val="BookText"/>
        <w:rPr/>
      </w:pPr>
      <w:bookmarkEnd w:id="409"/>
      <w:r>
        <w:rPr>
          <w:rFonts w:ascii="Amiri" w:hAnsi="Amiri" w:eastAsia="Amiri" w:cs="Amiri"/>
          <w:color w:val="111111"/>
          <w:sz w:val="28"/>
          <w:sz w:val="28"/>
          <w:szCs w:val="28"/>
          <w:rtl w:val="true"/>
          <w:lang w:bidi="ar-SA"/>
        </w:rPr>
        <w:t xml:space="preserve">والحاصل أنّ التفصيل المذكور ليس تفصيلا في الحاكم ، بل إنّما هو حكم من حاكم واحد في موضوعين </w:t>
      </w:r>
      <w:r>
        <w:rPr>
          <w:rStyle w:val="FootnoteAnchor"/>
          <w:rtl w:val="true"/>
        </w:rPr>
        <w:footnoteReference w:id="1268"/>
      </w:r>
      <w:r>
        <w:rPr>
          <w:rFonts w:ascii="Amiri" w:hAnsi="Amiri" w:eastAsia="Amiri" w:cs="Amiri"/>
          <w:color w:val="111111"/>
          <w:sz w:val="28"/>
          <w:sz w:val="28"/>
          <w:szCs w:val="28"/>
          <w:rtl w:val="true"/>
          <w:lang w:bidi="ar-SA"/>
        </w:rPr>
        <w:t>مختلفين ، وستطّلع بعد ذلك على وجوه فساده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418386_1280447820"/>
      <w:bookmarkStart w:id="411" w:name="_Toc130"/>
      <w:bookmarkEnd w:id="410"/>
      <w:r>
        <w:rPr>
          <w:rtl w:val="true"/>
        </w:rPr>
        <w:t xml:space="preserve">الثالث </w:t>
      </w:r>
      <w:r>
        <w:rPr>
          <w:rtl w:val="true"/>
        </w:rPr>
        <w:t xml:space="preserve">: </w:t>
      </w:r>
      <w:r>
        <w:rPr>
          <w:rtl w:val="true"/>
        </w:rPr>
        <w:t>في بيان ثمرة النزاع</w:t>
      </w:r>
      <w:bookmarkEnd w:id="411"/>
    </w:p>
    <w:p>
      <w:pPr>
        <w:pStyle w:val="BookText"/>
        <w:rPr/>
      </w:pPr>
      <w:r>
        <w:rPr>
          <w:rFonts w:ascii="Amiri" w:hAnsi="Amiri" w:eastAsia="Amiri" w:cs="Amiri"/>
          <w:color w:val="111111"/>
          <w:sz w:val="28"/>
          <w:sz w:val="28"/>
          <w:szCs w:val="28"/>
          <w:rtl w:val="true"/>
          <w:lang w:bidi="ar-SA"/>
        </w:rPr>
        <w:t>واعلم أنّه لمّا كانت هذه المسألة من المبادئ ، فالوجه أن تظهر الثمرة في مسألة اصوليّة ، وهي أنّ الأمر والنهي في مورد الاجتماع هل هما متعارضان أو لا تعارض بينهما؟ فعلى القول بالامتناع فالتعارض ثابت ، وعلى القول بالجواز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تلك المسألة استحقاق الثواب والعقاب والصحّة والفساد والموافقة والمخالفة فيما لو أتى المكلّف بالفرد الجامع للعنوانين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التعارض ففي العموم المطلق لا بدّ من تقديم جانب الخاصّ كما هو المقرّر ، وفي العموم من وجه لا بدّ من الأخذ بالمرجّحات الداخليّة ، كقلّة أفراد أحد العامّين فيما لو ساعد العرف عليه ، أو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المشارب في تعارض الدلالتين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المرجّح أو عدم الرجوع إليه في العامّين من وجه فلا بدّ من الرجوع إلى الاصول العمليّة ، وقضيّة الأصل بعد التساقط هو الحكم بإباحة الكون المذكور وفساد الصلاة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صحّة الصلاة إلاّ احتمال النهي ، وبعد الحكم بالإباحة فالوجه 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الحكم بالحرمة إلاّ من حيث إنّ الكون المذكور كون صلاتيّ ، وبعد الحكم ببطلانها فالوجه هو حرمة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تعارض الخطابين وسقوطهما في مورد الاجتماع اقتضى الرجوع إلى الاصول العمليّة ، والأصل العملي بالنسبة إلى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العلم بحرمته يقتضي الإباحة ، وفي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شكّ في سقوط المكلّف به بالإتيان بهذا الفرد المشكوك وقوع الامتثال به ، نظرا إلى احتمال تعلّق النهي به مع فرض سقوط الإطلاق من جانب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بقاء التكليف وعدم 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الواقعيّة بين الصحّة والإباحة لا يجدي في المقام بعد اختلاف مفاد الاصول ، فإنّ التفكيك في الأحكام الظاهرية غير عزيز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في المقام إطلاق فمجرّد احتمال تعلّق النهي لا يدلّ على المطلوب ، لأنّ الأصل عدمه ، إلاّ أنّ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مذاق القائل بالاشتغال عند الشكّ في الشرطيّة ، وعلى القول بالبراءة فلا يبعد الحكم بالصحّة ، إذ مرجع الشكّ إلى أن من شروط الصلاة وقوعها في غير المكان المغصوب وأصالة البراءة عن الزائد يقضي بالصحّة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ينبغي أن يعلم أنّ الأخذ بالمرجّح من حيث الدلالة مثل تقديم الخاصّ على العامّ أو تقديم النهي على الأمر لقوّة الدلالة لا يلائم </w:t>
      </w:r>
      <w:r>
        <w:rPr>
          <w:rStyle w:val="FootnoteAnchor"/>
          <w:rtl w:val="true"/>
        </w:rPr>
        <w:footnoteReference w:id="1269"/>
      </w:r>
      <w:r>
        <w:rPr>
          <w:rFonts w:ascii="Amiri" w:hAnsi="Amiri" w:eastAsia="Amiri" w:cs="Amiri"/>
          <w:color w:val="111111"/>
          <w:sz w:val="28"/>
          <w:sz w:val="28"/>
          <w:szCs w:val="28"/>
          <w:rtl w:val="true"/>
          <w:lang w:bidi="ar-SA"/>
        </w:rPr>
        <w:t xml:space="preserve">مذاق المشهور المانعين ، حيث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 المحقّق الأردبيلي رحمه‌اللّه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يقتصرون في التخصيص بصورة وجود النهي الفعلي ويحكمون بالصحّة في صورة النسيان والجهل ونحوهما ، وتخصيص العامّ بالخاصّ ليس من هذا القبيل ، بل مقتضاه خروج الفرد </w:t>
      </w:r>
    </w:p>
    <w:p>
      <w:pPr>
        <w:pStyle w:val="BookText"/>
        <w:rPr/>
      </w:pPr>
      <w:r>
        <w:rPr>
          <w:rFonts w:ascii="Amiri" w:hAnsi="Amiri" w:eastAsia="Amiri" w:cs="Amiri"/>
          <w:color w:val="111111"/>
          <w:sz w:val="28"/>
          <w:sz w:val="28"/>
          <w:szCs w:val="28"/>
          <w:rtl w:val="true"/>
          <w:lang w:bidi="ar-SA"/>
        </w:rPr>
        <w:t>بجميع أحواله عن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إشكالا فيما لو قلنا بأنّ لا فرق بين العموم من وجه المتحقّق في مثل الصلاة والغصب ، وبين المتحقّق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ولا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المعهود بينهم هو التخصيص مطلقا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كلّه فيما إذا لم يكن الشكّ في أصل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الشكّ فيه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الإمكان ، وقد عرفت في بعض مباحث الظنّ أنّه لا يترتّب على الإمكان الظاهري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أصالة الإطلاق بالنسبة إلى دليل الأمر والنهي حاكمة في أمثال المقام ، إذ الشك إنّما هو في مانع الإطلاق ، والأصل عدمه ، وسيأتي لما تقدّم زيادة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 وهو الموفّق</w:t>
      </w:r>
      <w:r>
        <w:rPr>
          <w:rFonts w:eastAsia="Amiri" w:cs="Amiri" w:ascii="Amiri" w:hAnsi="Amiri"/>
          <w:color w:val="111111"/>
          <w:sz w:val="28"/>
          <w:szCs w:val="28"/>
          <w:rtl w:val="true"/>
          <w:lang w:bidi="ar-SA"/>
        </w:rPr>
        <w:t xml:space="preserve">. </w:t>
      </w:r>
      <w:bookmarkStart w:id="412" w:name="pg16254_218875"/>
    </w:p>
    <w:p>
      <w:pPr>
        <w:pStyle w:val="Heading3"/>
        <w:numPr>
          <w:ilvl w:val="2"/>
          <w:numId w:val="1"/>
        </w:numPr>
        <w:rPr/>
      </w:pPr>
      <w:bookmarkStart w:id="413" w:name="__RefHeading___Toc4418388_1280447820"/>
      <w:bookmarkStart w:id="414" w:name="_Toc131"/>
      <w:bookmarkEnd w:id="412"/>
      <w:bookmarkEnd w:id="413"/>
      <w:r>
        <w:rPr>
          <w:rtl w:val="true"/>
        </w:rPr>
        <w:t xml:space="preserve">هداية </w:t>
      </w:r>
      <w:r>
        <w:rPr>
          <w:rtl w:val="true"/>
        </w:rPr>
        <w:t xml:space="preserve">: </w:t>
      </w:r>
      <w:r>
        <w:rPr>
          <w:rtl w:val="true"/>
        </w:rPr>
        <w:t>في حجج المجوّزين</w:t>
      </w:r>
      <w:bookmarkEnd w:id="414"/>
    </w:p>
    <w:p>
      <w:pPr>
        <w:pStyle w:val="Heading4"/>
        <w:numPr>
          <w:ilvl w:val="3"/>
          <w:numId w:val="1"/>
        </w:numPr>
        <w:rPr/>
      </w:pPr>
      <w:bookmarkStart w:id="415" w:name="__RefHeading___Toc4418390_1280447820"/>
      <w:bookmarkStart w:id="416" w:name="_Toc132"/>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جائزا لكان بواسطة التضادّ بين الحرمة والوجوب ، إذ لا مانع سواه ، وهو لا يصلح للمنع ، وإلاّ لكان جاريا في جميع الأحكام لتضادّها بأسرها ، مع أنّه قد اجتمع الوجوب والكراهة في كثير من الموارد كالصلاة في الحمّام والمعاطن والوضوء بالماء المشتبه بالغصبيّة إلى غير ذلك من الموارد ، والوجوب مع الإباحة كالصلاة في الدار ، والوجوب مع الاستحباب كالصلاة في المسجد والمواضع المتبرّكة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ممّا ذكرتم هو اجتماع الواجب التخييري الشرعي مع الحرام العيني أيضا ، مع أنّه لا يلتزم به أحد من المجوّزين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المجوّز لا يقول بعدم التضادّ بين الأحكام ، بل إنّما يقول بأنّ تعدّد الجهة مجد في اجتماع المتضادّين ، والحرام مع الواجب التخييري العقلي لا يمتنع اجتماعهما من جهتين كما هو المطلوب ، فيطالب بالفرق بين الواجب التخييري الشرعي والعقلي حيث لا يجوّز الأوّل ويجوّز الثاني ، فإنّ وجه الجواز إن كان تعدّد الجهة مع إمكان الامتثال فهو موجود في الواجب التخييري الشرعي ، وإن كان غيره فلا بدّ من بيانه حتّى ينظر إليه</w:t>
      </w:r>
      <w:r>
        <w:rPr>
          <w:rFonts w:eastAsia="Amiri" w:cs="Amiri" w:ascii="Amiri" w:hAnsi="Amiri"/>
          <w:color w:val="111111"/>
          <w:sz w:val="28"/>
          <w:szCs w:val="28"/>
          <w:rtl w:val="true"/>
          <w:lang w:bidi="ar-SA"/>
        </w:rPr>
        <w:t xml:space="preserve">. </w:t>
      </w:r>
      <w:bookmarkStart w:id="417" w:name="pg16254_218876"/>
    </w:p>
    <w:p>
      <w:pPr>
        <w:pStyle w:val="BookText"/>
        <w:rPr/>
      </w:pPr>
      <w:bookmarkEnd w:id="417"/>
      <w:r>
        <w:rPr>
          <w:rFonts w:ascii="Amiri" w:hAnsi="Amiri" w:eastAsia="Amiri" w:cs="Amiri"/>
          <w:color w:val="111111"/>
          <w:sz w:val="28"/>
          <w:sz w:val="28"/>
          <w:szCs w:val="28"/>
          <w:rtl w:val="true"/>
          <w:lang w:bidi="ar-SA"/>
        </w:rPr>
        <w:t xml:space="preserve">وتارة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تارة في النواهي التي نسبتها إلى الأوامر عموم من وجه ، وتارة في النواهي التي نسبتها إليها عموم مطلق ، فإنّ موارد النقض من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فكاستعمال الماء المشتبه في الطهارة ، والصلاة في بيوت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 فكالصلاة في الحمّام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وخروجها عن محلّ الكلام في المسألة نظرا إلى انعقادها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بضائر ، لاستلزام الجواز فيه الجواز فيما نحن فيه بطريق أولى</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418392_1280447820"/>
      <w:bookmarkStart w:id="419" w:name="_Toc133"/>
      <w:bookmarkEnd w:id="418"/>
      <w:r>
        <w:rPr>
          <w:rtl w:val="true"/>
        </w:rPr>
        <w:t xml:space="preserve">أمّا الكلام فيما إذا كانت النسبة عموما وخصوصا مطلقا فمن وجوه </w:t>
      </w:r>
      <w:r>
        <w:rPr>
          <w:rtl w:val="true"/>
        </w:rPr>
        <w:t>:</w:t>
      </w:r>
      <w:bookmarkEnd w:id="4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w:t>
      </w:r>
      <w:r>
        <w:rPr>
          <w:rStyle w:val="FootnoteAnchor"/>
          <w:rtl w:val="true"/>
        </w:rPr>
        <w:footnoteReference w:id="1271"/>
      </w:r>
      <w:r>
        <w:rPr>
          <w:rFonts w:ascii="Amiri" w:hAnsi="Amiri" w:eastAsia="Amiri" w:cs="Amiri"/>
          <w:color w:val="111111"/>
          <w:sz w:val="28"/>
          <w:sz w:val="28"/>
          <w:szCs w:val="28"/>
          <w:rtl w:val="true"/>
          <w:lang w:bidi="ar-SA"/>
        </w:rPr>
        <w:t xml:space="preserve">، من أنّ الكراهة في هذه العبادات كاستحبابها وإباحتها ليست على حقائقها المصطلح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مرجوحيّة الفعل ورجحان الترك ، ورجحان الفعل ومرجوحيّة الترك ، وتساويهما ، حتّى يلزم من اتّصاف الواجب بهذه الأوصاف اجتماع الضدّين ، بل المراد بها كون الواجب أقلّ ثوابا من الثواب المقرّر لطبيعة ذلك الواجب أو أكثر ثوابا منها أو مشتملا على ذلك الثواب فقط</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بعض المحقّقين في حاشية المعالم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يقتضيه ذلك مرجوحيّة تلك التصرّفات بالنظر إلى ذواتها ، وهو لا ينافي رجحانها من جهة اخرى نظرا إلى وقوعها جزءا من العبادة الواجبة ، وحينئذ يقع التعارض بين الجهتين ، ومن البيّن أنّ مرجوحيّة المكروه لا يوازي رجحان الواجب ، فغاية الأمر أن يحصل هناك نقص في ثواب الواجب ويكون الفعل بعد ملاحظة الجهتين راجحا </w:t>
      </w:r>
    </w:p>
    <w:p>
      <w:pPr>
        <w:pStyle w:val="BookText"/>
        <w:rPr/>
      </w:pPr>
      <w:r>
        <w:rPr>
          <w:rFonts w:ascii="Amiri" w:hAnsi="Amiri" w:eastAsia="Amiri" w:cs="Amiri"/>
          <w:color w:val="111111"/>
          <w:sz w:val="28"/>
          <w:sz w:val="28"/>
          <w:szCs w:val="28"/>
          <w:rtl w:val="true"/>
          <w:lang w:bidi="ar-SA"/>
        </w:rPr>
        <w:t>لا مكروها بمعناه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يثبت له الكراهة بالمعنى المذكور بالنظر إلى ذاته ، وذلك لا يستدعي ثبوت الكراهة في خصوصيّات الموارد مطلقا ، إذ قد يعرضه ما يوازي بسببه رجحان يوازي تلك المرجوحيّة فيزيد عليها فترتفع الكراهة المذكورة عن ذلك ، غاية الأمر أن يكون أقلّ ثوابا عن العاري عن تلك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قلنا حينئذ ببقاء المرجوحيّة بالمعنى المذكور صحّ ما ذكره من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الإيراد على هذا الوجه من عدم الضابط ولزوم مكروهيّة جلّ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المراد بها مجرّد أقليّة الثواب بالنظر إلى غيرها ، بل المقصود كونها أقلّ ثوابا بالنظر إلى ما اعدّ من الثواب لتلك العبادة في حدّ ذاتها ، فقد يجيء هناك ما يزيد ثوابها من ذلك كما في المسجد ونحوه ، وقد يجيء ما يوجب نقصه كالصلاة في الحمّام </w:t>
      </w:r>
      <w:r>
        <w:rPr>
          <w:rStyle w:val="FootnoteAnchor"/>
          <w:rtl w:val="true"/>
        </w:rPr>
        <w:footnoteReference w:id="12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في تنقيحه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الاصطلاحيّة التي هي عبارة عن طلب ترك الفعل على وجه التنزيه تابعة لجهة نقصان موجودة في نفس الفعل يقتضي هذا النحو من الطلب ، إلاّ أنّه ربما يمنع من ذلك الترتّب مانع ، مثل اشتمال ذلك الفعل على مصلحة تقتضي لطلبه على وجه الحتم والإلزام ، ضرورة أنّ تلك الجهة لا يوازي مصلحة الواجب ورجحانه ، فالكراهة بمعنى الطلب لا يكون موجودا ، وإنّما الموجود هي جهة الكراهة ، ولا إشكال في أنّ تلك الجهة يمكن أن تصير منشأ لنقصان مصلحة الواجب على وجه يكفي في الوجوب بعد النقصان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قلّة الثواب ، ولا وجه للقول بأنّ بعد تصادم الجهتين لا نسلّم وجود مصلحة كافية في الوجوب ، لأنّ الإجماع على تحقّق الوجوب كاشف عن ثبوت تلك المصلحة ولو بعد المصادمة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هذا الجواب في العبادات المكروهة التي لا دليل على اشتمالها على مصلحة زائدة على مصلحة الوجوب ، فإنّ فيها لا وجه للوجوب بعد التصادم ، ولا دليل على أنّ هذه الموارد من العبادات المكروهة مشتملة على مصلحة زائدة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الوجوب بعد ملاحظة الكراهة كاشف عن وجود المصلحة الزائدة ؛ على أنّ المجيب يكفيه احتمال ذلك ، فإنّ الدليل المذكور راجع إلى النقض بالعبادات المكروهة ، ويكفي في دفع النقض إبداء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دلّ الدليل على كراهة عبادة نعلم بعدم اشتمالها إلاّ على مصلحة كافية في الوجوب فقط من دون زيادة كان ذلك وجها ، وأنّى لك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يجري في المستحبّات المكروهة ، لأنّ بعد تصادم الجهتين لا وجه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الدليل على استحبابه بعد ملاحظة اجتماعه مع الكراهة فذلك الدليل يكفي في إثبات مصلحة فائقة على تلك المنقصة على وجه يبقى بعد التصادم مقدار الكفاية ، وإن لم يقم دليل على ذلك فلا مورد للنقض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فهذا الجواب مبنيّ على دلالة الدليل على امتناع الاجتماع ، فيجب صرف الظواهر التي مقتضاها الاجتماع عنها إلى ما لا دليل على بطلانها ، فإبداء احتمال لم يقم قاطع على فساده </w:t>
      </w:r>
      <w:r>
        <w:rPr>
          <w:rStyle w:val="FootnoteAnchor"/>
          <w:rtl w:val="true"/>
        </w:rPr>
        <w:footnoteReference w:id="1273"/>
      </w:r>
      <w:r>
        <w:rPr>
          <w:rFonts w:ascii="Amiri" w:hAnsi="Amiri" w:eastAsia="Amiri" w:cs="Amiri"/>
          <w:color w:val="111111"/>
          <w:sz w:val="28"/>
          <w:sz w:val="28"/>
          <w:szCs w:val="28"/>
          <w:rtl w:val="true"/>
          <w:lang w:bidi="ar-SA"/>
        </w:rPr>
        <w:t>كاف في المقام ، كما هو الظاهر على من مارس قليلا قواعد التوجيه والمناظرة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توجيه المقام على وجه ربما يتوهّم خلوّه عن النظر ، وليس كذلك ؛ فإنّ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بالدليل المذكور هو الأشعري الذي لا يقول بمقالة العدليّة من ثبوت المصالح والمفاسد وإن تابعهم في ذلك بعض العدليّة </w:t>
      </w:r>
      <w:r>
        <w:rPr>
          <w:rStyle w:val="FootnoteAnchor"/>
          <w:rtl w:val="true"/>
        </w:rPr>
        <w:footnoteReference w:id="1274"/>
      </w:r>
      <w:r>
        <w:rPr>
          <w:rFonts w:ascii="Amiri" w:hAnsi="Amiri" w:eastAsia="Amiri" w:cs="Amiri"/>
          <w:color w:val="111111"/>
          <w:sz w:val="28"/>
          <w:sz w:val="28"/>
          <w:szCs w:val="28"/>
          <w:rtl w:val="true"/>
          <w:lang w:bidi="ar-SA"/>
        </w:rPr>
        <w:t>أيضا ، إلاّ أنّ المناسب هو الجواب على وجه لا يبتني على قواعد العدليّة إلزاما للأشعري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 عن وجود المنقصة في الفرد المكروه إمّا العقل وإمّا الشرع ، إذ لا ثالث في المقام ، وشيء منهما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فظاهر ، حيث إنّه لا سبيل له إلاّ في ما يستقلّ هو في إدراك حكمه ، وموارد النقض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 ، فلا نعرف منه شيئا يدلّ على المنقصة إلاّ النهي من قبيل البرهان الإنّي ، فإنّ المنقصة تستتبع النهي ، والمفروض في المقام عدم النهي ، لامتناع اجتماع الطلبين ، فالقول بثبوت المنقصة وعدم ثبوت الطلب قول بلا دليل يشبه أن يكون رجما بالغيب ، فإنّه لا يعلم إلاّ من اللّه ورسوله والراسخين في العلم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من عنوان الدليل الوارد في مقام الحكم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تتصرّف في المال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أنّ هذا العنوان مشتمل على جهة منقصة تقتضي الكراهة ، وإلاّ لم يتعلّق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أيضا من عروض الوجوب لفرد من الأفراد الداخلة في ذلك العنوان اشتمال ذلك الفرد على مصلحة الوجوب ، وهو لا ينافي وجود الجهة ، بل هو مانع عن تحقّق الطلب على وجه الكراهة ، فثبوت الجهة هو مقتضى الخطاب الشرعي ، وليس قولا بما لا يعلم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تخصيص النهي بالأمر وتقديم الأمر والقول بالوجوب يكون الفرد الواجب خارجا عن العنوان المذكور ، ولا دليل على ثبوت الجهة في </w:t>
      </w:r>
    </w:p>
    <w:p>
      <w:pPr>
        <w:pStyle w:val="BookText"/>
        <w:rPr/>
      </w:pPr>
      <w:r>
        <w:rPr>
          <w:rFonts w:ascii="Amiri" w:hAnsi="Amiri" w:eastAsia="Amiri" w:cs="Amiri"/>
          <w:color w:val="111111"/>
          <w:sz w:val="28"/>
          <w:sz w:val="28"/>
          <w:szCs w:val="28"/>
          <w:rtl w:val="true"/>
          <w:lang w:bidi="ar-SA"/>
        </w:rPr>
        <w:t xml:space="preserve">مطلق ذلك العنوان ، فلعلّه مختصّ بما فيه الكراهة الفعلية ، فإنّ ثبوت حكم لطبيعة </w:t>
      </w:r>
      <w:r>
        <w:rPr>
          <w:rStyle w:val="FootnoteAnchor"/>
          <w:rtl w:val="true"/>
        </w:rPr>
        <w:footnoteReference w:id="1275"/>
      </w:r>
      <w:r>
        <w:rPr>
          <w:rFonts w:ascii="Amiri" w:hAnsi="Amiri" w:eastAsia="Amiri" w:cs="Amiri"/>
          <w:color w:val="111111"/>
          <w:sz w:val="28"/>
          <w:sz w:val="28"/>
          <w:szCs w:val="28"/>
          <w:rtl w:val="true"/>
          <w:lang w:bidi="ar-SA"/>
        </w:rPr>
        <w:t>مقيّدة لا دلالة فيه على ثبوته لفرد آخر لتلك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التخصيص في العنوان يوجب خروج مادّة الاجتماع عن النهي ، لكن التخصيص إنّما هو بواسطة وجود مانع عن ترتّب أثر المقتضي عليه ، كما يلاحظ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فإنّ المستفاد في العرف من الخطاب المذكور هو أنّ العلم يقتضي الإكرام والفسق إنّما يمنع منه ، ولذا لو شكّ في فسق العالم يحكم بوجوب إكرامه ، لأنّ المانع محكوم بالعدم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اختصاص التخصيص بما إذا كان المقتضي موجودا ، إذ يحتمل أن يكون مورد التخصيص ممّا لم يجد فيه المقتضي أيضا ، كأن يكون العلّة التامّة مختصّة بغير الفرد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الاستناد إلى الأصل المذكور فهو إنّما يوجب إحراز ما هو العنوان لوجوب الإكرام الملازم للعلّة التامّة ، وهو العالم الغير الفاسق ، ولا دلالة فيه على أنّ العلم هو المقتضي والفسق إنّما يمنع من حصول أثره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العنوان ممّا يستقلّ بحكمه العقل على وجه لا ينافي تخصيص الشارع له ، كان القول ببقاء الجهة بعد ارتفاع الحكم له وجها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يعقل التخصيص في مورد حكم العقل ، ولو كان وجه التخصيص عقليّا لم يبعد الالتزام ببقاء الجهة ، كما في موارد التزاحم بين الواجبين ، كإنقاذ الغريقين بعد تزاحمهما ، فإنّ العقل قاض بعدم تعلّق الطلب بهما معا مع العلم ببقاء المصلحة فيهما ، إلاّ أنّ ما نحن بصدده ليس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التخصيص في المقام هو امتناع اجتماع الطلبين على وجه لو فرض ارتفاع الطلب من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المحرّم سهوا أو نسيانا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ترتيب الأثر على الطرف الآخر ، فيحكم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التخصيص شرعيّا ، إذ على تقديره يلزم فساد الفرد الجامع للعنوانين على تقدير تقديم النهي ، من جهة عدم الأمر ، لا بواسطة امتناع اجتماع الطلبين ، ويلزم من ذلك بقاء المصلحة على تقدير </w:t>
      </w:r>
      <w:r>
        <w:rPr>
          <w:rStyle w:val="FootnoteAnchor"/>
          <w:rtl w:val="true"/>
        </w:rPr>
        <w:footnoteReference w:id="1278"/>
      </w:r>
      <w:r>
        <w:rPr>
          <w:rFonts w:ascii="IRNazanin" w:hAnsi="IRNazanin" w:eastAsia="IRNazanin"/>
          <w:color w:val="111111"/>
          <w:sz w:val="28"/>
          <w:sz w:val="28"/>
          <w:szCs w:val="28"/>
          <w:rtl w:val="true"/>
          <w:lang w:bidi="fa-IR"/>
        </w:rPr>
        <w:t>ارتفاع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 فهو جار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تقدير التخصيص لا يعلم ببقاء المصلحة في الفرد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التخصيص ليس إلاّ التضادّ الواقع بين الأمر والنهي في الفرد الجامع ، والمفروض أنّ ذلك لا يقضي إلاّ بعدم تعلّق الطلب بالفرد الذي تعلّق طلب مناقض له به ، فلنا أن نحكم ببقاء المصلحة بعد ارتفاع الطلب ، وقد عرفت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اللطف ومراعاة المصالح والمفاسد هو اختصاص الأمر في أمثال هذه الموارد بالفرد الغير المشتمل على المنقصة ؛ لأنّ في الأمر به تفويتا للزائد من دون انجبار ، إذ المفروض حصول مصلحة الأمر في الفرد الخالي عن المنقصة أيضا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التنبيه على تلك المنقصة والأمر به موافق للّطف ، لاحتمال الانحصار فيه ، فعلى تقدير عدم الأمر يكون ذلك تفويتا في حقّه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يحصل في الأمر به على وجه الترتيب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ذلك التقدير أن يكون الفرد المباح أفضل فردي الواجب التخييري ، وهو باطل اتّفاقا منّا ومن المجيب ، إذ لا يراد منه إلاّ ما فيه مصلحة زائدة على مصلحة الواجب ، والمفروض أنّ المكروه مشتمل على مصلحة الواجب ، فيرد </w:t>
      </w:r>
      <w:r>
        <w:rPr>
          <w:rStyle w:val="FootnoteAnchor"/>
          <w:rtl w:val="true"/>
        </w:rPr>
        <w:footnoteReference w:id="1280"/>
      </w:r>
      <w:r>
        <w:rPr>
          <w:rFonts w:ascii="Amiri" w:hAnsi="Amiri" w:eastAsia="Amiri" w:cs="Amiri"/>
          <w:color w:val="111111"/>
          <w:sz w:val="28"/>
          <w:sz w:val="28"/>
          <w:szCs w:val="28"/>
          <w:rtl w:val="true"/>
          <w:lang w:bidi="ar-SA"/>
        </w:rPr>
        <w:t>عليه عدم الانضباط في المكروه وجريانها في مثل الصلاة في المسجد والمسجد الحرام ونحوه ، ولا سبيل إلى التزامه ، فإنّ ذلك التصرّف مقطوع الفساد في الظواهر التي تدلّ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القطع بوجوب صرفها عن ظاهرها ، فإنّه لا يقضي بحملها على ما هو ظاهر البطلان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المجيب بنى جوابه على أن يكون المراد من قلّة الثواب هو قلّته بالنسبة إلى الثواب المقرّر للماهيّة ، ويستفاد منه بالمقايسة أنّ المندوب هو ما زاد ثوابه على ثواب الماهيّة والفرد المباح لا يزيد ثوابه على ثوابها ، إذ المفروض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الكراهة في العبادة إنّما يكون لها مسرحا في العبادات التي تزيد مصلحتها على مصلحة مقتضية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استفادة قلّة الثواب من تلك النواهي ممّا لا سبيل إليها ، فإنّ ذلك المعنى من المعاني التي ينبغي استفادتها من الجمل الإخباريّة دون الجمل الإنشائيّة ، فلا يعقل أن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الحمّام أقلّ ثوابا من غيرها ، إذ لم يعهد منهم استعمال الإنشاء في الإخبار وإن كثر استعمال الإخبار فيه ، فإنّه من محاسن الطلب ، كما لا يخفى</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وتمحّل بعض الأجلّة </w:t>
      </w:r>
      <w:r>
        <w:rPr>
          <w:rStyle w:val="FootnoteAnchor"/>
          <w:rtl w:val="true"/>
        </w:rPr>
        <w:footnoteReference w:id="1281"/>
      </w:r>
      <w:r>
        <w:rPr>
          <w:rFonts w:ascii="Amiri" w:hAnsi="Amiri" w:eastAsia="Amiri" w:cs="Amiri"/>
          <w:color w:val="111111"/>
          <w:sz w:val="28"/>
          <w:sz w:val="28"/>
          <w:szCs w:val="28"/>
          <w:rtl w:val="true"/>
          <w:lang w:bidi="ar-SA"/>
        </w:rPr>
        <w:t xml:space="preserve">في دفعه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النواهي المذكورة إرشاديّة مجرّدة عن معنى الطلب بقرينة قيام الحجّة العقليّة على استحالة تعلّق الطلب بطرفي </w:t>
      </w:r>
    </w:p>
    <w:p>
      <w:pPr>
        <w:pStyle w:val="BookText"/>
        <w:rPr/>
      </w:pPr>
      <w:r>
        <w:rPr>
          <w:rFonts w:ascii="Amiri" w:hAnsi="Amiri" w:eastAsia="Amiri" w:cs="Amiri"/>
          <w:color w:val="111111"/>
          <w:sz w:val="28"/>
          <w:sz w:val="28"/>
          <w:szCs w:val="28"/>
          <w:rtl w:val="true"/>
          <w:lang w:bidi="ar-SA"/>
        </w:rPr>
        <w:t xml:space="preserve">النقيض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كونها مستعملة في الطلب التنزيهي على وجه الغيريّة والمقدّميّة للوصلة إلى الفرد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بتجرّد الإرشاديّات عن الطلب مخالف لما هو الواقع ، كما مرّ في بعض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الإرشاد إلى ترك الناقص غير معقول إن لم يكن للوصلة إلى الكامل ، وإلاّ فيكون من الأمر المقدّمي ، ولعلّه تفطّن بذلك حيث حكم برجوع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المقدّميّة أيضا ينافي الوجوب ، إذ كما أنّ التضادّ واقع بين الوجوب وما يخالفه من الأحكام النفسيّة ، فكذا بينه وبين الأحكام الغيريّة ، فالمصير إليه ممّا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بابتنائه على ما زعمه من اختصاص وجوب المقدّمة بما إذا كانت موصلة إلى ذيها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الحمّام تارة يترك ويتوصّل بتركها إلى الصلاة في غير الحمّام من المواضع الغير المكروهة ، وتارة لا يتوصّل بها إلى الفرد الكامل ، إمّا بإيجادها في الحمّام وإمّا بعدم إيجادها مع ترك الكامل أيضا ، ففيما إذا كان الترك المذكور مطلوبا من حيث كونه مقدّمة للوصلة إلى الفرد الكامل يتّصف بمطلوبيّة الترك وليس فعله مطلوبا ، لأنّ المطلوب في الواجب المخيّر هو الفرد الذي اختاره المكلّف في مقام الامتثال ، وبعد اختياره فردا لا يكون الباقي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كان فعله مطلوبا باختيار ذلك الفرد في مقام الامتثال بالواجب المخيّر لا يكون تركه مطلوبا ، لعدم تحقّق شرط المطلوبيّة وهو الوصلة إلى الغير ، لعدم ترتّبه عليه كما هو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فساد المبنى كما أوضحنا سبيله في بعض مباحث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بعد ما فرض من اختصاص مطلوبيّة الترك بفرد خاصّ من الصلاة في الحمّام وهو الترك المتوصّل به إلى الفرد الكامل ،</w:t>
      </w:r>
    </w:p>
    <w:p>
      <w:pPr>
        <w:pStyle w:val="BookText"/>
        <w:rPr/>
      </w:pPr>
      <w:r>
        <w:rPr>
          <w:rFonts w:ascii="Amiri" w:hAnsi="Amiri" w:eastAsia="Amiri" w:cs="Amiri"/>
          <w:color w:val="111111"/>
          <w:sz w:val="28"/>
          <w:sz w:val="28"/>
          <w:szCs w:val="28"/>
          <w:rtl w:val="true"/>
          <w:lang w:bidi="ar-SA"/>
        </w:rPr>
        <w:t>يلزم أن لا يكون مطلق الترك مطلوبا ، فلا دليل على وجود المنقصة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ترك خاصّ يوجب مرجوحيّة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أنّ المرجوح هو ترك هذا الترك الخاصّ ، وهو أعمّ من الفعل ، وهو لا يرى سراية تلك المرجوحيّة إلى الأفراد ، كما تقدّم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القول بعدم مطلوبيّة أفراد الواجب المخيّر بعد الإتيان بفرد غيرها في مقام الامتثال لا يخلو عن حزازة ؛ حيث إنّ جميع الأفراد في نظر المولى والآمر متساوية النسبة ، والاختيار إنّما هو في مقام سقوط الطلب المتعلّق بالماهيّة مجرّدا ، أمّا </w:t>
      </w:r>
      <w:r>
        <w:rPr>
          <w:rStyle w:val="FootnoteAnchor"/>
          <w:rtl w:val="true"/>
        </w:rPr>
        <w:footnoteReference w:id="1283"/>
      </w:r>
      <w:r>
        <w:rPr>
          <w:rFonts w:ascii="Amiri" w:hAnsi="Amiri" w:eastAsia="Amiri" w:cs="Amiri"/>
          <w:color w:val="111111"/>
          <w:sz w:val="28"/>
          <w:sz w:val="28"/>
          <w:szCs w:val="28"/>
          <w:rtl w:val="true"/>
          <w:lang w:bidi="ar-SA"/>
        </w:rPr>
        <w:t>بالنظر إلى طلب الآمر فلا يعقل مدخليّة للاختيار ، والمحذور إنّما هو الثاني دون الأوّل ، فتامّل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الإرشاد المذكور الذي مرجعه إلى الكراهة الغيريّة موجود في جميع أفراد الواجب المخيّر مع اختلافها في الثواب ، فيلزم النهي عن الصلاة في البيت للإيصال إلى الفرد الكامل منها وهو الصلاة في المسجد ، والنهي عنها للصلاة التي تقع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وجود المناط لا يكفي في الحكم بالكراهة ما لم يرد فيه النهي ؛ لما قد تقدّم في مباحث المقدّمة من أنّ الطلب الغيري يتبع ما هو المناط في المقدّمية ، ولا يتفاوت فيه وجود الأمر الأصلي ، كما إذا صرّح بوجوب بعض المقدّمات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اشتراء اللحم ، وعدمه كما في سائر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الناقص للوصلة إلى الكامل وإرشادا إليه ، مناطه متحقّق في جميع الأفراد المختلفة ثوابا ، وقضيّة ذلك التزام الكراهة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الكراهة في مثل المقام مجرّد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1284"/>
      </w:r>
      <w:r>
        <w:rPr>
          <w:rFonts w:ascii="Amiri" w:hAnsi="Amiri" w:eastAsia="Amiri" w:cs="Amiri"/>
          <w:color w:val="111111"/>
          <w:sz w:val="28"/>
          <w:sz w:val="28"/>
          <w:szCs w:val="28"/>
          <w:rtl w:val="true"/>
          <w:lang w:bidi="ar-SA"/>
        </w:rPr>
        <w:t xml:space="preserve">عن الإيراد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الكراهة في جميع الأفراد التي يختلف ثوابها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يشترط في إطلاق الكراهة وصول الفعل في المرجوحيّة الإضافيّة وأقلّية الثواب حدّا خاصّا تشبه به المرجوح في نفسه وما لا ثواب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لفعل كلّ طبيعة 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جميع المنضمّات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معيّنا من الثواب والرجحان بالنسبة إلى تركه ، وقد يزيد ذلك من جهة بعض الخصوصيّات كالصلاة في المسجد ، وقد ينقص مع بقاء أصل الرجحان والثواب كالصلاة في الحمّام ، وقد يبقى بحاله كالصلاة في البيت ، فما زاد رجحانه وثوابه عن أصل الطبيعة اطلق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أوّلا من اشتراط إطلاق الكراهة بوصول الفعل حدّا ، فممّا لا يرجع إلى حاصل ، فإنّ ذلك ليس من الامور التوقيفيّة ، بل المناط في الإطلاق المذكور هو المرجوحيّة بالنظر إلى ما ليس فيه تلك المرجوحيّة من أفراد الطبيعة ، ومن المعلوم عدم اعتبار الوصول إلى حدّ خاصّ في الإطلاق المذكور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اريد منه أنّه قد ينضمّ إلى الماهيّة الراجحة عنوان آخر من عناوين الأفعال اللاحقة التي تقتضي نقص الثواب لأجل مصادمة </w:t>
      </w:r>
    </w:p>
    <w:p>
      <w:pPr>
        <w:pStyle w:val="BookText"/>
        <w:rPr/>
      </w:pPr>
      <w:r>
        <w:rPr>
          <w:rFonts w:ascii="Amiri" w:hAnsi="Amiri" w:eastAsia="Amiri" w:cs="Amiri"/>
          <w:color w:val="111111"/>
          <w:sz w:val="28"/>
          <w:sz w:val="28"/>
          <w:szCs w:val="28"/>
          <w:rtl w:val="true"/>
          <w:lang w:bidi="ar-SA"/>
        </w:rPr>
        <w:t>ومدافعة تقع بينهما من حصول الفعل والانفعال فيهما ، فهو راجع إلى ما أفاده المجيب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أوردنا عليه سابقا ، مضافا إلى أنّه لم يعقل معنى محصّل لتأثير جهة الكراهة في المأمور به وإيراثها فيه نقصا ، غاية الأمر وجود العنوانين ، ويلحق بهما أحكامهما من غير إحباط وتكفير فيهما ، فاللازم وجود المنقصة بتمامها ووجود المصلحة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منه أنّ الخصوصيّة من غير أن تكون آئلة وراجعة إلى فعل من الأفعال توجب نقصا في الثواب المقرّر للطبيعة ، فإن اريد منه ما قد يوجد في كلمات غير واحد منهم أنّ فعل الصلاة مثلا يترتّب عليها ثواب وإيقاعها في مكان خاصّ له ثواب آخر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الإيقاع إنّما هو عنوان ينتزع من الفعل ، وليس وراء نفس الفعل شيئا آخر كما في مثل الشروع في الفعل ، فإنّه ليس أمرا آخر غير الفعل ، ولا يعقل اختلافهما في الثواب بعد عدم لحوق عنوان آخر للفعل كما هو المفروض</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منه أنّ نفس الإيقاع والفعل في مكان له ثواب دون نفس الفعل ، فمرجعه إلى التزام أنّ الفعل من دون تقييده بوقوعه في مكان خاصّ لا ثواب له ، وإنّما الثواب بإزاء الإيقاعات الخاصّة والأفراد المختلفة باختلاف المشخّصات التي بها يتحقّق أفراد ماهيّة الفعل ، وإذن يعود المحذور من عدم الانضباط وصحّة الكراهة في الفرد الناقص ثوابا من الفرد الآخر ، فيصحّ القول بكراهة الصلاة في البيت بالنسبة إلى المسجد ، وفي مسجد المحلّة بالنسبة إلى المسجد الجامع ، وفيه بالنسبة إلى المسجد الكبير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لهذه الكلمات توجيها وجيها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من وجوه الحلّ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وجدناه في الرسالة المنسوبة إلى بعض سادات مشايخ مشايخنا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العبادات المكروهة متعلّق بالوصف أعني خصوصيّة الفرد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الأمر هو الطبيعة ، فيختلف مورد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في ذلك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الأوامر على ما هو التحقيق هو الطبائع دون الخصوصيّة والأفراد ، فيكون الأمر نصّا في طلب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النهي ، فإنّه في معنى السلب ، وسلب المركّب عن الطبيعة والخصوصيّة قد يكون برفع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الماهيّة والخصوصيّة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 وقد يكون برفع أحدهما ، كما هو الشأن في رفع المركّبات ، فيكون تعلّقه بالطبيعة ظاهرا لا نصّا ، ومن القواعد المقرّرة وجوب صرف الظاهر بالنصّ حيثما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المذكور إنّما هو وارد على المانع من اجتماع الأمر والنهي ، والتفكيك بين خصوصيّة الفرد والطبيعة إنّما يلائم مذاق المجوّز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المذكور ممّا لا مساس له بالدعوى المذكورة ، إذ لا كلام لنا الآن في أنّ النهي كيف يقدّم على الأمر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نصّ ويجب صرف الظاهر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المناسبة بين قاعدة انتفاء المركّب بانتفاء جزئيه معا أو أحدهما وبين ما نحن فيه؟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إن لم تكن راجعة إلى عنوان مغاير لعنوان الفعل لا يكون إلاّ نحو وجود الماهيّة ، فإنّ وجودات الأشياء هي التي بها يظهر آثار الماهيّات وخواصّها المطلوبة منها ، فتكون وعاء لآثارها كالحسن والقبح والحلاوة </w:t>
      </w:r>
    </w:p>
    <w:p>
      <w:pPr>
        <w:pStyle w:val="BookText"/>
        <w:rPr/>
      </w:pPr>
      <w:r>
        <w:rPr>
          <w:rFonts w:ascii="Amiri" w:hAnsi="Amiri" w:eastAsia="Amiri" w:cs="Amiri"/>
          <w:color w:val="111111"/>
          <w:sz w:val="28"/>
          <w:sz w:val="28"/>
          <w:szCs w:val="28"/>
          <w:rtl w:val="true"/>
          <w:lang w:bidi="ar-SA"/>
        </w:rPr>
        <w:t>والمرارة والبرودة والحرارة ونحوها ، وليست الخصوصيّة وراء تلك الوجودات شيئا حتّى يتعقّل تعلّق النهي بها ويصير منشأ لاختلاف الأفراد في الثواب ، وعلى تقديره فاللازم هو ما عرفت فيما تقدّم من عدم الاطّراد وجريانه فيما ليس بمكروه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الرسالة المزبورة ليست من تصانيف السيّد المزبور ، وما عرفت من أقوى الشواهد على ذلك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النواهي التنزيهيّة راجعة إلى شيء خارج عن العبادة بحكم الاستقراء ، كالتعرّض عن الرشاش والتعرّض في موارد السيل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خلاف الظاهر ممّا لا ضير فيه بعد قيام الحجّة على خلافه ، وليكن ذلك من باب الحكمة لعدم الاطّراد في كثير من الموارد وإن كان بعيدا ، ولا يلزم منه كراهة الكون في الحمّام مطلقا ؛ لأنّ المنقصة إنّما هي في الكون المتّحد مع الصلاة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المذكور ممّا لا يجدي نفعا ؛ لأنّه إن اريد من تعلّق النهي بأمر خارج عن العبادة تعلّقه به على وجه لا يجامع عنوانهما فرد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الأجنبيّة منهي عنه ولكنّه خارج عن الصلاة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التعرّض عن الرشاش أمر خارج عن حقيقة العبادة ، فهو وإن كان يجدي في دفع اجتماع الأمر والنهي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الأمر الخارج لا بدّ أن يكون مقارنا للعبادة ملازما لها ، إذ مع المفارقة لا وجه لتعلّق النهي بالعبادة ، ومع عدم الملازمة أيضا لا وجه للنهي على وجه الإطلاق ، فلا بدّ أن يكون ملازما ، فيبنى على جواز اختلاف المتلازمين في الحكم ، فلو قيل بالمنع مطلقا أو على وجه خاصّ شامل للمقام فهو ، وإلاّ فيرد الاحتمال المذكور ، وهو أنّ المعلوم من النواهي الواردة في العبادات كفتاوى من أفتى بالكراهة </w:t>
      </w:r>
    </w:p>
    <w:p>
      <w:pPr>
        <w:pStyle w:val="BookText"/>
        <w:rPr/>
      </w:pPr>
      <w:r>
        <w:rPr>
          <w:rFonts w:ascii="Amiri" w:hAnsi="Amiri" w:eastAsia="Amiri" w:cs="Amiri"/>
          <w:color w:val="111111"/>
          <w:sz w:val="28"/>
          <w:sz w:val="28"/>
          <w:szCs w:val="28"/>
          <w:rtl w:val="true"/>
          <w:lang w:bidi="ar-SA"/>
        </w:rPr>
        <w:t>فيها هو وجود المنقصة في نفس العبادة ، فيكون ذلك من التأويل المعلوم بطلانه ، وهو ظاهر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 تعلّق النهي بالخارج تعلّقه به على وجه يجتمعان في فرد واحد ، سواء كان بين الخارج والعبادة عموم من وجه أو عموم مطلق ، فالمحذور باق بحاله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إيراد الجواب المذكور في دفع النقض فيما نحن بصدده ليس في محلّه ، بل هو جواب عن إشكال آخر يشبه النقض المذكور ، وهو ما ذكره شيخنا البهائي في الزبدة </w:t>
      </w:r>
      <w:r>
        <w:rPr>
          <w:rStyle w:val="FootnoteAnchor"/>
          <w:rtl w:val="true"/>
        </w:rPr>
        <w:footnoteReference w:id="1291"/>
      </w:r>
      <w:r>
        <w:rPr>
          <w:rFonts w:ascii="Amiri" w:hAnsi="Amiri" w:eastAsia="Amiri" w:cs="Amiri"/>
          <w:color w:val="111111"/>
          <w:sz w:val="28"/>
          <w:sz w:val="28"/>
          <w:szCs w:val="28"/>
          <w:rtl w:val="true"/>
          <w:lang w:bidi="ar-SA"/>
        </w:rPr>
        <w:t xml:space="preserve">والمحقّق الداماد في السبع الشداد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المكروه في العبادات يوجب تسديس الأحكام أو تسبيعه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عن ذلك بعدم تعلّق النهي بالعبادة ، بل بأمر خارج ، فليس مكروه العبادة قسما سادسا ، لأنّ نفس العبادة مستحبّة أو واجبة ، وذلك الأمر الخارج المجامع لها في الوجود مكروه ، فلا ضير فيه ، حيث إنّ الأحكام باقية على حصرها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الداماد بعد إيراده ضروبا من الإشكال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صحّ ذلك يصحّ قسم آخر سوى الخمسة المشهورة ، وهو ما يثاب تاركه من حيث هو تاركه وفاعله أيضا من حيث هو فاعل له ، ولكن يكون ثواب تركه أكثر من ثواب فعله ، وبإزاء هذا قسم آخر أيضا ، وهو ما يثاب فاعله من حيث هو فاعله وتاركه أيضا من حيث هو تارك له ولكن يكون ثواب فعله أكثر من ثواب تركه ، فإذن يفسد عليهم الحكم على الأحكام الشرعيّة التكليفية بالتخميس </w:t>
      </w:r>
      <w:r>
        <w:rPr>
          <w:rStyle w:val="FootnoteAnchor"/>
          <w:rtl w:val="true"/>
        </w:rPr>
        <w:footnoteReference w:id="12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 ، فالجواب المذكور ألصق بالإشكال ، فلعلّه يكون إيراده في دفع الإشكال في المقام خبطا من الناقل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وجوه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الأجلّة وجعله من منفرداته وأطال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كراهة العبادة عبارة عن رجحان تركها بقصد القربة على وجه يكون القيد المذكور داخلا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غائلة في ذلك ، لأنّ رجحان الفعل يقتضي مرجوحيّة الترك على وجه الإطلاق لأنّه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الترك المقيّد فليس نقيضا للفعل ، لثبوت الواسطة بينهما ، فرجحان الفعل لا يقتضي مرجوحيّة الترك المقيّد بقصد القربة ، فلا ضير في اتّصافه بالرجحان مع القيد المذكور ، كما أنّ الصوم راجح فعله ، وتركه مقيّدا بإجابة المؤمن أيضا راجح ، ولا مناقضة بينهما لاختلاف محلّي الرجحان والمرجوحيّة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فالصلاة في الحمّام فعله راجح بقصد القربة ، وتركها أيضا راجح بقصد القربة من دون مدافعة ، وإنّما التدافع بين رجحان الفعل ورجحان الترك على وجه الإطلاق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 وإن أطال في بيان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منه مبنيّ على أن يكون القربة من القيود اللاحقة للمأمور به ، كأن يكون القيد المذكور من وجوه المطلوب ، وقد تقدّم في بحث المقدّمة ما يوضح فساد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لا يبنى </w:t>
      </w:r>
      <w:r>
        <w:rPr>
          <w:rStyle w:val="FootnoteAnchor"/>
          <w:rtl w:val="true"/>
        </w:rPr>
        <w:footnoteReference w:id="1294"/>
      </w:r>
      <w:r>
        <w:rPr>
          <w:rFonts w:ascii="Amiri" w:hAnsi="Amiri" w:eastAsia="Amiri" w:cs="Amiri"/>
          <w:color w:val="111111"/>
          <w:sz w:val="28"/>
          <w:sz w:val="28"/>
          <w:szCs w:val="28"/>
          <w:rtl w:val="true"/>
          <w:lang w:bidi="ar-SA"/>
        </w:rPr>
        <w:t>على ذلك ، بل يتمّ على تقدير كونه من لواحقه بعد طريان الأمر عليه أيضا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الماهيّة بالقيد لا يعقل إلاّ أن يكون ذلك القيد من لواحقه ، وإلاّ فكيف يختلف تلك الماهيّة بطريان ذلك القيد؟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أيضا في مباحث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الأمر ممّا يمكن التمسّك به عند الشكّ في التعبّدية ، فراجعه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ذلك ، وقلنا بأنّه يصحّ أن يكون القربة قيدا للمأمور به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فاسد أيضا ، حيث إنّ المحذور كلّ المحذور في التقرّب بترك ما هو فعله ممّا يتقرّب به ، فإنّه هو التناقض اللازم في المقام ، ومن الواضح أنّ اتّصاف طرفي النقيض بالتقرّب أمر محال لا يمكن أن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ذلك في القيود التي يكون من قبيل الإجابة ، فالصوم من حيث كونه صوما مستحبّ فعله ، وتركه من حيث إنّه إجابة للمؤمن يمكن أن يكون مستحبّا ، فالتقرّب به ليس تقرّبا بترك الصوم بل بعنوان الإجابة المتّحدة مع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بطلان المقايسة المذكورة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الوحيد البهبهاني </w:t>
      </w:r>
      <w:r>
        <w:rPr>
          <w:rStyle w:val="FootnoteAnchor"/>
          <w:rtl w:val="true"/>
        </w:rPr>
        <w:footnoteReference w:id="1297"/>
      </w:r>
      <w:r>
        <w:rPr>
          <w:rFonts w:ascii="Amiri" w:hAnsi="Amiri" w:eastAsia="Amiri" w:cs="Amiri"/>
          <w:color w:val="111111"/>
          <w:sz w:val="28"/>
          <w:sz w:val="28"/>
          <w:szCs w:val="28"/>
          <w:rtl w:val="true"/>
          <w:lang w:bidi="ar-SA"/>
        </w:rPr>
        <w:t>، من أنّ المراد بكراهة العبادات مرجوحيّتها بالإضافة إلى غيرها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رجحانها في حدود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 ؛ فإنّه واقع في الشرع كثيرا ، فإنّ الغسل واجب نفسيّ على القول به ، ولا ينافي ذلك وجوبه الغيري ، ولا أقلّ من استحبابه النفسي مع وجوبه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نحن فيه </w:t>
      </w:r>
      <w:r>
        <w:rPr>
          <w:rStyle w:val="FootnoteAnchor"/>
          <w:rtl w:val="true"/>
        </w:rPr>
        <w:footnoteReference w:id="1298"/>
      </w:r>
      <w:r>
        <w:rPr>
          <w:rFonts w:ascii="Amiri" w:hAnsi="Amiri" w:eastAsia="Amiri" w:cs="Amiri"/>
          <w:color w:val="111111"/>
          <w:sz w:val="28"/>
          <w:sz w:val="28"/>
          <w:szCs w:val="28"/>
          <w:rtl w:val="true"/>
          <w:lang w:bidi="ar-SA"/>
        </w:rPr>
        <w:t>الاتّزار فوق القميص في الصلاة وحمل الحديد فيها ، فإنّهما لا مرجوحيّة فيهما بحسب الشرع ، إلاّ أنّهما مرجوحان في الصلاة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على هذا الجواب ممّا لا حاجة إلى بيانه بعد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جملة من الكلمات التي أوردوها في النقض بالعبادات المكروهة التي بين عنوان المنهيّ عنه والمأمور به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فظاهرهم جريان الأجوبة المذكورة فيه أيضا ، بل وهو صريح المجيب الأوّل في حاشية المعالم ، حيث إنّه بعد ما أورد الجواب المذكور في المقام الأوّل طرّد الكلام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الوجوه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يوجب في العموم من وجه استعمال النهي في أكثر من معنى ، حيث إنّ المستفاد منه في غير مورد الاجتماع هو الكراهة المصطلح عليها ، فلو استفيد منه فيه معنى آخر لزم ما ذكرنا ، سواء في ذلك ما لو قيل بأنّ النهي للإرشاد أو مستفاد منه قلّة الثواب أو غير ذلك من وجوه التصرّف الراجع إلى اختلاف المعنى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شيئا من الوجوه المذكورة لا يشفي العليل ولا يروي الغليل ،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شيئا من الوجوه المذكورة لا ينهض بدفع النقض في العبادات المكروهة التي لا بدل لها ، كالتطوّع ونحوها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تحقيق المراد من الكراهة في العبادات من بسط الكلام في طيّ مقامات ، فإنّ العبادات المكروهة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المنهيّ عنه أخصّ من المأمور به مع وجود البدل له من جنسه ، كالصلاة في الحمّام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لها بدل من جنسه </w:t>
      </w:r>
      <w:r>
        <w:rPr>
          <w:rStyle w:val="FootnoteAnchor"/>
          <w:rtl w:val="true"/>
        </w:rPr>
        <w:footnoteReference w:id="1300"/>
      </w:r>
      <w:r>
        <w:rPr>
          <w:rFonts w:ascii="Amiri" w:hAnsi="Amiri" w:eastAsia="Amiri" w:cs="Amiri"/>
          <w:color w:val="111111"/>
          <w:sz w:val="28"/>
          <w:sz w:val="28"/>
          <w:szCs w:val="28"/>
          <w:rtl w:val="true"/>
          <w:lang w:bidi="ar-SA"/>
        </w:rPr>
        <w:t>، كالصوم في السفر ، والصلاة عند طلوع الشمس حيث إنّه يستحبّ التطوّع بها في كلّ زمان يسعها</w:t>
      </w:r>
      <w:r>
        <w:rPr>
          <w:rFonts w:eastAsia="Amiri" w:cs="Amiri" w:ascii="Amiri" w:hAnsi="Amiri"/>
          <w:color w:val="111111"/>
          <w:sz w:val="28"/>
          <w:szCs w:val="28"/>
          <w:rtl w:val="true"/>
          <w:lang w:bidi="ar-SA"/>
        </w:rPr>
        <w:t xml:space="preserve">. </w:t>
      </w:r>
      <w:bookmarkStart w:id="420" w:name="pg16254_218893"/>
    </w:p>
    <w:p>
      <w:pPr>
        <w:pStyle w:val="BookText"/>
        <w:rPr/>
      </w:pPr>
      <w:bookmarkEnd w:id="420"/>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المنهي عنه أعمّ من وجه من المأمور به مع اتّحادهما في الصدق في الخارج ، كاستعمال الماء المشتبه في الوضوء والصلاة في بيوت الظالمين</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418394_1280447820"/>
      <w:bookmarkStart w:id="422" w:name="_Toc134"/>
      <w:bookmarkEnd w:id="421"/>
      <w:r>
        <w:rPr>
          <w:rtl w:val="true"/>
        </w:rPr>
        <w:t>المقام الأوّل</w:t>
      </w:r>
      <w:bookmarkEnd w:id="422"/>
    </w:p>
    <w:p>
      <w:pPr>
        <w:pStyle w:val="BookText"/>
        <w:rPr/>
      </w:pPr>
      <w:r>
        <w:rPr>
          <w:rFonts w:ascii="Amiri" w:hAnsi="Amiri" w:eastAsia="Amiri" w:cs="Amiri"/>
          <w:color w:val="111111"/>
          <w:sz w:val="28"/>
          <w:sz w:val="28"/>
          <w:szCs w:val="28"/>
          <w:rtl w:val="true"/>
          <w:lang w:bidi="ar-SA"/>
        </w:rPr>
        <w:t>في تحقيق المراد من الكراهة في العبادات التي لها بدل مع كون المأمور به أعمّ من المنهيّ عنه ،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فيه لعلّه موقوف على تمهيد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إطلاق الأمر المتعلّق بطبيعة من الطبائع في موارده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الآمر للمكلّف إيجاد تلك الماهيّة بالإتيان بها في ضمن أيّ فرد كان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الامتثال وسقوط الطلب المتعلّق بتلك الماهيّة بالإتيان بها في ضمن أيّ فرد كان ، وهذا إنّما هو من لوازم الترخيص المستفاد منه كما عرفت ، فجميع أفراد تلك الماهيّة متساوية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الأفراد متساوية فيما يترتّب على تلك الماهيّة من الأجر والثواب ، فإذا فرضنا تعلّق نهي بفرد من أفراد تلك الماهيّة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ذلك النهي ناظرا إلى الترخيص المستفاد من إطلاق الأمر ، فلا محالة يكون ذلك النهي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يستفاد منه عدم وقوع الامتثال عن تلك الماهيّة بالفرد المنهيّ عنه أو لا بل النهي مفاده التحريم فقط ، أو لا يستفاد منه التحريم ، بل هو مسوق لعدم الاكتفاء به في مقام الامتثال ، فليس نفي الترخيص ، بل هو نفي ترخيص وضعي </w:t>
      </w:r>
      <w:r>
        <w:rPr>
          <w:rStyle w:val="FootnoteAnchor"/>
          <w:rtl w:val="true"/>
        </w:rPr>
        <w:footnoteReference w:id="1301"/>
      </w:r>
      <w:r>
        <w:rPr>
          <w:rFonts w:ascii="Amiri" w:hAnsi="Amiri" w:eastAsia="Amiri" w:cs="Amiri"/>
          <w:color w:val="111111"/>
          <w:sz w:val="28"/>
          <w:sz w:val="28"/>
          <w:szCs w:val="28"/>
          <w:rtl w:val="true"/>
          <w:lang w:bidi="ar-SA"/>
        </w:rPr>
        <w:t xml:space="preserve">؟ وجوه يبحث عنها في </w:t>
      </w:r>
    </w:p>
    <w:p>
      <w:pPr>
        <w:pStyle w:val="BookText"/>
        <w:rPr/>
      </w:pPr>
      <w:r>
        <w:rPr>
          <w:rFonts w:ascii="Amiri" w:hAnsi="Amiri" w:eastAsia="Amiri" w:cs="Amiri"/>
          <w:color w:val="111111"/>
          <w:sz w:val="28"/>
          <w:sz w:val="28"/>
          <w:szCs w:val="28"/>
          <w:rtl w:val="true"/>
          <w:lang w:bidi="ar-SA"/>
        </w:rPr>
        <w:t>المسألة الآتية من اقتضاء النهي الفساد ، كما ستعرف الحقّ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ذلك النهي تحريميّا بل هو نهي تنزيهيّ ، فيكون ناظرا إلى عدم استواء تلك الأفراد التي يقع بها الامتثال عن تلك الماهيّة في الأجر والثواب والمترتّب على تلك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الحقّ أنّ النهي التحريمي المتعلّق بفرد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الصلاة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مجرّد المانعيّة ولا يستفاد منه في العرف التكليف ، فيكون الفرد المنهيّ عنه حراما من جهة التشريع ، وليس من المحرّمات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تمهّد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النواهي ليست على حقائقها المصطلح عليها من رجحان الترك ومرجوحيّة الفعل ، بل إنّما هي إرشاد إلى أنّ تلك الأفراد أقلّ ثوابا عن الأفراد الأخر ، وليس خاليا عن معنى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الأجلّة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 الأمر والنهي الإرشاديّين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إليه هو بذل النصح للمطلوب منه وإراءة طريق له إلى اختيار الفرد الكامل في مقام الامتثال ليتوصّل به إلى الفوز بأعلى مراتب الثواب المقرّر لتلك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دفع ما اورد على الجواب المذكور من عدم الانضباط وكراهة العبادات الناقصة الثواب؟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قلّة الثواب منشأ للكراهة ، بل كان ذلك بواسطة وجود مانع عن ترتّب الثواب المقرّر لتلك الماهيّة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لماهيّة الصلاة قدرا معيّنا من الثواب يترتّب على الامتثال بها عند إيجاد أفرادها ، وقد يكون لتلك الماهيّة باعتبار وجود خاصّ لها ثوابا زائدا على ما هو مقرّر للماهيّة في ضمن وجوداتها الآخر ، وقد يكون لها باعتبار </w:t>
      </w:r>
    </w:p>
    <w:p>
      <w:pPr>
        <w:pStyle w:val="BookText"/>
        <w:rPr/>
      </w:pPr>
      <w:r>
        <w:rPr>
          <w:rFonts w:ascii="IRNazanin" w:hAnsi="IRNazanin" w:eastAsia="IRNazanin"/>
          <w:color w:val="111111"/>
          <w:sz w:val="28"/>
          <w:sz w:val="28"/>
          <w:szCs w:val="28"/>
          <w:rtl w:val="true"/>
          <w:lang w:bidi="fa-IR"/>
        </w:rPr>
        <w:t xml:space="preserve">انوجادها </w:t>
      </w:r>
      <w:r>
        <w:rPr>
          <w:rStyle w:val="FootnoteAnchor"/>
          <w:rtl w:val="true"/>
        </w:rPr>
        <w:footnoteReference w:id="1303"/>
      </w:r>
      <w:r>
        <w:rPr>
          <w:rFonts w:ascii="Amiri" w:hAnsi="Amiri" w:eastAsia="Amiri" w:cs="Amiri"/>
          <w:color w:val="111111"/>
          <w:sz w:val="28"/>
          <w:sz w:val="28"/>
          <w:szCs w:val="28"/>
          <w:rtl w:val="true"/>
          <w:lang w:bidi="ar-SA"/>
        </w:rPr>
        <w:t>بوجود مخصوص ثواب أقلّ من الثواب المقرّر للماهيّة ، ولا بدّ أن تكون تلك الزيادة والنقيصة باعتبار انضمام حيثيّة خارجة عن حقيقة العبادة لازمة للوجود الخاصّ الذي به يتحقّق تلك الماهيّة ، فيكون الزيادة بواسطة تلك الحيثيّة ، وكذلك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وجود تلك الماهيّة ملازما لحيثيّة منقّصة أو مرجّحة ، فإيجاد الماهيّة بهذا الوجود يعدّ من الأفراد الغير مكروهة </w:t>
      </w:r>
      <w:r>
        <w:rPr>
          <w:rStyle w:val="FootnoteAnchor"/>
          <w:rtl w:val="true"/>
        </w:rPr>
        <w:footnoteReference w:id="1304"/>
      </w:r>
      <w:r>
        <w:rPr>
          <w:rFonts w:ascii="Amiri" w:hAnsi="Amiri" w:eastAsia="Amiri" w:cs="Amiri"/>
          <w:color w:val="111111"/>
          <w:sz w:val="28"/>
          <w:sz w:val="28"/>
          <w:szCs w:val="28"/>
          <w:rtl w:val="true"/>
          <w:lang w:bidi="ar-SA"/>
        </w:rPr>
        <w:t xml:space="preserve">والمستحبّة ، وإيجادها بالوجود الملازم لتلك الحيثيّة 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كإيجاد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مكروها ناقص الثواب بواسطة وجود المانع ، وإيجادها بالوجود الملازم لحيثيّة مرجّحة يعدّ مستحبّا زائد الثواب بواسطة وجود مقتضي الزيادة مع عدم ما يقتضي النقصان ، فليس كلّ ما هو ناقص الثواب مكروها حتّى يرد النقض بالصلاة في البيت والمسجد بالنسبة إلى الفرد الكامل ، ولا كلّ ما هو زائد الثواب مستحبّا حتّى يرد النقض أيضا بالصلاة في البيت بالنسبة إلى الصلاة في الحمّام ، بل النقصان لو كان بواسطة وجود المانع فهو المكروه ، والنقصان في الصلاة في البيت بواسطة عدم المقتضي لا بواسطة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لو كان منشؤها وجود مقتضي الزيادة كان مستحبّا ، لا فيما إذا كانت الزيادة مستندة إلى عدم المانع ، كما في الصلاة في البيت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يندفع المحذور بحذافيره ، ولا يرد عليه شيء من الإيرادات السابقة ؛ لعدم ابتنائه على المصالح والمفاسد ، ولا يلزم استعمال النهي في الإخبار فإنّ الإرشاد من المعاني المتعارفة ، ولا يلزم عدم الانضباط لوجود المعيار في البين ، وليس الأمر بالكلّي خلاف اللطف كما عرفت فيما تقدّم ، ولا يلزم اجتماع الأمر والنهي في مورد واحد إذ النهي الإرشادي المسوق لبذل النصح وصلاح المسترشد ليس من الطلب </w:t>
      </w:r>
    </w:p>
    <w:p>
      <w:pPr>
        <w:pStyle w:val="BookText"/>
        <w:rPr/>
      </w:pPr>
      <w:r>
        <w:rPr>
          <w:rFonts w:ascii="Amiri" w:hAnsi="Amiri" w:eastAsia="Amiri" w:cs="Amiri"/>
          <w:color w:val="111111"/>
          <w:sz w:val="28"/>
          <w:sz w:val="28"/>
          <w:szCs w:val="28"/>
          <w:rtl w:val="true"/>
          <w:lang w:bidi="ar-SA"/>
        </w:rPr>
        <w:t>الحقيقي المناقض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لا يتأتّى في العبادة التي يعلم بعدم زيادة ثوابها على القدر المترتّب على واجبها ، ولا يعلم بمثلها في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بعضها كذلك لا يجدي ؛ للنقض أوّلا إذ مورد النقض ينبغي أن يكون معلوما كما هو ظاهر ، وهو مدفوع ثانيا بما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العرف قاض بحمل النهي الوارد في مقام توهّم الاستواء على ما ذكرنا من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المحقّق القميّ رحمه‌اللّه على الجواب </w:t>
      </w:r>
      <w:r>
        <w:rPr>
          <w:rStyle w:val="FootnoteAnchor"/>
          <w:rtl w:val="true"/>
        </w:rPr>
        <w:footnoteReference w:id="1305"/>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الترديد بين كون الأقلّ ثوابا مطلوب الفعل أو مطلوب الترك أو مطلوبهما </w:t>
      </w:r>
      <w:r>
        <w:rPr>
          <w:rStyle w:val="FootnoteAnchor"/>
          <w:rtl w:val="true"/>
        </w:rPr>
        <w:footnoteReference w:id="1306"/>
      </w:r>
      <w:r>
        <w:rPr>
          <w:rFonts w:ascii="Amiri" w:hAnsi="Amiri" w:eastAsia="Amiri" w:cs="Amiri"/>
          <w:color w:val="111111"/>
          <w:sz w:val="28"/>
          <w:sz w:val="28"/>
          <w:szCs w:val="28"/>
          <w:rtl w:val="true"/>
          <w:lang w:bidi="ar-SA"/>
        </w:rPr>
        <w:t>، فنختار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بمكروه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منه المعنى المصطلح عليه فهو غير مفيد ، وإن أراد منه المعنى الذي حاولناه فهو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فما ذكرنا في توجيه العبادة المكروهة هو المطابق للنصوص الواردة في مقام كراهة العبادات ، ولكلمات الفقهاء في بيانها أيضا كاستحبابها وإباحتها ، ولم نجد موردا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بالتأمّل في مواردها والتتبّع في مطاويها حتّى يظهر لك صدق المقال وحقيقة الحال ، فتدبّر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ظهر رجوع النهي إلى إحدى المراتب المستفادة من الأمر وعلمنا به فهو ، وإلاّ فعند الشكّ فهل يحكم بالتحريم ويتبعه الفساد على القول بامتناع الاجتماع ، أو بالفساد فقط ، أو بالكراهة بالمعنى المصطلح عليه ، فيحكم بعدم الصحّة على القول بامتناع الاجتماع ، أو بالكراهة بالمعنى المذكور؟ وجوه ، أظهرها الثاني ؛ لأنّ الكراهة بالمعنيين خلاف ظاهر النهي ، والتحريم وإن كان مفاد النهي إلاّ أنّ المستفاد من النهي الوارد بعد توهّم الصحّة المستفادة من الإطلاق هو الفساد ، كما </w:t>
      </w:r>
      <w:bookmarkStart w:id="423" w:name="pg16254_218897"/>
    </w:p>
    <w:p>
      <w:pPr>
        <w:pStyle w:val="BookText"/>
        <w:rPr/>
      </w:pPr>
      <w:bookmarkEnd w:id="423"/>
      <w:r>
        <w:rPr>
          <w:rFonts w:ascii="Amiri" w:hAnsi="Amiri" w:eastAsia="Amiri" w:cs="Amiri"/>
          <w:color w:val="111111"/>
          <w:sz w:val="28"/>
          <w:sz w:val="28"/>
          <w:szCs w:val="28"/>
          <w:rtl w:val="true"/>
          <w:lang w:bidi="ar-SA"/>
        </w:rPr>
        <w:t>يستفاد من الأمر الوارد عقيب الحظر غير معناه الحقيقي ، ولذا لا يحكم بحرمة كثير من المعاملات مع ورود النهي عنها ، وليس إلاّ لتخصيص العمومات الدالّة على ترتّب الأثر عليها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النهي كما يمكن أن يكون ناظرا إلى الصحّة المستفادة كذا يمكن أن يكون ناظرا إلى الجواز المستفاد من الأمر أيضا ،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رفع الجواز يلازم رفع الصحّة على القول بالامتناع ، فيكون نظير دوران الأمر بين الأقلّ والأكثر ، والأصل قاض بعدم التحريم عرفا ، كما يستفاد من الأوامر الواردة في مقام الأجزاء والشرائط الوجوب الغيري اللازم للجزئيّة والشرطيّة مع ظهور الأمر في الوجوب النفسي ، وحيث إنّ ظهور الأمر في الصحّة لعلّه أكثر من ظهوره في تساوي الأفراد ، فلذلك قلنا بأنّ الكراهة بالمعنيين خلاف 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ذلك فيما لو علم بالإجماع ونحوه عدم الفساد ، فإنّ المنساق من النهي حينئذ عدم التساوي في المرتبة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4418396_1280447820"/>
      <w:bookmarkStart w:id="425" w:name="_Toc135"/>
      <w:bookmarkEnd w:id="424"/>
      <w:r>
        <w:rPr>
          <w:rtl w:val="true"/>
        </w:rPr>
        <w:t>المقام الثاني</w:t>
      </w:r>
      <w:bookmarkEnd w:id="425"/>
    </w:p>
    <w:p>
      <w:pPr>
        <w:pStyle w:val="BookText"/>
        <w:rPr/>
      </w:pPr>
      <w:r>
        <w:rPr>
          <w:rFonts w:ascii="Amiri" w:hAnsi="Amiri" w:eastAsia="Amiri" w:cs="Amiri"/>
          <w:color w:val="111111"/>
          <w:sz w:val="28"/>
          <w:sz w:val="28"/>
          <w:szCs w:val="28"/>
          <w:rtl w:val="true"/>
          <w:lang w:bidi="ar-SA"/>
        </w:rPr>
        <w:t xml:space="preserve">في تصوير الكراهة في العبادات التي لا بدل لها من جنسها ، كالصوم في السفر ؛ بناء على عدم تحريمه المستفاد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في هذه العبادات ليس مختصّا بالمانع من اجتماع الأمر والنهي ، بل هو وارد على المجوّز أيضا ، حيث إنّ الكلام منهم إنّما </w:t>
      </w:r>
    </w:p>
    <w:p>
      <w:pPr>
        <w:pStyle w:val="BookText"/>
        <w:rPr/>
      </w:pPr>
      <w:r>
        <w:rPr>
          <w:rFonts w:ascii="Amiri" w:hAnsi="Amiri" w:eastAsia="Amiri" w:cs="Amiri"/>
          <w:color w:val="111111"/>
          <w:sz w:val="28"/>
          <w:sz w:val="28"/>
          <w:szCs w:val="28"/>
          <w:rtl w:val="true"/>
          <w:lang w:bidi="ar-SA"/>
        </w:rPr>
        <w:t>هو في الوجوب التخييري العقلي مع عدم انحصار الفرد الواجب في المحرّم ، ومثله المستحبّ والمكروه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بدّ أن يكون للمكلّف مندوحة في الامتثال ، على ما هو المصرّح به في كلامهم في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الشهيد السعيد في المسالك ، من أنّ المراد من كراهة الصوم في السفر أنّه أقل ثوابا من الصوم في الحضر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النهي ولو على وجه الإرشاد ، بل يمكن القول بعدم تعقّل الإرشاد فيه ، حيث إنّه لا إرشاد إلى النهي عن الصوم في السفر والأخذ به في الحضر ، لاحتمال عدم الاقتدار عليه ، فهي منفعة عاجلة لا تترك لاحتمال ما هو أنفع منها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اختصاص النهي بحالة الاقتدار عليه مدفوعة ؛ لمخالفتها للنصّ والفتوى معا ، حيث إنّ ظاهرهما النهي على وجه الإطلاق ولو مع العجز عن تحصيله في الحضر ، ولذا التزم في محكيّ الروض باستعمال النهي في مجرّد قلّة الثواب </w:t>
      </w:r>
      <w:r>
        <w:rPr>
          <w:rStyle w:val="FootnoteAnchor"/>
          <w:rtl w:val="true"/>
        </w:rPr>
        <w:footnoteReference w:id="1309"/>
      </w:r>
      <w:r>
        <w:rPr>
          <w:rFonts w:ascii="Amiri" w:hAnsi="Amiri" w:eastAsia="Amiri" w:cs="Amiri"/>
          <w:color w:val="111111"/>
          <w:sz w:val="28"/>
          <w:sz w:val="28"/>
          <w:szCs w:val="28"/>
          <w:rtl w:val="true"/>
          <w:lang w:bidi="ar-SA"/>
        </w:rPr>
        <w:t xml:space="preserve">، فإنّه حكم بكراهة الوضوء بالماء المسخّن بالشمس عند الانحصار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علّة الكراهة موجودة في حال الانحصار ، فإنّ ذلك ينافي الإرشاد جدّا ، كما هو ظاهر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النصوص خلاف ذلك ، سيّما ما اشتمل منها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أن أصومه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عليه‌السلام </w:t>
      </w:r>
    </w:p>
    <w:p>
      <w:pPr>
        <w:pStyle w:val="BookText"/>
        <w:rPr/>
      </w:pPr>
      <w:r>
        <w:rPr>
          <w:rFonts w:ascii="Amiri" w:hAnsi="Amiri" w:eastAsia="Amiri" w:cs="Amiri"/>
          <w:color w:val="111111"/>
          <w:sz w:val="28"/>
          <w:sz w:val="28"/>
          <w:szCs w:val="28"/>
          <w:rtl w:val="true"/>
          <w:lang w:bidi="ar-SA"/>
        </w:rPr>
        <w:t xml:space="preserve">يوم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يكون يوم عرفه يوم النحر وليس بيوم صوم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وقول أبي الحسن عليه‌السلام بعد السؤال عنه عن اليومين اللذين بعد الفطر أيصامان؟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لك أن تصومهما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فإنّ التأويل المذكور في مثل هذه الأخبار ربما </w:t>
      </w:r>
      <w:r>
        <w:rPr>
          <w:rStyle w:val="FootnoteAnchor"/>
          <w:rtl w:val="true"/>
        </w:rPr>
        <w:footnoteReference w:id="1312"/>
      </w:r>
      <w:r>
        <w:rPr>
          <w:rFonts w:ascii="Amiri" w:hAnsi="Amiri" w:eastAsia="Amiri" w:cs="Amiri"/>
          <w:color w:val="111111"/>
          <w:sz w:val="28"/>
          <w:sz w:val="28"/>
          <w:szCs w:val="28"/>
          <w:rtl w:val="true"/>
          <w:lang w:bidi="ar-SA"/>
        </w:rPr>
        <w:t xml:space="preserve">يقطع بفساده ، سيّما بعد ملاحظة تسمية الصائم في السفر عاصيا ، كما في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الصيام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في السفر ، قد صام اناس على عهد رسول اللّه صلى‌اللّه‌عليه‌وآله فسمّاهم العصاة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في الغاية بعد ملاحظة قول أبي الحسن عليه‌السلام في جواب من سأله عن الصيام بمكّة ومدينة من دون قيام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فإنّه ربّما يقطع بفساد التوجيه المذكور فيه ، مضافا إلى ما عرفت من عدم استقامة إرادة ذلك من النهي من دون طلب</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المحقّق القمّي رحمه‌اللّه ، فإنّه وإن لم يمنع من الاجتماع ، إلاّ أنّ الإشكال فيما نحن فيه وارد عليه أيضا كما عرفت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لا بدل 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إمّا مباحة أو مكروهة على ما هو المصطلح عليه ، فيكون تركه راجحا على فعله ، بل الثاني هو المتعيّن هنا لئلاّ يخلو النهي عن الفائدة فيغلب المرجوحيّة الحاصلة بسبب الخصوصيّة على الرجحان الحاصل لأصل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بترك الأئمة عليهم‌السلام لها ونهيهم عنها ، فإنّ ذلك خلاف اللطف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 لزوم الرجحان في العبادة ، وحصول القرب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لم يقم دليل على لزوم الرجحان في جميع خصوصيّات العبادة ، بل يكفي في ذلك ثبوته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قصد التقرّب حاصل بالنسبة إلى الماهيّة وإن لم يحصل القرب في الخصوصيّة ، ولا ملازمة بين القصد إليه وحصوله ، وإلاّ لما صحّ أكثر عباداتنا ؛ مضافا إلى أنّ قصد التقرّب قد يراد به موافقة الأمر وهو حاصل ، فلعلّ صورة العبادة تكفي في صحّة قصد التقرّب ما لم يثبت لها مبطل من الخارج ، وإن لم يكن ممّا لم يحصل له ثواب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وجّه قصد القربة في الحاشية </w:t>
      </w:r>
      <w:r>
        <w:rPr>
          <w:rStyle w:val="FootnoteAnchor"/>
          <w:rtl w:val="true"/>
        </w:rPr>
        <w:footnoteReference w:id="1316"/>
      </w:r>
      <w:r>
        <w:rPr>
          <w:rFonts w:ascii="Amiri" w:hAnsi="Amiri" w:eastAsia="Amiri" w:cs="Amiri"/>
          <w:color w:val="111111"/>
          <w:sz w:val="28"/>
          <w:sz w:val="28"/>
          <w:szCs w:val="28"/>
          <w:rtl w:val="true"/>
          <w:lang w:bidi="ar-SA"/>
        </w:rPr>
        <w:t xml:space="preserve">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من حيث كونه متعبّدا وداخلا في زيّ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بالحرام والواجب ، فكما أنّه لا مانع على ما زعمه من اجتماع الكراهة والوجوب وكفاية الرجحان في الماهيّة وعدم الحاجة إلى الرجحان في الخصوصيّة ، فكذلك لا مانع من ذلك في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استند في ذلك إلى عدم إمكان الامتثال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الامتثال في المكروه أيضا ، وإن استند إلى عدم التضادّ بين الوجوب والكراهة بخلافه في الإلزاميّين فهو ممّا لا يسعه عقولنا ، ضرورة وجود التناقض وفهمه عقلا وعرفا بين الأمر بماهيّة على وجه الإطلاق والنهي عن فرد خاصّ من تلك الماهيّة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الاستناد إلى أنّ الماهيّة تغاير إيقاعها في زمان خاصّ أو مكان مخصوص فيحتمل اختلافهما في الحكم ، فقد عرفت أنّه كلام ظاهريّ خال عن </w:t>
      </w:r>
    </w:p>
    <w:p>
      <w:pPr>
        <w:pStyle w:val="BookText"/>
        <w:rPr/>
      </w:pPr>
      <w:r>
        <w:rPr>
          <w:rFonts w:ascii="Amiri" w:hAnsi="Amiri" w:eastAsia="Amiri" w:cs="Amiri"/>
          <w:color w:val="111111"/>
          <w:sz w:val="28"/>
          <w:sz w:val="28"/>
          <w:szCs w:val="28"/>
          <w:rtl w:val="true"/>
          <w:lang w:bidi="ar-SA"/>
        </w:rPr>
        <w:t>التحصيل ، فإنّ الإيقاع ليس أمرا مغايرا لوجود تلك الماهيّة وإيجادها في الخارج ، غاية الأمر أنّه وأمثاله منتزع من الماهيّة باعتبارات عقليّة صرفة لا يناط بها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فسادا من ذلك ما زعمه بعض الأجلّة في توجيه مرام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المكروهة لها اعتباران وجهتان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الأجزاء ومن حيث الجملة ، فمن الاولى تشمل على جهتي الرجحان والمرجوحيّة وإن كان الرجحان مغلوبا ، ومن الثانية لا تكون إلاّ مرجوحة ، ويكفي في اتّصاف الشيء بالعبادة وجود جهة الرجحان وإن كانت مغلوبة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فساده غير خفي على أحد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يعقل معنى لكون الفعل عبادة وعدم حصول التقرّب به على تقدير الإتيان بها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مباحث المقدّمة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الإتيان بالمأمور به بداعي الأمر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موافقة الأمر ذلك فهو سديد ، لكنّه غير مفيد له ، فإن الإشكال في وجود الأمر في المقام مع وجود المرجوحيّة المناقضة لما هو لازم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إيجاد عمل مشارك للعبادة في الصورة كما ربما يومئ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أظهر فسادا من أن يحتاج إلى بيان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أخيرا ، فإن أراد أنّ الدخول في زيّ المتعبّدين إنّما هو بواسطة نفس العمل ، فالكلام إنّما هو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أنّه بواسطة الانقياد والبناء </w:t>
      </w:r>
    </w:p>
    <w:p>
      <w:pPr>
        <w:pStyle w:val="BookText"/>
        <w:rPr/>
      </w:pPr>
      <w:r>
        <w:rPr>
          <w:rFonts w:ascii="Amiri" w:hAnsi="Amiri" w:eastAsia="Amiri" w:cs="Amiri"/>
          <w:color w:val="111111"/>
          <w:sz w:val="28"/>
          <w:sz w:val="28"/>
          <w:szCs w:val="28"/>
          <w:rtl w:val="true"/>
          <w:lang w:bidi="ar-SA"/>
        </w:rPr>
        <w:t>على التعبّد ونحوه يدخل في زيّ المتعبّدين ، فهو فاسد أيضا ، فإنّ ما ينقاد به لا بدّ وأن يكون راجحا ولو من جهة ، والمفروض انتفاء الرجحان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يلتزم فيها بعد الأمر المفيد للتكليف ، نظرا إلى امتناع الامتثال لعدم المندوحة ، إذ لا فرق في اشتراط التكليف بإمكان الامتثال بين الإلزامي وغيره ، إلاّ أنّه مع ذلك حكم بالصحّة من حيث استفادة حكم وضعيّ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ونحو ذلك ، فيكون تلك العبادات صحيحة بواسطة مطابقتها للحكم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أيضا ظاهر بعد كونه أخصّ ، فإنّ وجود هذه الآثار فيها بعد وقوعها مطابقة لأوامرها ، والكلام بعد في تصحيح الأمر بها مع المرجوحيّة المفروض فيها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حاسما لمادة الإشكال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ضير في أن يكون طرفا النقيض من شيء واحد ولو من حيث اندراجهما تحت عنوان آخر ذي مصلحة مقتضية للأمر بهما ، كفعل الأكل المندرج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المندرج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لا يسعنا الجمع بين المتناقضين فلا محالة يصير التكليف بهما تكليفا على وجه التخيير بين الفعل بعنوانه والترك بعنوانه ، ولا يلزم من ذلك إباحة الفعل ، فإنّه إنّما يتأتّى فيما لو فرض تساوي الفعل والترك مع قطع النظر عن لحوق عنوان آخر بهما ، والمفروض فيما نحن بصدده هو لحوق عنوان آخر بهما ، فالترك المطلق من غير لحوق عنوان به من الصوم والإجابة ممّا لا حسن فيه ولا يقتضي أمرا ولا نهيا ، وتقييده بمخالفة المؤمن يوجب النهي عنه فيصير الفعل مأمورا به ، وتقييده بالصوم يوجب الأمر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غائلة ؛ فإنّ الترك إمّا أن يكون وقوعه من المكلّف في الخارج من غير التفات إلى القيدين فلا يكون موردا لحكم من الأحكام الشرعيّة ، وإن وقع منه من حيث إنّه صوم يكون مأمورا به فقط ، وإن وقع منه بعد لحوق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إجابته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مكروه منهيّ عنه بواسطة حسن الإجابة وكراهة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يشبه الحكم بالوجوب التخييري ولو بحكم العقل في إنقاذ الغريقين اللذين لا يقدر المكلّف على الجمع بينهما ، فإنّه مخيّر بين فعل كلّ واحد منهما وتركه ، لا من حيث إنّ الترك ملحوظ بالقياس إلى الفعل ، بل من حيث إنّ ترك أحدهما مجامع لعنوان الإنقاذ في الآخر ؛ وإن كان بينهما فرق من حيث إنّ فعل الإنقاذ في أحدهما ليس نفس عدم الإنقاذ في الآخر ، فإنّ وجود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عين عدم الآخر ، وأمّا فيما نحن فيه فترك الصوم وفعل الأكل هو عين عنوان الإجابة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ضير في اتّصاف طرفي النقيض بالمطلوبيّة باعتبار احتفاف عنوان بهما ، ولا محالة يكون تعلّق الطلب بهما على وجه التخيير لامتناع طلب المتناقضين عينا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تمهّد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ملاحظة النواهي الواردة في العبادات المكروهة التي لا بدل لها أنّها مكروهة بواسطة احتفافها بعنوان آخر ، كما يظهر بالتصفّح في مطاويها ، فإنّهم يحكمون بكراهة صوم الولد والزوجة مع نهي الوالد والزوج عنه ، وكراهة صوم العاشوراء ، وكراهة صوم المدعوّ إلى الطعام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 إنّما هو بواسطة أنّ هذا الصيام قد احتفّ بعناوين مطلوبة الترك على وجه التنزيه ، كمخالفة الوالد والزوج والتشبّه ببني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والنيران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إجابة المؤمن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يرشد إلى ذلك فيما مرّ في بعض الروايات من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أتخوّف أن يكون يوم عرفة يوم النحر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فإنّه قد احتفّت </w:t>
      </w:r>
      <w:r>
        <w:rPr>
          <w:rStyle w:val="FootnoteAnchor"/>
          <w:rtl w:val="true"/>
        </w:rPr>
        <w:footnoteReference w:id="1324"/>
      </w:r>
      <w:r>
        <w:rPr>
          <w:rFonts w:ascii="Amiri" w:hAnsi="Amiri" w:eastAsia="Amiri" w:cs="Amiri"/>
          <w:color w:val="111111"/>
          <w:sz w:val="28"/>
          <w:sz w:val="28"/>
          <w:szCs w:val="28"/>
          <w:rtl w:val="true"/>
          <w:lang w:bidi="ar-SA"/>
        </w:rPr>
        <w:t>به 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هشام بن الحكم عن الصادق عليه‌السلام قال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الضيف أن لا يصوم تطوّعا إلاّ بإذن صاحبه ، ومن طاعة المرأة لزوجها أن لا تصوم تطوّعا إلاّ بإذن زوجها ، ومن صلاح العبد وطاعته ونصحه لمولاه أن لا يصوم تطوّعا إلاّ بإذن مولاه وأمره ، ومن برّ الولد أن لا يصوم تطوّعا إلاّ بإذن أبويه وأمرهما ، وإلاّ كان الضيف جاهلا وكانت المرأة عاصية والعبد فاسقا والولد عاقّا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بناء على حملها على الكراهة دون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فضل بن يسار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الرجل بلدة فهو ضيف ، ولا ينبغي للضيف أن يصوم إلاّ بإذنهم ، لئلاّ يعملوا له الشيء فيفسد عليهم ، ولا ينبغي لهم أن يصوموا إلاّ بإذن الضيف لئلاّ يحشمهم فيشتهي الطعام فيتركه لهم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وظاهرها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كراهة هذا الصيام ملازمة هذه العناوين المكروهة لها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يتمّ فيما لا يكون هناك عنوان مكروه ملازم للعبادة </w:t>
      </w:r>
    </w:p>
    <w:p>
      <w:pPr>
        <w:pStyle w:val="BookText"/>
        <w:rPr/>
      </w:pPr>
      <w:r>
        <w:rPr>
          <w:rFonts w:ascii="IRNazanin" w:hAnsi="IRNazanin" w:eastAsia="IRNazanin"/>
          <w:color w:val="111111"/>
          <w:sz w:val="28"/>
          <w:sz w:val="28"/>
          <w:szCs w:val="28"/>
          <w:rtl w:val="true"/>
          <w:lang w:bidi="fa-IR"/>
        </w:rPr>
        <w:t xml:space="preserve">لمطلق </w:t>
      </w:r>
      <w:r>
        <w:rPr>
          <w:rStyle w:val="FootnoteAnchor"/>
          <w:rtl w:val="true"/>
        </w:rPr>
        <w:footnoteReference w:id="1327"/>
      </w:r>
      <w:r>
        <w:rPr>
          <w:rFonts w:ascii="Amiri" w:hAnsi="Amiri" w:eastAsia="Amiri" w:cs="Amiri"/>
          <w:color w:val="111111"/>
          <w:sz w:val="28"/>
          <w:sz w:val="28"/>
          <w:szCs w:val="28"/>
          <w:rtl w:val="true"/>
          <w:lang w:bidi="ar-SA"/>
        </w:rPr>
        <w:t>الصوم في السفر والصلاة في الأوقات المكروهة ونحوها ، فإنّ ظاهر النهي المتعلّق بها مطلوبيّة الترك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إمكان انتزاع عنوان مكروه كالتشبيه </w:t>
      </w:r>
      <w:r>
        <w:rPr>
          <w:rStyle w:val="FootnoteAnchor"/>
          <w:rtl w:val="true"/>
        </w:rPr>
        <w:footnoteReference w:id="1328"/>
      </w:r>
      <w:r>
        <w:rPr>
          <w:rFonts w:ascii="Amiri" w:hAnsi="Amiri" w:eastAsia="Amiri" w:cs="Amiri"/>
          <w:color w:val="111111"/>
          <w:sz w:val="28"/>
          <w:sz w:val="28"/>
          <w:szCs w:val="28"/>
          <w:rtl w:val="true"/>
          <w:lang w:bidi="ar-SA"/>
        </w:rPr>
        <w:t xml:space="preserve">بعبدة الشمس للصلاة وقت الطلوع مثلا ونحوه في جميع الموارد كما لا يخفى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العقل قاض بوجود عنوان مكروه ملازم لهذه العبادات بعد ملاحظة الامتناع ، فلا حاجة إلى معرفته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 لا حاجة إلى الأمر بالفعل المذكور والنهي عنه ، إذ المكلّف إمّا أن يفعل ذلك أو لا يفعل ، وعلى التقديرين فيفوز بالمصلحة المودعة في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الأمر والنهي هو أن يكون الفعل والترك بداعي الأمر والنهي لحصول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المفيد في المقام هو القربة كما زعمه بعض الأجلّة </w:t>
      </w:r>
      <w:r>
        <w:rPr>
          <w:rStyle w:val="FootnoteAnchor"/>
          <w:rtl w:val="true"/>
        </w:rPr>
        <w:footnoteReference w:id="1329"/>
      </w:r>
      <w:r>
        <w:rPr>
          <w:rFonts w:ascii="Amiri" w:hAnsi="Amiri" w:eastAsia="Amiri" w:cs="Amiri"/>
          <w:color w:val="111111"/>
          <w:sz w:val="28"/>
          <w:sz w:val="28"/>
          <w:szCs w:val="28"/>
          <w:rtl w:val="true"/>
          <w:lang w:bidi="ar-SA"/>
        </w:rPr>
        <w:t>، بل المفيد هو العنوان الخارج الملازم ، والقربة إنّما هي 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العنوان الملازم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الأب وترك الإجابة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ما ذكر من أنّ الوجه في الأمر والنهي وجودهما بداعي الأمر ، وأمّا إذا لم يكن مأمورا به بل ولا معلوما فكيف يحصل معه الامتثال؟</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النهي كاشف ، ولا حاجة إلى العلم بالعنوان تفصيلا ، فيكفي ترك العبادة من حيث اقترانها بعنوان محبوب واقعا وإن لم يعلم به تفصيلا ، لا غائلة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يرد على الجواب المذكور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ما ذكرنا هو تساوي الصوم وتركه ، لكونهما مندوبين تخييرا ، مع أنّ النصوص والفتاوى كادت أن تكون صريحة في ترجيح الترك على الصوم ، فما أوردنا على الشهيد رحمه‌اللّه </w:t>
      </w:r>
      <w:r>
        <w:rPr>
          <w:rStyle w:val="FootnoteAnchor"/>
          <w:rtl w:val="true"/>
        </w:rPr>
        <w:footnoteReference w:id="1330"/>
      </w:r>
      <w:r>
        <w:rPr>
          <w:rFonts w:ascii="Amiri" w:hAnsi="Amiri" w:eastAsia="Amiri" w:cs="Amiri"/>
          <w:color w:val="111111"/>
          <w:sz w:val="28"/>
          <w:sz w:val="28"/>
          <w:szCs w:val="28"/>
          <w:rtl w:val="true"/>
          <w:lang w:bidi="ar-SA"/>
        </w:rPr>
        <w:t>وارد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من أنّ النصّ والفتوى قاضية </w:t>
      </w:r>
      <w:r>
        <w:rPr>
          <w:rStyle w:val="FootnoteAnchor"/>
          <w:rtl w:val="true"/>
        </w:rPr>
        <w:footnoteReference w:id="1331"/>
      </w:r>
      <w:r>
        <w:rPr>
          <w:rFonts w:ascii="Amiri" w:hAnsi="Amiri" w:eastAsia="Amiri" w:cs="Amiri"/>
          <w:color w:val="111111"/>
          <w:sz w:val="28"/>
          <w:sz w:val="28"/>
          <w:szCs w:val="28"/>
          <w:rtl w:val="true"/>
          <w:lang w:bidi="ar-SA"/>
        </w:rPr>
        <w:t>بعدم الرجحان في الصوم فهو ممّا لا سبيل إلى إثباته ، بل المعلوم خلافه ، ضرورة كونها عبادة ولا يتحقّق بدون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أرجحيّة تركه على فعله مع ثبوت الرجحان في الفعل أيضا فلا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استكشاف الأفضليّة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الواردة في مقام الكراهة ، فإنّ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إفطارك لأخيك المؤمن أفضل من صيامك تطوّعا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المرجوحيّة ، كما ربما يساعده العرف والاعتبار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الأفضليّة فعل من يكون الواقع حكاية عن فعله ، وهم أئمّتنا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فيكون النهي في هذه المقامات أيضا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 حيث إنّه مختصّ بمورد الأمر كما هو المفروض ، فلا ينافي كون النهي عن ذلك العنوان في غير مورد الأمر حقيقيّا لا إرشاديّا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هذا الإرشاد ربما يقال بتحقّقه في جميع العبادات المستحبّة مع أفضليّة أحدهما عن الآخر</w:t>
      </w:r>
      <w:r>
        <w:rPr>
          <w:rFonts w:eastAsia="Amiri" w:cs="Amiri" w:ascii="Amiri" w:hAnsi="Amiri"/>
          <w:color w:val="111111"/>
          <w:sz w:val="28"/>
          <w:szCs w:val="28"/>
          <w:rtl w:val="true"/>
          <w:lang w:bidi="ar-SA"/>
        </w:rPr>
        <w:t xml:space="preserve">. </w:t>
      </w:r>
      <w:bookmarkStart w:id="426" w:name="pg16254_218907"/>
    </w:p>
    <w:p>
      <w:pPr>
        <w:pStyle w:val="BookText"/>
        <w:rPr/>
      </w:pPr>
      <w:bookmarkEnd w:id="426"/>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فيما إذا كان مثل المقام ، كأن كان عنوان الأفضل في الخارج عين غير الأفضل كالإفطار مع الصوم ، بل وفيما إذا كان أحدهما مقارنا للآخر كالإنقاذ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تراهم يحكمون بكراهة صوم المدعوّ إلى الطعام ، مع أنّ الرواية الواردة فيه هي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إفطارك لأخيك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مناقشة سيّد المدارك </w:t>
      </w:r>
      <w:r>
        <w:rPr>
          <w:rStyle w:val="FootnoteAnchor"/>
          <w:rtl w:val="true"/>
        </w:rPr>
        <w:footnoteReference w:id="1333"/>
      </w:r>
      <w:r>
        <w:rPr>
          <w:rFonts w:ascii="Amiri" w:hAnsi="Amiri" w:eastAsia="Amiri" w:cs="Amiri"/>
          <w:color w:val="111111"/>
          <w:sz w:val="28"/>
          <w:sz w:val="28"/>
          <w:szCs w:val="28"/>
          <w:rtl w:val="true"/>
          <w:lang w:bidi="ar-SA"/>
        </w:rPr>
        <w:t xml:space="preserve">على من حكم بالكراهة </w:t>
      </w:r>
      <w:r>
        <w:rPr>
          <w:rStyle w:val="FootnoteAnchor"/>
          <w:rtl w:val="true"/>
        </w:rPr>
        <w:footnoteReference w:id="1334"/>
      </w:r>
      <w:r>
        <w:rPr>
          <w:rFonts w:ascii="Amiri" w:hAnsi="Amiri" w:eastAsia="Amiri" w:cs="Amiri"/>
          <w:color w:val="111111"/>
          <w:sz w:val="28"/>
          <w:sz w:val="28"/>
          <w:szCs w:val="28"/>
          <w:rtl w:val="true"/>
          <w:lang w:bidi="ar-SA"/>
        </w:rPr>
        <w:t>بواسطة الرواية المذكورة ، فإنّ الرواية تدلّ على الأفضليّة دون كراهة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توجيه المقام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418398_1280447820"/>
      <w:bookmarkStart w:id="428" w:name="_Toc136"/>
      <w:bookmarkEnd w:id="427"/>
      <w:r>
        <w:rPr>
          <w:rtl w:val="true"/>
        </w:rPr>
        <w:t>المقام الثالث</w:t>
      </w:r>
      <w:bookmarkEnd w:id="428"/>
    </w:p>
    <w:p>
      <w:pPr>
        <w:pStyle w:val="BookText"/>
        <w:rPr/>
      </w:pPr>
      <w:r>
        <w:rPr>
          <w:rFonts w:ascii="Amiri" w:hAnsi="Amiri" w:eastAsia="Amiri" w:cs="Amiri"/>
          <w:color w:val="111111"/>
          <w:sz w:val="28"/>
          <w:sz w:val="28"/>
          <w:szCs w:val="28"/>
          <w:rtl w:val="true"/>
          <w:lang w:bidi="ar-SA"/>
        </w:rPr>
        <w:t>في تصوير الكراهة في العبادات التي بين عنوان المأمور به والمنهيّ عنه عموم من وجه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فأوجه الوجوه في توجيهه هو الوجه المذكور فيما لا بدل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مخيّر بين الصلاة وتركها في بيوت الظلام ، لا من حيث إنّ تركها ترك لها ، بل من حيث إنّ ذلك الترك محفوف بعنوان التصرّف في ملك مشتبه غير معلوم الحال من الإباحة والغصبية ، والأفضليّة إنّما تستفاد من الوجوه المذكورة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الحمل على الأقلّ ثوابا ؛ لما عرفت من لزوم استعمال اللفظ في أكثر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التخيير شرعيّا ليكون النهي مستعملا في أكثر من معنى ، بل هو بحكم </w:t>
      </w:r>
    </w:p>
    <w:p>
      <w:pPr>
        <w:pStyle w:val="BookText"/>
        <w:rPr/>
      </w:pPr>
      <w:r>
        <w:rPr>
          <w:rFonts w:ascii="Amiri" w:hAnsi="Amiri" w:eastAsia="Amiri" w:cs="Amiri"/>
          <w:color w:val="111111"/>
          <w:sz w:val="28"/>
          <w:sz w:val="28"/>
          <w:szCs w:val="28"/>
          <w:rtl w:val="true"/>
          <w:lang w:bidi="ar-SA"/>
        </w:rPr>
        <w:t xml:space="preserve">العقل كالتخيير بين الإنقاذين ، وما ذكرنا </w:t>
      </w:r>
      <w:r>
        <w:rPr>
          <w:rStyle w:val="FootnoteAnchor"/>
          <w:rtl w:val="true"/>
        </w:rPr>
        <w:footnoteReference w:id="1335"/>
      </w:r>
      <w:r>
        <w:rPr>
          <w:rFonts w:ascii="Amiri" w:hAnsi="Amiri" w:eastAsia="Amiri" w:cs="Amiri"/>
          <w:color w:val="111111"/>
          <w:sz w:val="28"/>
          <w:sz w:val="28"/>
          <w:szCs w:val="28"/>
          <w:rtl w:val="true"/>
          <w:lang w:bidi="ar-SA"/>
        </w:rPr>
        <w:t>هو غاية توجيه أمثال المقام ، وإلاّ فالعالم بالسرائر مطّلع على حقائق الامور والوقائع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توجيه اجتماع المكروه مع الواجب أو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اجتماع المستحبّ مع الواجب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امتناع اجتماع الاستحباب العيني مع الوجوب العيني ، بمعنى أن يكون الشيء بعينه مطلوب الفعل تارة على وجه الحتم واخرى مطلوبة لا على وجه الحتم على وجه يكون الطلبان قائمين بنفس الطالب ، والمطلوبيّة على الوجهين قائمة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واستحالة ذلك ممّا لا ينبغي أن يكون موردا للتأمّل ؛ فإنّ قيام الطلبين مع قطع النظر عن الخصوصيّة المائزة للوجوب والاستحباب بنفس الطالب يوجب اجتماع المثلين ، فإنّ حقيقة الطلب على القول باتّحاده مع الإرادة المفسّرة باعتقاد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الطوسي في التجريد وغيره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العلم ، ويكون اختلاف الوجوب والاستحباب حينئذ باختلاف المراد ، فإنّ الإرادة حينئذ حقيقة واحدة ولا يكون اختلافها إلاّ باختلاف الأفراد ، فوجود فردين منها في فعل واحد يوجب اتّصاف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بفردين من كيفيّة واحدة ، وهي الإرادة ؛ مضافا إلى لزوم المحذور المذكور أيضا في الفعل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المتّصف بالمطلوبيّة هو الماهيّة الذهنيّة ، لامتناع اتّصاف الماهيّة الخارجيّة بالمطلوبيّة ، لكونها موجودة ولا يعقل طلب الحاصل ، والماهيّة الذهنيّة تختلف باعتبار الملاحظات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اختلاف الملاحظة اختلاف وجوه الماهيّة وعناوينها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الماهيّة المطلوبة وجوبا في الذهن مغايرة للماهيّة المطلوبة استحبابا مع تلازمهما في الخارج ، لئلاّ يخرج الكلام عمّا فرضناه من اجتماع الوجوب العيني والاستحباب العيني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سديد ، إلاّ أنّ هناك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الطلب ويكون متصوّرا للطالب ، وهو فيما نحن بصدده العنوانان المختلفان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يسقط ذلك الطلب المتعلّق بالماهيّة ، فإنّه أيضا لا بدّ وأن يكون منشأ لانتزاع وصف المطلوبيّة ، وإلاّ لما يعقل وجه لسقوط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ما به يسقط الطلب لا بدّ وأن يكون من الموجودات الخارجيّة التي ينتزع منها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الفعل في الذهن إنّما يجدي في عدم لزوم اجتماع المثلين في الماهيّة المتصوّرة للطالب ، وأمّا ما يسقط الطلب الذي هو ينتزع منه المطلوبيّة فلا اختلاف فيه ، ويلزم فيه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Style w:val="FootnoteAnchor"/>
          <w:rtl w:val="true"/>
        </w:rPr>
        <w:footnoteReference w:id="1337"/>
      </w:r>
      <w:r>
        <w:rPr>
          <w:rFonts w:ascii="Amiri" w:hAnsi="Amiri" w:eastAsia="Amiri" w:cs="Amiri"/>
          <w:color w:val="111111"/>
          <w:sz w:val="28"/>
          <w:sz w:val="28"/>
          <w:szCs w:val="28"/>
          <w:rtl w:val="true"/>
          <w:lang w:bidi="ar-SA"/>
        </w:rPr>
        <w:t xml:space="preserve">يظهر أنّ ذلك كاف في إبطال الاجتماع وإن لم يلاحظ حال الطالب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نعقل كيفيّة الطلب الصادر من اللّه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باختلاف الملاحظة أنّ ماهيّة واحدة من دون اختلاف وجوهها تارة يعقل ويتعلّق بها الطلب الوجوبي وتارة اخرى يتصوّر ويتعلّق بها الندبي ولا إشكال في اختلاف الملاحظتين ، فهو فاسد جدّا ، إذ اختلاف الملاحظتين مرجعه إلى تغاير التصوّرين ، والطلب إنّما يحتاج إلى اختلاف المتصوّرين ، وتعدّد التصوّر لا يجدي في تعدّد المتصوّر ، وهو ظاهر</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بمغايرة الإرادة والعلم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الإرادة كيفيّة اخرى </w:t>
      </w:r>
    </w:p>
    <w:p>
      <w:pPr>
        <w:pStyle w:val="BookText"/>
        <w:rPr/>
      </w:pPr>
      <w:r>
        <w:rPr>
          <w:rFonts w:ascii="Amiri" w:hAnsi="Amiri" w:eastAsia="Amiri" w:cs="Amiri"/>
          <w:color w:val="111111"/>
          <w:sz w:val="28"/>
          <w:sz w:val="28"/>
          <w:szCs w:val="28"/>
          <w:rtl w:val="true"/>
          <w:lang w:bidi="ar-SA"/>
        </w:rPr>
        <w:t xml:space="preserve">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 لازم أيضا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لازم على القول بتغاير الإرادة والطلب أيضا ، فإنّ ما ذكرنا </w:t>
      </w:r>
      <w:r>
        <w:rPr>
          <w:rStyle w:val="FootnoteAnchor"/>
          <w:rtl w:val="true"/>
        </w:rPr>
        <w:footnoteReference w:id="1339"/>
      </w:r>
      <w:r>
        <w:rPr>
          <w:rFonts w:ascii="Amiri" w:hAnsi="Amiri" w:eastAsia="Amiri" w:cs="Amiri"/>
          <w:color w:val="111111"/>
          <w:sz w:val="28"/>
          <w:sz w:val="28"/>
          <w:szCs w:val="28"/>
          <w:rtl w:val="true"/>
          <w:lang w:bidi="ar-SA"/>
        </w:rPr>
        <w:t>لا يختلف باختلاف المذاهب في ذلك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شيء ينبغي أن يعلم ، وهو أنّ الظاهر أنّ اختلاف الطلب الوجوبي مع الاستحبابي عند عدم رجوع الطلب إلى الإرادة وعدم رجوعها إلى العلم يكون من قبيل اختلاف العلم والظنّ ، حيث إنّ اختلافهما ليس بواسطة المعلوم والمظنون ، بل باختلاف نفس العلم والظنّ كما هو ظاهر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الخصوصيّة المائزة للاستحباب عن الوجوب ، وأمّا بملاحظتها فيلزم من اجتماع الطلب الوجوبي مع الندبي في فعل واحد 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قيل بتعلّق الأحكام للطبائع أو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 ضرورة أنّ الأحكام الخمسة بأسرها متضادّة ، وإلاّ لم يفترق أحدها عن الآخر ، كما هو المقرّر في محلّه من أنّ الفصول اللاحقة للجنس لا بدّ وأن تكون متضادّة حتّى يحصل بلحوق بعضها إليه نوع محصّل ممتاز عن سائر الأنواع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من اتّحاد منشأ انتزاع الطلبين فيما يسقط منه الطلب فالملازمة ظاهرة لا حاجة إلى بيانها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توجيه موارد اجتماع الوجوب العيني والاستحباب العيني ، مثل الوضوء الواجب لغاية واجبة والمندوب لغاية مندوبة ، أو مع قطع النظر عن الغاية أيضا لاستحبابه في نفسه؟ إذ لا فرق فيما ذكر بين أن يكون الوجوب والندب نفسيّين أو غيريّين أو مختلفين ، لاتّحاد المناط في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استوفينا الكلام في توجيه ذلك في بحث المقدّمة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 عليه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اتّحاد زماني الوجوب والندب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الغاية يكون مندوبا نفسيّا أو غيريّا عند استحباب الغاية ، ولا محذور من اجتماع الندبين فيه ، لما ستعرفه في الوجوبين ، وبعد وجوبها لم يبق الطلب الندبي بوجه ، فيكون واجبا محضا من غير شائبة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نحكم بعدم اجتماع الطلبين في مورد واحد ، لاستلزامه إمّا اجتماع المثلين أو الضدّين ، والتالي من المستحيلات الأوّليّة ، والملازمة ظاهرة ممّا مر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341"/>
      </w:r>
      <w:r>
        <w:rPr>
          <w:rFonts w:ascii="Amiri" w:hAnsi="Amiri" w:eastAsia="Amiri" w:cs="Amiri"/>
          <w:color w:val="111111"/>
          <w:sz w:val="28"/>
          <w:sz w:val="28"/>
          <w:szCs w:val="28"/>
          <w:rtl w:val="true"/>
          <w:lang w:bidi="ar-SA"/>
        </w:rPr>
        <w:t>يظهر حال اجتماع الوجوبين ، مثل ما لو أمر الوالد بشيء مع تعلّق أمر الوالدة به أيضا ، فإنّ ذلك الفعل من حيث كونه منشأ لحصول إطاعة الوالد واجب ومن حيث إنّه يصير موردا لامتثال الوالدة أيضا واجب ، لكنّه لا يتّصف ذلك الفعل بوجوبين ولا يصير منشأ لانتزاع المطلوبيّة مرّتين ، بل التحقيق في ذلك هو تأكّد الطلب الناشئ من حصول الجهتين ، كما يظهر بالرجوع إلى الوجدان عند تعدّد جهات الطلب في مطلوب واحد ، من غير فرق بين وجودها فيه دفعة وبين حصولها متدرّجة في الوجود ، وبين العلم بها دفعة وبين الجهل ببعضها ، فإنّ ذلك لا مدخليّة له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للقول ببقاء أحدهما عند اللّه وارتفاع الآخر ، فإنّه غير آئل إلى حاصل ، فمقتضى وجود العنوانين اللذين تعلّق بكلّ واحد منهما طلب حتميّ تأكّد الطلب في الفرد الجامع لهما وزيادة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كلّ واحد من العنوانين اجتماع الحكمين فعلا ، وبعد حكم العقل بامتناع ذلك يحصل التعارض بينهما لاقتضاء كلّ منهما انتساب الأثر إليه ، وحيث إنّه لا مرجّح بينهما فيتساقطان ، فلا يثبت وجوب فضلا عن تأكّده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تسليم اختلاف مراتب الطلب شدّة وضعفا لا وجه لما ذكر أصلا ، فإنّ كلّ واحد من العنوانين على وجه الاستقلال يقتضي مرتبة خاصّة من الطلب ، واجتماعهما معا يقتضي مرتبة أشدّ من المرتبة التي كان كلّ واحد منهما مقتضيا لها ، فلا تعارض بينهما حتّى يقال بالتساقط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العنوانين يقتضي وجود الرجحان والمطلوبيّة ، فلا تعارض بينهما ، وإنّما التعارض في استناد الأثر إليهما على وجه الاستقلال ، وبعد التعارض يحكم بتساقط الاستناد إليهما استقلالا دون أصل الوجود ، فيكون المقام نظير ما لو عقد كلّ واحد من الأب والجدّ على البنت لشخص واحد ، دون ما لو عقد عليها كلّ واحد منهما لغير ما عقد له الآخر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محذور في القول بتأكّد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 سواء قلنا بوجود المصالح والمفاسد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مذاق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نقل به ، كما زعمه الأشعري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 فلأنّ الوجه في ارتفاع الطلبين هو استحالة وجودهما في محلّ واحد ، وذلك لا يقضي بارتفاع المصلحة والمفسدة ، فإنّ التخصيص عقليّ ، فيقطع ببقاء الجهة ، سيّما على ما قرّرنا من اقتضائهما مرتبة خاصّة من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الثاني ؛ فلأنّ إنكارهم وجود المصالح والجهات المحسّنة ممّا لا ربط له بالقول بتأكّد الطلب بواسطة العنوانين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وبمثله نقول فيما إذا اجتمع الوجوب والندب ، فإنّه يحصل به تأكّد الطلب نظير اجتماع السواد الشديد والضعيف ، فإنّ الثاني لا يتحقّق في مورد الشديد على وجه يغاير الشديد ؛ لما عرفت من لزوم اجتماع المثلين ، بل يشتدّ الشديد بلحوقه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الحكم الفعلي في مورد اجتماعهما الوجوب دون الاستحباب ، لاضمحلال الضعيف في جنب الشديد دون العكس ، فإنّ وجود الجهة الناقصة لا ينافي ثبوت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التي لا تقتضي حكما 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والندب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يستند إليها فيما إذا لم تكن للشيء جهة ملزمة ، فإنّه يكفي في تحريم شيء اشتماله على جهة مقبّحة مقتضية لتركه على وجه الإلزام ، ولا حاجة إلى اشتماله على تلك الجهة من جميع الجهات ، ويكفي في إيجاب الشيء اشتماله على جهة مقتضية له وإن اشتمل على جهات أخر لا تقتضي ذلك ، وهو ظاهر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فيحصل من جميع ما مرّ أنّ اجتماع الوجوب والاستحباب والوجوبين على اختلاف وجوههما من النفسيّة والغيريّة وغيرها </w:t>
      </w:r>
      <w:r>
        <w:rPr>
          <w:rStyle w:val="FootnoteAnchor"/>
          <w:rtl w:val="true"/>
        </w:rPr>
        <w:footnoteReference w:id="1343"/>
      </w:r>
      <w:r>
        <w:rPr>
          <w:rFonts w:ascii="Amiri" w:hAnsi="Amiri" w:eastAsia="Amiri" w:cs="Amiri"/>
          <w:color w:val="111111"/>
          <w:sz w:val="28"/>
          <w:sz w:val="28"/>
          <w:szCs w:val="28"/>
          <w:rtl w:val="true"/>
          <w:lang w:bidi="ar-SA"/>
        </w:rPr>
        <w:t xml:space="preserve">غير ممكن لو اريد به وجودهما فعلا ، وممكن لو اريد به وجود الآثار المستندة إليهما من الثواب والامتثال ، ولذلك قلنا بصحّة الوضوء في وقت وجوبه فيما لو نوى استحبابه في نفسه كما تقدّم في بحث المقدّمة </w:t>
      </w:r>
      <w:r>
        <w:rPr>
          <w:rStyle w:val="FootnoteAnchor"/>
          <w:rtl w:val="true"/>
        </w:rPr>
        <w:footnoteReference w:id="1344"/>
      </w:r>
      <w:r>
        <w:rPr>
          <w:rFonts w:ascii="Amiri" w:hAnsi="Amiri" w:eastAsia="Amiri" w:cs="Amiri"/>
          <w:color w:val="111111"/>
          <w:sz w:val="28"/>
          <w:sz w:val="28"/>
          <w:szCs w:val="28"/>
          <w:rtl w:val="true"/>
          <w:lang w:bidi="ar-SA"/>
        </w:rPr>
        <w:t>، لكنّه مبنيّ على القول باختلاف الوجوب والاستحباب بالشدّة والضعف ،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يكون الوجه في زيادة الثواب المترتّب على العمل شدّة الطلب المتعلّق به ، ويلزم من ذلك أن يكون الواجب أكثر ثوابا من المندوب ، كما لعلّه المشهور بينهم وورد فيه الروايات </w:t>
      </w:r>
      <w:r>
        <w:rPr>
          <w:rStyle w:val="FootnoteAnchor"/>
          <w:rtl w:val="true"/>
        </w:rPr>
        <w:footnoteReference w:id="1345"/>
      </w:r>
      <w:r>
        <w:rPr>
          <w:rFonts w:ascii="Amiri" w:hAnsi="Amiri" w:eastAsia="Amiri" w:cs="Amiri"/>
          <w:color w:val="111111"/>
          <w:sz w:val="28"/>
          <w:sz w:val="28"/>
          <w:szCs w:val="28"/>
          <w:rtl w:val="true"/>
          <w:lang w:bidi="ar-SA"/>
        </w:rPr>
        <w:t>، إلاّ أنّ قضيّة ذلك عدم جواز الاستثناء من ذلك ، مع أنّهم ذكروا لقاعدة أفضليّة الواجب موارد 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محكيّ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أفضل من الندب غالبا لاختصاصه بمصلحة زائدة ، ولقوله تعالى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اليّ عبدي بمثل أداء ما افترضت عليه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وقد تخلّف ذلك في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كالإبراء من الدين الندب ، وإنظار المعسر الواجب ، وإعادة المنفرد صلاته جماعة ، فإنّ الجماعة تفضل على صلاة المنفرد بسبع وعشرين درجة ، فصلاة الجماعة مستحبّة وهي أفضل من الصلاة التي سبقت وهي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الصلاة في البقاع الشريفة فإنّها مستحبة وهي أفضل من غيرها من مائة ألف إلى اثنتي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بالسواك والخشوع في الصلاة مستحبّ ويترك لأجله سرعة المبادرة إلى الجمعة وإن فات بعضها مع أنّها واجبة </w:t>
      </w:r>
      <w:r>
        <w:rPr>
          <w:rStyle w:val="FootnoteAnchor"/>
          <w:rtl w:val="true"/>
        </w:rPr>
        <w:footnoteReference w:id="134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جواز تخصيص القاعدة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المركوز في أذهان المتشرّعة زيادة ثواب جملة كثيرة من المندوبات من </w:t>
      </w:r>
      <w:r>
        <w:rPr>
          <w:rStyle w:val="FootnoteAnchor"/>
          <w:rtl w:val="true"/>
        </w:rPr>
        <w:footnoteReference w:id="1348"/>
      </w:r>
      <w:r>
        <w:rPr>
          <w:rFonts w:ascii="Amiri" w:hAnsi="Amiri" w:eastAsia="Amiri" w:cs="Amiri"/>
          <w:color w:val="111111"/>
          <w:sz w:val="28"/>
          <w:sz w:val="28"/>
          <w:szCs w:val="28"/>
          <w:rtl w:val="true"/>
          <w:lang w:bidi="ar-SA"/>
        </w:rPr>
        <w:t xml:space="preserve">جملة من الواجبات ، كالصيام في الهجير بالنسبة إلى ردّ السّلام ، وكذا زيارة </w:t>
      </w:r>
    </w:p>
    <w:p>
      <w:pPr>
        <w:pStyle w:val="BookText"/>
        <w:rPr/>
      </w:pP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الامور المندوبة ، كبناء المساجد والقناطر وغير ذلك من الامور الباقية مدى الدهر التي ينتفع منها عامّة العباد في أطراف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تأكّد الطلب غير كاشف عن تأكّد المصلحة وزيادة الثواب ، أو يقال بأنّ الواجب أفضل من المندوب مطلقا ولا وجه للأخذ بالروايات الظاهرة في الزيادة المخالفة لحكم العقل ، فإنّها مطروحة أو مؤوّلة ، وليس تلك الروايات بقطعيّة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نحتاج إلى توجيه في الجمع بين العقل والإجماع ، بدعوى اختصاص أحدهما بما لا مدخل للآخر فيه ونحوه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المحقّق البهائي في الأربعين </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في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القاضية بالوجوب هو دفع المضرّة والمفسدة ، والحكمة الداعية إلى الاستحباب هو جلب المنفعة ، وقضيّة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هو حصول المنفعة للعبد بفعل المندوب فيما إذا قصده ودفع المضرّة عنه فيما إذا طلبه من فعل الواجب ، وهو لا ينافي فضل الواجب إذا اريد منه المصلحة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المضرّة في الواجب ملازم للمنفعة الداعية إلى تشريعه فيما لو اتي به على وجهه ، وإلاّ فلا يترتّب عليه دفع المضرّة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باق فيما لو فرضنا الإتيان بالواجب لأجل المنفعة على تقدير تعقّل الانفكاك</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يدفع الإشكال عن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فضلها على كثير من الواجبات إنّما هو بواسطة كونها من مظاهر الولاية التي هي من أهمّ الواجبات ، فإنّها بالزيارة تتحقّق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الأعمال المستحبّة يمكن أن يقال بأنّها من مظاهر التعبّد لله الذي هو فوق الولاية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فهذه الكلمات لا تدفع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إجزاء غسل واحد عن الجنابة الواجبة والجمعة المندوبة إنّما هو بواسطة اجتماع الواجب والمندوب في فرد واحد ، فيكون من موارد اجتماع حكمين متضادّين ، حتّى أنّ بعضهم قد جعله دليلا برأسه على الجواز ، كما حكاه الفاضل النراقي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البعض من مطلق تداخل الأسباب في بعض الموارد ، كما في منزوحات البئر </w:t>
      </w:r>
      <w:r>
        <w:rPr>
          <w:rStyle w:val="FootnoteAnchor"/>
          <w:rtl w:val="true"/>
        </w:rPr>
        <w:footnoteReference w:id="1352"/>
      </w:r>
      <w:r>
        <w:rPr>
          <w:rFonts w:ascii="Amiri" w:hAnsi="Amiri" w:eastAsia="Amiri" w:cs="Amiri"/>
          <w:color w:val="111111"/>
          <w:sz w:val="28"/>
          <w:sz w:val="28"/>
          <w:szCs w:val="28"/>
          <w:rtl w:val="true"/>
          <w:lang w:bidi="ar-SA"/>
        </w:rPr>
        <w:t xml:space="preserve">وأسباب السجدة </w:t>
      </w:r>
      <w:r>
        <w:rPr>
          <w:rStyle w:val="FootnoteAnchor"/>
          <w:rtl w:val="true"/>
        </w:rPr>
        <w:footnoteReference w:id="1353"/>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بتحقيق ذلك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توضيح الحال في تداخل الأسباب على وجه يظهر أنّه ليس من موارد اجتماع الأحكام المتضادّة أو المتماثلة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الدليل الشرعي على وجوب شيء عند حدوث شيء آخر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يعلم بوجود سبب آخر لترتّب الجزاء المذكور فيحكم بحسب الظاهر بأنّ النوم علّة تامّة لوجوب الوضوء ، والالتقاء للغسل ، سواء كان جميع ما عداه موجودا أو معدوما ، وهذا هو معنى حجّية مفهوم الشرط</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الجزاء تارة يكون قابلا للتكرار والتعدّد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زيدا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 الدرهم له ممّا يمكن أن يتكرّر وجوداته في الخارج ، </w:t>
      </w:r>
    </w:p>
    <w:p>
      <w:pPr>
        <w:pStyle w:val="BookText"/>
        <w:rPr/>
      </w:pPr>
      <w:r>
        <w:rPr>
          <w:rFonts w:ascii="Amiri" w:hAnsi="Amiri" w:eastAsia="Amiri" w:cs="Amiri"/>
          <w:color w:val="111111"/>
          <w:sz w:val="28"/>
          <w:sz w:val="28"/>
          <w:szCs w:val="28"/>
          <w:rtl w:val="true"/>
          <w:lang w:bidi="ar-SA"/>
        </w:rPr>
        <w:t xml:space="preserve">وإمّا أن لا يكون قابلا للتكرار والتعدّد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زنى زيد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ممّا لا يقع مكرّرا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الثاني فتكرار وجود السبب لا يقضي بتكرار القتل ، لامتناعه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وجوب القتل ممّا يتأكّد بتكرّر أسبابه ، سواء كان أسبابه متعددا بواسطة تعدّد أفراده كما إذا زنى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 أو بواسطة تعدّد أنواعه كما إذا كان السرقة أيضا ممّا يوجب القتل ، ولا يعقل اتّصاف القتل الواقع جزاء لوجوبات عديدة ؛ لامتناع اجتماع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354"/>
      </w:r>
      <w:r>
        <w:rPr>
          <w:rFonts w:ascii="Amiri" w:hAnsi="Amiri" w:eastAsia="Amiri" w:cs="Amiri"/>
          <w:color w:val="111111"/>
          <w:sz w:val="28"/>
          <w:sz w:val="28"/>
          <w:szCs w:val="28"/>
          <w:rtl w:val="true"/>
          <w:lang w:bidi="ar-SA"/>
        </w:rPr>
        <w:t xml:space="preserve">كان من الأوّل فعند اتّحاد حقيقة المعلول والعلّة فالظاهر من الجملة الشرطيّة هو لزوم تكرّر أفراد المسبّب عند تعدّد أفراد السبب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الخمر في البئر فانزح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وجوب النزح متعدّدا عند تعدّد وقوع الخمر ، إذ القول بوجوب النزح مرّة واحدة يوجب تقييدا في الشرط ، كأن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الخمر الغير المسبوق بوقوع مثله في البئر فانزح كذا ، والأصل يقضي بعدم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يعلم من الخارج بالتقييد المذكور فيحكم بتداخل الأسباب ، بمعنى أنّ تعدّد وجودات ماهيّة السبب ممّا لا يكون منشأ لتعدّد أفراد المسبّب ، كما علم ذلك بالنسبة إلى الوضوء ، فإنّ تعدّد مرّات النوم لا يوجب تعدّد أفراد الوضوء</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 الدليل اتّحاد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ارتكاب التأويل فيه بحمله على تعدّد أشخاصه عند تعدّد أشخاص المسبّب ، فيكون من قبيل تداخل المسبّبات ، كما في مثال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ما عرفت من إطلاق سببيّة أفراد السبب ووجوداته ، يستقلّ العقل بالحكم بتعدّد وجود ذات المسبّب ؛ نظرا إلى امتناع اجتماع العلل المتعدّدة المعلومة علّيتها بإطلاق الدليل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العلل الشرعيّة معرّفات ليست بعلل حقيقيّة فيمكن اجتماعها على معلول واحد ، ممّا لا يجدي في المقام ، إذ لا إشكال في أنّ هذه الأسباب أسباب عقليّة بعد جعل الشارع للأحكام المترتّبة عليها من الوجوب ونحوه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وجوب قتل زيد مرّة ثانية فليس لأجل أنّ أسباب وجوبه ليست عللا حقيقيّة ، بل بواسطة وجود المانع ، وهو اتّصاف المحلّ بالمثل وامتناع اجتماع الأمثال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الأسباب بشرط قبول المحلّ وعدم اتّصافه بالمثل علل تامّة للوجوب ، وهذا التقييد ممّا يقضي به العقل ، وأين ذلك من التقييد اللازم على تقدير تداخل الأسباب؟ فإنّه لا قاضي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لا نلتزم بتداخل المسبّبات إلاّ حيث يقوم دليل من العقل أو النقل على التداخل ، كما لا نلتزم بتداخل الأسباب أشخاصها أو أنواعها إلاّ بعد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السببيّة تعدّد الوجوب عند تعدّد أفراد السبب وتكرّره ، ولكن لا نسلّم أنّه كلّما تكرّر الوجوب يجب إيجاد الواجب على حسب تكرّره ، وإنّما يلزم ذلك فيما لو استلزم تكرّر الوجوب تعدّد الواجب ، وليس كذلك كما في تعدّد الإيجاب ، إذ كثيرا ما يتعدّد الإيجاب ، مع وحدة الواجب ، كما في الأوامر الواردة بالصلاة والزكاة على جهة التأكيد ونحوه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ظاهر الإطلاق هو سببيّة كلّ فرد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ذكره أصلا ، إذ لا نعقل من تعدّد الوجوب الذي هو صفة </w:t>
      </w:r>
    </w:p>
    <w:p>
      <w:pPr>
        <w:pStyle w:val="BookText"/>
        <w:rPr/>
      </w:pPr>
      <w:r>
        <w:rPr>
          <w:rFonts w:ascii="Amiri" w:hAnsi="Amiri" w:eastAsia="Amiri" w:cs="Amiri"/>
          <w:color w:val="111111"/>
          <w:sz w:val="28"/>
          <w:sz w:val="28"/>
          <w:szCs w:val="28"/>
          <w:rtl w:val="true"/>
          <w:lang w:bidi="ar-SA"/>
        </w:rPr>
        <w:t>منتزعة من الفعل بعد امتناع اجتماع الأمثال إلاّ تعدّد الواجب ، وهو لا يتمّ بالفرض إلاّ بعدم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الأوامر التأكيديّة فلا يستفاد منها وجوب غير ما أفاده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بأس باستفادة شدّة الطلب وتأكّده بتكرار الأوامر التأكيديّة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 قياس تعدّد الوجوب بتعدّد الإيجاب الحاصل في التأكيد ، فإنّ الأمر الثاني مرتّب على الأمر الأوّل في التأكيد ووارد في مورده ، بخلاف ما نحن فيه ، ضرورة حصول الوجوب على وجه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الكلام الدالّ على السببيّة ، فيكون تلك الوجوبات كلّ واحد منها في عرض الآخر ، فهناك إيجابات متعدّدة في موارد متعدّدة بواسطة الكلام الدالّ على السببيّة ، ويتفرّع عليها وجوبات متعدّدة على وجه التعليق ، وبعد حصول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الاشتغال فعلا بأفراد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مثل المقام تكاليف متعدّدة ، ولكنّه نقول بأنّ الإتيان بالفرد الواحد يكفي في الامتثال عنها ، كما يقضي به العرف فيما لو أمر بإعطاء درهم بعالم </w:t>
      </w:r>
      <w:r>
        <w:rPr>
          <w:rStyle w:val="FootnoteAnchor"/>
          <w:rtl w:val="true"/>
        </w:rPr>
        <w:footnoteReference w:id="1356"/>
      </w:r>
      <w:r>
        <w:rPr>
          <w:rFonts w:ascii="Amiri" w:hAnsi="Amiri" w:eastAsia="Amiri" w:cs="Amiri"/>
          <w:color w:val="111111"/>
          <w:sz w:val="28"/>
          <w:sz w:val="28"/>
          <w:szCs w:val="28"/>
          <w:rtl w:val="true"/>
          <w:lang w:bidi="ar-SA"/>
        </w:rPr>
        <w:t>وإعطاء درهم آخر بهاشميّ ، فلو أنّه أعطى درهما بعالم هاشميّ يعدّ ممتثلا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الفساد بعد اختلاف متعلّق التكاليف المتعدّدة بواسطة الوجودات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 الامتثال في العالم الهاشمي بواسطة تداخل المفهومين في مصداق واحد واجتماعهما فيه ، ولا يعقل تداخل متعلّق التكاليف في المقام ، فإنّ المفروض هو اختلاف متعلّقاتها بالوجود ، وتداخل الفردين من ماهيّة واحدة غير معقول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الأسباب لو كان كاشفا عن تعدّد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كاشفا عن تعدّد ماهيّات المسبّبات حتّى لا يمتنع الاجتماع في فرد ، ولو لم يكن كاشفا فالكلام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ساقط جدّا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يستلزم الخروج عن ظاهر اللفظ الدالّ على المسبّب ، فإنّ ظاهره وحدة الماهيّة ، واختلاف الأسباب ولا سيّما اختلافها بواسطة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ظاهر اللفظ الدال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باختلاف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اختلافها ماهيّة وإن احتمل اختلاف المسبّب أيضا بحسب الماهيّة لامتناع اتّحاد آثار الماهيّات المختلفة ، إلاّ أنّه يحتمل استناد المسبّب أيضا إلى وحدة جامعة لتلك الأسباب المختلفة ، فلا يدلّ على اختلاف المسبب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اختلاف الأسباب ولو بالفرديّة يوجب اختلاف ماهيّات المسبّبات ، ومع ذلك فلا دليل على الاكتفاء بفرد في مقام الامتثال ، إذ من المعلوم أنّ الفرد الواحد لا بدّ وأن يكون مجمعا للعنوانين حتّى يكتفى به في الامتثال ، وذلك مبنيّ على إمكان اجتماعهما ،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تينك الماهيّتين ممّا لا تتصادقان أبدا ، فيكون بينهما مباينة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تعرف الكلام فيما إذا كان السبب لذلك الشيء متعدّدا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أحد سبيليك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الواقعي هو القدر المشترك بين تلك الأسباب المختلفة ، ويكون اختلاف أنواعها بمنزلة اختلاف الأفراد ، ويجب تعدّد المسبّبات بحسب مقتضى اللفظ إلاّ إذا دلّ دليل على التقييد ، كما في خصوص الوضوء ، على ما قرّر في محلّه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ما ذكرنا ، يظهر أنّ شيئا من الموارد لا يلزم فيه اجتماع الأمثال ولا اجتماع الأضداد ، فإنّ الحكم فيما سبق محصور بين وجوب الإتيان بأفراد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لا يقضى بشيء من اللازمين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الإتيان بفردٍ </w:t>
      </w:r>
    </w:p>
    <w:p>
      <w:pPr>
        <w:pStyle w:val="BookText"/>
        <w:rPr/>
      </w:pPr>
      <w:r>
        <w:rPr>
          <w:rFonts w:ascii="Amiri" w:hAnsi="Amiri" w:eastAsia="Amiri" w:cs="Amiri"/>
          <w:color w:val="111111"/>
          <w:sz w:val="28"/>
          <w:sz w:val="28"/>
          <w:szCs w:val="28"/>
          <w:rtl w:val="true"/>
          <w:lang w:bidi="ar-SA"/>
        </w:rPr>
        <w:t xml:space="preserve">واحد لعدم وجوب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اجتماع الأمثال ولا الأضداد ، وبين الإتيان بفرد واجب شديد الوجوب أكيد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اجتماع للوجوبات فيه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اجتماع الوجوب والندب في الوضوء فقد عرفت فيما سبق تحقيق الكلام فيه ، فلا حاجة إلى الإطالة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تداخل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فيه على وجه تبيّن حقيقة المقال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في الأغسال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من ذهب إلى أنّها ليست حقائق مختلفة ، والأثر الحاصل منها ليس إلاّ رفع لحالة واحدة مسمّاة عندهم بالحدث </w:t>
      </w:r>
      <w:r>
        <w:rPr>
          <w:rStyle w:val="FootnoteAnchor"/>
          <w:rtl w:val="true"/>
        </w:rPr>
        <w:footnoteReference w:id="1357"/>
      </w:r>
      <w:r>
        <w:rPr>
          <w:rFonts w:ascii="Amiri" w:hAnsi="Amiri" w:eastAsia="Amiri" w:cs="Amiri"/>
          <w:color w:val="111111"/>
          <w:sz w:val="28"/>
          <w:sz w:val="28"/>
          <w:szCs w:val="28"/>
          <w:rtl w:val="true"/>
          <w:lang w:bidi="ar-SA"/>
        </w:rPr>
        <w:t xml:space="preserve">، مستظهرين ذلك من ظواهر الخطابات الآمرة بالغسل بعد تحقّق أسبابها ، فإنّ الظاهر اتّحاد حقيقة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ما هو يصلح للاختلاف ، فإنّ الأسباب المختلفة لاحتمال اشتراكها في قدر يصحّ استناد المسبّب إليه لا يدلّ على اختلاف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الأسباب المختلفة فعندهم مثل أسباب الوضوء مقيّدة بما إذا لم يكن أحدها مسبوقا بالآخر</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من ذهب إلى أنّها ماهيّات مختلفة لاختلاف آثارها وأحكامها </w:t>
      </w:r>
      <w:r>
        <w:rPr>
          <w:rStyle w:val="FootnoteAnchor"/>
          <w:rtl w:val="true"/>
        </w:rPr>
        <w:footnoteReference w:id="1358"/>
      </w:r>
      <w:r>
        <w:rPr>
          <w:rFonts w:ascii="Amiri" w:hAnsi="Amiri" w:eastAsia="Amiri" w:cs="Amiri"/>
          <w:color w:val="111111"/>
          <w:sz w:val="28"/>
          <w:sz w:val="28"/>
          <w:szCs w:val="28"/>
          <w:rtl w:val="true"/>
          <w:lang w:bidi="ar-SA"/>
        </w:rPr>
        <w:t>، مثل ارتفاع بعضها وبقاء الآخر ولزوم الوضوء في البعض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واستكشف ذلك أيضا من الروايات الدالّة على إجزاء غسل واحد من الأغسال </w:t>
      </w:r>
      <w:r>
        <w:rPr>
          <w:rStyle w:val="FootnoteAnchor"/>
          <w:rtl w:val="true"/>
        </w:rPr>
        <w:footnoteReference w:id="1359"/>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 xml:space="preserve">ظاهر الإجزاء هو ثبوت المقتضي لكلّ واحد ، وما دلّ على أنّها حقوق لله </w:t>
      </w:r>
      <w:r>
        <w:rPr>
          <w:rStyle w:val="FootnoteAnchor"/>
          <w:rtl w:val="true"/>
        </w:rPr>
        <w:footnoteReference w:id="1360"/>
      </w:r>
      <w:r>
        <w:rPr>
          <w:rFonts w:ascii="Amiri" w:hAnsi="Amiri" w:eastAsia="Amiri" w:cs="Amiri"/>
          <w:color w:val="111111"/>
          <w:sz w:val="28"/>
          <w:sz w:val="28"/>
          <w:szCs w:val="28"/>
          <w:rtl w:val="true"/>
          <w:lang w:bidi="ar-SA"/>
        </w:rPr>
        <w:t xml:space="preserve">، وما دلّ على أنّ المكلّف يجعل الحيض والجنابة غسلا واحدا </w:t>
      </w:r>
      <w:r>
        <w:rPr>
          <w:rStyle w:val="FootnoteAnchor"/>
          <w:rtl w:val="true"/>
        </w:rPr>
        <w:footnoteReference w:id="1361"/>
      </w:r>
      <w:r>
        <w:rPr>
          <w:rFonts w:ascii="Amiri" w:hAnsi="Amiri" w:eastAsia="Amiri" w:cs="Amiri"/>
          <w:color w:val="111111"/>
          <w:sz w:val="28"/>
          <w:sz w:val="28"/>
          <w:szCs w:val="28"/>
          <w:rtl w:val="true"/>
          <w:lang w:bidi="ar-SA"/>
        </w:rPr>
        <w:t>إلى غير ذلك من أمارات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لا ينبغي الإشكال في تداخل الأغسال ، فإنّه كالوضوء الذي يسقط به الفرض ويجزئ عن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 إذ المحذور إنّما هو فيما إذا كان هناك ماهيّات مجتمعة في فرد واحد لكلّ واحد منها حكم غير حكم الآخر شخصا ليلزم اجتماع الأمثال ، أو نوعا ليلزم اجتماع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اتّحادها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القول بلزوم إيجاد الغسل مكرّرا على حسب تكرار السبب ، كما في المنزوحات وسجدتي السهو مثلا ونحوهما ؛ لعدم تعقّل تداخل الأفراد المندرجة تحت ماهيّة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بتداخل الأسباب بمعنى تقييد الأوامر المطلقة بما إذا لم يكن مسبوقا بسبب آخر كما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إشكال ؛ لعدم الاجتماع على الأوّل وعدم التعدّد على الثاني ، وهو ظاهر ممّا مرّ أيضا</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 فبملاحظة أدلّة الإجزاء يحكم بتصادق الماهيّات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 جامع لها ، ويتحقّق به الامتثال عنها على تقدير القصد إلى الجميع تفصيلا كما إذا قصد كلّ واحد منها بغاياتها وأسبابها ، أو إجمالا كما إذا قصد الحدث الحاصل منها على وجه الإطلاق ، أو قصد الغسل الذي يندرج فيه غيره كالجنابة على المشهور ، فإنّ الحدث الذي يرتفع بغسل الجنابة فوق جميع الأحداث على ما قيل </w:t>
      </w:r>
      <w:r>
        <w:rPr>
          <w:rStyle w:val="FootnoteAnchor"/>
          <w:rtl w:val="true"/>
        </w:rPr>
        <w:footnoteReference w:id="1362"/>
      </w:r>
      <w:r>
        <w:rPr>
          <w:rFonts w:ascii="Amiri" w:hAnsi="Amiri" w:eastAsia="Amiri" w:cs="Amiri"/>
          <w:color w:val="111111"/>
          <w:sz w:val="28"/>
          <w:sz w:val="28"/>
          <w:szCs w:val="28"/>
          <w:rtl w:val="true"/>
          <w:lang w:bidi="ar-SA"/>
        </w:rPr>
        <w:t xml:space="preserve">، ولا محذور فيه ، إذ غاية ما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الامتثال بعد القصد إلى </w:t>
      </w:r>
    </w:p>
    <w:p>
      <w:pPr>
        <w:pStyle w:val="BookText"/>
        <w:rPr/>
      </w:pPr>
      <w:r>
        <w:rPr>
          <w:rFonts w:ascii="Amiri" w:hAnsi="Amiri" w:eastAsia="Amiri" w:cs="Amiri"/>
          <w:color w:val="111111"/>
          <w:sz w:val="28"/>
          <w:sz w:val="28"/>
          <w:szCs w:val="28"/>
          <w:rtl w:val="true"/>
          <w:lang w:bidi="ar-SA"/>
        </w:rPr>
        <w:t>تلك العناوين ووجودها في ذلك الفرد ، فيكون من قبيل اجتماع إطاعة الوالد والوالدة في فعل واحد ، ومن قبيل اجتماع إكرام العالم وإضافة الهاشمي في فرد ، وغاية ما يلزم من ذلك هو اجتماع الجهات وتأكّد الطلب من دون غائلة ، كما عرفت نظيره فيما تقدّم مرارا ، من غير فرق في ذلك بين الواجب والمندوب ، كأن يكونا واجبين أو مندوبين أو مختلفين ، فإنّ طريق الحلّ في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الطلب باجتماع جهتي الوجوبين أو الندبين أو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يشير ما أفاده الشهيد السعيد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الوجوب تستلزم نيّة الندب ؛ لاشتراكهما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اعتقاد منع الترك ، لأنّه مؤكّد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الصلاة على جنازتي بالغ وصبيّ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 الإشكال المذكور في الواجب والندب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لمّا دلّ على الاجتزاء بغسل واحد عن الغسلين 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الوظيفتين تتأدّى بالاخرى ، بمعنى أنّه يحصل له ثوابها وإن لم يكن من أفرادها حقيقة ، كما تتأدّى صلاة التحيّة بالفريضة والصوم المستحبّ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استحباب غسل الجمعة يختصّ بصورة لا يحصل سبب الوجوب ، والمراد من كونه مستحبّا أنّه مستحبّ من حيث نفسه مع قطع النظر عن طريان العارض المقتضي للوجوب </w:t>
      </w:r>
      <w:r>
        <w:rPr>
          <w:rStyle w:val="FootnoteAnchor"/>
          <w:rtl w:val="true"/>
        </w:rPr>
        <w:footnoteReference w:id="13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تأدّي إحدى الوظيفتين بالاخرى غير معقول ، إلاّ أن تكون المصلحة الداعية إلى طلبها موجودة في الاخرى ، وذلك يوجب إيجاب المندوب أيضا ، فإنّه أحد أفراد الواجب المخيّر لاستوائهما في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سقوط التحيّة بالفريضة كالمندوب من الصوم بالقضاء ، فعلى القول به لا بدّ من أن يحمل على مجرّد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اشتمال الفريضة والقضاء على ما هو أزيد ثوابا من التحيّة والصوم المندوب ، فيكون المراد هو وصول المنفعة الحاصلة منهما إليه لا سقوطهما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هو أنّ العبد بعد ورود الأمر بالقضاء لا يتمكّن من الصوم المندوب في اليوم الذي يقع فيه الصوم قضاء ، مع أنّه في مقام الانقياد ويطلب ذلك الصوم المندوب أيضا ، فيستحقّ لذلك ثواب الصوم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 أمثال ذلك في الغسل الواجب والمندوب بعيد جدّا ، حيث إنّ ظاهرهم الإطباق على حصول المأمور به إمّا بتداخل الأسباب كما في أسباب الوضوء ، أو بتداخل المسبّبات مثل اجتماع مفاهيم متعدّدة في فرد واحد ، وليس من السقوط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كونه من السقوط فهو إنّما يتمّ في سقوط النفل بالفرض مثل سقوط الجمعة بالجنابة ، ولا يعقل سقوط الفرض بالنفل ، وقضيّة ما ذكره هو سقوط كلّ من الوظيفتين بالاخرى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منه اختصاص دليل الاستحباب بصورة عدم وجوب الغسل على المكلّف فهو بعيد جدّا ، بل ومقطوع الفساد ؛ للإجماع على خلافه ، مضافا إلى الإطلاق وعدم ما يقضي بالتقيّد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منه وجوب غسل الجمعة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قطعا ، لأنّ الإشكال في صورة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وجوبه من حيث اتّحاده في المصداق مع الواجب فهو واجب لاتّحاده مع الواجب فهو ممّا لا يجدي قطعا ، إذ الإشكال إنّما هو في اجتماع المندوب والواجب ، ولم نجد من عروض الوجوب بالمعنى المذكور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 الإشكال بعض أعاظم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هذا الفرد يعني ما يجزي عن الغسلين ليس مصداقا للكلّيين حتّى يلزم الإشكال ، بل هو أمر خارج عنهما ، فهو من قبيل فرد لكلّي آخر اجتزى الشارع به عن الواجب والمندوب ، لكن لمّا شابههما في الصورة يسمّى بالتداخل ، وإلاّ فهو ليس بغسل جنابة وغسل جمعة ليرد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الغسل واجب أو مستحبّ أو كلاهما؟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حيث يقوم مقام الأغسال الواجبة فهو أحد فردي الواجب المخيّر بمعنى أنّ المكلّف مخيّر بين أن يأتي بالفعلين أو بالفعل الواحد المجزي عنهما ، وحيث يقوم مقام الواجب والمندوب فهو مندوب محضا ، لأنّه يجوز تركه لا إلى بدل فلا يكون واجبا ، فينوي بناء على اشتراط نيّة الوجه ، الندب فيه مع نيّة الاجتزاء عن الواجب والمندوب ، وعلى عدم الاشتراط ينوي القربة مع نيّة الاجتزاء به عن الجميع </w:t>
      </w:r>
      <w:r>
        <w:rPr>
          <w:rStyle w:val="FootnoteAnchor"/>
          <w:rtl w:val="true"/>
        </w:rPr>
        <w:footnoteReference w:id="13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ظواهر كلماتهم القاضية باجتماع المفهومين في فرد واحد كما هو مقتضى القول بتداخل المسبّبات ، وعلى القول بتداخل الأسباب فالأمر 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يوجب اجتماع الواجب والمندوب فيما نصّ الشارع على وجوبه ، وهو محال قطعا حتّى على القول بجواز اجتماع الأحكام المتضادّة ، فإنّ أصحاب هذه المقالة الفاسدة يخصّون الجواز بما إذا اجتمع بعض أفراد الواجب المخيّر عقلا مع الاستحباب ، وأمّا فيما نصّ الشارع على وجوبه عينا أو تخييرا شرعيّا فلا قائل بالجواز</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فرد من ماهيّة مغايرة لماهيّة اخرى مقام أفراد هذه الماهيّة لا يعقل إلاّ وأن يكون مصلحة ذلك الواجب متحقّقة في ضمن ذلك الفرد ، </w:t>
      </w:r>
    </w:p>
    <w:p>
      <w:pPr>
        <w:pStyle w:val="BookText"/>
        <w:rPr/>
      </w:pPr>
      <w:r>
        <w:rPr>
          <w:rFonts w:ascii="Amiri" w:hAnsi="Amiri" w:eastAsia="Amiri" w:cs="Amiri"/>
          <w:color w:val="111111"/>
          <w:sz w:val="28"/>
          <w:sz w:val="28"/>
          <w:szCs w:val="28"/>
          <w:rtl w:val="true"/>
          <w:lang w:bidi="ar-SA"/>
        </w:rPr>
        <w:t>وحيث إنّ إجزاء ذلك الفرد المذكور لا بدّ وأن يكون بواسطة تعلّق أمر الشارع بذلك الفرد ، فلا محالة يكون ذلك الفرد أحد أفراد الواجب المخيّر بالنسبة إلى الأمر الوجوبي المتعلّق بماهيّة غسل الجنابة لتحقّق مصلحته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الأمر الندبي المتعلّق بماهيّة غسل الجمعة ، فيكون ذلك الفرد موردا للطلب الندبي والوجوبي معا على وجه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في الجواب عن الترديدات فلا يجدي شيئا ، كما يظهر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الموارد ليس من مورد اجتماع حكمين فعليّين سواء كانا مثلين أو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اجتماع الأسباب والمسبّبات لا يخلو من 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تعدّدهما مع المباينة الكلّية بين الأسباب والمسبّبات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ظاهرت فأعتق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فاسجد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وحكمها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تعدّدهما مع تصادق المسبّبين فقط ، أو مع تصادق السببين أيضا ، أو تصادق السببين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الأوّلين ينوط </w:t>
      </w:r>
      <w:r>
        <w:rPr>
          <w:rStyle w:val="FootnoteAnchor"/>
          <w:rtl w:val="true"/>
        </w:rPr>
        <w:footnoteReference w:id="1367"/>
      </w:r>
      <w:r>
        <w:rPr>
          <w:rFonts w:ascii="Amiri" w:hAnsi="Amiri" w:eastAsia="Amiri" w:cs="Amiri"/>
          <w:color w:val="111111"/>
          <w:sz w:val="28"/>
          <w:sz w:val="28"/>
          <w:szCs w:val="28"/>
          <w:rtl w:val="true"/>
          <w:lang w:bidi="ar-SA"/>
        </w:rPr>
        <w:t>الكلام بدعوى صدق امتثال التكليفين بالإتيان بالفرد الجامع ، ولعلّه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فالظاهر عدم التداخل ولزوم الإتيان بالطبيعتين عند تصادق السببين لعدم المانع بعد وجود المقتضي ، ويظهر ممّا مرّ</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اتّحاد حقيقة المسبّبات مع إمكان تكرّر وجوداتها في الخارج سواء كان الأسباب متّحدة الحقائق أو مختلفة ، لرجوع الثاني إلى الأوّل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وحكمها تكرار الوجودات بالإتيان بأفراد كثيرة على حسب تكرار المسبّبات ، أشخاصها أو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يعلم بالدليل تقييد تلك الأسباب بعدم مسبوقيّة بعضها بأمثالها ، كما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اتّحاد المسبّب مع عدم قابليّته للتكرار ، ولا مجال للتعدّد فيه أيضا ، وقد عرفت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لبعض الأجلّة في المقام كلاما طويلا لا بأس بنقله والتنبيه على بعض ما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تداخل بعض العبادات كالأغسال فلا إشكال في تداخل واجباتها ومندوباتها مع اعتبار النيّة ، لأنّ مرجعه إلى التخيير بين أفعال مشتملة على النيّة وبين فعل واحد مشتمل على تلك النيّات ، وهما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بتداخلها أو الاستحباب قهرا فيرجع إلى تأكّد الوجوب أو الاستحباب عند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الإشكال أيضا عند اجتماع الواجب والمندوب فيما إذا كانا غيريّين وعند اختلاف وجههما بالغيريّة والنفسيّة ، زعما منه أنّ اختلاف وجه الوجوب والندب يجدي في اجتماع الحكمين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النفسيّة منها إن جعلنا الوجوب والندب لا حقين للفعل مع النيّة الخاصّة ، بأن جعلنا النيّة شطرا من العمل لتغاير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الوجوب في المثال المذكور الغسل مع نيّة رفع الجنابة ، ومحلّ الاستحباب الغسل مع نيّة كونه للجمعة ، ولا ريب في تغاير المركّبين وتباينهما ، غاية ما في الباب أن يشتركا في جزء وهو ما عدا النيّة ، فيلزم وجوبه في ضمن أحدهما واستحبابه في ضمن الآخر ، ووجوبه لأحدهما واستحبابه للآخر ، ولا إشكال في شيء منهما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فلأنّ عدم المنع من تركه في ضمن مركّب أعمّ من عدم المنع من تركه لا في ضمنه ، لصدقه على فعله مع ترك ما ينضمّ إليه ، فلا ينافي عدم جواز تركه في نفسه ولو في ضمن مركّب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جعلناهما لا حقين للفعل </w:t>
      </w:r>
    </w:p>
    <w:p>
      <w:pPr>
        <w:pStyle w:val="BookText"/>
        <w:rPr/>
      </w:pPr>
      <w:r>
        <w:rPr>
          <w:rFonts w:ascii="Amiri" w:hAnsi="Amiri" w:eastAsia="Amiri" w:cs="Amiri"/>
          <w:color w:val="111111"/>
          <w:sz w:val="28"/>
          <w:sz w:val="28"/>
          <w:szCs w:val="28"/>
          <w:rtl w:val="true"/>
          <w:lang w:bidi="ar-SA"/>
        </w:rPr>
        <w:t xml:space="preserve">بشرط النيّة كان بحكم الواجب المخيّر مع رجحان بعض أفراده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وجوه فساده غير خفيّ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نفي الإشكال عن تداخل الأغسال مع اتّحادها نوعا من الواجب والمندوب في غير محلّه ، لما قد عرفت من لزوم اجتماع الأمثال على تقديره ، وإن كان مدفوعا بما عرفت من تأكّد الطلب باجتماع المفاهيم المتعدّدة في فرد واحد ، كما دفعه عند التداخل القهري على 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التداخل القهري إنّما هو فيما إذا لم يكن الفعل قابلا للتكرار كما في مثال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مسامحة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قلنا بتداخل الأسباب بواسطة التقييد في إطلاق دليل السببيّة كما في الوضوء ، والأغسال ليس من قبيل الأوّل الذي هو قابل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وجه للتأكيد ، إذ ليس هناك أسباب متعدّدة ليحصل منها وجوبات تكون منشأ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بملاحظة ما ذكرنا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دخول النيّة في المأمور به ولحوق الوجوب والندب للفعل المركّب مع النيّة قد فرغنا عن إبطاله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الفعل لا يختلف حكمه باختلاف النيّة في المقام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فمحلّ الوجوب الغسل مع نيّة رفع الجنابة ، ومحلّ الاستحباب الغسل مع نيّة كونه للجمعة ، ولا ريب في تباين المركّبين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بظاهره اتّحاد حقيقة الغسل مع قطع النظر عن النيّتين ، وإنّما الاختلاف بواسطة اختلاف نفس النيّتين ، كما 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ما في الباب أن يشتركا في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لنا إلى تعقل اتّصاف فعل واحد بالوجوب والندب بواسطة النيّة من غير أن يكون النيّة منشأ لاختلاف حقيقة الفعل ، كما في لطم اليتيم بنيّة التأديب والظلم ؛ </w:t>
      </w:r>
    </w:p>
    <w:p>
      <w:pPr>
        <w:pStyle w:val="BookText"/>
        <w:rPr/>
      </w:pPr>
      <w:r>
        <w:rPr>
          <w:rFonts w:ascii="Amiri" w:hAnsi="Amiri" w:eastAsia="Amiri" w:cs="Amiri"/>
          <w:color w:val="111111"/>
          <w:sz w:val="28"/>
          <w:sz w:val="28"/>
          <w:szCs w:val="28"/>
          <w:rtl w:val="true"/>
          <w:lang w:bidi="ar-SA"/>
        </w:rPr>
        <w:t>على أنّ ما ذكره لا يجدي في دفع الإشكال ، فإنّ الفعل لا أقلّ من كونه جزءا للواجب والمندوب ، فيلزم اتّصافه بالوجوب والندب ، فإنّ جزء الواجب والمندوب يتبعان الكلّ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بعدم التضادّ بينهما فيما إذا كانا غيريّين ، وستعرف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ذلك فيما إذا كان المركّبان ممتازي الوجود ، كما إذا وقع السجود في الصلاة الواجبة والمندوبة ، وأمّا إذا كان فعل واحد في وجوده الواحد جزءا لمركّبين ، أحدهما واجب والآخر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ظاهر الورود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كفاية نفس النيّة ودخولها في الواجب في جعل أحد الفعلين مغايرا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بتلك النيّة أيضا يوجب التغاير والاختلاف ، فلم يعلم وجه للفرق بين دخول النيّة في العمل كأن يكون شطرا منه وبين خروجها كأن تكون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نفي الإشكال عند اجتماع الواجب والمندوب إذا كانا غيريّين أو أحدهما غيريّا والآخر نفسيّا فهو مبنيّ على ما زعمه من نفي التضادّ بين الوجوب والاستحباب إذا كانا غيريّين أو مختلفين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والندب إمّا أن يتّحدا جهة ، بأن يكونا نفسيّين أو غيريّين مع اتّحاد الغير أو لا ، فإن كان الأوّل امتنع الاجتماع</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الاستدلال على 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الثاني جاز الاجتماع ، إذ لو امتنع لكان إمّا باعتبار الرجحان ولا حجر من هذه الجهة ، إذ انضمام الرجحان إلى الرجحان لا يوجب إلاّ تأكّد الرجحان ، أو باعتبار ما تقوّما به من المنع من النقيض وعدمه ولا حجر من هذه الجهة أيضا ، لأنّ الوجوب والندب حيث كانا باعتبار جهتين كان المنع من الترك وعدمه أيضا باعتبارهما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المنع من ترك الفعل لنفسه أو لغيره وبين عدم المنع منه لغيره أو لأمر آخر ، </w:t>
      </w:r>
    </w:p>
    <w:p>
      <w:pPr>
        <w:pStyle w:val="BookText"/>
        <w:rPr/>
      </w:pPr>
      <w:r>
        <w:rPr>
          <w:rFonts w:ascii="Amiri" w:hAnsi="Amiri" w:eastAsia="Amiri" w:cs="Amiri"/>
          <w:color w:val="111111"/>
          <w:sz w:val="28"/>
          <w:sz w:val="28"/>
          <w:szCs w:val="28"/>
          <w:rtl w:val="true"/>
          <w:lang w:bidi="ar-SA"/>
        </w:rPr>
        <w:t xml:space="preserve">فإنّ عدم المنع من النقيض بأحد الاعتبارين راجع إلى عدم اقتضاء ذلك الاعتبار للمنع ، وهو لا ينافي اقتضاء اعتبار آخر 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أوضحه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يصدق على الواجب لنفسه أنّه ليس بواجب لغيره ، وذلك يوجب أن لا يكون ممنوع الترك لغيره ، فإذا انضمّ إليه رجحانه حصل ماهيّة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قاس على ذلك اجتماع الوجوب الغيري والاستحباب النفسي ، وأطال فيما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أنّ اختلاف الوجوب والاستحباب بالغيريّة والنفسيّة ليس إلاّ اختلاف الشيء باعتبار الغايات التي يترتّب على الشيء ، فإنّ الواجب الغيري لا يمايز الواجب النفسي فيما هو مناط المطلوبيّة وما به يتحقّق ملاك صدق الوجوب ، إلاّ من حيث إنّ الوجه في وجوب أحدهما ليس خارجا عن حقيقة المطلوب ، والوجه في الآخر هو ذلك الغير ، ولعلّ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يعقل اجتماع الوجوب والاستحباب فيما إذا كانا نفسيّين لا يعقل اجتماعهما فيما إذا كان أحدهما نفسيّا والآخر غيريّا ، لأنّ مناط التضادّ متحقّق في حقيقة الطلبين ولا مدخل للغاية المترتّبة على المطلوب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ما ذكره فيما إذا قلنا بأنّ الوجوب الغيري ليس من حقيقة الوجوب وإنّما هو من قبيل إسناد الشيء إلى غير ما هو له فإنّ المطلوب هو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فإنّ المتّصف بالوجوب هو الواجب الغيري حقيقة ، والغير إنّما يكون واسطة في ثبوت تلك الصفة له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حجر باعتبار الرجحان لأنّ انضمامه يوجب تأكّده ، فإن أراد أنّ الرجحان بعد انضمامه إلى الرجحان الوجوبي باق بحاله على وجه يشاهد في النفس رجحانان نظير وجودهما بالنسبة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كونه بديهي البطلان وجدانا وبرهانا لاستلزامه اجتماع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ما زعمه من التأكيد بعد </w:t>
      </w:r>
    </w:p>
    <w:p>
      <w:pPr>
        <w:pStyle w:val="BookText"/>
        <w:rPr/>
      </w:pPr>
      <w:r>
        <w:rPr>
          <w:rFonts w:ascii="Amiri" w:hAnsi="Amiri" w:eastAsia="Amiri" w:cs="Amiri"/>
          <w:color w:val="111111"/>
          <w:sz w:val="28"/>
          <w:sz w:val="28"/>
          <w:szCs w:val="28"/>
          <w:rtl w:val="true"/>
          <w:lang w:bidi="ar-SA"/>
        </w:rPr>
        <w:t>الانضمام ؛ لأنّ التأكيد إنّما هو في اندراج أحدهما في الآخر ، كما يلاحظ في اجتماع السوادين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الانضمام يوجب أن يكون أحدهما مندرجا تحت الآخر فذلك اعتراف بامتناع الاجتماع في الحكمين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تحقّق فصل الاستحباب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كونه ممنوع الترك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لا يجدي في الحكم بكون الاستحباب الغيري موجودا بالفعل في مورد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حكم بالامتناع فيما إذا فسّر المندوب بالرجحان مع الإذن في الترك ، وما ذكره من الجواز مقصور على ما إذا فسّر بالرجحان مع عدم المنع من الترك ، وجعل التفسير الثاني أسدّ وأولى نظرا إلى اختلاف الرجحان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وجه فرق بينهما ، فإنّ التحقيق أنّ اختلاف الوجوب والاستحباب إنّما هو بواسطة اختلاف مراتب الطلب شدّة وضعفا ، وليس حقيقة عدم المنع من الترك ولا الإذن في الترك معتبرة في ماهيّة الاستحباب ، وإنّما يفسّر بأحدهما من حيث إنّهما من لوازم تلك المرتبة ، وحينئذ فكما يجوز أخذ عدم المنع من الترك فصلا يجوز أخذ الإذن أيضا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ما ذكره في وجه الأولويّة بالنسبة إلى تفسير المندوب غير وجيه ، فإنّ تلك المراتب حقائق بسيطة تارة ينتزع منها الإذن ، واخرى عدم المنع من الترك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إنّما هو فيما إذا اجتمع الواجب والاستحباب العينيّان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الواجب تخييريّا والاستحباب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كإيجاد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توجيه العبادات المكروهة وجه الصحّة فيها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الأوامر إرشاد إلى مزيّة حاصلة في الأفراد الخاصّة ، كما مرّ فيما سبق</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الاستحباب في أفراد الواجب المخيّر إنّما يلاحظ بالنسبة إلى جهة التخيير ، فيكون المتّصف بالاستحباب هو الواجب بعد اتّصافه بالوجوب التخييري ، ولا تضادّ بين الاستحباب وذلك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والاستحباب إذا اعتبرا في مرتبة واحدة ليكون أحدهما في عرض الآخر في عروضهما للفعل ، فلا ريب في تضادّهما ، فيمتنع اتّصاف محلّ واحد بهما ، من غير فرق بين اختلاف وجههما أو جهتهما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اعتبر الاستحباب مرتّبا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لحوق وصف الاستحباب في موضوع الواجب بعد اتّصافه بالوجوب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تضادّ بينهما ، فإنّه إذا اتّصف الفعل باعتبار تركه المقيّد بعدم الإتيان بالبدل بالوجوب ، فلا بدّ أن يتّصف باعتبار تركه المقيّد بإتيان البدل بحكم آخر ، فترك الفعل على وجه الإطلاق من دون ملاحظة أحد الاعتبارين لا حكم له ، وتركه بالاعتبار الأوّل ممّا لا يجوز ، وبالاعتبار الثاني ممّا يجوز ، وهذا الاعتبار قد يصير راجحا فيكون الفعل مكروها ، وقد يكون مرجوحا فيكون الفعل مستحبّا ، وقد يبقى بحاله فيكون الفعل من هذه الجهة جائز الترك فقط ، ولا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بالاعتبار الثاني واقع في عرض الفعل بالاعتبار الأوّل فيجوز اتّصافه بالاستحباب والكراهة ، بل ولا بدّ ذلك بناء على عدم خلوّ الواقعة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اتّصافه بالاعتبار الثاني بالحرمة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طريان الوجوب على الفعل باعتبار تركه لا إلى بدل مانع عن اتّصاف ذلك الفعل باعتبار تركه إلى بدل بالحرمة ، لأنّ ذلك يوجب انقلاب الواجب التخييري إلى الواجب العيني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فمناط هذا الجواب هو منع التضادّ بين الوجوب التخييري والاستحباب والكراهة ، فإنّ جنس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الوجوب التخييري ، ومحل الوجوب هو الفعل باعتبار تركه الخاصّ ، ومحلّ الاستحباب هو الفعل باعتبار تركه إلى بدل ، كذا أفاده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اسمه في سماء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دقّق النظر في هذه الإفادة ، ولكنّه بعد غير خال من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بالواجب التخييري الشرعي ، فانّه قد عرفت انعقاد إجماعهم على امتناع اجتماع الكراهة بالمعنى المصطلح والاستحباب بمعناه والوجوب في الواجب التخييري الشرعي ، ولذلك كان الجواب الأوّل عن النقض بالعبادات المكروهة النقض بالواجب التخييري الشرعي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اتّصاف الفعل بوجوبين فيما لو نذر إيجاد الفعل في مكان خاصّ ، فإن الفعل باعتبار تركه لا إلى بدل متّصف بالوجوب الأصلي ، وباعتبار تركه إلى بدل متّصف بالوجوب الثابت بالنذر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اتّصاف الفعل بالاستحباب والكراهة بعد اتّصافه بالوجوب على أن يكون موضوع الكراهة والاستحباب هو الفعل الواجب هو المحذور في جميع المقامات السابقة ، ولا نجد فرقا في استحالته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ممّا ذكره بعض الأجلّة </w:t>
      </w:r>
      <w:r>
        <w:rPr>
          <w:rStyle w:val="FootnoteAnchor"/>
          <w:rtl w:val="true"/>
        </w:rPr>
        <w:footnoteReference w:id="1370"/>
      </w:r>
      <w:r>
        <w:rPr>
          <w:rFonts w:ascii="Amiri" w:hAnsi="Amiri" w:eastAsia="Amiri" w:cs="Amiri"/>
          <w:color w:val="111111"/>
          <w:sz w:val="28"/>
          <w:sz w:val="28"/>
          <w:szCs w:val="28"/>
          <w:rtl w:val="true"/>
          <w:lang w:bidi="ar-SA"/>
        </w:rPr>
        <w:t>في توجيه اجتماع الوجوب النفسي والاستحباب الغيري ،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في الردّ على المقالة المذكورة ، مع أنّ ما أفاده لا ينقص منها مفسدة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التخييري مع الاستحباب العيني</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التخييريّان ، فنظير اجتماع الواجب التخييري مع المكروه فيما إذا كان بين العنوانين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أوجه الوجوه في توجيه اجتماعهما هو القول بوجود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الجواب المذكور ، لأنّ الاستحباب بمعنى أفضليّته من سائر الأفراد لا يتأتّى في الأفراد التي لا اجتماع فيها مع الوجوب ، فيوجب استعمال اللفظ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الإرشاد ، وثانيهما الطلب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تمام الكلام في الحلّ عن الاستدلال النقضي بالعبادات المكروهة ، وهو الوجه الأوّل من وجوه استدلالهم</w:t>
      </w:r>
      <w:r>
        <w:rPr>
          <w:rFonts w:eastAsia="Amiri" w:cs="Amiri" w:ascii="Amiri" w:hAnsi="Amiri"/>
          <w:color w:val="111111"/>
          <w:sz w:val="28"/>
          <w:szCs w:val="28"/>
          <w:rtl w:val="true"/>
          <w:lang w:bidi="ar-SA"/>
        </w:rPr>
        <w:t xml:space="preserve">. </w:t>
      </w:r>
      <w:bookmarkStart w:id="429" w:name="pg16254_218934"/>
    </w:p>
    <w:p>
      <w:pPr>
        <w:pStyle w:val="Heading4"/>
        <w:numPr>
          <w:ilvl w:val="3"/>
          <w:numId w:val="1"/>
        </w:numPr>
        <w:rPr/>
      </w:pPr>
      <w:bookmarkStart w:id="430" w:name="__RefHeading___Toc4418400_1280447820"/>
      <w:bookmarkStart w:id="431" w:name="_Toc137"/>
      <w:bookmarkEnd w:id="429"/>
      <w:bookmarkEnd w:id="430"/>
      <w:r>
        <w:rPr>
          <w:rtl w:val="true"/>
        </w:rPr>
        <w:t xml:space="preserve">الثاني </w:t>
      </w:r>
      <w:r>
        <w:rPr>
          <w:rtl w:val="true"/>
        </w:rPr>
        <w:t xml:space="preserve">: </w:t>
      </w:r>
      <w:r>
        <w:rPr>
          <w:rtl w:val="true"/>
        </w:rPr>
        <w:t>من وجوه احتجاجهم على الجواز</w:t>
      </w:r>
      <w:bookmarkEnd w:id="431"/>
    </w:p>
    <w:p>
      <w:pPr>
        <w:pStyle w:val="BookText"/>
        <w:rPr/>
      </w:pPr>
      <w:r>
        <w:rPr>
          <w:rFonts w:ascii="Amiri" w:hAnsi="Amiri" w:eastAsia="Amiri" w:cs="Amiri"/>
          <w:color w:val="111111"/>
          <w:sz w:val="28"/>
          <w:sz w:val="28"/>
          <w:szCs w:val="28"/>
          <w:rtl w:val="true"/>
          <w:lang w:bidi="ar-SA"/>
        </w:rPr>
        <w:t>أنّ المقتضي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الخطابات الشرعيّة القاضية بحصول الامتثال والمخالفة في مورد اجتماع الأمر والنهي عند الإتيان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المانع إمّا التكليف بما لا يطاق أو اجتماع الضدّين ، ولا يلزم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فظاهر بعد اعتبار المندوحة في محلّ النزاع ، فإنّ وجه اعتبارها إنّما هو بواسطة دفع هذا التوهّم ، وإلاّ فكما أنّ تعدّد الجهتين مجد بالنسبة إلى المحذور الآتي فيما فيه المندوحة فكذلك هو مجد فيما ليس فيه المندوحة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 محلّي الأمر والنهي ، فإنّ الأمر متعلّق بماهيّة الصلاة والنهي متعلّق بماهيّة الغصب في المثال المعروف ، ولا ريب أنّ إحدى الماهيّتين مغايرة مع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الطبيعتين في الفرد لا يوجب اتّصاف الفرد بالضدّين ، لعدم تعلّق الطلب به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الطلب المقدّمي من حيث إنّ الفرد مقدّمة لوجود الكلّي فلا نسلّم ثبوته أوّلا ، وعلى تقدير التسليم فليس المطلوب المقدّمي إلاّ فردا ما ، وإيجاد هذا المفهوم في ضمن فرد خاصّ إنّما هو مثل إيجاد الماهيّة المأمور بها في ضمن أفرادها ، فإنّ فردا ما أيضا كلّي ، فيرجع الأمر بالأخرة إلى اتّصاف الفرد الموجود في الخارج بالوجوب المقدّمي التبعي التخييري العقلي ، وهو توصّليّ لا مانع من اجتماعه مع الحرام ، وذلك لا يوجب انقلاب الواجب التعبّدي بالتوصّلي ، لأنّ </w:t>
      </w:r>
    </w:p>
    <w:p>
      <w:pPr>
        <w:pStyle w:val="BookText"/>
        <w:rPr/>
      </w:pPr>
      <w:r>
        <w:rPr>
          <w:rFonts w:ascii="Amiri" w:hAnsi="Amiri" w:eastAsia="Amiri" w:cs="Amiri"/>
          <w:color w:val="111111"/>
          <w:sz w:val="28"/>
          <w:sz w:val="28"/>
          <w:szCs w:val="28"/>
          <w:rtl w:val="true"/>
          <w:lang w:bidi="ar-SA"/>
        </w:rPr>
        <w:t>التعبّدي هي الطبيعة التي يكون الفرد مقدّمة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هذا المسلك غير واحد من المجوّزين </w:t>
      </w:r>
      <w:r>
        <w:rPr>
          <w:rStyle w:val="FootnoteAnchor"/>
          <w:rtl w:val="true"/>
        </w:rPr>
        <w:footnoteReference w:id="1371"/>
      </w:r>
      <w:r>
        <w:rPr>
          <w:rFonts w:ascii="Amiri" w:hAnsi="Amiri" w:eastAsia="Amiri" w:cs="Amiri"/>
          <w:color w:val="111111"/>
          <w:sz w:val="28"/>
          <w:sz w:val="28"/>
          <w:szCs w:val="28"/>
          <w:rtl w:val="true"/>
          <w:lang w:bidi="ar-SA"/>
        </w:rPr>
        <w:t xml:space="preserve">وأوضحه المحقّق القمّي رحمه‌اللّه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ذلك مبنيّ على مقدّمات غير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المقدّمة ولا سيّما فيما إذا كان ذوها متّحدا معها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على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الطبيعة والفرد باتّصاف أحدهما بالوجوب التعبّدي والآخر بالوجوب التوصّلي ، وكلّ ذلك ممّا لا محصّل له ؛ لأنّ وجوب المقدّمة ضروريّ بالمعنى المتنازع فيه ، ولا سيّما فيما إذا كانت متّحدة مع ذيها في الوجوب ، على أنّ مقدّمية الفرد للطبيعة ممّا لم نقف لها على محصّل ، فإنّ الفرد على ما هو التحقيق ليس إلاّ عين الطبيعة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يوجّه عدم المانع على وجه لا يبتني على هذه المقدّمات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الجامع للعنوانين إنّما هو متّصف بالحرمة العينيّة بناء على اقتضاء النهي استيعاب أفراد الماهيّة المنهيّ عنها ، وليس متّصفا بالوجوب المتضادّ للحرمة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المتوهّم اتّصاف الفرد به إمّا العيني أو التخييري ، وعلى الثاني إمّا أن يكون شرعيّا أو عقليّا ، والأوّلان ظاهر انتفاؤهما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الوجوب العيني إنّما هو متعلّق بالطبيعة ، وليس الفرد واجبا عينيّا ، وإلاّ لاستلزم إمّا وجوب جميع الأفراد أو عدم حصول الإجزاء بفرد آخر ، والتالي بقسميه باطل ، ضرورة عدم وجوبها وحصول الإجزاء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ظاهرة جدّا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حكم للماهيّة يستلزم سراية ذلك الحكم إلى الأفراد </w:t>
      </w:r>
    </w:p>
    <w:p>
      <w:pPr>
        <w:pStyle w:val="BookText"/>
        <w:rPr/>
      </w:pPr>
      <w:r>
        <w:rPr>
          <w:rFonts w:ascii="Amiri" w:hAnsi="Amiri" w:eastAsia="Amiri" w:cs="Amiri"/>
          <w:color w:val="111111"/>
          <w:sz w:val="28"/>
          <w:sz w:val="28"/>
          <w:szCs w:val="28"/>
          <w:rtl w:val="true"/>
          <w:lang w:bidi="ar-SA"/>
        </w:rPr>
        <w:t>كما في الأوصاف اللاحقة للماهيّة باعتبار وجودها الخارجي ، كالبياض والسواد والحلاوة والمرارة والبرودة والحرارة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 الطبيعة بالوجوب العيني ليس من قبيل اتّصافها بأوصافها القائمة بها باعتبار وجودها في الخارج ، وإلاّ لاستلزم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اتّصاف الجميع بالوجوب العيني وعدم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اتّصاف الفرد بالوجوب التخييري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الامور الواضحة التي لا يليق توهّم خلافه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التخييري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عدم اتّصاف الفرد به يحتاج إلى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ليس من الأحكام التكليفيّة العقليّة ، بل التحقيق أنّ مرجعه إلى إذن وضعيّ وترخيص لا يؤول إلى التكليف من حيث مساواة الأفراد في نظر العقل حيث إنّها ممّا يحصل معها الامتثال بالواجب العيني ، وحاصله يرجع إلى التصديق بأنّ الطبيعة المطلوبة إنّما تتحقّق في هذه الأفراد ، وليس ذلك ممّا ينافي حرمة واحد من هذه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هذه ، فإن اريد من اتّصاف الفرد بالوجوب العقلي التخييري ما ذكرنا ، فقد عرفت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معنى آخر مثل حكم الشارع بالتخيير بين أفراد ماهيّات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يتّصف كلّ واحد منها بالمطلوبيّة التخييريّة ، فلا نسلّم أنّ الفرد متّصف بالوجوب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 العقل بالامتثال راجع إلى امتثال الواجب العيني ، ولا حكم له في الأفراد بوجه إلاّ ما عرفت من التصديق ، وهو ليس حكما تكليفيّا ، كما هو ظاهر</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من عدم اتّصاف الفرد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مناط الامتثال؟ ومن أي وجه يتّصف بالصحّة التي لا يراد بها إلاّ مطابقة الفعل للمأمور به؟ ومن المعلوم أنّ ذلك غير معقول على تقدير عدم تعلّق الأمر به بوجه لا عينا ولا تخييرا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الطبيعة المأمور بها على الفرد وتحقّقها فيه كاف في الصحة وانتزاعها ، ولا حاجة إلى اعتبار أمر خارج عن الأمر المتعلّق بالطبيعة في الفرد حتّى يتّصف بالصحّة ويكون موردا لانتزاعها ، بل وهذا هو الوجه في اتّصاف الفرد بالصحّة ولو في غير الأفراد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المصلحة والمفسدة التي هما جهتا ثبوت الوجوب والحرمة أيضا ممتنع ، والفرد المحرّم لا بدّ وأن يكون مجمعا لهما وإن لم يجتمع فيه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بالمصلحة والمفسدة الحسن والقبح الفعليّان فلا نسلّم اجتماعهما في الفرد ، فإنّ اجتماعهما في الفرد يوجب اجتماع الوجوب والحرمة ، فإنّهما علّتان تامّتان لهما ، والمفروض عدم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وجود الجهات المقتضية للحسن والقبح ، فلا نسلّم امتناع اجتماعهما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لا ينبغي التأمّل في ثبوته ، كما يلاحظ في الأدوية المضرّة للسوداء النافعة لما يضادّها ، وفي الأغذية النافعة لبعض الأمراض والموجبة لبعض آخر ، فإنّ كلّ ذلك ممّا يشاهد بالوجدان ، وليس فيه استحالة من حيث اجتماع الحب والبغض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الحبّ والبغض هو نفس تلك الجهات ، ولا سراية إلى ما </w:t>
      </w:r>
      <w:r>
        <w:rPr>
          <w:rStyle w:val="FootnoteAnchor"/>
          <w:rtl w:val="true"/>
        </w:rPr>
        <w:footnoteReference w:id="1373"/>
      </w:r>
      <w:r>
        <w:rPr>
          <w:rFonts w:ascii="Amiri" w:hAnsi="Amiri" w:eastAsia="Amiri" w:cs="Amiri"/>
          <w:color w:val="111111"/>
          <w:sz w:val="28"/>
          <w:sz w:val="28"/>
          <w:szCs w:val="28"/>
          <w:rtl w:val="true"/>
          <w:lang w:bidi="ar-SA"/>
        </w:rPr>
        <w:t>يشتمل على تلك الجهات</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يظهر بعد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الكلّي الطبيعي في الخارج ، ومعنى وجوده هو أنّ الصورة الكلّية المطابقة لكثيرين المنتزعة من الصورة الشخصيّة الحاضرة في الخيال بتجريدها عن </w:t>
      </w:r>
    </w:p>
    <w:p>
      <w:pPr>
        <w:pStyle w:val="BookText"/>
        <w:rPr/>
      </w:pPr>
      <w:r>
        <w:rPr>
          <w:rFonts w:ascii="IRNazanin" w:hAnsi="IRNazanin" w:eastAsia="IRNazanin"/>
          <w:color w:val="111111"/>
          <w:sz w:val="28"/>
          <w:sz w:val="28"/>
          <w:szCs w:val="28"/>
          <w:rtl w:val="true"/>
          <w:lang w:bidi="fa-IR"/>
        </w:rPr>
        <w:t xml:space="preserve">لوازم </w:t>
      </w:r>
      <w:r>
        <w:rPr>
          <w:rStyle w:val="FootnoteAnchor"/>
          <w:rtl w:val="true"/>
        </w:rPr>
        <w:footnoteReference w:id="1375"/>
      </w:r>
      <w:r>
        <w:rPr>
          <w:rFonts w:ascii="Amiri" w:hAnsi="Amiri" w:eastAsia="Amiri" w:cs="Amiri"/>
          <w:color w:val="111111"/>
          <w:sz w:val="28"/>
          <w:sz w:val="28"/>
          <w:szCs w:val="28"/>
          <w:rtl w:val="true"/>
          <w:lang w:bidi="ar-SA"/>
        </w:rPr>
        <w:t>الشخصيّة من الأوضاع الخاصّة والكيفيّات المخصوصة تارة تلاحظ في نفسها ولا يحكم عليها بالوجود ذهنا ولا خارجا ولا بالكلّية والجزئيّة ، ضرورة أنّ هذه كلّها أوصاف خارجة عن الماهيّة طارئة عليها وإن كانت متّصفة بالوجود الذهني في الواقع ، فإنّ عدم اتّصافها به يوجب التعامي عن بيان أحكامها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تلاحظ من حيث إنّها متّصفة بالوجود ذهنا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فهو فرد من مفهوم الصور الذهنيّة ومصداق من مصاديق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فرد من أفراد تلك الماهيّة في الخارج ، فالفرد ليس إلاّ تلك الماهيّة عند اتّصافها بالوجود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ليس إلاّ الطبيعة الخارجيّة ، ولا يعقل من الفرد سوى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الكلّي بالمعنى المذكور من الامور الواضحة الجليّة التي لا يتوقّف العلم به على ملاحظة أمر خارج عن طرفي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تنبيه ، حيث إنّ الطبيعة لا بشرط شيء ربما يتوهّم أنّ مقارنة شيء لها مانعة عن وجودها ، وحمل ما هو المعروف في الاستدلال من حديث الجزئيّة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يحتاج إلى التنبيه من هذه الجهة أيضا ؛ فإنّ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الوجود الذي به يتحقّق تلك المأخوذة لا بشرط شيء ، ولا يعقل ممانعة الوجود المقارن عن اتّصاف الماهيّة لا بشرط شيء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المقارن هو وجودها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ما هو المعروف عندهم في تقريب الاستدلال بالجزئيّة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الماهيّة بشرط شيء موجودة في الخارج واللابشرط جزء منها وجزء الموجود الخارجي موجود ، لا يخلو عن مسامحة ومساهلة ، حيث إنّ المركّب ليس إلاّ الماهيّة </w:t>
      </w:r>
    </w:p>
    <w:p>
      <w:pPr>
        <w:pStyle w:val="BookText"/>
        <w:rPr/>
      </w:pPr>
      <w:r>
        <w:rPr>
          <w:rFonts w:ascii="Amiri" w:hAnsi="Amiri" w:eastAsia="Amiri" w:cs="Amiri"/>
          <w:color w:val="111111"/>
          <w:sz w:val="28"/>
          <w:sz w:val="28"/>
          <w:szCs w:val="28"/>
          <w:rtl w:val="true"/>
          <w:lang w:bidi="ar-SA"/>
        </w:rPr>
        <w:t>والوجود الذي به يتحقّق تلك الماهيّة ، وظاهر كلامهم يعطي أنّ المركّب موجود على وجه لا يشعر بأنّ الجزء الآخر هو الوجود في هذا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قد تردّد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الكلّي موجودا لكان إمّا نفس الجزئيّات أو جزئها أو خارجا عنها ، والأقسام بأسرها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عين الجزئيّات يلزم أن يكون كلّ واحد من الجزئيّات عين الآخر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جزءا منها في الخارج لتقدّم عليه في الوجود ، ضرورة أنّ الجزء الخارجي ما لم يتحقّق أوّلا وبالذات لم يتحقّق الكلّ ، وذلك يوجب انتفاء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فضروريّ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لنا اختيار كلّ من الشقّين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فنختار أنّ الكلّي عين الأفراد في الخارج ، ولا يلزم اتّحاد الأفراد والجزئيّات ؛ لأنّ ذلك إنّما يلزم فيما لو سلّم ثبوت المقدّمة الخارجيّة في قياس المساواة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عين العين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المقدّمة غير مسلّمة ، فإنّ معنى عينيّة الكلّي الطبيعي للفرد هو أنّ الفرد عبارة عن الماهيّة الخارجيّة ، وحيث إنّ الوجود والماهيّة متّحدان في الخارج لا فاصل بينهما يكون أحدهما عين الآخر ، فالطبيعة عين الفرد ، وأين ذلك من اتّحاد الأفراد؟ لاختلاف الوجودات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فنختار أنّ الكلّي جزء للأفراد ويكون الجزء الآخر هو الوجود الذي به يتحقّق الكلّي ، ولا يلزم تقدّم الجزء في الوجود على الكلّ فيما إذا كان أحد جزئي المركّب هو وجود الجزء الآخر</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ليس إلاّ وجود الكلّي والطبيعة الموجودة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تقرّر ما ذكرنا من وجود الكلّي الطبيعي بالمعنى المذكور ، نقول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 الفرد متّصف بالوجوب العيني المتّصف به نفس الطبيعة ، فإنّ فرد الصلاة التي هي واجبة عينا ليس إلاّ وجود تلك الصلاة الواجبة في الخارج ، فهو الواجب العيني الموجود في الخارج ، بل وذلك ممّا لا مناص عنه ، إذ لولاه لما صحّ الامتثال ، إذ لا يعقل أن يكون المطلوب هو الفرد </w:t>
      </w:r>
      <w:r>
        <w:rPr>
          <w:rStyle w:val="FootnoteAnchor"/>
          <w:rtl w:val="true"/>
        </w:rPr>
        <w:footnoteReference w:id="1376"/>
      </w:r>
      <w:r>
        <w:rPr>
          <w:rFonts w:ascii="Amiri" w:hAnsi="Amiri" w:eastAsia="Amiri" w:cs="Amiri"/>
          <w:color w:val="111111"/>
          <w:sz w:val="28"/>
          <w:sz w:val="28"/>
          <w:szCs w:val="28"/>
          <w:rtl w:val="true"/>
          <w:lang w:bidi="ar-SA"/>
        </w:rPr>
        <w:t>وما يسقط به الطلب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الفرد يوجب اتّصاف الجميع بالوجوب العيني أو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فظاهر ، لأنّا لا نلتزم باتّصاف فرد واحد بالوجوب حتّى يلزم عدم الإجزاء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ترجيح بلا مرجّح ، لاستواء الكلّ في حصول الماهيّة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 فلأنّه إن اريد من اتّصاف الأفراد جميعها بالوجوب العيني أنّ واحدا منها غير مجز عن الآخر ، فالملازمة ممنوعة ، إذ الوجوب العيني الذي يتّصف به الماهيّة ليس إلاّ عدم كفاية ماهيّة اخرى عنها ، وعدم إجزاء فرد منها عن الفرد الآخر ليس ماخوذا في الوجوب العيني ، وهو بعينه موجود في جميع الأفراد ، لعدم كفاية فرد آخر للماهيّة المغايرة لتلك الماهيّة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 اتّصافها بالوجوب العيني أنّ كلّ واحد منها عين الطبيعة الواجبة بالوجوب العيني وإن كان إتيان بعض أفرادها مسقطا للطلب المتعلّق بها ، فالملازمة ظاهرة مسلّمة ، ولكن بطلان التالي ممنوع ، بل ولا بدّ أن يكون كذلك كما عرفت</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أنّ الفرد متّصف بالوجوب التخييري العقلي الذي لا يرجع إلى خطاب تكليفي ، وهو يوجب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الضدّين يتصوّر على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شيء واحد شخصي باعتبار جهة واحدة متّصفا بالمتضادّين كالسواد والبياض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شيء واحد شخصي مصداقا لطبيعتين متغايرتين مفهوما ، ويكون كلّ واحدة من تينك الطبيعتين محلاّ لواحد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الاستحالة بين القسمين ؛ ضرورة أنّ المتّصف بالضدّين على الثاني أيضا هو المصداق ، فإنّ الوجوب والحرمة كالبياض والسواد والحركة والسكون من الأوصاف اللاحقة للماهيّة باعتبار الوجود ، ولا ريب أنّ الطبيعتين متّحدتان وجودا وإن اختلفتا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ملاحظتهما في الذهن على وجه 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لها في اتّصافهما بالضدّين ، لأنّ الضدّين على ما هو المفروض من الأوصاف الخارجية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مقارنتهما في الوجود الخارجي واتّحادهما فيه كما يكشف عنه حمل إحداهما </w:t>
      </w:r>
      <w:r>
        <w:rPr>
          <w:rStyle w:val="FootnoteAnchor"/>
          <w:rtl w:val="true"/>
        </w:rPr>
        <w:footnoteReference w:id="1377"/>
      </w:r>
      <w:r>
        <w:rPr>
          <w:rFonts w:ascii="Amiri" w:hAnsi="Amiri" w:eastAsia="Amiri" w:cs="Amiri"/>
          <w:color w:val="111111"/>
          <w:sz w:val="28"/>
          <w:sz w:val="28"/>
          <w:szCs w:val="28"/>
          <w:rtl w:val="true"/>
          <w:lang w:bidi="ar-SA"/>
        </w:rPr>
        <w:t xml:space="preserve">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المحذور المحال ؛ 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الطبيعة المأمور بها في الفرد المحرّم كاف في الامتناع ؛ لأنّ ذلك أيضا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اجتماع الضدّين في مورد باعتبار اتّصاف المورد بأحدهما بنفسه وبالآخر باعتبار حصول الطبيعة الاخرى فيه ، فإنّ ما نحن فيه يكون اتّصاف الفرد بالحرمة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في الفرد المحرّم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وبالوجوب باعتبار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ذكرنا ؛ لأنّ الفرد المحرّم اتّصافه بالحرمة أيضا باعتبار الصدق ، كما لا يخفى</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ذكرنا بين أن يكون الطبيعتان كلتاهما عرضيّتين للمورد الجامع بينهما ، أو إحداهما ذاتيّة والاخرى عرضيّة ، أو كلتاهما ذاتيّتين ، إلاّ أنّه لا يعقل </w:t>
      </w:r>
    </w:p>
    <w:p>
      <w:pPr>
        <w:pStyle w:val="BookText"/>
        <w:rPr/>
      </w:pPr>
      <w:r>
        <w:rPr>
          <w:rFonts w:ascii="Amiri" w:hAnsi="Amiri" w:eastAsia="Amiri" w:cs="Amiri"/>
          <w:color w:val="111111"/>
          <w:sz w:val="28"/>
          <w:sz w:val="28"/>
          <w:szCs w:val="28"/>
          <w:rtl w:val="true"/>
          <w:lang w:bidi="ar-SA"/>
        </w:rPr>
        <w:t>العموم من وجه حينئذ كما هو ظاهر ، فلا بدّ أن يكون بينهما عموم مطلق ، إذ يكفي في اجتماع الضدّين المحال اجتماعهما في مورد واحد على ما هو مناط الحمل ، سواء كان المحلاّن المتّحدان أصيلين في المورد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اتّحادهما بوجه لو فرض انتفاء أحدهما يلزم انتفاء الآخر ، فإنّ ذلك ممّا لا يعقل مدخليّته في الاستحالة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الغصب والصلاة في محلّ الكلام يرتفع أحدهما مع بقاء الآخر ، كما لو أبطل الصلاة أو حصل له الإذن في الصلاة ، وذلك دليل 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 فإنّه كلام ظاهريّ خال عن التحصيل ، فإنّ مناط الحمل إمّا أن يكون موجودا أو لا يكون ، والثاني باطل ضرورة صحّة الحمل في المثال المفروض حال عدم الإذن ، والأوّل موجب للمحال ، فإنّ حمل الأسود على ما هو أبيض وحمل المتحرّك على ما هو ساكن وحمل الواجب على ما هو حرام محال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هذه المقالة أوضح من أن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الارتفاع فهو مشترك الورود بين الذاتيّات والعرضيّات ، كما لا يخفى على المتأمّل ؛ ومع ذلك لا يجدي شيئا بعد ظهور المناط فيما يوجب المحال ، فكن على بصيرة وتدبّر حتّى لا يشتبه عليك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عن التقرير الأوّل في ارتفاع المانع ، فإنّ الفرد عين الكلّي في الخارج ، ولا يعقل أن يكون وجوب الكلّي تعبّديا والفرد توصّليا حتّى يقال بأنّ وجوب الفرد على تقدير وجوب المقدّمة توصّلي يجتمع مع الحرام</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اشتهر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تعدّد الجهات فيما إذا كانت تقييديّة مجد في عدم اجتماع الضدّين في محلّ واحد </w:t>
      </w:r>
      <w:r>
        <w:rPr>
          <w:rStyle w:val="FootnoteAnchor"/>
          <w:rtl w:val="true"/>
        </w:rPr>
        <w:footnoteReference w:id="1378"/>
      </w:r>
      <w:r>
        <w:rPr>
          <w:rFonts w:ascii="Amiri" w:hAnsi="Amiri" w:eastAsia="Amiri" w:cs="Amiri"/>
          <w:color w:val="111111"/>
          <w:sz w:val="28"/>
          <w:sz w:val="28"/>
          <w:szCs w:val="28"/>
          <w:rtl w:val="true"/>
          <w:lang w:bidi="ar-SA"/>
        </w:rPr>
        <w:t>، فهو كلام غير خال عن شوب الإبهام والإجمال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ضمّ قيود عديدة متباينة بأمر واحد لا يكون أحدها أو نقيضه معتبرا في حقيقة ذلك الأمر الواحد ليصحّ التقييد به وبما يضادّه كالفصول اللاحقة للأجناس ، أو بما يخالفه </w:t>
      </w:r>
      <w:r>
        <w:rPr>
          <w:rStyle w:val="FootnoteAnchor"/>
          <w:rtl w:val="true"/>
        </w:rPr>
        <w:footnoteReference w:id="1379"/>
      </w:r>
      <w:r>
        <w:rPr>
          <w:rFonts w:ascii="Amiri" w:hAnsi="Amiri" w:eastAsia="Amiri" w:cs="Amiri"/>
          <w:color w:val="111111"/>
          <w:sz w:val="28"/>
          <w:sz w:val="28"/>
          <w:szCs w:val="28"/>
          <w:rtl w:val="true"/>
          <w:lang w:bidi="ar-SA"/>
        </w:rPr>
        <w:t>في الجملة كما إذا كان بين القيدين مباينة جزئيّة ، كالبغدادي والأبيض العارضين للإنسان مثلا ، على ما هو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حقيقة التقييد إلاّ فيما إذا كان المقيّد أمرا عامّا قابلا لورود القيود المعتورة عليه ، وإذا فرضنا اختلاف أحكام تلك القيود يجب أن يكون المقيّد بها خاليا عن تلك الأحكام ، مثل ما لو فرض وجوب أحد النوعين وحرمة الآخر ، فإنّه لا بدّ وأن يكون الجنس غير متّصف بالوجوب والحرمة ، وذلك من الامور الواضحة التي لا يكاد يعتريها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على ما مرّ إنّما هو في فرد جامع لعنوانين ، وتطبيق ذلك على الجهات التقييديّة غير معقول ، فإنّ ذلك الفرد الجامع ليس من الامور القابلة لاعتوار القيدين المختلفين عليه على وجه يحصل من انضمام كلّ واحد من القيدين به فرد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فرد لتينك الماهيّتين ، فلا يعقل تقيّده بهما على وجه يحصل فردان متمايزان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ذلك في مثل ماهيّة السجود الذي يحتمل وقوعه على وجه التعظيم لله والإهانة ، فإنّ التقيّد بكونه لله يوجب اختلافه معه فيما لو كان مقيّدا بكونه للشمس ، فيصحّ اختلاف الفردين في الحكم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المسألة على أن تكون الجهات المعتبرة في الواحد الشخصي تقييديّة فيجوز أو تعليليّة فلا يجوز ، إن أراد أنّه يمكن أخذ الجهة تقييديّة في الواحد الشخصي كما يمكن أخذها تعليليّة ، والكلام إنّما هو مبنيّ على تشخيص ذلك فإن كان اعتبار الجهة من التقييد فيجوز وإن كان من التعليل </w:t>
      </w:r>
    </w:p>
    <w:p>
      <w:pPr>
        <w:pStyle w:val="BookText"/>
        <w:rPr/>
      </w:pPr>
      <w:r>
        <w:rPr>
          <w:rFonts w:ascii="Amiri" w:hAnsi="Amiri" w:eastAsia="Amiri" w:cs="Amiri"/>
          <w:color w:val="111111"/>
          <w:sz w:val="28"/>
          <w:sz w:val="28"/>
          <w:szCs w:val="28"/>
          <w:rtl w:val="true"/>
          <w:lang w:bidi="ar-SA"/>
        </w:rPr>
        <w:t>فلا يجوز ، فهو كلام خال عن التحصيل ؛ لما عرفت من عدم معقوليّة التقييد فيما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الاجتماع في الكلّي القابل للقيدين جائز من حيث قبوله للقيدين ولا يجوز فيما اجتمع فيه المقيّدان ، فهو حقّ لكنّه ليس من مباني المسألة ، لأنّ الكلام إنّما هو في الثاني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فالكلام في المقام إنّما هو فيما إذا اجتمع الطبيعتان المقيّدتان في مورد واحد ، والقول بأنّ تينك الطبيعتين جهتان تقييديّتان لذلك المورد ممّا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تانك الطبيعتان من أصناف كلّي آخر فوقهما ، فيكون جهة اختلافهما من الجهات التقييديّة بالنسبة إلى ذلك الكلّي الفوق ، لا بالنسبة إلى فردهما وإن فرض كون الفرد أيضا كلّيا ، فإن فرض كلّية ذلك المورد يجوز لحوق قيد آخر به لا ما هو معتبر في فرديّته ، من غير فرق في ذلك بين كون الجهتين عرضيّتين أو إحداهما ذاتيّة والاخرى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المجوّز إنّما يدّعي عدم التضادّ بين الأمر والنهي ، أو يدّعي جواز اجتماعهما في مورد واحد باعتبار جهتين على وجه لا يصير اختلاف الجهة موجبا لاختلاف المحلّ في الوجود الخارجي ، أو يدّعي أن الجهتين في المقام توجب التعدّد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أوضح من أن يحتاج إلى بيان ، فإنّ رفع التضادّ يوجب اجتماعهما في الواحد من جهة واحدة مع أنّه ممّا لم يتفوّه به عاقل</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ما يوضح فساده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والحرمة من الأوصاف المنتزعة من الأفعال باعتبار وجودها في الخارج كالحسن والقبح ، ولا سبيل إلى انتزاعهما من الأفعال الذهنيّة وإن تعلّق الطلب من الآمر بالطبائع حال وجودها في الذهن ، فإنّ المطلوب ليس تلك الماهيّات المتصوّرة ، وإلاّ لما توقّف الامتثال على إيجاد تلك الطبائع في الخارج ، فموارد انتزاع الوجوب والحرمة إنّما هي </w:t>
      </w:r>
      <w:bookmarkStart w:id="432" w:name="pg16254_218945"/>
    </w:p>
    <w:p>
      <w:pPr>
        <w:pStyle w:val="BookText"/>
        <w:rPr/>
      </w:pPr>
      <w:bookmarkEnd w:id="432"/>
      <w:r>
        <w:rPr>
          <w:rFonts w:ascii="Amiri" w:hAnsi="Amiri" w:eastAsia="Amiri" w:cs="Amiri"/>
          <w:color w:val="111111"/>
          <w:sz w:val="28"/>
          <w:sz w:val="28"/>
          <w:szCs w:val="28"/>
          <w:rtl w:val="true"/>
          <w:lang w:bidi="ar-SA"/>
        </w:rPr>
        <w:t xml:space="preserve">الأفعال الخارجيّة ، وبعد اتّحاد الموردين في الوجود الخارجي يلزم وجود الضدّين في ذلك الموجود الواحد وإن كان بواسطة اجتماع الطبيعتين ، وهو محال ، وإلاّ لزم اتّصاف جسم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 والبياض بواسطة اجتماع عنوانين موجودين فيه ، ككونه بغداديّا وكونه من بني أسد مثلا لو فرضنا اقتضاء كلّ واحد منهما لأحد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فبداهة فساده يصرفنا عن الإطالة في إبطاله ؛ ضرورة صحّة الحمل الذي مناطه هو اتّحاد الوجود ولو على وجه ، كما هو ظاهر</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418402_1280447820"/>
      <w:bookmarkStart w:id="434" w:name="_Toc138"/>
      <w:bookmarkEnd w:id="433"/>
      <w:r>
        <w:rPr>
          <w:rtl w:val="true"/>
        </w:rPr>
        <w:t xml:space="preserve">الثالث </w:t>
      </w:r>
      <w:r>
        <w:rPr>
          <w:rtl w:val="true"/>
        </w:rPr>
        <w:t xml:space="preserve">: </w:t>
      </w:r>
      <w:r>
        <w:rPr>
          <w:rtl w:val="true"/>
        </w:rPr>
        <w:t>من وجوه احتجاجهم على الجواز</w:t>
      </w:r>
      <w:bookmarkEnd w:id="434"/>
    </w:p>
    <w:p>
      <w:pPr>
        <w:pStyle w:val="BookText"/>
        <w:rPr/>
      </w:pPr>
      <w:r>
        <w:rPr>
          <w:rFonts w:ascii="Amiri" w:hAnsi="Amiri" w:eastAsia="Amiri" w:cs="Amiri"/>
          <w:color w:val="111111"/>
          <w:sz w:val="28"/>
          <w:sz w:val="28"/>
          <w:szCs w:val="28"/>
          <w:rtl w:val="true"/>
          <w:lang w:bidi="ar-SA"/>
        </w:rPr>
        <w:t xml:space="preserve">هو ما تمسّك به غير واحد منهم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العرف بحصول الإطاعة والعصيان فيما إذا أتى المكلّف بفرد جامع للعنوانين ، كما إذا أمر المولى بالمشي ونهاه عن الحركة في مكان خاصّ ، فإنّ العبد لو خالف المولى وأوجد المشي المأمور به في ضمن الحركة في ذلك المكان عدّ عاصيا ومطيعا يستحقّ بالأوّل اللوم والعقاب وبالثاني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ذكر بذلك البعيد ، فإنّ من راجع وجدانه وأنصف من نفسه يلاحظ الاستحقاق المذكور من دون شائبة إنكار</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إنّما يتمّ فيما إذا كان المطلوب بالأمر وجود الفعل المأمور به على أي وجه اتّفق كأن يكون توصّليّا ، وليس تعلّق النهي بالفعل موجباً </w:t>
      </w:r>
    </w:p>
    <w:p>
      <w:pPr>
        <w:pStyle w:val="BookText"/>
        <w:rPr/>
      </w:pPr>
      <w:r>
        <w:rPr>
          <w:rFonts w:ascii="Amiri" w:hAnsi="Amiri" w:eastAsia="Amiri" w:cs="Amiri"/>
          <w:color w:val="111111"/>
          <w:sz w:val="28"/>
          <w:sz w:val="28"/>
          <w:szCs w:val="28"/>
          <w:rtl w:val="true"/>
          <w:lang w:bidi="ar-SA"/>
        </w:rPr>
        <w:t>لعدم حصول الماهيّة المأمور بها ، إذ لا يعقل في الأمر والنهي مدخل في وجود المأمور به والمنهيّ عنه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من الإطاعة التي اخذت في الدليل ما هي معتبرة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ومرجعها إلى عدم المخالفة بواسطة حصول المأمور به ولو اتّفاقا أو بوجه محرّم ، فهو حقّ لا محيص عنه ؛ لما مرّ من أنّ النهي لا يوجب عدم تحقّق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يجدي ، إذ مرجعه إلى سقوط الطلب بحصول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الإطاعة والاجتماع في شيء ، ولا يترتّب عليه ثواب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منها ما يترتّب على وجودها لوازم الامتثال من الثواب والمدح ونحوهما ، فلا نسلّم أنّ العرف قاض بحصولها ، فإنّ الحركة الخاصّة ليس إلاّ مبغوضا يترتّب عليها العقاب فقط ، ونحن كلّما نراجع وجداننا منصفا غير مسبوق بشبهة لا نرى في الوجدان ما يشبه الحكم بحصول الامتثال بالمعنى المذكور ، وكأنّ اشتراك الإطاعة بين الامتثال بالمعنى المذكور وبين عدم المخالفة أوجب التوهّم المذكور ، فلا تكن في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من الجواب المذكور أنّ الواجب التوصّلي يصحّ اجتماعه مع الحرام ، فإنّا قد أشبعنا الكلام في فساده فيما تقدّم ، وظهر ممّا قلنا في الجواب عن الوجه الثاني اتّحاد مناط الامتناع في القسمين ، بل المقصود القول بحصول الواجب مع اجتماعه مع الحرام لا على وجه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غير واحد منهم في توجيه الدليل مثال الخياطة والكون في المكان المخصوص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توصّلي يجتمع مع الحرام ، ولعلّ المراد منه ما ذكرنا ، فيندفع ما اورد عليه من اتّحاد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محلّ النزاع هنا فيما إذا اتّحد متعلّق الأمر والنهي في الخارج كما مرّ ، ولا نسلّم اتّحاد الكون مع الخياطة ، فإنّ المراد بها إمّا الصفة القائمة بالثوب بعد صدور فعل الخياطة من الفاعل أو نفس الفعل ، لا ما يوجد بالفعل ، وعلى التقديرين ليس الكون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التحيّز الراجع إلى مقولة 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دأب المحصّلين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العرف إنّما يقضي بسقوط الطلب بواسطة حصول المطلوب ، وذلك إنّما يجدي في التوصّليّات ، حيث إنّ حقيقة المأمور به يمكن حصوله ولو مع اجتماعها وحصولها في فرد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التعبّديات فالنهي والتحريم إنّما ينافي وجود المأمور به في الخارج ، حيث إنّ التقرّب ممّا له مدخل في حصول المأمور به ولا يعقل التقرّب بالمحرّم ، وعلى تقدير عدم حصول المأمور به في الخارج لا يعقل صدق الامتثال ولا سقوط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بعض المباحث المتقدّمة أنّه يمكن أن يكون المقصود من الأمر المتعلّق بماهيّة أعمّ من المطلوب بواسطة قصور في الطلب ، فالأفراد المطلوبة متساوية مع الأفراد التي لا يتعلّق بها الطلب بواسطة قصور فيه في حصول غرض الأمر بها وإن لم تكن متعلّقة للطلب ؛ ولذلك قلنا بأنّ حصول الأفراد الغير الاختياريّة يوجب سقوط الطلب مع اختصاص الوجوب بالاختياري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يمكن القول بأنّ مقصود الآمر ولو كان تعبّديّا هو حصول الماهيّة المأمور بها ولو كان في ضمن فرد محرّم ، ويمكن قصد التقرّب أيضا ، حيث إنّه يحصل لو كان الداعي إلى الفعل المحرّم هو تحصيل ما هو مقصود الآمر وإن لم يكن مطلوبه لامتناع طلب المحرّم ، ولذا يستحقّ المدح عرفا فيما لو كان الداعي في الفعل هو ما ذكرنا ، إذ لا دليل على اعتبار قصد القربة فيما هو زائد على القدر المذكور</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إنّما يتمّ في الأفراد التي تقع اضطرارا ، كما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في الأفراد المحرّمة فلا بدّ من التقييد والقول باختصاص المقصود بالأفراد المباحة ، إذ لا دليل على التعميم في المقام ، بل النقل قاض بالتخصيص بالأفراد المباحة ، سيّما في التعبّديات التي لا تصحّ بدون الأمر ، فكيف بالأفراد التي نهى الآمر عنها؟</w:t>
      </w:r>
    </w:p>
    <w:p>
      <w:pPr>
        <w:pStyle w:val="BookText"/>
        <w:rPr/>
      </w:pPr>
      <w:r>
        <w:rPr>
          <w:rFonts w:ascii="Amiri" w:hAnsi="Amiri" w:eastAsia="Amiri" w:cs="Amiri"/>
          <w:color w:val="111111"/>
          <w:sz w:val="28"/>
          <w:sz w:val="28"/>
          <w:szCs w:val="28"/>
          <w:rtl w:val="true"/>
          <w:lang w:bidi="ar-SA"/>
        </w:rPr>
        <w:t>وبالجملة ، فالاكتفاء بالأفراد المحرّمة في التعبّديات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مدح الآتي بالفرد المحرّم تحصيلا لغرض الآمر ، فإن اريد مدحه من حيث إيجاده الماهيّة المأمور بها فكلاّ ، حيث إنّها محرّمة صرفة ، ولا أمر فيما هو محرّم ، وبعد انتفاء الأمر لا تحصل القربة ، لأنّها عبارة عن موافقة الأمر ، فلا تكون الماهيّة المأمور بها موجودة حتّى يكون المدح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مدحه من حيث إنّه في مقام الإطاعة وتحصيل غرض الآمر ، فذلك أمر لا يرجع إلى طائل فيما هو المقصود من حصول الواجب وإن كان حسنا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لسقوط الأمر والطلب وجوها من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بالمأمور به على وجه يكون الداعي على إتيانه الأمر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ما هو مقصود الآمر وإن قصر طلبه عنه ، كإيجاد الضرب على وجه غير مقصود للضارب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ما يشبه في الصورة المأمور به ، كإيجاد الضرب على وجه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إعدام الموضوع الذي يرتبط به الطلب ، كإحراق الثوب المأمور بغسله أو قتل الدابّة المأمور بتعليفها وسقيها ورعيها</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والإطاعة بمعناها الحقيقي صادقة في القسم الأوّل ، والتوصّليّات إنّما يتحقّق الواجب فيها بالقسم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فليس الحاصل فيه الواجب وإن كان يجدي في حصول التوصّلي ، فإن الفرد المحرّم خارج عن </w:t>
      </w:r>
    </w:p>
    <w:p>
      <w:pPr>
        <w:pStyle w:val="BookText"/>
        <w:rPr/>
      </w:pPr>
      <w:r>
        <w:rPr>
          <w:rFonts w:ascii="Amiri" w:hAnsi="Amiri" w:eastAsia="Amiri" w:cs="Amiri"/>
          <w:color w:val="111111"/>
          <w:sz w:val="28"/>
          <w:sz w:val="28"/>
          <w:szCs w:val="28"/>
          <w:rtl w:val="true"/>
          <w:lang w:bidi="ar-SA"/>
        </w:rPr>
        <w:t>المقصود في أيضا ، وأمّا التعبّدي فليس الموجود في الفرد المحرّم شبيها له أيضا ؛ لما عرفت من عدم حصول الماهيّة المأمور بها فيه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من أنّ الآمر لا بدّ وأن يكون الفرد المحرّم خارجا عن مطلوبه ومقصوده أيضا ، يلزم فساد الصلاة في الدار المغصوبة ولو في حال النسيان والاضطرار ، لا بواسطة امتناع الامتثال بالمحرّم ، بل بواسطة انتفاء الأمر كما هو قضيّة التقييد ، مع أنّ المشهور أنّ المانعين يحكمون بصحّتها ، وكذا صحّة نظائرها كصلاة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المغصوبة ، وقد سمعت فيما تقدّم كلام المقدّس الأردبيلي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لو كان لفظا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الوجه عدم وجوب إكرام زيد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المخصّص عقلا ، فلا بدّ من الاقتصار على قدر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وجه التخصيص بالأفراد الغير المحرّمة في المقام إلاّ مناقضة الطلب التحريمي والطلب الوجوبي ، وبعد ارتفاع التحريم بواسطة النسيان فلا مانع من القول بالصحّة والأخذ بإطلاق الأمر بالصلاة ، فيكون ذلك من باب التزاحم كإنقاذ الغريقين ، فإنّ عدم تعلّق التكليف بكلّ واحد منهما على سبيل الاجتماع ليس إلاّ بواسطة وجود المصلحة فيهما على وجه سواء مع امتناع الاجتماع بينهما ، وإذا فرضنا ارتفاع المانع صحّ الأمر من غير إشكال</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بعبادة إن كان بواسطة عنوان مجامع للعبادة مع كونه أخصّ منها فالظاهر أنّ ذلك تخصيص للأمر بخروج تلك العبادة مطلقا عن المأمور به ، وإن كان بواسطة عنوان بينهما عموم من وجه فيحكم بكونها فاسدة حال تعلّق النهي بها ، إذ لا قاضي بما يزيد على ذلك من دليل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مرجعه إلى التخصيص اللفظي ، كما فيما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أنّ النهي المذكور تابع لمفسدة ثابتة في الفرد الخاصّ فيتعلّق النهي به لكونه فاسدا ، وليس الفساد فيه تابعا للنهي ، فيجب الأخذ بمقتضى الفساد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الأوامر الواردة في مقام بيان ماهيّة العبادات المركّبة ، فإنّها قاضية بأنّ تلك الأجزاء ممّا لا يتخلّف عن مركّباتها عمدا وسهوا واضطرارا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مرجعه إلى مزاحمة بين الطلبين على وجه لا بدّ من الالتزام بانتفاء أحدهما مع وجود مقتضي الطلبين ، وبعد القول بترجيح النهي في مورده على الأمر لا بدّ من القول بفساد العبادة ، فالفساد تابع للنهي ، وبعد ارتفاع النهي المانع من تعلّق الطلب الوجوبي مع وجود ما يقضي به يعود ذلك الطلب ، فيصحّ العمل لو وقع في حال السهو والنسيان من دون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الطلب التحريمي لا يكفي في صحّة المأمور به مع بقاء المفسدة التي ينبعث منها التحريم بناء على اصول العدليّة ، ولا سبيل إلى منع المفسدة على تقدير انتفاء الطلب ، فإنّ ذلك يستلزم اختلاف الفعل بواسطة الذكر والنسيان والجهل والعلم ، وهو التصويب كما لا يخفى ، ووجه اللزوم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وجود المفسدة إنّما يتمّ فيما إذا كان ذهاب النهي بالسهو والجهل ونحوهما ممّا يليق اختلاف الأحكام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الاضطرار فيصحّ اختلاف الأحكام والمفاسد والمصالح به ، فلا دليل على وجود المفسدة بعد ارتفاع الطلب</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وجود المفسدة في جميع الموارد ولكن لا نسلّم أنّ المفسدة تمنع عن تعلّق الطلب الوجوبي في موردها ، لأنّ المانع إمّا مجرّد اجتماع المفسدة والمصلحة كالأمر والنهي والحسن والقبح ، وإمّا اقتضاء اللطف عدم تعلّق الأمر والطلب بمورد وجد فيه المفسدة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امتناع اجتماعهما إن لم يكن المراد بهما الحسن والقبح الفعليّان ، ضرورة صحّة اجتماع المفسدة والمصلحة في شيء بالنسبة إلى جهات عديدة ؛ وذلك نظير اتّصاف شيء واحد بإضافات متقابلة كالابوّة والبنوّة والفوقيّة والتحتيّة ، لكن لا بالنسبة إلى شيء واحد بل بالنسبة إلى أشياء متعدّدة ، فيصحّ أن يكون السقمونيا مفسدة لأحد الأخلاط الأربعة ومصلحة لآخر منها ، وذلك أمر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التقابل بعد ملاحظة الجهات ، فإنّ ابوّة زيد لا تقابل بنوّة عمرو ، لا أنّهما متقابلان ويكفي في اجتماعهما واتّصاف المحل بهما وجود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 المصلحة والمفسدة الحسن والقبح فالحقّ ارتفاعهما بارتفاع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أنّ قضيّة اللطف عدم تعلّق الطلب بمورد يكون فيه المفسدة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والوقوع في تلك المفسدة ممّا لا مناص عنه ، فإنّ المفروض أنّه ليس من الامور الاختياريّة ، بل المكلّف يقع في تلك المفسدة على وجه الاضطرار ، فلا مانع من إيصال المكلّف إلى مصلحة الفعل ولا يلاحظ فيه مساواة المصلحة للمفسدة وزيادتها عليها ، فإنّ المفسدة لازمة لا مناص عنها ، فيكون المصلحة بمنزلة ما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وسعنا من الكلام في أدلّة المجوّزين 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في جوابها من ثبوت المانع من الأخذ بإطلاقات الأوامر والنواهي في مورد الاجتماع لا حاجة إلى إيراد احتجاج القول بالامتناع</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في الدليل على الامتناع وجوه مرجعها إلى ما ذكر في الأجوبة المتقدّمة ، فإن أردتها فارجعها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6254_218953"/>
      <w:bookmarkStart w:id="436" w:name="pg16254_218953"/>
      <w:bookmarkEnd w:id="436"/>
    </w:p>
    <w:p>
      <w:pPr>
        <w:pStyle w:val="Heading3"/>
        <w:numPr>
          <w:ilvl w:val="2"/>
          <w:numId w:val="1"/>
        </w:numPr>
        <w:rPr/>
      </w:pPr>
      <w:bookmarkStart w:id="437" w:name="pg16254_218953"/>
      <w:bookmarkStart w:id="438" w:name="__RefHeading___Toc4418404_1280447820"/>
      <w:bookmarkStart w:id="439" w:name="_Toc139"/>
      <w:bookmarkEnd w:id="437"/>
      <w:bookmarkEnd w:id="438"/>
      <w:r>
        <w:rPr>
          <w:rtl w:val="true"/>
        </w:rPr>
        <w:t xml:space="preserve">هداية </w:t>
      </w:r>
      <w:r>
        <w:rPr>
          <w:rtl w:val="true"/>
        </w:rPr>
        <w:t xml:space="preserve">: </w:t>
      </w:r>
      <w:r>
        <w:rPr>
          <w:rtl w:val="true"/>
        </w:rPr>
        <w:t>في ذكر احتجاج المفصّل بين العرف والعقل</w:t>
      </w:r>
      <w:bookmarkEnd w:id="439"/>
    </w:p>
    <w:p>
      <w:pPr>
        <w:pStyle w:val="BookText"/>
        <w:rPr/>
      </w:pPr>
      <w:r>
        <w:rPr>
          <w:rFonts w:ascii="Amiri" w:hAnsi="Amiri" w:eastAsia="Amiri" w:cs="Amiri"/>
          <w:color w:val="111111"/>
          <w:sz w:val="28"/>
          <w:sz w:val="28"/>
          <w:szCs w:val="28"/>
          <w:rtl w:val="true"/>
          <w:lang w:bidi="ar-SA"/>
        </w:rPr>
        <w:t xml:space="preserve">كالسيّد الطباطبائي </w:t>
      </w:r>
      <w:r>
        <w:rPr>
          <w:rStyle w:val="FootnoteAnchor"/>
          <w:rtl w:val="true"/>
        </w:rPr>
        <w:footnoteReference w:id="1384"/>
      </w:r>
      <w:r>
        <w:rPr>
          <w:rFonts w:ascii="Amiri" w:hAnsi="Amiri" w:eastAsia="Amiri" w:cs="Amiri"/>
          <w:color w:val="111111"/>
          <w:sz w:val="28"/>
          <w:sz w:val="28"/>
          <w:szCs w:val="28"/>
          <w:rtl w:val="true"/>
          <w:lang w:bidi="ar-SA"/>
        </w:rPr>
        <w:t xml:space="preserve">، ويظهر ذلك من سلطان المحقّقين أيضا في تعليقاته على المعالم </w:t>
      </w:r>
      <w:r>
        <w:rPr>
          <w:rStyle w:val="FootnoteAnchor"/>
          <w:rtl w:val="true"/>
        </w:rPr>
        <w:footnoteReference w:id="1385"/>
      </w:r>
      <w:r>
        <w:rPr>
          <w:rFonts w:ascii="Amiri" w:hAnsi="Amiri" w:eastAsia="Amiri" w:cs="Amiri"/>
          <w:color w:val="111111"/>
          <w:sz w:val="28"/>
          <w:sz w:val="28"/>
          <w:szCs w:val="28"/>
          <w:rtl w:val="true"/>
          <w:lang w:bidi="ar-SA"/>
        </w:rPr>
        <w:t xml:space="preserve">، والمحقّق القمّي في المسألة الآتية </w:t>
      </w:r>
      <w:r>
        <w:rPr>
          <w:rStyle w:val="FootnoteAnchor"/>
          <w:rtl w:val="true"/>
        </w:rPr>
        <w:footnoteReference w:id="1386"/>
      </w:r>
      <w:r>
        <w:rPr>
          <w:rFonts w:ascii="Amiri" w:hAnsi="Amiri" w:eastAsia="Amiri" w:cs="Amiri"/>
          <w:color w:val="111111"/>
          <w:sz w:val="28"/>
          <w:sz w:val="28"/>
          <w:szCs w:val="28"/>
          <w:rtl w:val="true"/>
          <w:lang w:bidi="ar-SA"/>
        </w:rPr>
        <w:t xml:space="preserve">، وقد عرفت فيما تقدّم نسبته إلى المقدس الأردبيلي </w:t>
      </w:r>
      <w:r>
        <w:rPr>
          <w:rStyle w:val="FootnoteAnchor"/>
          <w:rtl w:val="true"/>
        </w:rPr>
        <w:footnoteReference w:id="1387"/>
      </w:r>
      <w:r>
        <w:rPr>
          <w:rFonts w:ascii="Amiri" w:hAnsi="Amiri" w:eastAsia="Amiri" w:cs="Amiri"/>
          <w:color w:val="111111"/>
          <w:sz w:val="28"/>
          <w:sz w:val="28"/>
          <w:szCs w:val="28"/>
          <w:rtl w:val="true"/>
          <w:lang w:bidi="ar-SA"/>
        </w:rPr>
        <w:t>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فالوجه في التفصيل المذكور لعلّه الجمع بين ما تقدّم من دليل المجوّز من جواز اجتماع الضدّين في محلّ واحد ، وبين ما يفهم في العرف من التعارض بين الأمر والنهي في مادّة الاجتماع ، والحكم بلزوم تخصيص أحدهما بالآخر فيما لو ساعد عليه دليل ، وإلاّ فالحكم بالتساقط والرجوع إلى ما يقتضيه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إمّا أن يكون الموضوع في حكم العقل بالجواز عين الموضوع المحكوم عرفا بالامتناع أو غيره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الأوّل لامتناع أن يكون حكم العرف على خلاف حكم العقل ، فلو فرضنا أنّ العقل يحكم بامتناع اجتماع المتناقضين لا وجه لتوهّم اختلاف العرف </w:t>
      </w:r>
    </w:p>
    <w:p>
      <w:pPr>
        <w:pStyle w:val="BookText"/>
        <w:rPr/>
      </w:pPr>
      <w:r>
        <w:rPr>
          <w:rFonts w:ascii="Amiri" w:hAnsi="Amiri" w:eastAsia="Amiri" w:cs="Amiri"/>
          <w:color w:val="111111"/>
          <w:sz w:val="28"/>
          <w:sz w:val="28"/>
          <w:szCs w:val="28"/>
          <w:rtl w:val="true"/>
          <w:lang w:bidi="ar-SA"/>
        </w:rPr>
        <w:t>للعقل والحكم بجوازه ، وكذلك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حكومة له في قبال العقل ، بل العرف مرتبة من مراتب العقل وطور من أطواره ، حيث إنّ جهة الارتباط والاستيناس باستفادة المعاني من الألفاظ بواسطة العلم بأوضاعها أو قرائنها يسمّى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أيضا من مظاهر العقل وجنوده ، وكيف يعقل اختلاف حكمي العقل والعرف في موضوع واحد مع أنّ العرف هم العقلاء؟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سبيل إلى الثاني كأن يكون هناك موضوعان يحكم العقل في أحدهما بالجواز كما إذا فرضنا أنّ متعلّق الأوامر هو الطبائع وفرضنا جواز اجتماع حكمين متضادّين في فرد واحد من طبيعتين من تلك الطبائع ، ويحكم العرف في الآخر بالامتناع كما إذا فرضنا أنّ متعلّق الأمر والنهي خصوص الفرد الجامع للعنوانين ، فإنّه لا كلام في امتناع ذلك حتّى من المجوّزين ، ففي كلّ واحد من الموضوعين يتطابق العقل والعرف في الحكم بالامتناع والجواز ، لما عرفت من أنّه لا حكومة للعرف في قبال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الخطابات الشرعيّة من الأوامر والنواهي إمّا الموضوع الذي يحكم العقل فيه بالجواز كما تخيّله المجوّزون من تعلّق الأوامر بالطبائع وكفاية تعدّد الجهة في رفع التضادّ ، أو الموضوع الذي يحكم العرف فيه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وجه للتفصيل المذكور ؛ لما عرفت من تطابق العقل والعرف في كلّ واحد من الموضوعين بالجواز والامتناع ، ومع ذلك لم يبق للتفصيل وجه يمكن التعويل عليه ويركن إليه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التفصيل هو أنّ المستفاد من الأمر والنهي بمقتضى الوضع في اللغة هو المعنى الذي لا يستحيل عقلا اجتماع الوجوب والحرمة فيه كما مرّ في دليل المجوّزين ، وهذا المعنى ليس مستفادا عند العرف ، بل المستفاد عندهم هو </w:t>
      </w:r>
    </w:p>
    <w:p>
      <w:pPr>
        <w:pStyle w:val="BookText"/>
        <w:rPr/>
      </w:pPr>
      <w:r>
        <w:rPr>
          <w:rFonts w:ascii="Amiri" w:hAnsi="Amiri" w:eastAsia="Amiri" w:cs="Amiri"/>
          <w:color w:val="111111"/>
          <w:sz w:val="28"/>
          <w:sz w:val="28"/>
          <w:szCs w:val="28"/>
          <w:rtl w:val="true"/>
          <w:lang w:bidi="ar-SA"/>
        </w:rPr>
        <w:t>المعنى الذي يستحيل عقلا اجتماع الوجوب والحرمة فيه ، كأن يكون المستفاد من الخطابات تعلّق التكاليف ابتداء بخصوص الأفراد ، فليس العرف حاكما في قبال العقل ، إلاّ أنّ استناد الامتناع إليه بواسطة أنّ موضوعه ممّا للعرف مدخل فيه ، ولو من حيث استفادة ذلك الموضوع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اختلاف المعنى اللغوي للمعنى العرفي ، إمّا الوضع الثانوي أو القرينة ، والأوّل معلوم العدم وظنّي أنّه لا يدّعيه المفصّل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أن يكون عقلا أو غيره من غلبة الاستعمال أو الوجود ممّا هو منشأ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نجد في العقل ما يقضي بأن يكون المستفاد من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الموضوعين في اللغة لطلب طبيعة الصلاة والنهي عن طبيعة الغصب وجوب خصوص الفرد وحرمته حتّى يلزم المحذور ، فإنّ المفروض أن لا امتناع في ذلك ، فلا داعي للعقل في صرفه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الامتناع فالوجه صرفه إلى معنى غير ممتنع ، لا إلى معنى أشدّ امتناعا من معناه الحقيقي ، كأن يحمل على الأفراد ، كما هو مقصود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شيئا يقضي بأنّ المستفاد من الخطابات الشرعيّة غير مداليلها اللغويّة ، فضلا عن تعيين الأفراد حتّى يترتّب عليه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ما ذكروه من قضاء العرف بالامتناع أعدل شاهد على أنّ اجتماع الوجوب والحرمة في مورد اجتماع الطبيعتين من الامور المستحيلة ؛ لما قد تقدّم من أنّ التخصيص لا يعقل بدون التعارض ، وهو عين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المفصّل هو ما قدّمنا دفعه من أنّ العرف حاكم بالامتناع في موضوع حكم العقل بالجواز ، ولذلك تعرّضنا لدفعه أوّلا ، فتدبّر</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يورد على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التعارض فيما إذا كان العموم من وجه بين متعلّقي الأمر والنهي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ذلك بالرجوع إلى كلمات الفقهاء في الأبواب الفقهيّة والاصوليّين في باب التعادل والتراجيح ، مع أنّه لا يعقل فرق بين أن يكون العموم من وجه بين العنوانين في الأمر والنهي بملاحظة نفس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بملاحظة متعلّقهما كما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ذلك بمثل ما ذكرنا في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وإن قلنا بأنّه لا يقضى بتعلّق الطلب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بالفرد ، إلاّ أنّه قاض بتعلّقه بالفرد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اختلاف المأمور به والمنهيّ عنه هو تعلّق المأمور به والمنهيّ عنه بالعالم والفاسق ، وهما في المثال المذكور لا يراد بهما مفهوم العالم والفاسق على وجه يكون ثبوت الحكم لزيد العالم باعتبار ثبوت هذا المفهوم لزيد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لزيد على وجه يكون زيد متعلّقا للحكم ابتداء من دون سراية ، فيؤول الأمر إلى اجتماع وجوب الإكرام لزيد وحرمته له بواسطة جهتين تعليليّتين ، وذلك ممّا اتّفق المجوّز والمانع على امتناعه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العالم لأفراده على وجه يكون عنوانا لها من غير سراية ويكون الحكم ثابتا لزيد ابتداء يشبه أن يكون من سخيف الكلام ، فإنّ الظاهر أنّ وجوب إكرام زيد من حيث إنّه فرد من أفراد العالم ، والمفروض حصول طبيعة الفاسق فيه أيضا ، فيحرم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بالجواز يلزمه القول بالجواز في المقام أيضا ، لأنّ العالم والفاسق طبيعتان مختلفتان تعلّق بإحداهما الوجوب وبالاخرى الحرمة ، وقد اجتمعتا في فرد واحد ، فيجب إكرام إحداهما ويحرم إكرام الاخرى ، فلو فرض إكرام مورد الاجتماع كان بذلك عاصيا من جهة إكرام الفاسق ومطيعا من جهة إكرام العالم ، فلو كانت الجهتان تعليليّتين فلم لا نقول به في مثل الغصب والصلاة؟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والفاسق مفهومان متغايران ، ولكن متعلّق الأمر والنهي واحد وهو الإكرام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المتعلّقين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الاختلاف في المعنى وإن اتّحد المتعلّقان في الصورة ، وهو حاصل في المقام ، فإنّ إضافة الإكرام إلى العالم والفاسق ونحوهما يوجب تنويع الإكرام إلى أفعال يصحّ تعلّق الأمر بأحدها والنهي بغيره ، كما يلاحظ في السجود المضاف إليه تعالى والسجود المضاف إلى الشمس ، وإلاّ فلا وجه للأمر والنهي في غير مورد الاجتماع أيضا ، مع أنّه لا كلام في صحّة الأمر بالإكرام بالنسبة إلى زيد العالم والنهي عنه بالنسبة إلى عمرو الفاسق ضرورة اشتراط اتّحاد الإضافة في التناقض</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توجب اختلاف الإكرام ، لكن فرق بيّن بين اختلاف الصلاة والغصب وبين اختلاف الإكرامين بواسطة تعدّد الإضافة ، فإنّ مورد الاجتماع في الأوّل يوجد فيه فعلان مختلفان ، غاية الأمر أنّهما موجودان بوجود واحد ، ومورد الاجتماع في الثاني فعل واحد تعدّد إضافاته ، فالموجود والوجود في الثاني كلاهما واحد ، ولذلك لا يصحّ العطف فيه بالواو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أوجد إكراما وإكراما ، كما يصحّ في الأوّل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أوجد صلاة وغصبا ، فمرجع التغاير في الأوّل إلى التغاير الواقعي وفي الثاني إلى مغايرة اعتباريّة صرفة ، لا يصحّ فيها اجتماع حكمين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الإكرام مثل السواد والبياض متعلّق بالموجودات الخارجيّة ابتداء ، فإنّ السواد الموجود في جسم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سوادان ، سواد الصوف وسواد العباء لو فرضنا اقتضاء كلّ واحد منهما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وجه خروج المثال المذكور عن محلّ البحث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اختلاف الإكرام بالإضافة لا يوجب اختلاف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مثال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أنّ الإضافة توجب تنويع الإكرام ، كما يكشف عنه صحّة حمل إكرام العالم وإكرام الفاسق على الإكرام الموجود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ركاكة العطف ليس اتّحاد الحقيقة ، بل اتّحاد الصورة قاض به ، حيث إنّ ظاهر العطف هو تعدّد الوجود ، ولذا لو انضمّ إليه قرينة الاتّحاد لا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السواد 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من عوارض الجسم مع عدم اعتبار خصوصيّاته في عروضه له وإن كانت واسطة في ثبوته للمورد ، إذ بدونها لا قوام لها حتّى يتّصف بالسواد ، ولو فرض أنّ كلّ واحد من الصوفيّة والعبائيّة يقتضي لعروض السواد في المحلّ فلا نسلّم أنّه ليس هناك سوادان موجودان بسواد واحد</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الأقوى دخوله في محلّ النزاع ، ويكون ذهاب المجوّز إلى التعارض فيه مبنيّا على تخيّله أنّ المستفاد منه في العرف غير المستفاد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وجه المفصّل ، إلاّ أنّ الإنصاف أنّه دعوى لا يساعد عليها ضرورة ولا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bookmarkStart w:id="440" w:name="pg16254_218959"/>
    </w:p>
    <w:p>
      <w:pPr>
        <w:pStyle w:val="Heading3"/>
        <w:numPr>
          <w:ilvl w:val="2"/>
          <w:numId w:val="1"/>
        </w:numPr>
        <w:rPr/>
      </w:pPr>
      <w:bookmarkStart w:id="441" w:name="__RefHeading___Toc4418406_1280447820"/>
      <w:bookmarkStart w:id="442" w:name="_Toc140"/>
      <w:bookmarkEnd w:id="440"/>
      <w:bookmarkEnd w:id="441"/>
      <w:r>
        <w:rPr>
          <w:rtl w:val="true"/>
        </w:rPr>
        <w:t>هداية</w:t>
      </w:r>
      <w:bookmarkEnd w:id="442"/>
    </w:p>
    <w:p>
      <w:pPr>
        <w:pStyle w:val="BookText"/>
        <w:rPr/>
      </w:pPr>
      <w:r>
        <w:rPr>
          <w:rFonts w:ascii="Amiri" w:hAnsi="Amiri" w:eastAsia="Amiri" w:cs="Amiri"/>
          <w:color w:val="111111"/>
          <w:sz w:val="28"/>
          <w:sz w:val="28"/>
          <w:szCs w:val="28"/>
          <w:rtl w:val="true"/>
          <w:lang w:bidi="ar-SA"/>
        </w:rPr>
        <w:t xml:space="preserve">بعد ما عرفت من امتناع اجتماع الواجب والحرام في مورد واحد في محلّ النزاع ، فهل الحكم في موارد اجتماعهما بحسب الظاهر هو الأخذ بالأمر والقول بعدم الحرمة أو العكس أو لا يحكم بشيء منهما والمرجع هو الأصل؟ وقد عرفت أوائل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يقتضي فساد الصلاة وإباحة الكون في المكان المغصوب حال الصلاة ، والملازمة الواقعيّة بين الإباحة والصحّة ممّا لا ينبغي مراعاتها بعد جواز التفكيك في الاصول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الترجيح بحسب السند بين الروايتين اللتين يقتضيان الاجتماع موقوفة على ما قرّرنا في مباحث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تعارض العامّين من وجه هل يمكن الأخذ فيه بالترجيح بحسب السند أم لا؟ وقد عرفت أنّ الأقوى الثاني ، لأنّ فيه تفكيكا لا يرتضيه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بحسب الدلالة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مرعيّ في المقام ، حيث إنّه يحكم بتقديم النهي في مورد الاجتماع ، لأنّ دلالة الأمر على مطلوبيّة محلّ الاجتماع بالإطلاق ودلالة النهي على مبغوضيّته بالعموم ، ولا شكّ أنّ العامّ أظهر من المطلق في استيعابه لأفراده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الترجيح في الدلالة يوجب المصير إلى أنّ مورد الاجتماع خارج عن المطلوب بجميع أحواله وأطواره ، وهو يوجب فساد المورد بواسطة ارتفاع المطلوبيّة والأمر ولو حال الغفلة عن الحرمة ، وقد عرفت أنّ المانعين لا يلتزمون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ملاحظة الترجيح بين المدلولين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يؤخذ بالحرمة لكونها أسهل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يظهر من بعضهم الأخذ بها في المقام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الحرمة لمكان كونها مستلزمة للترك أسهل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كونها أسهل ، ومنع جواز الأخذ بالأسهل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بينهم من أنّ دفع المفسدة أولى من جلب المنفعة ، فالأخذ بالنهي أولى ؛ لأنّ في فعل المنهيّ عنه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انحصار مصالح النهي في دفع المفسدة ومصالح الأمر في جلب المنفعة ، فإنّ ذلك يستلزم أن يكون ارتكاب معصية صغيرة بفعل المنهيّ عنه أشدّ من ترك أعظم الواجبات ، لأنّ في تركها لا منفعة وفي فعلها مفسدة ودفع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ليس من موارد القاعدة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مسرح لها إلاّ في مورد يحكم فيه بالتخيير بعد عدم الأخذ بالترجيح ، مثل ما لو دار الأمر بين وجوب شيء في الشريعة وبين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مثلا فيما لو فرض 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بعد عدم الترجيح لا وجه للأخذ بالتخيير ، لما عرفت من حكومة الأصل في موارد الشكّ من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الظاهر أنّ القاعدة المذكورة إنّما يؤخذ بها فيما إذا كانت المنفعة والمصلحة متساويتين في ترتّبهما على الفعل والترك ، وليس كذلك فيما نحن بصدده ، فإنّ الوجوب المفروض في المقام ممّا يحصل المصلحة فيه بإتيان فرد آخر من الطبيعة الواجبة ، بخلاف الحرمة فإنّها عينيّة لا بدل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تقديم الحرمة بوجه أولى</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صدد عدم تقديم الحرمة ، وإنّما ذلك منّا مناقشة في الطريق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 فإن الشارع قد رجّح احتمال الحرمة على الوجوب في موارد ملاحظتها توجب الظنّ باطّراده ، كأمر الحائض بترك الصلاة المردّد بين الوجوب والحرمة استظهارا </w:t>
      </w:r>
      <w:r>
        <w:rPr>
          <w:rStyle w:val="FootnoteAnchor"/>
          <w:rtl w:val="true"/>
        </w:rPr>
        <w:footnoteReference w:id="1389"/>
      </w:r>
      <w:r>
        <w:rPr>
          <w:rFonts w:ascii="Amiri" w:hAnsi="Amiri" w:eastAsia="Amiri" w:cs="Amiri"/>
          <w:color w:val="111111"/>
          <w:sz w:val="28"/>
          <w:sz w:val="28"/>
          <w:szCs w:val="28"/>
          <w:rtl w:val="true"/>
          <w:lang w:bidi="ar-SA"/>
        </w:rPr>
        <w:t xml:space="preserve">، وكوجوب إهراق الإناءين في الشبهة المحصورة والأمر بالتيمّم لدوران الأمر بين الوضوء الواجب والحرام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حجيّة الاستقراء وعدم تحقّقه على تقدير حجّيته بملاحظة موردين بل وموارد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الموردين المذكورين ليس الأمر فيهما على ما تخيّل من تقديم جانب الحرمة على الوجوب عند دوران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لعلّه موقوف على بيان 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ثبوت هذه القاعدة لا بدّ وأن يكون على وجه يعلم ولو بواسطة الدليل أنّ وجه التقديم هو ترجيح جانب الحرمة على الوجوب حتّى يكون الموارد المشكوكة ملحقة بتلك الموارد بواسطة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الموارد التي يدّعى فيها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يعلم أنّ موارد الثبوت وجه التقديم فيها ذلك لا يصحّ الإلحاق بوجه ، فكيف بالموارد التي علم أنّ وجه التقديم فيها غيرها</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عرفت ذلك ، فاعلم أنّ الوجه في تقديم جانب الحرمة في مسألة الاستظهار ليس هو ترجيح جانب الحرمة على الوجوب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باستحبابه فلا يدلّ على المدّعى بوجه ، إذ الاستظهار إمّا أن يقال به بعد أيّام العادة ، وإمّا أن يقال به قبل العادة كما في المبتدئة 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فالوجه فيه قاعدة الإمكان واستصحاب الحيض ونحوه المستدلّ عليها في مقامه ، وليس من </w:t>
      </w:r>
    </w:p>
    <w:p>
      <w:pPr>
        <w:pStyle w:val="BookText"/>
        <w:rPr/>
      </w:pPr>
      <w:r>
        <w:rPr>
          <w:rFonts w:ascii="Amiri" w:hAnsi="Amiri" w:eastAsia="Amiri" w:cs="Amiri"/>
          <w:color w:val="111111"/>
          <w:sz w:val="28"/>
          <w:sz w:val="28"/>
          <w:szCs w:val="28"/>
          <w:rtl w:val="true"/>
          <w:lang w:bidi="ar-SA"/>
        </w:rPr>
        <w:t>القاعدة المذكورة فيه حظّ ونصيب ، ولذا لم يعوّل عليها من اعتمد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فالقائل بالوجوب أيضا يعتمد على قاعدة الإمكان ، كما أنّ غيره يعوّل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إهراق الماء فلا شهادة فيه على المدّعى ، أمّا على القول بأنّ الحرمة ليست ذاتيّة بل تشريعيّة فظاهر ، حيث إنّ التشريع يرتفع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بالحرمة الذاتيّة فلأنّ المورد من موارد دوران الأمر بين الواجب والحرام </w:t>
      </w:r>
      <w:r>
        <w:rPr>
          <w:rStyle w:val="FootnoteAnchor"/>
          <w:rtl w:val="true"/>
        </w:rPr>
        <w:footnoteReference w:id="1391"/>
      </w:r>
      <w:r>
        <w:rPr>
          <w:rFonts w:ascii="Amiri" w:hAnsi="Amiri" w:eastAsia="Amiri" w:cs="Amiri"/>
          <w:color w:val="111111"/>
          <w:sz w:val="28"/>
          <w:sz w:val="28"/>
          <w:szCs w:val="28"/>
          <w:rtl w:val="true"/>
          <w:lang w:bidi="ar-SA"/>
        </w:rPr>
        <w:t>بواسطة اشتباه المكلّف به ، وليس من موارد الشكّ في التكليف ، والحكم فيه التخيير لا الترجيح ، فإنّ التخيير يوجب القطع بالموافقة ولو إجمالا وإن أوجب القطع بالمخالفة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الترجيح ، فإنّ فيه موافقة احتماليّة ومخالفة احتماليّة ،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فالرواية دلّت على تقديم جانب الحرمة على الوجوب ولم يعلم منها أنّ الوجه في التقديم هو ترجيح جانب الحرمة ، بل المظنون أنّ وجه التقديم فيما نحن بصدده هو ثبوت البدل للوضوء وهو التيمّم ، كما أوضحنا سبيله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في المقام هو القول بأنّ النهي </w:t>
      </w:r>
      <w:r>
        <w:rPr>
          <w:rStyle w:val="FootnoteAnchor"/>
          <w:rtl w:val="true"/>
        </w:rPr>
        <w:footnoteReference w:id="1392"/>
      </w:r>
      <w:r>
        <w:rPr>
          <w:rFonts w:ascii="Amiri" w:hAnsi="Amiri" w:eastAsia="Amiri" w:cs="Amiri"/>
          <w:color w:val="111111"/>
          <w:sz w:val="28"/>
          <w:sz w:val="28"/>
          <w:szCs w:val="28"/>
          <w:rtl w:val="true"/>
          <w:lang w:bidi="ar-SA"/>
        </w:rPr>
        <w:t>في مادّة الاجتماع إنّما هو ناظر إلى جهة الترخيص الثابت بالأمر في الفعل ، ومع ذلك لا وجه للقول بتقديم الأمر ، فالنهي حاكم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فيه بما استفدنا منه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يرجع إلى كون النهي إرشادا إلى ترك الفرد المجامع ، ولا يصحّ ذلك فيما يكون بين العنوانين عموم من وجه</w:t>
      </w:r>
      <w:r>
        <w:rPr>
          <w:rFonts w:eastAsia="Amiri" w:cs="Amiri" w:ascii="Amiri" w:hAnsi="Amiri"/>
          <w:color w:val="111111"/>
          <w:sz w:val="28"/>
          <w:szCs w:val="28"/>
          <w:rtl w:val="true"/>
          <w:lang w:bidi="ar-SA"/>
        </w:rPr>
        <w:t xml:space="preserve">.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الأمر والنهي 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النهي قطعيّا كأن يكون ثابتا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تقديم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القطعيّان فلا يعقل التعارض بينهما على القول بالامتناع ، وأمّا على القول بالجواز فلا تعارض أصلا</w:t>
      </w:r>
      <w:r>
        <w:rPr>
          <w:rFonts w:eastAsia="Amiri" w:cs="Amiri" w:ascii="Amiri" w:hAnsi="Amiri"/>
          <w:color w:val="111111"/>
          <w:sz w:val="28"/>
          <w:szCs w:val="28"/>
          <w:rtl w:val="true"/>
          <w:lang w:bidi="ar-SA"/>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6254_218965"/>
      <w:bookmarkStart w:id="444" w:name="pg16254_218965"/>
      <w:bookmarkEnd w:id="444"/>
    </w:p>
    <w:p>
      <w:pPr>
        <w:pStyle w:val="Heading3"/>
        <w:numPr>
          <w:ilvl w:val="2"/>
          <w:numId w:val="1"/>
        </w:numPr>
        <w:rPr/>
      </w:pPr>
      <w:bookmarkStart w:id="445" w:name="pg16254_218965"/>
      <w:bookmarkStart w:id="446" w:name="__RefHeading___Toc4418408_1280447820"/>
      <w:bookmarkStart w:id="447" w:name="_Toc141"/>
      <w:bookmarkEnd w:id="445"/>
      <w:bookmarkEnd w:id="446"/>
      <w:r>
        <w:rPr>
          <w:rtl w:val="true"/>
        </w:rPr>
        <w:t>هداية</w:t>
      </w:r>
      <w:bookmarkEnd w:id="447"/>
    </w:p>
    <w:p>
      <w:pPr>
        <w:pStyle w:val="Heading4"/>
        <w:numPr>
          <w:ilvl w:val="3"/>
          <w:numId w:val="1"/>
        </w:numPr>
        <w:rPr/>
      </w:pPr>
      <w:bookmarkStart w:id="448" w:name="__RefHeading___Toc4418410_1280447820"/>
      <w:bookmarkStart w:id="449" w:name="_Toc142"/>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قد عرفت فيما تقدّم اعتبار المندوحة في حريم النزاع ، كما عرفت أنّ الوجه في ذلك هو دفع ما قد يتوهّم من أنّ الاجتماع يوجب التكليف بما لا يطاق ، حيث إنّه بعد اعتبار المندوحة لا وجه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فيما ليس للمكلّف مندوحة يلزم ذلك ، كمن توسّط أرضا مغصوبة ، فإنّه مأمور بالخروج ومنهيّ عن الغصب ومنه الخروج المذكور ، ولا يمكن انفكاك جهتي الأمر والنهي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إمّا أن يكون بتوسّط المكلّف وسوء اختياره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امتناع التكليفين فيما إذا لم يكن الوجه في عدم الانفكاك هو التكليف على قواعد العدليّة ، لا بواسطة أنّه تكليف بالمحال ، بل بواسطة استحالة وجود التكليفين الراجعين عند العدليّة إلى 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الوجه في الانحصار وعدم الانفكاك هو المكلّف ، فالأقوال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بالجواز ، وهو المحكيّ عن أبي هاشم على ما نسب إليه العلاّمة ، حيث أفاد 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العقلاء كافّة على تخطئة أبي هاشم في قوله بأنّ الخروج تصرّف في المغصوب فيكون معصية فلا تصحّ الصلاة وهو خارج سواء تضيّق الوقت أم لا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المحقّق القمّي رحمه‌اللّه ناسبا له إلى أكثر أفاضل متأخّري أصحابنا وظاهر </w:t>
      </w:r>
    </w:p>
    <w:p>
      <w:pPr>
        <w:pStyle w:val="BookText"/>
        <w:rPr/>
      </w:pPr>
      <w:r>
        <w:rPr>
          <w:rFonts w:ascii="IRNazanin" w:hAnsi="IRNazanin" w:eastAsia="IRNazanin"/>
          <w:color w:val="111111"/>
          <w:sz w:val="28"/>
          <w:sz w:val="28"/>
          <w:szCs w:val="28"/>
          <w:rtl w:val="true"/>
          <w:lang w:bidi="fa-IR"/>
        </w:rPr>
        <w:t xml:space="preserve">الفقهاء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النسبة المذكورة هو قولهم </w:t>
      </w:r>
      <w:r>
        <w:rPr>
          <w:rStyle w:val="FootnoteAnchor"/>
          <w:rtl w:val="true"/>
        </w:rPr>
        <w:footnoteReference w:id="1395"/>
      </w:r>
      <w:r>
        <w:rPr>
          <w:rFonts w:ascii="Amiri" w:hAnsi="Amiri" w:eastAsia="Amiri" w:cs="Amiri"/>
          <w:color w:val="111111"/>
          <w:sz w:val="28"/>
          <w:sz w:val="28"/>
          <w:szCs w:val="28"/>
          <w:rtl w:val="true"/>
          <w:lang w:bidi="ar-SA"/>
        </w:rPr>
        <w:t>بوجوب الحجّ على المستطيع وإن فاتت استطاعته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دلالته على المطلب ؛ حيث إنّ وجوب الحجّ بدون الاستطاعة الشرعيّة عند التأخير عن زمن الاستطاعة ليس تكليفا بما لا يطاق ، لكفاية الاستطاعة العقليّة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فساد النسبة المذكورة ذهاب المشهور من أصحابنا إلى عدم جواز الاجتماع فيما فيه المندوحة ، فكيف فيما ليس فيه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بالعدم ، وهم بين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بأنّه منهيّ عنه وليس بمأمور به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بالعكس مع جريان حكم المعصية عليه ، وهو المحكيّ عن الفخر الرازي </w:t>
      </w:r>
      <w:r>
        <w:rPr>
          <w:rStyle w:val="FootnoteAnchor"/>
          <w:rtl w:val="true"/>
        </w:rPr>
        <w:footnoteReference w:id="1397"/>
      </w:r>
      <w:r>
        <w:rPr>
          <w:rFonts w:ascii="Amiri" w:hAnsi="Amiri" w:eastAsia="Amiri" w:cs="Amiri"/>
          <w:color w:val="111111"/>
          <w:sz w:val="28"/>
          <w:sz w:val="28"/>
          <w:szCs w:val="28"/>
          <w:rtl w:val="true"/>
          <w:lang w:bidi="ar-SA"/>
        </w:rPr>
        <w:t xml:space="preserve">وجنح إليه بعض المتأخّرين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 مأمور به فقط وليس يجري عليه حكم المعصية أيضا ، وقد نسبه بعضهم إلى قوم </w:t>
      </w:r>
      <w:r>
        <w:rPr>
          <w:rStyle w:val="FootnoteAnchor"/>
          <w:rtl w:val="true"/>
        </w:rPr>
        <w:footnoteReference w:id="1399"/>
      </w:r>
      <w:r>
        <w:rPr>
          <w:rFonts w:ascii="Amiri" w:hAnsi="Amiri" w:eastAsia="Amiri" w:cs="Amiri"/>
          <w:color w:val="111111"/>
          <w:sz w:val="28"/>
          <w:sz w:val="28"/>
          <w:szCs w:val="28"/>
          <w:rtl w:val="true"/>
          <w:lang w:bidi="ar-SA"/>
        </w:rPr>
        <w:t xml:space="preserve">، ولعلّه الظاهر من العضدي كالحاجبي </w:t>
      </w:r>
      <w:r>
        <w:rPr>
          <w:rStyle w:val="FootnoteAnchor"/>
          <w:rtl w:val="true"/>
        </w:rPr>
        <w:footnoteReference w:id="1400"/>
      </w:r>
      <w:r>
        <w:rPr>
          <w:rFonts w:ascii="Amiri" w:hAnsi="Amiri" w:eastAsia="Amiri" w:cs="Amiri"/>
          <w:color w:val="111111"/>
          <w:sz w:val="28"/>
          <w:sz w:val="28"/>
          <w:szCs w:val="28"/>
          <w:rtl w:val="true"/>
          <w:lang w:bidi="ar-SA"/>
        </w:rPr>
        <w:t>حيث اقتصرا على كونه مأمورا به فقط</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الأجلّة </w:t>
      </w:r>
      <w:r>
        <w:rPr>
          <w:rStyle w:val="FootnoteAnchor"/>
          <w:rtl w:val="true"/>
        </w:rPr>
        <w:footnoteReference w:id="1401"/>
      </w:r>
      <w:r>
        <w:rPr>
          <w:rFonts w:ascii="Amiri" w:hAnsi="Amiri" w:eastAsia="Amiri" w:cs="Amiri"/>
          <w:color w:val="111111"/>
          <w:sz w:val="28"/>
          <w:sz w:val="28"/>
          <w:szCs w:val="28"/>
          <w:rtl w:val="true"/>
          <w:lang w:bidi="ar-SA"/>
        </w:rPr>
        <w:t>ذهب إلى أنّه مأمور به ولكنّه معصية بالنظر إلى النهي السابق ، وعليه حمل الكلام المنقول من الفخر الرازي</w:t>
      </w:r>
      <w:r>
        <w:rPr>
          <w:rFonts w:eastAsia="Amiri" w:cs="Amiri" w:ascii="Amiri" w:hAnsi="Amiri"/>
          <w:color w:val="111111"/>
          <w:sz w:val="28"/>
          <w:szCs w:val="28"/>
          <w:rtl w:val="true"/>
          <w:lang w:bidi="ar-SA"/>
        </w:rPr>
        <w:t xml:space="preserve">. </w:t>
      </w:r>
      <w:bookmarkStart w:id="450" w:name="pg16254_218967"/>
    </w:p>
    <w:p>
      <w:pPr>
        <w:pStyle w:val="BookText"/>
        <w:rPr/>
      </w:pPr>
      <w:bookmarkEnd w:id="450"/>
      <w:r>
        <w:rPr>
          <w:rFonts w:ascii="Amiri" w:hAnsi="Amiri" w:eastAsia="Amiri" w:cs="Amiri"/>
          <w:color w:val="111111"/>
          <w:sz w:val="28"/>
          <w:sz w:val="28"/>
          <w:szCs w:val="28"/>
          <w:rtl w:val="true"/>
          <w:lang w:bidi="ar-SA"/>
        </w:rPr>
        <w:t>والأقوى كونه مأمورا به فقط ولا يكون منهيّا عنه ، ولا يفترق فيه النهي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الفقهاء حيث حكموا بصحّة الصلاة في حال الخروج ، كما عرفت في كلام العلاّمة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الخروج معصية وأنّ القول بجريان حكم المعصية عليه غلط صدر عن بعض الاصوليّين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نقلنا من كلام السيّد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كون الخروج بنيّة التخلّص مأمورا به ، وكذا المجامع زانيا له الحركة بقصد التخلّص دون غيره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على كون الخروج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التخلّص عن الغصب واجب عقلا وشرعا ولا شكّ أنّ الخروج تخلّص عنه بل لا سبيل إليه إلاّ بالخروج فيكون واجبا على وجه العينيّة ، وعلى عدم كونه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في تزييف احتجاج الأقوال المذكورة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4418412_1280447820"/>
      <w:bookmarkStart w:id="452" w:name="_Toc143"/>
      <w:bookmarkEnd w:id="451"/>
      <w:r>
        <w:rPr>
          <w:rtl w:val="true"/>
        </w:rPr>
        <w:t xml:space="preserve">حجّة القول بكونه مأمورا به ومنهيّا عنه </w:t>
      </w:r>
      <w:r>
        <w:rPr>
          <w:rtl w:val="true"/>
        </w:rPr>
        <w:t>:</w:t>
      </w:r>
      <w:bookmarkEnd w:id="452"/>
    </w:p>
    <w:p>
      <w:pPr>
        <w:pStyle w:val="BookText"/>
        <w:rPr/>
      </w:pPr>
      <w:r>
        <w:rPr>
          <w:rFonts w:ascii="Amiri" w:hAnsi="Amiri" w:eastAsia="Amiri" w:cs="Amiri"/>
          <w:color w:val="111111"/>
          <w:sz w:val="28"/>
          <w:sz w:val="28"/>
          <w:szCs w:val="28"/>
          <w:rtl w:val="true"/>
          <w:lang w:bidi="ar-SA"/>
        </w:rPr>
        <w:t xml:space="preserve">هو 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إطلاق الأدلّة الدالّة على حرمة الغصب ووجوب التخلّص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ولا مانع منه ، لأنّ المانع إمّا اجتماع الضدّين أو التكليف بما لا يطاق ، وشيء منهما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إجداء الجهتين في اجتماعهما</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نسلّم بطلان التكليف بما لا يطاق فيما إذا كان المكلّف سببا له ، فإنّ الامتناع بالاختيار لا ينافي الاختيار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المانعين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فلما عرفت من أنّ تعدّد الجهة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فلإطباق العقلاء كافّة على تخطئة من يكلّف عبده بالخروج وعدمه ، بل هو منسوب إلى سخافة الرأي وركاكة العقل ، من غير فرق بين أن يكون الوجه في ذلك هو المكلّف أو غيره ، كما يشهد بذلك حسن الذمّ على التكليف من غير توقّف على استعلام الوجه في ذلك من أنّ المكلّف هو السبب في امتناع الفعل أو غيره ، وهو ظاهر</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واردة في مقام صحّة التكليف عند امتناع الفعل بواسطة الاختيار ، كما أوردها المستدلّ </w:t>
      </w:r>
      <w:r>
        <w:rPr>
          <w:rStyle w:val="FootnoteAnchor"/>
          <w:rtl w:val="true"/>
        </w:rPr>
        <w:footnoteReference w:id="1406"/>
      </w:r>
      <w:r>
        <w:rPr>
          <w:rFonts w:ascii="Amiri" w:hAnsi="Amiri" w:eastAsia="Amiri" w:cs="Amiri"/>
          <w:color w:val="111111"/>
          <w:sz w:val="28"/>
          <w:sz w:val="28"/>
          <w:szCs w:val="28"/>
          <w:rtl w:val="true"/>
          <w:lang w:bidi="ar-SA"/>
        </w:rPr>
        <w:t xml:space="preserve">، بل الإنصاف أنّ هذه القضيّة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في مقام الردّ على أهل الجبر ، حيث إنّهم زعموا أنّ وجود العلّة التامّة للفعل يوجب ارتفاع الاختيار ومع عدمها يمتنع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العدليّة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الاختيار من جملة أجزاء العلّة التامّة لوجود الفعل وبذلك يصير الفعل اختياريّا فإنّ للاختيار مدخلا في وجوده </w:t>
      </w:r>
      <w:r>
        <w:rPr>
          <w:rStyle w:val="FootnoteAnchor"/>
          <w:rtl w:val="true"/>
        </w:rPr>
        <w:footnoteReference w:id="1407"/>
      </w:r>
      <w:r>
        <w:rPr>
          <w:rFonts w:ascii="Amiri" w:hAnsi="Amiri" w:eastAsia="Amiri" w:cs="Amiri"/>
          <w:color w:val="111111"/>
          <w:sz w:val="28"/>
          <w:sz w:val="28"/>
          <w:szCs w:val="28"/>
          <w:rtl w:val="true"/>
          <w:lang w:bidi="ar-SA"/>
        </w:rPr>
        <w:t xml:space="preserve">؛ ولذلك أردفها بعضهم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يؤكّده </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فمفاد تلك القضيّة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السابق الذي يصير سببا لامتناع الفعل يكفي في كون الفعل الممتنع اختياريّا بمعنى جواز اللوم على تركه أو المدح عليه ، وأين من ذلك أنّ بعد اتّصافه بالامتناع بواسطة الاختيار يصحّ تعلّق التكليف به لكونه اختياريّا؟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شرط صحّة التكليف إلاّ استناد الفعل إلى الاختيار على وجه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الشرط المذكور هو العقل ، ولا ريب أنّ المعتبر عند العقل في الشرط المذكور هو كون الفعل بحيث يمكن صدوره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صحّة إطلاق الاختياري على الفعل بواسطة الاختيار السابق فممّا لا مسرح له في صحّة التكليف ،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هو في منار ، ولقد أبسطنا القول في تحقيق ذلك في بعض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المقتضي ، فإنّ الخروج أخصّ من الغصب في مورد الأمر ، فلا بدّ من تخصيص الغصب بالخروج</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أشار إليه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الخروج ليس بمأمور به من حيث إنّه خروج بل لأنّه تخلّص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الكون في الدار المغصوبة ليس حراما إلاّ من جهة أنّه غصب ، والنسبة بين الغصب والخروج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الأمر قد استفيد من جهة كونه من مقدّمات ترك الغصب الواجب ، ومقدّمة الترك أعمّ من الخروج وإن انحصر أفراده في الخروج بحسب العادة ، فإنّ الظاهر أنّ العامّ الذي أفراده الموجودة منحصرة في فرد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نفس الأمر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كونه عامّا في باب التعارض ، فلو فرض ورود أمر بالخروج أيضا بالخصوص فالظاهر أنّه من جهة أنّه الفرد الغالب الموجود ، لإمكان التخلّص بوجه آخر ، إمّا بأن يحمله غيره على ظهره ويخرجه من دون اختياره أو غير ذلك </w:t>
      </w:r>
      <w:r>
        <w:rPr>
          <w:rStyle w:val="FootnoteAnchor"/>
          <w:rtl w:val="true"/>
        </w:rPr>
        <w:footnoteReference w:id="1409"/>
      </w:r>
      <w:r>
        <w:rPr>
          <w:rFonts w:ascii="Amiri" w:hAnsi="Amiri" w:eastAsia="Amiri" w:cs="Amiri"/>
          <w:color w:val="111111"/>
          <w:sz w:val="28"/>
          <w:sz w:val="28"/>
          <w:szCs w:val="28"/>
          <w:rtl w:val="true"/>
          <w:lang w:bidi="ar-SA"/>
        </w:rPr>
        <w:t xml:space="preserve">، فليضبط فإنّه فائدة جليلة لم أقف على تصريح بها في كلامهم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في الإشارات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معاملة العموم من وجه في باب التعارض مع ما كان أفراده النفس الأمريّة منحصرة في الفرد ممّا لا وجه له ، فإنّ العام إذا كان منحصرا أفراده في الواقع في الفرد فالمراد منه ومتعلّق الخطاب إنّما هو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انحصر في الفرد بحسب العادة ، فإنّ العادة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منه إلاّ الفرد العادي ، فلا وجه لمعاملة العموم معه في التعارض ، على أنّ معاملة العموم للوازمه ، وعمدتها قبول التخصيص ، فبانسلاخ لازمه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فائدة التخصيص فيرتفع فائدة العموم في التعارض ، بل في العرف ليس مثله عامّا لعدم الاستغراق فيه عرفا بالفعل ، وعليه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بفرض الانحصار العادي يرتفع إمكان التخلّص بفرد آخر كما مرّ ، إلاّ أن يكون ذلك الفرد أيضا عاديّا وهو خلاف الفرض ، مع أنّ الحمل إمّا بالاختيار أو بدونه ، والثاني خارج عن الأمر قطعا ، والأوّل لا يختلف النسبة به بالتدبّر ، بل يكون من الأفراد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التصريح من القوم بالفائدة المذكورة موجود ، إلاّ أنّه يؤذن بخلاف ما ذكره </w:t>
      </w:r>
      <w:r>
        <w:rPr>
          <w:rStyle w:val="FootnoteAnchor"/>
          <w:rtl w:val="true"/>
        </w:rPr>
        <w:footnoteReference w:id="14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يذبّ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ملاحظة انحصار أفراد العامّ في مورد الاجتماع إنّما يجدي فيما لو قيل بالتعارض بين مفاد العامّين ، إذ على ذلك يجب التخصيص بغير ذلك المورد لئلاّ يلزم خلوّ ذلك العامّ المنحصر أفراده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يوجد عليه التصريح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مؤذن بخلاف ما أفاده المحقّق القمّي رحمه‌اللّه حيث إنّه ذهب إلى أنّه لا معارضة بين مفاد العامّين ، لإجداء الجهتين في الجمع بين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المدار في تعدّد الجهة إنّما هو المفهوم ، فإنّه متعلّق الأمر والنهي ، والأفراد خارجة عن ذلك بأسرها</w:t>
      </w:r>
      <w:r>
        <w:rPr>
          <w:rFonts w:eastAsia="Amiri" w:cs="Amiri" w:ascii="Amiri" w:hAnsi="Amiri"/>
          <w:color w:val="111111"/>
          <w:sz w:val="28"/>
          <w:szCs w:val="28"/>
          <w:rtl w:val="true"/>
          <w:lang w:bidi="ar-SA"/>
        </w:rPr>
        <w:t xml:space="preserve">. </w:t>
      </w:r>
      <w:bookmarkStart w:id="453" w:name="pg16254_218971"/>
    </w:p>
    <w:p>
      <w:pPr>
        <w:pStyle w:val="BookText"/>
        <w:rPr/>
      </w:pPr>
      <w:bookmarkEnd w:id="453"/>
      <w:r>
        <w:rPr>
          <w:rFonts w:ascii="Amiri" w:hAnsi="Amiri" w:eastAsia="Amiri" w:cs="Amiri"/>
          <w:color w:val="111111"/>
          <w:sz w:val="28"/>
          <w:sz w:val="28"/>
          <w:szCs w:val="28"/>
          <w:rtl w:val="true"/>
          <w:lang w:bidi="ar-SA"/>
        </w:rPr>
        <w:t>وبالجملة ، فما أجاب عنه إنّما هو متوجّه بناء على ما ذهب إليه من جواز الاجتماع ؛ لما عرفت من أنّ المناط في ذلك هو تعدّد العنوان ، والمفروض حصوله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عرفت من تقييدهم محلّ التشاجر بما إذا لم ينحصر أفراد أحد العامّين في الآخر ، فهو بواسطة تخليص البحث عن لزوم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لا ضير فيه عنده إذا كان الوجه فيه هو المكلّف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المذكورة ممّا لا مساس لها بكلامه ، إلاّ أنّه بعد مطالب بالفرق بين الموارد التي يحكم بالتعارض في صورة الانحصار ، كما إذا كان العموم من وجه بين عنواني الأمر والنهي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الموارد التي لا يحكم فيها بالتعارض ، كما إذا اعتبر العموم من وجه بين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غيره أيضا مطالب بالفرق المذكور ، كما تقدّم</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4418414_1280447820"/>
      <w:bookmarkStart w:id="455" w:name="_Toc144"/>
      <w:bookmarkEnd w:id="454"/>
      <w:r>
        <w:rPr>
          <w:rtl w:val="true"/>
        </w:rPr>
        <w:t xml:space="preserve">حجّة القول بكونه منهيّا عنه غير مأمور به </w:t>
      </w:r>
      <w:r>
        <w:rPr>
          <w:rtl w:val="true"/>
        </w:rPr>
        <w:t>:</w:t>
      </w:r>
      <w:bookmarkEnd w:id="455"/>
    </w:p>
    <w:p>
      <w:pPr>
        <w:pStyle w:val="BookText"/>
        <w:rPr/>
      </w:pPr>
      <w:r>
        <w:rPr>
          <w:rFonts w:ascii="Amiri" w:hAnsi="Amiri" w:eastAsia="Amiri" w:cs="Amiri"/>
          <w:color w:val="111111"/>
          <w:sz w:val="28"/>
          <w:sz w:val="28"/>
          <w:szCs w:val="28"/>
          <w:rtl w:val="true"/>
          <w:lang w:bidi="ar-SA"/>
        </w:rPr>
        <w:t xml:space="preserve">كما يظهر عن بعض الأفاضل في الإشارات </w:t>
      </w:r>
      <w:r>
        <w:rPr>
          <w:rStyle w:val="FootnoteAnchor"/>
          <w:rtl w:val="true"/>
        </w:rPr>
        <w:footnoteReference w:id="1412"/>
      </w:r>
      <w:r>
        <w:rPr>
          <w:rFonts w:ascii="Amiri" w:hAnsi="Amiri" w:eastAsia="Amiri" w:cs="Amiri"/>
          <w:color w:val="111111"/>
          <w:sz w:val="28"/>
          <w:sz w:val="28"/>
          <w:szCs w:val="28"/>
          <w:rtl w:val="true"/>
          <w:lang w:bidi="ar-SA"/>
        </w:rPr>
        <w:t xml:space="preserve">، أمّا على كونه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الخروج تصرّف في ملك الغير وهو غصب عند عدم الإذن ، وهو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كونه غير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هو عدم التصرّف ، والخروج إنّما هو مقدّمة له ، فهي ليست بواجبة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التصرّف بعد فرض انحصار مقدّمته في الخروج المحرّم لا يعقل وجوبه لكونه تكليفا بالمحال</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بعض الأجلّة على 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الخروج مأمور به بالنسبة إلى الأمر اللاحق مع جريان حكم النهي السابق عليه ، فيكون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p>
    <w:p>
      <w:pPr>
        <w:pStyle w:val="BookText"/>
        <w:rPr/>
      </w:pPr>
      <w:r>
        <w:rPr>
          <w:rFonts w:ascii="IRNazanin" w:hAnsi="IRNazanin" w:eastAsia="IRNazanin"/>
          <w:color w:val="111111"/>
          <w:sz w:val="28"/>
          <w:sz w:val="28"/>
          <w:szCs w:val="28"/>
          <w:rtl w:val="true"/>
          <w:lang w:bidi="fa-IR"/>
        </w:rPr>
        <w:t xml:space="preserve">سابقا </w:t>
      </w:r>
      <w:r>
        <w:rPr>
          <w:rStyle w:val="FootnoteAnchor"/>
          <w:rtl w:val="true"/>
        </w:rPr>
        <w:footnoteReference w:id="1413"/>
      </w:r>
      <w:r>
        <w:rPr>
          <w:rFonts w:ascii="Amiri" w:hAnsi="Amiri" w:eastAsia="Amiri" w:cs="Amiri"/>
          <w:color w:val="111111"/>
          <w:sz w:val="28"/>
          <w:sz w:val="28"/>
          <w:szCs w:val="28"/>
          <w:rtl w:val="true"/>
          <w:lang w:bidi="ar-SA"/>
        </w:rPr>
        <w:t xml:space="preserve">حسبانه رجوع كلام الفخر الرازي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في الزمن الذي لا يتمكّن من الخروج فيما دونه لا يتمكّن من ترك الغصب فيه مطلقا ، فلا يصحّ النهي عنه مطلقا ، لأنّ التكليف بالمحال محال عندنا وإن كان ناشئا من قبل المكلّف ، للقطع بكونه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يجري عليه حكم المعصية في تلك المدّة على تقدير الخروج بالنسبة إلى النهي السابق على وقوع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كلّي جار في جميع ذوات الأسباب التي لا يقارن حصولها حصول أسبابها كالقتل المستند إلى الإلقاء من الشاهق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ترك الحجّ عند الإتيان بما يوجبه من ترك المسير ، وغير ذلك ، فإنّ التحقيق في مثل ذلك أنّ التكليف بالفعل يرتفع عند ارتفاع تمكّن المكلّف منه ، ويبقى حكم المعصية من استحقاق الذمّ والعقاب جاريا عليه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على ما أفاده سؤالا في آخر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لزم أن يكون الخروج إطاعة ومعصية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ضير فيه عند عدم اجتماعهما في الزمان ، فإنّ الخروج معصية قبل الدخول وطاعة بعده</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الغصب مراد من المكلّف بجميع أنحائه التي يتمكّن من تركه إرادة فعليّة مشروطا بقاؤها ببقاء تمكّنه منه ، وحيث إنّه قبل الدخول يتمكّن من ترك الغصب بجميع أنحائه دخولا وخروجا ، فترك الجميع مراد منه قبل دخوله ، فإذا دخل ارتفع تمكّنه من تركه بجميع أنحائه مقدار ما يتوقّف التخلّص عليه ، وهو مقدار خروجه مثلا ، فيمتنع بقاء إرادة تركه كذلك ، وقضيّة </w:t>
      </w:r>
    </w:p>
    <w:p>
      <w:pPr>
        <w:pStyle w:val="BookText"/>
        <w:rPr/>
      </w:pPr>
      <w:r>
        <w:rPr>
          <w:rFonts w:ascii="Amiri" w:hAnsi="Amiri" w:eastAsia="Amiri" w:cs="Amiri"/>
          <w:color w:val="111111"/>
          <w:sz w:val="28"/>
          <w:sz w:val="28"/>
          <w:szCs w:val="28"/>
          <w:rtl w:val="true"/>
          <w:lang w:bidi="ar-SA"/>
        </w:rPr>
        <w:t xml:space="preserve">ذلك أن لا يكون بعض أنحاء تركه حينئذ مطلوبا ، فيصحّ أن يتّصف بالوجوب لخلوّه عن المنافي ، والعقل والنقل قد تعاضدا على أن ليس ذلك إلاّ التصرّف بالخروج ، فيكون للخروج بالقياس إلى ما قبل الدخول وما بعده حكمان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مطلق وهو النهي عن الخروج ، والآخر مشروط بالدخول وهو الأمر به ، وهما غير مجتمعين فيه ليلزم الجمع بين الضدّين ، بل يتّصف بكلّ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عدم التنافي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وقوع البداء في حقّنا ، إذ لا يجوّزه إلاّ اختلاف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يشكل بانتفاء الموصوف في الزمن السابق ، لوجوده في علم العالم ولو بوجهه ، ولو لا ذلك لامتنع تحقّق الطلب إلاّ مع تحقّق موضوعه في الخارج ، وهو محال </w:t>
      </w:r>
      <w:r>
        <w:rPr>
          <w:rStyle w:val="FootnoteAnchor"/>
          <w:rtl w:val="true"/>
        </w:rPr>
        <w:footnoteReference w:id="1415"/>
      </w:r>
      <w:r>
        <w:rPr>
          <w:rFonts w:ascii="IRNazanin" w:hAnsi="IRNazanin" w:eastAsia="IRNazanin"/>
          <w:color w:val="111111"/>
          <w:sz w:val="28"/>
          <w:sz w:val="28"/>
          <w:szCs w:val="28"/>
          <w:rtl w:val="true"/>
          <w:lang w:bidi="fa-IR"/>
        </w:rPr>
        <w:t>، انتهى ما أفاده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الاحتجاج على كون الخروج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لما ذكرناه في الاحتجاج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صحيح لا غبار عليه بجميع جزئيّاته ، سيّما منعه عن التكليف بالمحال مطلقا ، من دون تفصيل بين أن يكون المكلّف هو السبب في الامتناع أو غيره ، كما يقتضيه قواعد العدليّة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اختفى ذلك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باعه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استناده فيه إلى دعوى لا يساعدها العرف والعقل من أنّ هذه الأوامر مرجعها إلى الإرشاد إلى وجود المصالح والمفاسد في نفس الأشياء مثل أوامر الطبيب ونواهيه ، من دون أن يكون هناك طلب حقيقيّ مثل وجوده في أوامر الموالي بالنسبة إلى عبيدهم ، وقد أشرنا إلى فساده في المباحث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حكم النهي السابق على الخروج فيكون معصية بواسطة النهي </w:t>
      </w:r>
      <w:r>
        <w:rPr>
          <w:rStyle w:val="FootnoteAnchor"/>
          <w:rtl w:val="true"/>
        </w:rPr>
        <w:footnoteReference w:id="1416"/>
      </w:r>
      <w:r>
        <w:rPr>
          <w:rFonts w:ascii="Amiri" w:hAnsi="Amiri" w:eastAsia="Amiri" w:cs="Amiri"/>
          <w:color w:val="111111"/>
          <w:sz w:val="28"/>
          <w:sz w:val="28"/>
          <w:szCs w:val="28"/>
          <w:rtl w:val="true"/>
          <w:lang w:bidi="ar-SA"/>
        </w:rPr>
        <w:t xml:space="preserve">، فهو كلام مختلّ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التصرّف في مال الغير ليس من العناوين التي لا يتبدّل حكمها بلحوق العناوين اللاحقة للأفعال ، ضرورة اتّصافه بالوجوب عند لحوق عنوان حفظ النفس مثلا بالتصرّف المذكور ، فيمكن أن يلحق بالتصرّف عنوان يكون ذلك العنوان مناطا لاختلاف حكم التصرّف المذكور ، مثل كونه تخلّصا عن الغصب على وجه الانحصار ، ولا شكّ أنّ موضوع التخلّص عن الغصب ممّا لا يختلف حكمه بعد الدخول وقبله وإن توقّف وجود الخروج في الخارج على الدخول بواسطة ترتيب طبيعي بين الدخول والخروج ، ومثل هذا التوقّف الوجودي لا يعقل أن يكون منشأ لاختلاف حكم ذلك الموقوف ، إذ الحكم تابع لعنوان ينتزع من ذات الفعل تارة بالذات واخرى بواسطة الاعتبارات عند وجوده في الخارج لكونه موردا للحسن والقبح ، ولا مدخل للامور التي يتوقّف وجود العنوان عليها في ذلك ، كما هو ظاهر على من له مسكة بالمطالب</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الحركات الواقعة في ملك الغير تارة تكون معنونة بعنوان الغصب ، واخرى معنونة بعنوان التخلّص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الأمر المعلوم المتصوّر عند الآمر هو الغصب فيلحقه طلبه على وجه النهي عنه ، وعلى الثاني يكون المتصوّر عنده هو التخلّص فيلحقه طلبه على وجه الأمر به من غير مداخلة لأحد العنوانين والمتصوّرين في الآخر ، فالغصب مبغوض دائما والتخلّص مطلوب من غير فرق بين قبل الدخول وبعده ، فلو فرضنا لحوق حكم النهي به يلزم أن يكون موضوع التخلّص طاعة ومعصية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استند إليه في دفع ذلك من اختلاف الزمان ، ففيه خبط ظاهر لا يليق بأرباب النظر ، فكيف بمن هو بمنزلة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اختلاف الزمان إنّما يجدي في دفع التناقض فيما إذا كانت القضيّة السالبة واقعة في أحدهما والموجبة في الآخر ،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أمس ، وليس بقائم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الزمان على وجه لو اعتبر في الفعل يصير عنوان الفعل مغايرا للعنوان الذي كان وجها للفعل وعنوانا له ، فلا يعقل أن يكون اختلاف الزمان في مثله رافعا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الحركات الواقعة في دار الغير وملكه ، في نفسها لا يلحقها حكم من الأحكام التكليفيّة ، كما هو الشأن في جميع الكلّيات التي يختلف أحكام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لوحظت على وجه الغصبيّة يتّصف بالحرمة ولو وقعت على وجه التخلّص عن الغصب يتّصف بالوجوب ، ولا مدخل للزمان فيما ذكرنا إلاّ في وجود </w:t>
      </w:r>
      <w:r>
        <w:rPr>
          <w:rStyle w:val="FootnoteAnchor"/>
          <w:rtl w:val="true"/>
        </w:rPr>
        <w:footnoteReference w:id="1417"/>
      </w:r>
      <w:r>
        <w:rPr>
          <w:rFonts w:ascii="Amiri" w:hAnsi="Amiri" w:eastAsia="Amiri" w:cs="Amiri"/>
          <w:color w:val="111111"/>
          <w:sz w:val="28"/>
          <w:sz w:val="28"/>
          <w:szCs w:val="28"/>
          <w:rtl w:val="true"/>
          <w:lang w:bidi="ar-SA"/>
        </w:rPr>
        <w:t>عنوان الواجب في الخارج ، فإنّ الحركة الخروجيّة لا توجد في نفس الأمر إلاّ بعد وجود الحركة الدخوليّة ، فالبعديّة إنّما تؤثّر في وجود عنوان الواجب وحصول موضوعه في الخارج ، وأين ذلك من الزمان الذي يؤخذ ظرفا لوقوع النسبة في القضيّة؟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 في التوضيح من أنّ جميع أنحاء الغصب مطلوب الترك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الحركات الواقعة في العين المغصوبة مع قطع النظر عن الوجوه اللاحقة لها التي تصير وجها في اختلاف أحكامها ، فمجال المنع فيما ذكره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 أنحاء الغصب على وجه الغصبيّة فهو سديد ، لكنّه غير مفيد ؛ لأنّ الكلام في الحركة التي تقع على وجه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ما يعمّ الحركة الخروجيّة على وجه التخلّص فلا نسلّم أنّ الغصب في هذا النحو من وجوده مطلوب الترك ، بل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تعاضدا على كونه مطلوب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فالذي هو مطلوب الترك قبل الدخول هو ليس عنوان الخروج ، بل هو الحركة لا على وجه التخلّص وهو مطلوب الترك بعد الدخول أيضا ، والذي هو مطلوب الفعل هو عنوان التخلّص وهو مطلوب قبل الدخول وبعده أيضا ، وذلك لا يوجب مطلوبيّة الدخول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أنّ اختلاف الزمان يجدي في دفع التناقض والتنافي في المقام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قرّر في محلّه من أنّ اختلاف نفس الزمان من دون أن يكون رجوعه إلى اختلاف عنوان الفعل لا يصلح لأن يكون وجها لتعلّق الأمر والنهي بالشيء الواحد الشخصي ، فإنّ الحركة الخروجيّة لو لم تكن في الزمان الثاني عنوانها مغايرا لعنوانها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توارد الأمر والنهي عليه ، كما نبّهوا على ذلك في مسألة عدم جواز النسخ قبل حضور وقت العمل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القول بإجداء اختلاف الزمان ينافي ما هو بصدده من إجراء حكم النهي السابق عليه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اختصاص النهي بالزمان السابق ، فلو فرض أنّ شرب الخمر كان في الأمس حراما لا وجه لإجراء حكم نهيه في اليوم أو في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فالظاهر أنّ القول المذكور ساقط جدّا لما عرفت ؛ مضافا إلى أنّ استفادة الحكم المذكور من الدليل اللفظي الدالّ على حرمة الغصب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 فإنّه يدلّ بعمومه على تحريم جميع أفراد الغصب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الترتيب المذكور فممّا لا يعقل طريق استفادته من الدليل المذكور</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يوجب أن يكون الدخول واجبا لكونه من مقدّمات الخروج الواجب ، ولو قيل بأنّ الخروج إنّما يجب بعد الدخول فيكون وجوبه </w:t>
      </w:r>
    </w:p>
    <w:p>
      <w:pPr>
        <w:pStyle w:val="BookText"/>
        <w:rPr/>
      </w:pPr>
      <w:r>
        <w:rPr>
          <w:rFonts w:ascii="Amiri" w:hAnsi="Amiri" w:eastAsia="Amiri" w:cs="Amiri"/>
          <w:color w:val="111111"/>
          <w:sz w:val="28"/>
          <w:sz w:val="28"/>
          <w:szCs w:val="28"/>
          <w:rtl w:val="true"/>
          <w:lang w:bidi="ar-SA"/>
        </w:rPr>
        <w:t xml:space="preserve">مشروطا بالدخول ولا يجب المقدّمة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ذكره المستدلّ من عدم الوجوب قبل الدخول ومن وجوبه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الخروج بعد الدخول لا يوجب المصير إلى ما ذهب إليه المستدلّ من تعلّق النهي بالخروج قبل الدخول والأمر به بعده وجريان حكم النهي عليه ، فإنّ غاية ما في الباب هو أنّه يلزم أن يكون الحركة الواقعة حال الخروج وجوبها مشروطا بلحوق عنوان بها لا يتحقّق ذلك العنوان إلاّ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حكم كلّي يجري في جميع الموارد التي يدور الأمر فيها بين القبيح والأقبح ، فإنّه يجب حينئذ ارتكاب القبيح على وجه التنجّز </w:t>
      </w:r>
      <w:r>
        <w:rPr>
          <w:rStyle w:val="FootnoteAnchor"/>
          <w:rtl w:val="true"/>
        </w:rPr>
        <w:footnoteReference w:id="1418"/>
      </w:r>
      <w:r>
        <w:rPr>
          <w:rFonts w:ascii="Amiri" w:hAnsi="Amiri" w:eastAsia="Amiri" w:cs="Amiri"/>
          <w:color w:val="111111"/>
          <w:sz w:val="28"/>
          <w:sz w:val="28"/>
          <w:szCs w:val="28"/>
          <w:rtl w:val="true"/>
          <w:lang w:bidi="ar-SA"/>
        </w:rPr>
        <w:t>مطلقا عند الابتلاء من دون شائبة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النهي عن جعل الشخص نفسه مضطرا إلى ارتكاب القبيح عند الدوران وإن كان واجبا بعده ولو بواسطة سوء اختياره ، فالنهي عند التحقيق متوجّه إلى الأسباب الموجبة للاضطرار إلى ارتكاب القبيح ، لعدم معقوليّة النهي عن ارتكاب القبيح بعد ما يصير دافعا للأقبح</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في الأوامر ، فإنّه ربما لا يمكن الأمر بشيء ابتداء فيتعلّق الأمر بمقدّمته ثمّ يتعلّق بعد ذلك بذيها ، وذلك كما لو قلنا بعدم تكليف الغافل الصرف إلاّ بعد العلم التفصيلي ، فإنّ الآمر لو حاول طلب شيء منه يجب عليه أوّلا أن يطلب منه تحصيل العلم حتّى يتوجّه إليه التكليف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جماعة إلى أنّ المكلّف المقصّر إنّما يعاقب على ترك تحصيل العلم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ما ذكرنا ربما يشير بعض الأخبار من المنع عن المسافرة إلى البلاد التي لا يتمكّن المسافر فيها على أداء أحكام الإسلام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قد استقرّ آراء العقلاء في امور معاشهم ، فيعاقبون على التسبيبات المذكورة معادلا لما يترتّب على نفس المسبّبات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حمل كلام الرازي على ما ذكرنا أولى ممّا حمل عليه المستدلّ ؛ لما عرفت من فساده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يحتمل أن يكون ذلك مراد من قال بارتفاع التكليف خطابا ووجوده عقابا </w:t>
      </w:r>
      <w:r>
        <w:rPr>
          <w:rStyle w:val="FootnoteAnchor"/>
          <w:rtl w:val="true"/>
        </w:rPr>
        <w:footnoteReference w:id="1421"/>
      </w:r>
      <w:r>
        <w:rPr>
          <w:rFonts w:ascii="Amiri" w:hAnsi="Amiri" w:eastAsia="Amiri" w:cs="Amiri"/>
          <w:color w:val="111111"/>
          <w:sz w:val="28"/>
          <w:sz w:val="28"/>
          <w:szCs w:val="28"/>
          <w:rtl w:val="true"/>
          <w:lang w:bidi="ar-SA"/>
        </w:rPr>
        <w:t>، فإنّ العقاب على التكليف الذي يمتنع ثبوته قبيح ، فلا بدّ من أن يكون المراد منه هو العقاب على التسبيب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ذكرنا في المقام ما ربما يقال في بعض المغالطات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فرض أنّ وجود زيد يوجب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حماريّة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أيضا يوجب ذلك المحال ، فلو ردّد الأمر بينهما فبأيّهما ينبغي أن يؤخذ؟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الفرض المذكور ، فلا نسلّم إمكان استلزام وجود الشيء وعدمه المحال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النفي في القضيّة ليس إلى الوجود والعدم أو إليهما حتّى يلزم على الأوّل والثاني المحال ، وعلى الثالث ارتفاع النقيضين ، بل مرجعه إلى نفي التوصيف والتفكيك بين الصفة والموصوف ونفي الاتّصاف ، فلا يلزم شيء من المحاذير ، كما لا يخفى على من لاحظ وتدبّر</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ما ذكرنا بنى العلاّمة في المختلف في ردّ الشيخ في لباس المصلّي إذا كان نجسا ، فلاحظ وتأمّل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التصرّف في ملك الغير على وجه الإطلاق والأمر به مشروط بالدخول ، لا يخلو عن تناقض ، فإنّ النهي على جميع التقادير ينافي الأمر على تقدير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منه التردّد في صحّة صلاة النافلة حين الخروج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 المختار هل يصحّ منه الصلاة المندوبة وما بحكمها موميا حال الخروج؟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ارتفاع الخروج في تلك المدّة ، ومن أنّها كانت مطلوبة العدم </w:t>
      </w:r>
      <w:r>
        <w:rPr>
          <w:rStyle w:val="FootnoteAnchor"/>
          <w:rtl w:val="true"/>
        </w:rPr>
        <w:footnoteReference w:id="1423"/>
      </w:r>
      <w:r>
        <w:rPr>
          <w:rFonts w:ascii="Amiri" w:hAnsi="Amiri" w:eastAsia="Amiri" w:cs="Amiri"/>
          <w:color w:val="111111"/>
          <w:sz w:val="28"/>
          <w:sz w:val="28"/>
          <w:szCs w:val="28"/>
          <w:rtl w:val="true"/>
          <w:lang w:bidi="ar-SA"/>
        </w:rPr>
        <w:t>، ثمّ اختار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للقول بالصحّة على مذاقه ، فإنّ زمان الخروج زمان المعصية فعلا وإن كان زمان النهي سابقا ، كما ستعرف</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وجها لإفراد الصلاة المندوبة بالبحث بعد ما عرفت من أنّ المناط في الصحّة والبطلان على النهي وعدمه ، فلو قلنا بأنّ زمن الخروج ممّا </w:t>
      </w:r>
      <w:r>
        <w:rPr>
          <w:rStyle w:val="FootnoteAnchor"/>
          <w:rtl w:val="true"/>
        </w:rPr>
        <w:footnoteReference w:id="1424"/>
      </w:r>
      <w:r>
        <w:rPr>
          <w:rFonts w:ascii="Amiri" w:hAnsi="Amiri" w:eastAsia="Amiri" w:cs="Amiri"/>
          <w:color w:val="111111"/>
          <w:sz w:val="28"/>
          <w:sz w:val="28"/>
          <w:szCs w:val="28"/>
          <w:rtl w:val="true"/>
          <w:lang w:bidi="ar-SA"/>
        </w:rPr>
        <w:t>لا يتعلّق بالمكلّف نهي وليس أيضا زمان المعصية فالصلاة صحيحة سواء كانت واجبة أو مندوبة في سعة الوقت أو في ضيقه إذا لم تكن الصلاة في الدار المغصوبة حال السعة مستلزمة لزيادة التصرّف مثلا ، فالتقييد بالضيق في كلامهم بواسطة أنّ إيجاد الصلاة في السعة فيها يوجب زيادة التصرّف لو كان المقصود إيجادها مشتملة على أجزائها وشرائطها الاختياريّة ، وذلك ظاهر في الغاية</w:t>
      </w:r>
      <w:r>
        <w:rPr>
          <w:rFonts w:eastAsia="Amiri" w:cs="Amiri" w:ascii="Amiri" w:hAnsi="Amiri"/>
          <w:color w:val="111111"/>
          <w:sz w:val="28"/>
          <w:szCs w:val="28"/>
          <w:rtl w:val="true"/>
          <w:lang w:bidi="ar-SA"/>
        </w:rPr>
        <w:t xml:space="preserve">. </w:t>
      </w:r>
      <w:bookmarkStart w:id="456" w:name="pg16254_218980"/>
    </w:p>
    <w:p>
      <w:pPr>
        <w:pStyle w:val="Heading3"/>
        <w:numPr>
          <w:ilvl w:val="2"/>
          <w:numId w:val="1"/>
        </w:numPr>
        <w:rPr/>
      </w:pPr>
      <w:bookmarkStart w:id="457" w:name="__RefHeading___Toc4418416_1280447820"/>
      <w:bookmarkStart w:id="458" w:name="_Toc145"/>
      <w:bookmarkEnd w:id="456"/>
      <w:bookmarkEnd w:id="457"/>
      <w:r>
        <w:rPr>
          <w:rtl w:val="true"/>
        </w:rPr>
        <w:t>خاتمة</w:t>
      </w:r>
      <w:bookmarkEnd w:id="458"/>
    </w:p>
    <w:p>
      <w:pPr>
        <w:pStyle w:val="BookText"/>
        <w:rPr/>
      </w:pPr>
      <w:r>
        <w:rPr>
          <w:rFonts w:ascii="Amiri" w:hAnsi="Amiri" w:eastAsia="Amiri" w:cs="Amiri"/>
          <w:color w:val="111111"/>
          <w:sz w:val="28"/>
          <w:sz w:val="28"/>
          <w:szCs w:val="28"/>
          <w:rtl w:val="true"/>
          <w:lang w:bidi="ar-SA"/>
        </w:rPr>
        <w:t xml:space="preserve">قد عرفت في الهداية السابقة ذهاب المشهور إلى القول بصحّة الصلاة في الدار المغصوبة حال الخروج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يتوهّم التنافي بين ذلك وبين ما يظهر منهم في مسألة الجاهل بحكم الغصب في الشريعة مع تقصيره في التعلّم ، حيث حكموا ببطلان عمله </w:t>
      </w:r>
      <w:r>
        <w:rPr>
          <w:rStyle w:val="FootnoteAnchor"/>
          <w:rtl w:val="true"/>
        </w:rPr>
        <w:footnoteReference w:id="1426"/>
      </w:r>
      <w:r>
        <w:rPr>
          <w:rFonts w:ascii="Amiri" w:hAnsi="Amiri" w:eastAsia="Amiri" w:cs="Amiri"/>
          <w:color w:val="111111"/>
          <w:sz w:val="28"/>
          <w:sz w:val="28"/>
          <w:szCs w:val="28"/>
          <w:rtl w:val="true"/>
          <w:lang w:bidi="ar-SA"/>
        </w:rPr>
        <w:t>ولو حين الغفلة عمّا علم به إجمالا في أوّل الأمر أو عند عدم تمكّنه من التعلّم مع ارتفاع النهي عنه حال الغفلة وعدم التمكّن ، فلو كان المدار في صحّة العبادة ارتفاع النهي فلم لا يحكمون بها في الجاهل المزبور؟ وإن كان ارتفاع النهي لا يجدي في الصحّة فلم حكموا بها في الصلاة حال الخروج؟</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التنافي بإبداء الفارق بين المقامين ؛ فإنّ الوجه في الحكم بالصحّة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الخروج على وجه التخلّص مأمورا به فقط ، فلا مانع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الحكم بالفساد في مسألة الجاهل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الفعل زمان المعصية ، وكما لا يجوز الأمر بالفعل حال وجود النهي فكذا لا يجوز الأمر حال صدق المعصية وإن كان النهي مرتفعا ، فالحكم بالصحّة فيما تقدّم ليس منوطا بارتفاع النهي فقط ، بل لعدم صدق العصيان في تلك الحالة مدخل في الصحّة ، فلا منافاة بين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الحكم بالفساد إنّما يتمشّى فيما إذا ورد نهي عن الارتماس في قليب ، فإنّ المكلّف بعد ما ألقى نفسه في القليب وحصل له الاضطرار ارتفع النهي قطعا ومع ذلك لا يصحّ منه الغسل ، لأنّ الغسل يقع منه في زمان يتحقّق فيه المعصية وإن كان النهي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كلّ الأفعال ، فإنّ التكليف ينقطع بعد اتّصاف الفعل بالوجوب والامتناع بواسطة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الامتناع والوجوب مؤكّدا للاختيار الذي هو شرط في الأفعال الاختياريّة المتعلّقة للتكاليف الشرعيّة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يذكر في مقام الفرق وجوه لا محصّل لها ، والاعتماد على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المعتمد في الامور كلّها ، واللّه العالم</w:t>
      </w:r>
      <w:r>
        <w:rPr>
          <w:rFonts w:eastAsia="Amiri" w:cs="Amiri" w:ascii="Amiri" w:hAnsi="Amiri"/>
          <w:color w:val="111111"/>
          <w:sz w:val="28"/>
          <w:szCs w:val="28"/>
          <w:rtl w:val="true"/>
          <w:lang w:bidi="ar-SA"/>
        </w:rPr>
        <w:t xml:space="preserve">.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6254_218983"/>
      <w:bookmarkStart w:id="460" w:name="pg16254_218983"/>
      <w:bookmarkEnd w:id="460"/>
    </w:p>
    <w:p>
      <w:pPr>
        <w:pStyle w:val="BookText"/>
        <w:rPr/>
      </w:pPr>
      <w:bookmarkStart w:id="461" w:name="pg16254_218983"/>
      <w:bookmarkEnd w:id="46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62" w:name="__RefHeading___Toc4418418_1280447820"/>
      <w:bookmarkStart w:id="463" w:name="_Toc146"/>
      <w:bookmarkEnd w:id="462"/>
      <w:r>
        <w:rPr>
          <w:rtl w:val="true"/>
        </w:rPr>
        <w:t>القول في اقتضاء النهي للفساد فيما إذا تعلّق بشيء</w:t>
      </w:r>
      <w:bookmarkEnd w:id="463"/>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4418420_1280447820"/>
      <w:bookmarkStart w:id="465" w:name="_Toc147"/>
      <w:bookmarkEnd w:id="464"/>
      <w:r>
        <w:rPr>
          <w:rtl w:val="true"/>
        </w:rPr>
        <w:t>اشارة</w:t>
      </w:r>
      <w:bookmarkEnd w:id="465"/>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6254_218985"/>
      <w:bookmarkStart w:id="467" w:name="pg16254_218985"/>
      <w:bookmarkEnd w:id="467"/>
    </w:p>
    <w:p>
      <w:pPr>
        <w:pStyle w:val="BookText"/>
        <w:rPr/>
      </w:pPr>
      <w:bookmarkStart w:id="468" w:name="pg16254_218985"/>
      <w:bookmarkEnd w:id="468"/>
      <w:r>
        <w:rPr>
          <w:rFonts w:ascii="Amiri" w:hAnsi="Amiri" w:eastAsia="Amiri" w:cs="Amiri"/>
          <w:color w:val="111111"/>
          <w:sz w:val="28"/>
          <w:sz w:val="28"/>
          <w:szCs w:val="28"/>
          <w:rtl w:val="true"/>
          <w:lang w:bidi="ar-SA"/>
        </w:rPr>
        <w:t xml:space="preserve">وتحقيق البحث في طيّ هدايات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418422_1280447820"/>
      <w:bookmarkStart w:id="470" w:name="_Toc148"/>
      <w:bookmarkEnd w:id="469"/>
      <w:r>
        <w:rPr>
          <w:rtl w:val="true"/>
        </w:rPr>
        <w:t>هداية</w:t>
      </w:r>
      <w:bookmarkEnd w:id="470"/>
    </w:p>
    <w:p>
      <w:pPr>
        <w:pStyle w:val="Heading4"/>
        <w:numPr>
          <w:ilvl w:val="3"/>
          <w:numId w:val="1"/>
        </w:numPr>
        <w:rPr/>
      </w:pPr>
      <w:bookmarkStart w:id="471" w:name="__RefHeading___Toc4418424_1280447820"/>
      <w:bookmarkStart w:id="472" w:name="_Toc149"/>
      <w:bookmarkEnd w:id="471"/>
      <w:r>
        <w:rPr>
          <w:rtl w:val="true"/>
        </w:rPr>
        <w:t xml:space="preserve">في تقديم امور لعلّها تنفع في توضيح المطلوب </w:t>
      </w:r>
      <w:r>
        <w:rPr>
          <w:rtl w:val="true"/>
        </w:rPr>
        <w:t>:</w:t>
      </w:r>
      <w:bookmarkEnd w:id="4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السابقة الفرق بينها وبين هذه المسألة على وجه التفصيل ، ومحصّله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المسئول عنه في تلك المسألة هو إمكان اجتماع هذين النحوين من الطلب في مورد واحد وامتناعه ، والمسئول عنه في هذه المسألة هو ثبوت الملازمة بين تعلّق النهي بشيء وبين فساد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القول بامتناع الاجتماع لا بدّ من القول باقتضاء الفساد ، وذلك لا يوجب اتّحاد العنوانين ولا إغناء أحد البحثين عن الآخر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النهي الفساد أو جواز اجتماع الأمر والنهي مفهومان مختلفان لا ارتباط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ما ذكرنا بملاحظة الفساد في المعاملات ، إذ لا فرق في اقتضاء النهي الفساد بالنسبة إلى العبادات والمعاملات ، فإنّ ذلك على تقدير التعميم بواسطة جهة مطّردة فيهما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حاجة إلى تكلّف الفرق بينهما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الاولى بما إذا كان بين متعلّق الأمر والنهي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القمّي رحمه‌اللّه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الثانية بما إذا كان المنهيّ عنه عين المأمور به في العنوان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 ولا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غيره ؛ فإنّ الاختلاف الموردي </w:t>
      </w:r>
    </w:p>
    <w:p>
      <w:pPr>
        <w:pStyle w:val="BookText"/>
        <w:rPr/>
      </w:pPr>
      <w:r>
        <w:rPr>
          <w:rFonts w:ascii="Amiri" w:hAnsi="Amiri" w:eastAsia="Amiri" w:cs="Amiri"/>
          <w:color w:val="111111"/>
          <w:sz w:val="28"/>
          <w:sz w:val="28"/>
          <w:szCs w:val="28"/>
          <w:rtl w:val="true"/>
          <w:lang w:bidi="ar-SA"/>
        </w:rPr>
        <w:t>لا يصير سببا لاختلاف المسألتين بعد اتّحاد جهة البحث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يوجب أن يكون الموردان قسمين من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المسألة لا ينبغي أن تعدّ من مباحث الألفاظ ، فإنّ هذه الملازمة على تقدير ثبوتها إنّما هي موجودة بين مفاد النهي المتعلّق بشيء وإن لم يكن ذلك النهي مدلولا عليه بالصيغة اللفظيّة ، وعلى تقدير عدمها إنّما يحكم بانتفائها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النهي المأخوذ في العنوان هو النهي التحريمي وإن كان مناط البحث في التنزيهي موجودا ، وذلك لا يوجب تعميم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البحث بالنهي الأصلي أو يعمّ التبعي أيضا؟ والحقّ هو الثاني ؛ لما قد تقدّم من استدلالهم على فساد الضدّ بتعلّق النهي التبعي الحاصل من الأمر بضدّه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 القمّي رحمه‌اللّه إلى الأوّل ، فزعم عدم اقتضاء النهي التبعي الفساد قطعا ، لانحصار ما يمكن أن ينازع فيه فيما يترتّب عليه العقاب ، ولا عقاب في التبعي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انحصاره فيه ، وكلمات القوم لا توافقه ، بل إنّما هي آبية عنه وصريحة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المتعلّق للنهي إمّا أن يكون عبادة أو غير عبادة</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 فقد تطلق ويراد بها معناها المصدري ، ويعبّر عنها بالفارسيّة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بهذا المعنى العبادات بالمعنى الأخصّ التي ستعرفها ولكلّ فعل كان المقصود منه هو الامتثال ، فغير العبادة ما لا يكون المقصود منه الامتثال ، سواء لا يقع به الامتثال لعدم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كالمكروهات والمحرّمات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يقصد به الامتثال وإن أمكن فيه ، كالواجبات التوصّلية إذا وقعت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يطلق ويراد بها معناها </w:t>
      </w:r>
    </w:p>
    <w:p>
      <w:pPr>
        <w:pStyle w:val="BookText"/>
        <w:rPr/>
      </w:pPr>
      <w:r>
        <w:rPr>
          <w:rFonts w:ascii="Amiri" w:hAnsi="Amiri" w:eastAsia="Amiri" w:cs="Amiri"/>
          <w:color w:val="111111"/>
          <w:sz w:val="28"/>
          <w:sz w:val="28"/>
          <w:szCs w:val="28"/>
          <w:rtl w:val="true"/>
          <w:lang w:bidi="ar-SA"/>
        </w:rPr>
        <w:t xml:space="preserve">الاسمي ، وهي الأفعال التي يقع بها الامتثال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في تحديدها هو ما قدّمنا في بحث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ما امر به لأجل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تعرّف في كلام غير واحد بأنّها ما يتوقّف صحّته على النيّة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إن كان المراد بها الامتثال ، فيدخل جميع أفراد العبادة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ما يوجب سقوط الفعل ثانيا ، فيخرج العبادات التي لا يجب فعلها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اشتماله لها بنوع من العناية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يوجب الدور ؛ فإنّ معرفة العبادة موقوفة على معرفة الصحّة لوقوعها جزءا لحدّها ، ومعرفة الصحّة موقوفة على معرفة العبادة ؛ لأنّ الصحّة في العبادات معناها سقوط القضاء لا الصحّة على وجه الإطلاق ، ومعرفة المقيّد موقوفة على معرفة القيد والتقييد</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بها مطلق ترتّب الأثر ، فإن اريد من الأثر الامتثال لزم ما عرفت من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الامتثال موافقة الأمر ولا شكّ أنّ موافقة الأمر موقوفة على النيّة ، فليست النيّة ممّا يتوقّف عليها الصحة ، بل التحقيق على ما مرّ من أنّ القربة ليست من وجوه الفعل ، بل هي من الدواعي ، حيث إنّ وجود الفعل المأمور به في الخارج موقوف على النيّة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 الأثر سقوط القضاء فقد عرفت أيضا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مطلق الأثر فينتقض بالعبادات الصوريّة التي يترتّب عليها الآثار العقليّة بل الشرعيّة أيضا ، كما إذا وقعت في مقام التعليم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وعرّفها في القوانين بما لم يعلم انحصار المصلحة فيها في شيء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بعض الأجلّة </w:t>
      </w:r>
      <w:r>
        <w:rPr>
          <w:rStyle w:val="FootnoteAnchor"/>
          <w:rtl w:val="true"/>
        </w:rPr>
        <w:footnoteReference w:id="1432"/>
      </w:r>
      <w:r>
        <w:rPr>
          <w:rFonts w:ascii="Amiri" w:hAnsi="Amiri" w:eastAsia="Amiri" w:cs="Amiri"/>
          <w:color w:val="111111"/>
          <w:sz w:val="28"/>
          <w:sz w:val="28"/>
          <w:szCs w:val="28"/>
          <w:rtl w:val="true"/>
          <w:lang w:bidi="ar-SA"/>
        </w:rPr>
        <w:t xml:space="preserve">،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 طرده بتوجيه الميّت إلى القبلة ، فإنّه ليس من العبادات قطعا ، مع أنّ مصلحة الفعل المأمور به غير معلوم انحصارها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 عكسه بنحو الوضوء ، فإنّ مصلحته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الطهارة لأجل الدخول في المشروط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العبادات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ما أفاده بوجه لا يتوجّه عليه شيء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انحصار مصلحة الواجب في شيء ، فبعد العلم بوجود تلك المصلحة يعلم بسقوط الطلب ، فيكون الواجب توصّليّا مثل التوجيه إلى القبلة ، فإنّ المصلحة في التوجيه ليس إلاّ حصول التوجّه إلى القبلة ، وبعد العلم بوجود التوجّه لا يبقي للأمر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انحصار المصلحة في شيء فلا يعلم سقوط الطلب إلاّ أن يكون الداعي في الإتيان بالفعل هو الأمر ، فإنّه يوجب السقوط قطعا ، وهذا بعينه هي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لا يرد عليه شيء من الإيرادين ، أمّا الأوّل ؛ فلما عرفت من معلوميّة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الكلام في انحصار المصلحة في شيء معلوم ، والطهارة غير معلومة ، ولذلك كانت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مباحث المقدّمة ما ينفع في المقام</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من الامور التي يتصوّر فيها الاتّصاف بالصحّة والفساد كغسل النجاسات والعقود والإيقاعات ، واخرى يكون من الامور التي لا تتّصف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يكون من الامور التي يترتّب عليها الآثار الشرعيّة كالغصب والإتلاف ونحوهما ، فإنّه يترتّب عليها الضمان ووجوب الردّ ونحوهما ، وتارة لا يكون منها كشرب الماء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الشيء إلى العبادة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بالمعاملة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العبادة إلى الأعمّ والأخصّ ، وتقسيم المعاملة إلى ما يترتّب عليه الأثر الشرعي وإلى غيره ، والأوّل إلى ما يتّصف بالصحّة والفساد وإلى غيره ، فهل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العنوان جميع هذه الأقسام أو مختصّ ببعضها؟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العبادة بالمعنى الأعمّ داخل في عنوان النزاع ، كالمعاملة التي يترتّب عليها الآثار الشرعيّة مع صحّة اتّصافها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المعاملة التي يترتّب عليها الآثار من دون الاتّصاف المذكور فلا كلام فيه ، إذ بعد عدم اتّصاف المحلّ بالصحّة والفساد لا وجه للبحث عن اقتضاء النهي للفساد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ترتّب الآثار على الإتلاف واليد والجنايات وأسباب الوضوء ونحوها ، فإنّها تعدّ من الأحكام المترتّبة على وجود هذه الأسباب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خروج ما لا يترتّب عليه الأثر الشرعي وإن ترتّب عليه الأثر العقلي أو العادي ، إذ لا يعقل تأثير النهي فيما يترتّب على الشيء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العبادة بالمعنى الأعمّ والمعاملة التي تتّصف بالصحّة والفساد شرعا ، وقد عرفت وجه التخصيص في الثاني</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التعميم فيه بالنسبة إلى ما يتّصف بالصحّة فأمران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عموم الأدلّة ،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ذكره الشيخ في محكيّ المبسوط في الاستدلال على عدم حصول الطهارة فيما لو استنجى بالمطعوم ونحوه ممّا تعلّق النهي بالاستنجاء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قلنا لا يجوز استعماله لحرمته أو لكونه نجسا ، </w:t>
      </w:r>
    </w:p>
    <w:p>
      <w:pPr>
        <w:pStyle w:val="BookText"/>
        <w:rPr/>
      </w:pPr>
      <w:r>
        <w:rPr>
          <w:rFonts w:ascii="Amiri" w:hAnsi="Amiri" w:eastAsia="Amiri" w:cs="Amiri"/>
          <w:color w:val="111111"/>
          <w:sz w:val="28"/>
          <w:sz w:val="28"/>
          <w:szCs w:val="28"/>
          <w:rtl w:val="true"/>
          <w:lang w:bidi="ar-SA"/>
        </w:rPr>
        <w:t xml:space="preserve">إن استعمل في ذلك ونقي به الموضع لا يجزي ، لأنّه منهيّ عنه ، والنهي يقتضي الفساد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في المعتبر </w:t>
      </w:r>
      <w:r>
        <w:rPr>
          <w:rStyle w:val="FootnoteAnchor"/>
          <w:rtl w:val="true"/>
        </w:rPr>
        <w:footnoteReference w:id="1434"/>
      </w:r>
      <w:r>
        <w:rPr>
          <w:rFonts w:ascii="Amiri" w:hAnsi="Amiri" w:eastAsia="Amiri" w:cs="Amiri"/>
          <w:color w:val="111111"/>
          <w:sz w:val="28"/>
          <w:sz w:val="28"/>
          <w:szCs w:val="28"/>
          <w:rtl w:val="true"/>
          <w:lang w:bidi="ar-SA"/>
        </w:rPr>
        <w:t>ولم يعترض عليه بخروجه عن محلّ الكلام كغيره ، وإنّما اعترضوا بعدم اقتضاء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التعميم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أفيد وأشمل وإن كان الظاهر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الأخصّ ، فيشمل الواجبات التوصّلية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إذا وقع على وجه محرّم فهل يقتضي النهي عنه عدم وقوع الامتثال به إذا كان قاصدا للامتثال ، أو لا؟</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العبادة قد يفسّر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يوافق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المتكلّمين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بالأمر خصوص الإلزامي ، فلا يرد النقض بالعبادة الصحيحة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النقض بالمباح ؛ مع أنّه أيضا في غير محلّه ، لأنّ الموصولة كناية عن العبادة والمباح ليس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استدراك موافقة الشريعة ، لأنّ العبادة كما تتّصف بالصحّة تتّصف بالفساد أيضا</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يفسّر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يسقط معه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الفقهاء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 حال الفعل لا ثبوت للقضاء حتّى يسقط به ؛ لأنّ الإسقاط لا يصحّ إطلاقه في مثل المقام ولو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سقوطه على تقدير ثبوته ، فلا يرد النقض بصحيح العيدين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لعدم ظهور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بالقضاء هو الإعادة أو الأعمّ منها ، فلا يدفع الضيم ؛ لورود النقض بالعيدين عند ضيق الوقت إذ لا يتصوّر الإعادة أيضا ، وكذا الصوم المندوب في كلّ يوم كالصلوات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 أنّ النسبة بين التفسيرين عموم مطلق ؛ لأنّ العبادة التي توجب سقوط القضاء يجب مطابقتها للأمر ، وليس كلّ ما يطابق الأمر مسقطا للقضاء ؛ لأنّ الصلاة بالطهارة المستصحبة مطابقة للأمر وليست مسقطة للقضاء ، لأنّه يجب إذا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التفكيك بين التفسيرين ، كأن يكون المراد بالأمر في تفسير المتكلّمين الأعمّ من الظاهري والواقعي وفي تفسير الفقهاء خصوص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أعمّية تفسير الفقهاء أن يكون القيود المعتبرة في التفسير الأوّل معتبرة فيه أيضا لتحقّق الأعمّية بذلك ، والظاهر أيضا </w:t>
      </w:r>
      <w:r>
        <w:rPr>
          <w:rStyle w:val="FootnoteAnchor"/>
          <w:rtl w:val="true"/>
        </w:rPr>
        <w:footnoteReference w:id="1437"/>
      </w:r>
      <w:r>
        <w:rPr>
          <w:rFonts w:ascii="Amiri" w:hAnsi="Amiri" w:eastAsia="Amiri" w:cs="Amiri"/>
          <w:color w:val="111111"/>
          <w:sz w:val="28"/>
          <w:sz w:val="28"/>
          <w:szCs w:val="28"/>
          <w:rtl w:val="true"/>
          <w:lang w:bidi="ar-SA"/>
        </w:rPr>
        <w:t>فلا بدّ من اعتبار موافقة الأمر في تفسير الفقهاء أيضا كما هو مقتضى القضاء ، فإنّه فرع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التفسيرين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فيهما على الأمر الواقعي الاختياري ، فكلّ فعل يكون مطابقا للأمر الواقعي الاختياري يجب أن يكون مسقطا للقضاء قطعا ، وتنعكس هذه القضية كلّيا من دون إشكال ، فيكون التفسيران متلازمين في الصدق</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الأعمّ من الاختياري والاضطراري الواقعيّين كما في الصلاة بالطهارة المائيّة الواقعيّة وبالطهارة الترابيّة ، فالتفسيران أيضا متطابقان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الاختياري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بالطهارة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 استقرار العذر وعدم زواله فلإطباقهم على </w:t>
      </w:r>
    </w:p>
    <w:p>
      <w:pPr>
        <w:pStyle w:val="BookText"/>
        <w:rPr/>
      </w:pPr>
      <w:r>
        <w:rPr>
          <w:rFonts w:ascii="Amiri" w:hAnsi="Amiri" w:eastAsia="Amiri" w:cs="Amiri"/>
          <w:color w:val="111111"/>
          <w:sz w:val="28"/>
          <w:sz w:val="28"/>
          <w:szCs w:val="28"/>
          <w:rtl w:val="true"/>
          <w:lang w:bidi="ar-SA"/>
        </w:rPr>
        <w:t>إطلاق الصحيح على مثل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عند ارتفاع العذر فعلى القول بعدم وجوب الإعادة وحصول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أيضا إطلاق الصحيح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الآخر فلا يتّصف بالصحّة بمعنى سقوط القضاء والفعل ثانيا ، فيكون التفسير الأوّل أعمّ من التفسير الثاني ، لمطابقة تلك العبادة للأمر الاضطراري مع عدم إسقاط القضاء بالنسبة إلى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على الأعمّ من الظاهري والواقعي ، فتارة على وجه يعتبر في أحدهما ما يعتبر في الآخر من دون اختلاف فيكون التفسيران متلازمين في الصدق ، واخرى على وجه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في الأوّل خصوص الواقعي وعمّمنا الثاني إلى الظاهري أيضا يكون الثاني أعم ؛ لصدق الصحيح على الصلاة بالطهارة المستصحبة بالنسبة إلى الأمر الظاهري وعدم صدقه عليها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اعتبرنا في الأوّل الأعم من الواقعي والظاهري وفي الثاني خصوص الواقعي يكون الأوّل أعمّ ؛ لصدقه على الصلاة بالطهارة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رامه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صدقه عليها بالمعنى الثاني ، لعدم إسقاطه القضاء بالنسبة إلى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عمّمنا الأوّل وخصّصنا الثاني بالظاهري فقط يكون الثاني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إنّ ملاحظة اختلاف النسبة في الأمر واتّحادها يوجب الاختلاف والاتّحاد</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أعمّية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 فإنّ مجرّد مطابقة العبادة للأمر الظاهري لا يوجب اتّصاف الفعل بالصحّة عندهم ، فإنّ الصحيح عندهم هو ما يوجب سقوط القضاء بالنسبة إلى الأمر الواقعي ولو كان اضطراريّا حتّى على القول بلزوم الإعادة بعد زوال العذر ، فإنّ ثبوت الإعادة والقضاء أعمّ من الفساد كما زعمه القائل بعدم الإجزاء في نفس الأمر الواقعي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ذلك وبين الصلاة بالطهارة المستصحبة في غاية الوضوح بعد </w:t>
      </w:r>
    </w:p>
    <w:p>
      <w:pPr>
        <w:pStyle w:val="BookText"/>
        <w:rPr/>
      </w:pPr>
      <w:r>
        <w:rPr>
          <w:rFonts w:ascii="Amiri" w:hAnsi="Amiri" w:eastAsia="Amiri" w:cs="Amiri"/>
          <w:color w:val="111111"/>
          <w:sz w:val="28"/>
          <w:sz w:val="28"/>
          <w:szCs w:val="28"/>
          <w:rtl w:val="true"/>
          <w:lang w:bidi="ar-SA"/>
        </w:rPr>
        <w:t>ما عرفت من أنّ الاستصحاب إنّما هو مأخوذ طريقا ولا تأثير له في الواقع ، وبعد كشف الخلاف لا وجه لالتزام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مباحث الإجزاء </w:t>
      </w:r>
      <w:r>
        <w:rPr>
          <w:rStyle w:val="FootnoteAnchor"/>
          <w:rtl w:val="true"/>
        </w:rPr>
        <w:footnoteReference w:id="1438"/>
      </w:r>
      <w:r>
        <w:rPr>
          <w:rFonts w:ascii="Amiri" w:hAnsi="Amiri" w:eastAsia="Amiri" w:cs="Amiri"/>
          <w:color w:val="111111"/>
          <w:sz w:val="28"/>
          <w:sz w:val="28"/>
          <w:szCs w:val="28"/>
          <w:rtl w:val="true"/>
          <w:lang w:bidi="ar-SA"/>
        </w:rPr>
        <w:t>ما يوضّح المقام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المتكلّمون فيحتمل أن يكون مرادهم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الظاهري والواقعي من حيث إنّ نظرهم إنّما هو في الفعل من حيث إنّه يترتّب عليه الثواب والعقاب ، وموافقة الأمر الظاهري يحتمل أن يكون منشأ للثواب كما أنّ مخالفته يحتمل العقاب وإن كان التحقيق قد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اختلاف الفقهاء والمتكلّمين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اختلافا في المعنى ، بل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هو المراد منه في العرف واللغة ويعبّر عنه بالفارسيّة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الأنسب بمقاصد الكلام هو البحث عن الفعل من حيث إنّه منشأ للثواب والعقاب فلذلك عبّر أهله عن الصحيح بما يوافق الأمر والشريعة ، والأنسب بمقاصد الفقه هو البحث عن الفعل من حيث إنّه يوجب فراغ الذمّة ولذا عبّر أربابه عنه بما يوجب سقوط القضاء ، فلا وجه لما قد يظهر منهم من الاختلاف بينهم على وجه لا يشعر باتّحاد المعنى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الثمرة أيضا غير موجودة بينهما ، فإنّ التفكيك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قلنا بأنّ المناط في الاتّصاف بالصحّة في سقوط القضاء هو مطابقة الأمر الظاهري ، فلا إشكال في صحّة اتّصاف الفعل بالصحّة بعد مطابقته للأمر الظاهري</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بأنّ المناط فيه هو مطابقة الأمر الواقعي فهل يصحّ الاتّصاف قبل انكشاف الخلاف أو لا يصحّ؟ وعلى الأوّل فبعد انكشاف الخلاف هل يحكم بالفساد </w:t>
      </w:r>
    </w:p>
    <w:p>
      <w:pPr>
        <w:pStyle w:val="BookText"/>
        <w:rPr/>
      </w:pPr>
      <w:r>
        <w:rPr>
          <w:rFonts w:ascii="Amiri" w:hAnsi="Amiri" w:eastAsia="Amiri" w:cs="Amiri"/>
          <w:color w:val="111111"/>
          <w:sz w:val="28"/>
          <w:sz w:val="28"/>
          <w:szCs w:val="28"/>
          <w:rtl w:val="true"/>
          <w:lang w:bidi="ar-SA"/>
        </w:rPr>
        <w:t>من حين الانكشاف أو من الأصل؟ وجوه ، أقواها الثاني ؛ لأنّ المفروض إناطة الصحّة بالواقع ، وحين عدم العلم به لا وجه لاتّصاف الفعل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إحراز المطابقة بأصالة عدم كشف الخلاف ؛ لأنّه على تقديره لا يجدي في الاتّصاف المذكور ، فإنّ ذلك ليس من الآثار المترتّبة على المستصحب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إتيان الفعل في الظاهر نظرا إلى أصالة عدم المطابقة ، فإنّها مقطوعة بأصالة بقاء الطهارة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يبقى في مرحلة الظاهر غير محكوم بالصحّة والفساد ، ولا يوجب الإعادة ، لأنّ الموجب هو العلم بعدم الاتّصاف بالصحّة الواقعيّة ، ولا سبيل إلى ذلك إلاّ بعد الكشف فيما قامت الأمارة الظنّية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الصحّة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الصحّة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بأنّها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إطلاقه ، لصدقه على الآثار العقليّة المترتّبة على الموضوعات العقليّة ، وعلى الضمان المترتّب على الإتلاف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يقيّد بكون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فيخرج الآثار العقليّة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فيخرج مثل الضمان ، فإنّه ليس من الآثار المقصودة نوعا ، ولا عبرة بما إذا اتّفق كونه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شرعيّة الأثر كونه ممّا أمضاه الشارع وإن لم يكن من الآثار المخترعة المجعولة ، كالطهارة المترتّبة على الغسل</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يعرف الوجه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عبارة عن ترتّب الأثر </w:t>
      </w:r>
      <w:bookmarkStart w:id="473" w:name="pg16254_218995"/>
    </w:p>
    <w:p>
      <w:pPr>
        <w:pStyle w:val="BookText"/>
        <w:rPr/>
      </w:pPr>
      <w:bookmarkEnd w:id="473"/>
      <w:r>
        <w:rPr>
          <w:rFonts w:ascii="IRNazanin" w:hAnsi="IRNazanin" w:eastAsia="IRNazanin"/>
          <w:color w:val="111111"/>
          <w:sz w:val="28"/>
          <w:sz w:val="28"/>
          <w:szCs w:val="28"/>
          <w:rtl w:val="true"/>
          <w:lang w:bidi="fa-IR"/>
        </w:rPr>
        <w:t xml:space="preserve">مطلقا </w:t>
      </w:r>
      <w:r>
        <w:rPr>
          <w:rStyle w:val="FootnoteAnchor"/>
          <w:rtl w:val="true"/>
        </w:rPr>
        <w:footnoteReference w:id="1442"/>
      </w:r>
      <w:r>
        <w:rPr>
          <w:rFonts w:ascii="Amiri" w:hAnsi="Amiri" w:eastAsia="Amiri" w:cs="Amiri"/>
          <w:color w:val="111111"/>
          <w:sz w:val="28"/>
          <w:sz w:val="28"/>
          <w:szCs w:val="28"/>
          <w:rtl w:val="true"/>
          <w:lang w:bidi="ar-SA"/>
        </w:rPr>
        <w:t>، ففي العبادات الأثر المترتّب هو سقوط القضاء ، وفي المعاملات هو التملّك والتذكية والطهارة ونحو ذلك ، غاية الأمر أنّ سقوط القضاء في العبادات من الآثار العقليّة ، والتملّك من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اختلاف الأثر المترتّب على العبادات للأثر المترتّب على المعاملات بالعقليّة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فلم يعلم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هذه الموارد على غير ما يستعمل فيه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الآثار لا يقضي باصطلاح جديد</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418426_1280447820"/>
      <w:bookmarkStart w:id="475" w:name="_Toc150"/>
      <w:bookmarkEnd w:id="474"/>
      <w:r>
        <w:rPr>
          <w:rtl w:val="true"/>
        </w:rPr>
        <w:t xml:space="preserve">تذنيب </w:t>
      </w:r>
      <w:r>
        <w:rPr>
          <w:rtl w:val="true"/>
        </w:rPr>
        <w:t>:</w:t>
      </w:r>
      <w:bookmarkEnd w:id="475"/>
    </w:p>
    <w:p>
      <w:pPr>
        <w:pStyle w:val="BookText"/>
        <w:rPr/>
      </w:pPr>
      <w:r>
        <w:rPr>
          <w:rFonts w:ascii="Amiri" w:hAnsi="Amiri" w:eastAsia="Amiri" w:cs="Amiri"/>
          <w:color w:val="111111"/>
          <w:sz w:val="28"/>
          <w:sz w:val="28"/>
          <w:szCs w:val="28"/>
          <w:rtl w:val="true"/>
          <w:lang w:bidi="ar-SA"/>
        </w:rPr>
        <w:t>الحقّ أنّ الصحّة والفساد وصفان اعتباريّان ينتزعان من الموارد بعد ملاحظة العقل انطباق المورد لما هو المأمور به وعدمه ، أو لما هو المجعول سببا وعدمه مطلقا ، سواء كان في العبادات أو في المعاملات ، وسواء فسّرت الصحّة بما فسّرها المتكلّمون أو بما فسّرها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الأحكام الوضعيّة مطلقا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ثالث بين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أنّهما في العبادات عقليّان وفي المعاملات من أحكام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الحاجبيّان </w:t>
      </w:r>
      <w:r>
        <w:rPr>
          <w:rStyle w:val="FootnoteAnchor"/>
          <w:rtl w:val="true"/>
        </w:rPr>
        <w:footnoteReference w:id="1444"/>
      </w:r>
      <w:r>
        <w:rPr>
          <w:rFonts w:ascii="Amiri" w:hAnsi="Amiri" w:eastAsia="Amiri" w:cs="Amiri"/>
          <w:color w:val="111111"/>
          <w:sz w:val="28"/>
          <w:sz w:val="28"/>
          <w:szCs w:val="28"/>
          <w:rtl w:val="true"/>
          <w:lang w:bidi="ar-SA"/>
        </w:rPr>
        <w:t xml:space="preserve">وتبعهما بعض الأجلّة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التفصيل بين التفسيرين في العبادات ، فقيل بكونهما حكمين على تفسير الفقهاء ، وأنّهما وصفان اعتباريّان على تفسير المتكلّمين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ليس الكلام في المقام في أصل مجعوليّة الأحكام الوضعيّة وعدمها ، فإنّ ذلك قد أوردنا الكلام فيها على وجه الاستطراد في مباحث الاستصحاب على وجه لا مزيد عليه ، بل الكلام في المقام إنّما هو في خصوص وصفي الصحّة والفساد على تقدير القول باختلاف حكمي التكليف والوضع ، فإنّهم أيضا اختلفوا في كونهما من الأحكام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 العبادات على تفسير المتكلّمين عبارة عن موافقة الأمر ، وهذا المعنى يحصل بعد إيجاد المكلّف الفعل مطابقا لما هو المأمور به ، من غير حاجة إلى جعل هذا الوصف وإنشائه على وجه يحتاج إليه في إنشاء أحكام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التفسير الآخر عبارة عن كون المأمور به بوجه يسقط معه القضاء ، وهو حاصل على تقدير الإتيان بما يعتبر في المأمور به على وجه يكون الفعل من مصاديق الصحيح في العرف من دون احتياج إلى تكلّف الجعل والإنشاء ، نظير حصول الزوجيّة بعد حصول الأربعة من غير حاجة إلى تحصيل الزوجيّة بتحصيل مغاير لتحصيل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المعاملات فهي عبارة عن كون المعاملة على وجه يترتّب عليها الأثر المقصود منها شرعا ، وهذه الصفة يصحّ انتزاعها بعد إيجاد المكلّف ما هو سبب في الشريعة لذلك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الآثار ممّا حكم بترتّبها الشارع لا يقضي بأن يكون الصحّة مجعولة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أنّ المجعول الشرعي في العبادة ليس إلاّ إيجاب الفعل الكذائي ، وفي المعاملة ليس إلاّ تسبّب العمل الكذائي للأثر الكذائي ، وهذا لا يقضي بمجعوليّة الصفة المنتزعة عن الفعل والعمل على تقدير المطابقة لما هو المجعول الشرعي كما هو الحقّ</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الاقتضاء فلا فرق بين العبادة والمعاملة ، فالقول بالتفصيل مطلقا ممّا لا وجه له ،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من ذهب بأنّهما من أحكام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شرعيّة الحكم على أن يكون بيانه وظيفة الشارع وإن كان العقل مستقلاّ فيه ، والمقام منه ؛ فإنّ الحكم بترتّب آثار السبب الشرعي عليه حكما وظيفة الشارع ، سواء كان بموافقة الأمر أو إسقاط القضاء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الشرعيّة ليس على البيان الصرف وإن لم يكن مشتملا على الإنشاء كما في الأحكام التكليفية ، فإنّ ذلك مجرّد إخبار عمّا هو ثابت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يوجب تصحيح النسبة والإضافة إلى الشارع والشرع فيما إذا لم يكن وجود ذلك الأمر الثابت معلوما بوجه وأين ذلك من الجعل الموجود في أحكام التكليف؟</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 ليس بيانهما من وظيفة الشارع على تقدير اكتفاء ما ذكر في الحكم الشرعي ، فإنّ ما هو من وظيفة الشارع هو الإخبار والإعلام عن ترتّب هذه الآثار المخترعة أو غيرها على تلك الأفعال عبادة كانت أو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الفعل ممّا يترتّب عليه الأثر أو لا فليس من وظيفة الشارع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 التفصيلين وجوابهما ممّا ذكرنا في حجّة المختار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القمّي رحمه‌اللّه تبعا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إنّما هو فيما إذا ورد النهي مع وجود ما يقضي بالصحّة شرعا ، فلا نزاع فيما ليس فيه جهة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والقمار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فاسدا بالأصل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إنّما يتمّ في العبادات ، إذ لا يعقل العبادة بدون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المعاملة فلا دليل على تخصيص النزاع بماله جهة صحّة ، بل قضيّة الأدلّة والعناوين عموم النزاع لكلّ ما له الاتّصاف بالصحّة والفساد ، سواء كان له في الشرع جهة </w:t>
      </w:r>
    </w:p>
    <w:p>
      <w:pPr>
        <w:pStyle w:val="BookText"/>
        <w:rPr/>
      </w:pPr>
      <w:r>
        <w:rPr>
          <w:rFonts w:ascii="Amiri" w:hAnsi="Amiri" w:eastAsia="Amiri" w:cs="Amiri"/>
          <w:color w:val="111111"/>
          <w:sz w:val="28"/>
          <w:sz w:val="28"/>
          <w:szCs w:val="28"/>
          <w:rtl w:val="true"/>
          <w:lang w:bidi="ar-SA"/>
        </w:rPr>
        <w:t>صحّة أو لا ، غاية الأمر تطابق الأصل والنهي في الدلالة على الفساد فيما ليس فيه جهة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الصحّة مع صحّة الاتّصاف بالصحّة يكفي في صحّة النزاع ، فيخرج كثير من المعاصي من جهة عدم الاتّصاف ، كجملة من الأفعال التي تترتّب عليها أحكام شرعيّة ، كالضمان المترتّب على الإتلاف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القمّي رحمه‌اللّه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العبادات والمعاملات هو الفساد ، لأنّ الأحكام الشرعيّة كلّها توقيفيّة ومنها الصحّة ، والأصل عدمها ، وعدمها يكفي في ثبوت الفساد ، وإن كان هو أيضا من الأحكام الشرعيّة ، لأنّ عدم الدليل دليل العدم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 أنّ النهي هل يقتضي رفع الصحّة عمّا من شأنه الصحّة أو لا؟ وشيء من طرفي الحكم لا يرتبط بالأصل المذكور ، إذ الكلام إنّما هو بعد ثبوت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لإيراد الكلام المذكور في مقدّمات المسألة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منه حرصا على ضبط المطالب وإيراد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مثل القمار وغيره ممّا لم يثبت له جهة صحّة داخلا في النزاع كان لإيراده وجه ، لكونه بيانا للأصل في المسألة بعد عدم دلالة النهي على الفساد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من أصالة الفساد إنّما يتمّ بإطلاقه في المعاملات ، إذ عند الشكّ في ترتّب الأثر الشرعي على المعاملة بعد عدم دليل يقضي به ، لا إشكال في لزوم الاستناد إلى أصالة عدم الترتّب </w:t>
      </w:r>
      <w:r>
        <w:rPr>
          <w:rStyle w:val="FootnoteAnchor"/>
          <w:rtl w:val="true"/>
        </w:rPr>
        <w:footnoteReference w:id="1450"/>
      </w:r>
      <w:r>
        <w:rPr>
          <w:rFonts w:ascii="Amiri" w:hAnsi="Amiri" w:eastAsia="Amiri" w:cs="Amiri"/>
          <w:color w:val="111111"/>
          <w:sz w:val="28"/>
          <w:sz w:val="28"/>
          <w:szCs w:val="28"/>
          <w:rtl w:val="true"/>
          <w:lang w:bidi="ar-SA"/>
        </w:rPr>
        <w:t>، ولا يراد بالفساد إلاّ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العبادات فإن كان الشك في صحّتها بمعنى موافقتها للأمر ، فيمكن جريان الأصل المذكور أيضا ، لكنّه ليس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مطابقة الأمر تارة بواسطة الشك في وجود الأمر رأسا ، واخرى بواسطة الشكّ في كون المشكوك فيه من أفراد المأمور به ، فتارة بواسطة إجمال المفهوم ، واخرى بواسطة الشك في تعميم المأمور به للفرد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لا شكّ في جريان الأصل المذكور ، لأنّ الشكّ في وجود الأمر ، والأصل عدمه ، وعدم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فساد العبادة ، لأنّ صحّتها موقوفة على العلم بالأمر ، فإنّها </w:t>
      </w:r>
      <w:r>
        <w:rPr>
          <w:rStyle w:val="FootnoteAnchor"/>
          <w:rtl w:val="true"/>
        </w:rPr>
        <w:footnoteReference w:id="1451"/>
      </w:r>
      <w:r>
        <w:rPr>
          <w:rFonts w:ascii="Amiri" w:hAnsi="Amiri" w:eastAsia="Amiri" w:cs="Amiri"/>
          <w:color w:val="111111"/>
          <w:sz w:val="28"/>
          <w:sz w:val="28"/>
          <w:szCs w:val="28"/>
          <w:rtl w:val="true"/>
          <w:lang w:bidi="ar-SA"/>
        </w:rPr>
        <w:t>عبارة عن موافقة الأمر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 فالأصل أيضا يقضي بالفساد ، إذ مرجع الشك إلى أنّ طبيعة المأمور به هل تعمّ المشكوك أم لا؟ وهذا وإن كان لا يجري فيه الأصل ، إلاّ أنّ الأصل عدم حصول الامتثال به ، كما هو الشأن في كلّ مقام لا يجري في نفسه الأصل بواسطة التعارض ، فإنّه يرجع إلى أصل ثالث لازم لأحد المتعارضين ، كما قرّر في محلّه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 فإمّا أن يعلم من ذلك المفهوم المجمل شيء معلوم ، أو لا يعلم ، وعلى الأخير لا بدّ من الأخذ بالبراءة أو الاشتغال ،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فلا بدّ من إتيان ذلك المعلوم إجمالا كما عند الشكّ في الجزئيّة والشرطيّة في شيء من العبادات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التحقيق من البراءة عند الشكّ في الشرطيّة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بذلك مع حسبان أنّ الأصل عند الشكّ في موافقة العبادة للأمر الفساد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رآه المحقّق القمّي رحمه‌اللّه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عن الجزء المشكوك فيه أصل بها تثبت الصحّة ولا ينافي الفساد لو لا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تعلّق الأمر بالصلاة بدون السورة إنّما هو بواسطة الشكّ في وجوب السورة ، فأصالة عدم تعلّق الأمر بهذه الصلاة تنقطع بإعمال أصالة البراءة في السورة ، فلذلك يجب الإتيان بالصلاة بدون السورة ، لارتفاع الشكّ بطريق شرعي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صحّة العبادة بمعنى إسقاطها القضاء </w:t>
      </w:r>
      <w:r>
        <w:rPr>
          <w:rStyle w:val="FootnoteAnchor"/>
          <w:rtl w:val="true"/>
        </w:rPr>
        <w:footnoteReference w:id="1453"/>
      </w:r>
      <w:r>
        <w:rPr>
          <w:rFonts w:ascii="Amiri" w:hAnsi="Amiri" w:eastAsia="Amiri" w:cs="Amiri"/>
          <w:color w:val="111111"/>
          <w:sz w:val="28"/>
          <w:sz w:val="28"/>
          <w:szCs w:val="28"/>
          <w:rtl w:val="true"/>
          <w:lang w:bidi="ar-SA"/>
        </w:rPr>
        <w:t>فإن كان الشكّ فيه مسبّبا عن الشكّ في الأمر بأقسامه فقد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فيه بعد إحراز الأمر ، فإن قلنا بأنّ التفسيرين متلازمان وليس تفسير الفقهاء بأخصّ من تفسير المتكلّمين ، فيكون الشكّ في مسألة الإجزاء ، فلا وجه لأصالة الفساد في المقام ، سواء اخذ الأمر فيهما واقعيّين أو ظاهريّين ، وذلك ظاهر في الغاية ، فإنّ الأمر الظاهري أيضا يفيد الإجزاء بالنسبة إلى الأمر الظاهري ، ولا يجب الإعادة بالطهارة المستصحبة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للأصل المذكور وجه على القول بعدم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بأخصّية تفسير الفقهاء بأن </w:t>
      </w:r>
      <w:r>
        <w:rPr>
          <w:rStyle w:val="FootnoteAnchor"/>
          <w:rtl w:val="true"/>
        </w:rPr>
        <w:footnoteReference w:id="1454"/>
      </w:r>
      <w:r>
        <w:rPr>
          <w:rFonts w:ascii="Amiri" w:hAnsi="Amiri" w:eastAsia="Amiri" w:cs="Amiri"/>
          <w:color w:val="111111"/>
          <w:sz w:val="28"/>
          <w:sz w:val="28"/>
          <w:szCs w:val="28"/>
          <w:rtl w:val="true"/>
          <w:lang w:bidi="ar-SA"/>
        </w:rPr>
        <w:t xml:space="preserve">قلنا بأنّ الصلاة بالطهارة المستصحبة مطابقة للأمر وليست مسقطة للقضاء ، فقد عرفت في مسألة الإجزاء أنّ الأصل يقضي بالإعادة لو كان الشكّ فيها بعد كشف الخلاف ، لعدم إفادة الأمر الظاهري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الفساد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في القضاء ، فيحتمل القول بعدم وجوبه ، لاحتمال التدارك</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الإعادة مطابقة للأصل لكونها ثابتة </w:t>
      </w:r>
    </w:p>
    <w:p>
      <w:pPr>
        <w:pStyle w:val="BookText"/>
        <w:rPr/>
      </w:pPr>
      <w:r>
        <w:rPr>
          <w:rFonts w:ascii="Amiri" w:hAnsi="Amiri" w:eastAsia="Amiri" w:cs="Amiri"/>
          <w:color w:val="111111"/>
          <w:sz w:val="28"/>
          <w:sz w:val="28"/>
          <w:szCs w:val="28"/>
          <w:rtl w:val="true"/>
          <w:lang w:bidi="ar-SA"/>
        </w:rPr>
        <w:t>بمقتضى الأمر ، بخلاف القضاء فإنّه تكليف مستقلّ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القول بوجوبه أيضا ؛ لأنّ القضاء مترتّب على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عدميّ مطابق للأصل ؛ لأنّ الأصل عدم الإتيان بما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فأصالة الفساد فيما لو كان الشكّ في الصحّة بمعنى إسقاط القضاء على إطلاقها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المحقّق أيضا ليس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إنّما هو بحسب الأصل الأوّلي مع قطع النظر عمّا يقضى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ملاحظة الأدلّة الواردة في جزئيّات الموارد أو أصنافها أو أنواعها أو غير ذلك ، فلا مجال للحصر في شيء ، كما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النهي إمّا أن يكون نفس العبادة ، أو جزءها ، أو وصفها الداخلي أو الخارجي ، مع اتّحادهما في الوجود أو مع اختلافهما فيه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 خروج القسم الأخير عن محلّ الكلام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 إلى الأجنبيّة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ظاهر ؛ لأنّ المستفاد من هذا النهي إمّا إراءة الطريق إلى ما هو الواقع من عدم تحقّق الصلاة بدون الترك المذكور ، فيكون دلالته على الفساد ممّا لا يكاد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استفيد منه الحرمة الذاتيّة من دون تعلّق النظر بالصلاة ، فلا إشكال في عدم دلالته على الفساد ، فتعلّق النهي بأمر خارج عن الماهيّة مع عدم الاتّحاد بين المأمور به والمنهيّ عنه وإن كان زمان النهي زمان الصلاة غير قابل للنزاع ، فإنّه على وجه لا ينكر اقتضاؤه الفساد ، كما في الأوامر المتعلّقة بالأجزاء أو الموانع ، وعلى وجه لا يتوهّم </w:t>
      </w:r>
      <w:r>
        <w:rPr>
          <w:rStyle w:val="FootnoteAnchor"/>
          <w:rtl w:val="true"/>
        </w:rPr>
        <w:footnoteReference w:id="1456"/>
      </w:r>
      <w:r>
        <w:rPr>
          <w:rFonts w:ascii="IRNazanin" w:hAnsi="IRNazanin" w:eastAsia="IRNazanin"/>
          <w:color w:val="111111"/>
          <w:sz w:val="28"/>
          <w:sz w:val="28"/>
          <w:szCs w:val="28"/>
          <w:rtl w:val="true"/>
          <w:lang w:bidi="fa-IR"/>
        </w:rPr>
        <w:t>اقتضاؤه الفساد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الأقسام الأخر ، فالكلّ يحتمل وقوع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فكالصلاة في زمان الحيض ، وهو مبنيّ على كون الصلاة منهيّا عنها مطلقا في ذلك الزمان ، وأمّا لو جعلناها منهيّا عنها باعتبار وقوعها في ذلك فهي من المنهيّ عنها لوصفها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يمثّل للمنهيّ عنه لنفسه في المعاملة بأمثلة كثيرة </w:t>
      </w:r>
      <w:r>
        <w:rPr>
          <w:rStyle w:val="FootnoteAnchor"/>
          <w:rtl w:val="true"/>
        </w:rPr>
        <w:footnoteReference w:id="1457"/>
      </w:r>
      <w:r>
        <w:rPr>
          <w:rFonts w:ascii="Amiri" w:hAnsi="Amiri" w:eastAsia="Amiri" w:cs="Amiri"/>
          <w:color w:val="111111"/>
          <w:sz w:val="28"/>
          <w:sz w:val="28"/>
          <w:szCs w:val="28"/>
          <w:rtl w:val="true"/>
          <w:lang w:bidi="ar-SA"/>
        </w:rPr>
        <w:t>، كبيع الخمر والخنزير وبيع السفيه ونكاح الخامسة ، ولا سبيل إلى العلم بكونها منه ، لاحتمال أن يكون المعاملات فيها ملحوظة باعتبارات خاصّة ، فيكون من المنهيّ عنه لوصفه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العبادة قد يمثّل له بمثل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الصلاة المشتملة على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نهي الجزء يلازم النهي عن الكلّ ، ولا يلزم منه حرمة الشروع نظرا إلى أنّ الكلّ محرّم حينئذ ؛ لأنّ متعلّق النهي هو المجموع ، فإيجاد الجميع حرام ، وهو لا يصدق مع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التزام حرمة الشروع فيما لو قصد من أوّل الأمر قراءة العزائم غير بعيد ، لأنّ هذه الصلاة المفروضة غير مشروعة ، فيكون الشروع فيها محرّما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المعاملة فقد مثّل لها في القوانين ببيع الغاصب مع جهل المشتري على القول بأنّ البيع نفس الإيجاب والقبول الناقلين ، فإنّ هذه المعاملة منهيّ عنها باعتبار جزئها وهو إيجاب الغاصب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الإيجاب من الغاصب ، فإنّ ذلك لا يعدّ تصرّفا في مال الغير كما قرّرنا في الفضولي ، وإن كان بينهما فرق من جهة توقّع لحوق الإجازة في الفضولي واستقلال الغاصب بالإيجاب في المقام ، إلاّ أنّه لم يعلم تأثير له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حرمة الإيجاب ، لكنّه لا يوجب النهي عن المعاملة المركّبة من الإيجاب الصادر من الغاصب والقبول الصادر عن الجاهل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جاهل لا يعقل الحرمة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النهي بالجزء إنّما يسري إلى الكلّ فيما إذا كان الكلّ متعلّقا بعمل شخص واحد ، وأمّا إذا كان الجزء الآخر فعلا لغيره فلا وجه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الغاصب متولّيا لطرفي العقد مع لحوق الإجازة بعد تحقّق 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 على القول بأنّه النقل </w:t>
      </w:r>
      <w:r>
        <w:rPr>
          <w:rStyle w:val="FootnoteAnchor"/>
          <w:rtl w:val="true"/>
        </w:rPr>
        <w:footnoteReference w:id="1459"/>
      </w:r>
      <w:r>
        <w:rPr>
          <w:rFonts w:ascii="Amiri" w:hAnsi="Amiri" w:eastAsia="Amiri" w:cs="Amiri"/>
          <w:color w:val="111111"/>
          <w:sz w:val="28"/>
          <w:sz w:val="28"/>
          <w:szCs w:val="28"/>
          <w:rtl w:val="true"/>
          <w:lang w:bidi="ar-SA"/>
        </w:rPr>
        <w:t xml:space="preserve">، فقال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كثيرة واضحة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بعضهم </w:t>
      </w:r>
      <w:r>
        <w:rPr>
          <w:rStyle w:val="FootnoteAnchor"/>
          <w:rtl w:val="true"/>
        </w:rPr>
        <w:footnoteReference w:id="14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الكثرة والوضوح ربما توجب خفاء الأمر وعدم الاطّلاع ، وإلاّ فنحن لم نقف له على مثال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يمثّل بصفقة واحدة مشتملة على بيع ما يملك وما لا يملك ، إلاّ أنّه أيضا لا يشفي العليل ولا يروي الغليل ، لأنّ النقل أمر بسيط لا يعقل التجزئة فيه وكونه حراما بواسطة جزئه وإن كان المنقول مركّبا</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المنهيّ عنه لوصفه الداخل في </w:t>
      </w:r>
      <w:r>
        <w:rPr>
          <w:rStyle w:val="FootnoteAnchor"/>
          <w:rtl w:val="true"/>
        </w:rPr>
        <w:footnoteReference w:id="1462"/>
      </w:r>
      <w:r>
        <w:rPr>
          <w:rFonts w:ascii="Amiri" w:hAnsi="Amiri" w:eastAsia="Amiri" w:cs="Amiri"/>
          <w:color w:val="111111"/>
          <w:sz w:val="28"/>
          <w:sz w:val="28"/>
          <w:szCs w:val="28"/>
          <w:rtl w:val="true"/>
          <w:lang w:bidi="ar-SA"/>
        </w:rPr>
        <w:t>العبادات ، فكالنهي عن الصلاة اللازم من النهي عن الإخفات في موارد الجهر أو العكس ، فإنّ الجهر والإخفات من الأوصاف الداخليّة للقراءة حتّى كأنّهما من الفصول المقوّمة لأنواع القراءة على وجه لا يتصوّر انفكاك القراءة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المعاملة كبيع الربوي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المنهيّ عنه لوصفه الخارجي ، فكالنهي عن الصلاة باعتبار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المعاملة كالنهي عن البيع باعتبار تفويت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موارد اجتماع الصلاة والغصب الغير الملحوظ في الصلاة بوجه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اجتماعهما في فرد واحد ، فإنّ المفروض أنّ النهي تعلّق بالصلاة باعتبار وصفه </w:t>
      </w:r>
      <w:r>
        <w:rPr>
          <w:rStyle w:val="FootnoteAnchor"/>
          <w:rtl w:val="true"/>
        </w:rPr>
        <w:footnoteReference w:id="1463"/>
      </w:r>
      <w:r>
        <w:rPr>
          <w:rFonts w:ascii="IRNazanin" w:hAnsi="IRNazanin" w:eastAsia="IRNazanin"/>
          <w:color w:val="111111"/>
          <w:sz w:val="28"/>
          <w:sz w:val="28"/>
          <w:szCs w:val="28"/>
          <w:rtl w:val="true"/>
          <w:lang w:bidi="fa-IR"/>
        </w:rPr>
        <w:t xml:space="preserve">الخارج المفارق المتّحد له </w:t>
      </w:r>
      <w:r>
        <w:rPr>
          <w:rStyle w:val="FootnoteAnchor"/>
          <w:rtl w:val="true"/>
        </w:rPr>
        <w:footnoteReference w:id="1464"/>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إفرادنا الوصف الداخلي عن الوصف الخارجي بالذكر ، حيث إنّه لا يمكن إيجاد الجهر والإخفات في ضمن غير الصوت ، بخلاف الغصب فإنّه على تقدير تعلّق النهي به يمكن إيجاده في ضمن غير الصلاة ، 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الأقسام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لشرطه ، وهو يحتمل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تعلّق به باعتبار فقد الشرط ، كالنهي عن الصلاة باعتبار فقد الطهارة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تعلّق به باعتبار حرمة الشرط ، وشيء من الوجهين لا يصلح أن يكون موردا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الفساد فيما لا يوجد في العبادة أو المعاملة شرطهما إجماعيّ لا يكاد يخفى على أحد كما هو قضيّة الاشتراط ، فإنّ ارتفاع المشروط عند ارتفاع الشرط من القضايا المعروفة</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الشرط تارة يكون متّحد الوجود مع المشروط ، أو لا يكون ، فعلى الأوّل حرمة الشرط تسري إلى حرمة المشروط وتوجب فساده ، إلاّ أنّه ليس قسما خارجا عن الأقسام المتقدّمة ، لرجوعه إلى المنهيّ عنه لوصفه المتّحد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في الوجود ، فلا وجه لجعله قسما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فحرمة الشرط لا دليل على سرايتها في المشروط ، فلا يقتضي الفساد قطعا ؛ فإنّ النهي عن شيء مباين للشيء ، فكيف </w:t>
      </w:r>
      <w:r>
        <w:rPr>
          <w:rStyle w:val="FootnoteAnchor"/>
          <w:rtl w:val="true"/>
        </w:rPr>
        <w:footnoteReference w:id="1465"/>
      </w:r>
      <w:r>
        <w:rPr>
          <w:rFonts w:ascii="Amiri" w:hAnsi="Amiri" w:eastAsia="Amiri" w:cs="Amiri"/>
          <w:color w:val="111111"/>
          <w:sz w:val="28"/>
          <w:sz w:val="28"/>
          <w:szCs w:val="28"/>
          <w:rtl w:val="true"/>
          <w:lang w:bidi="ar-SA"/>
        </w:rPr>
        <w:t>يعقل اقتضاؤه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على بصيرة من الأمر كيلا يختلط عليك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6254_219007"/>
      <w:bookmarkStart w:id="477" w:name="pg16254_219007"/>
      <w:bookmarkEnd w:id="477"/>
    </w:p>
    <w:p>
      <w:pPr>
        <w:pStyle w:val="Heading3"/>
        <w:numPr>
          <w:ilvl w:val="2"/>
          <w:numId w:val="1"/>
        </w:numPr>
        <w:rPr/>
      </w:pPr>
      <w:bookmarkStart w:id="478" w:name="pg16254_219007"/>
      <w:bookmarkStart w:id="479" w:name="__RefHeading___Toc4418428_1280447820"/>
      <w:bookmarkStart w:id="480" w:name="_Toc151"/>
      <w:bookmarkEnd w:id="478"/>
      <w:bookmarkEnd w:id="479"/>
      <w:r>
        <w:rPr>
          <w:rtl w:val="true"/>
        </w:rPr>
        <w:t>هداية</w:t>
      </w:r>
      <w:bookmarkEnd w:id="480"/>
    </w:p>
    <w:p>
      <w:pPr>
        <w:pStyle w:val="Heading4"/>
        <w:numPr>
          <w:ilvl w:val="3"/>
          <w:numId w:val="1"/>
        </w:numPr>
        <w:rPr/>
      </w:pPr>
      <w:bookmarkStart w:id="481" w:name="__RefHeading___Toc4418430_1280447820"/>
      <w:bookmarkStart w:id="482" w:name="_Toc152"/>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بعد ما عرفت مورد النزاع ، فاعلم أنّهم اختلفوا في مورد النزاع في دلالة النهي على الفساد على أقوال ربما تزيد على العشرة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العبادات والمعاملات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شرعا لا لغة ،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في العبادات لغة ، وفي المعاملات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الأقوال التي لا محصّل في ضبطها وإيرادها والبحث عن صحّتها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فلنقتصر على ما هو الحقّ في المقام ، ومنه يظهر الوجه في الإيراد على الأقوال المخالفة لما اقتضاه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هذه الأقوال ممّا لا نعرف له وجها ، فإنّ التفصيل بين العرف والعقل ممّا لا سبيل لنا إلى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التفرقة بين الوضع واللغة ، كما يظهر من كلام بعض الأجلّة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 ذلك ممّا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ويزيدك توضيحا ما ذكرنا في الأمر الأوّل في الهداية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المقام إمّا لفظيّ أو عقليّ ، فعلى الأوّل لا وجه للدلالة العقليّة ، وعلى الثاني لا وجه لعدّ الدلالة اللفظيّة في عداد الأقوال ، ثمّ الفرق بين العقل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الكلمات التي لا يسعنا الجمع بين مواردها والأخذ بمجامعها</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فالحقّ في المقام يذكر في موردين </w:t>
      </w:r>
      <w:r>
        <w:rPr>
          <w:rFonts w:eastAsia="Amiri" w:cs="Amiri" w:ascii="Amiri" w:hAnsi="Amiri"/>
          <w:color w:val="111111"/>
          <w:sz w:val="28"/>
          <w:szCs w:val="28"/>
          <w:rtl w:val="true"/>
          <w:lang w:bidi="ar-SA"/>
        </w:rPr>
        <w:t xml:space="preserve">: </w:t>
      </w:r>
      <w:bookmarkStart w:id="483" w:name="pg16254_219008"/>
    </w:p>
    <w:p>
      <w:pPr>
        <w:pStyle w:val="Heading4"/>
        <w:numPr>
          <w:ilvl w:val="3"/>
          <w:numId w:val="1"/>
        </w:numPr>
        <w:rPr/>
      </w:pPr>
      <w:bookmarkStart w:id="484" w:name="__RefHeading___Toc4418432_1280447820"/>
      <w:bookmarkStart w:id="485" w:name="_Toc153"/>
      <w:bookmarkEnd w:id="483"/>
      <w:bookmarkEnd w:id="484"/>
      <w:r>
        <w:rPr>
          <w:rtl w:val="true"/>
        </w:rPr>
        <w:t>الأوّل في بيان التحقيق في العبادات</w:t>
      </w:r>
      <w:bookmarkEnd w:id="48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الواردة في العبادة بأقسامها لا تخلو من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منساق لبيان المانع ، كالأوامر الواردة في العبادات لبيان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دلالة هذه النواهي على الفساد ، بل ذلك لا يخلو عن مسامحة ، فإنّ الفساد الواقعي إنّما أوجب النهي عن العبادة المقارنة للمانع ، لا أنّ النهي اقتضى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دل دليل على وجه الإطلاق أو العموم على مشروعيّة عبادة ، ثمّ تعلّق النهي بفرد خاصّ منه على وجه يستفاد منه وجود المانع عن الامتثال ، فلا إشكال في الحكم بكون العبادة فاسدة ، فإنّ النهي حينئذ يكون ناظرا إلى ذلك الإطلاق ويكون مقيّدا له ، ومع تقييد الإطلاق لا سبيل إلى دعوى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القسم من النهي أيضا لا كلام في اقتضائه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منساق لتحريم أصل العبادة ، من دون إرشاد إلى عدم وقوع الامتثال بها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قاصد بذلك رفع الإذن الحاصل من إطلاق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ذلك محلاّ للنزاع ، لما عرفت من عدم قبول القسم الأوّل للنزاع</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النهي التحريمي يقتضي الفساد ، لما عرفت في المسألة المتقدّمة من عدم جواز اجتماع الوجوب والحرمة في مورد شخصي ، فالنهي يلازم فساد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الفساد الحاصل من النهي في المقام مثل الفساد في القسم الأوّل ؛ لأنّ الفساد في المقام تابع للنهي ، فمتى وجد النهي يمكن الحكم بالفساد ، ومتى انتفى النهي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والنسيان والضرورة ونحوها ممّا يرتفع معها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 بخلاف الفساد في القسم الأوّل ، فإنّه ليس تابعا للنهي ، بل النهي إنّما تعلّق به لكونه فاسدا ، فعند ارتفاع النهي بواسطة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bookmarkStart w:id="486" w:name="pg16254_219009"/>
    </w:p>
    <w:p>
      <w:pPr>
        <w:pStyle w:val="BookText"/>
        <w:rPr/>
      </w:pPr>
      <w:bookmarkEnd w:id="486"/>
      <w:r>
        <w:rPr>
          <w:rFonts w:ascii="Amiri" w:hAnsi="Amiri" w:eastAsia="Amiri" w:cs="Amiri"/>
          <w:color w:val="111111"/>
          <w:sz w:val="28"/>
          <w:sz w:val="28"/>
          <w:szCs w:val="28"/>
          <w:rtl w:val="true"/>
          <w:lang w:bidi="ar-SA"/>
        </w:rPr>
        <w:t>الحكم بعدم الفساد ، وقد مرّ نظيره فيما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شيء من ذلك بعد ما عرفت من امتناع الاجتماع ، وإنّما الإشكال في تمييز هذين القسمين وبيان صغريات هاتين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الموارد التي نعلم بدخولها في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الموارد المشكوكة ، فقضية الظواهر وإن كانت تقتضي الحكم بالحرمة فقط ، ويتبعها الفساد اللازم منها ، إلاّ أنّه يمكن دعوى أنّ الغالب في النواهي الواردة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ناظرة إلى الإطلاقات القاضية بصحّة هذه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مثل ما ذكروا في الأمر الوارد عقيب الحظر فإنّ المستفاد منه ليس الوجوب ، مع أنّ الظاهر بحسب اللغة هو الوجوب ، إذ لا فرق بين ورود الأمر عقيب النهي وبين ورود النهي عقيب الأمر ، فإنّهما في مرحلة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النواهي في الإرشاد ليس على خلاف الظاهر ، فإنّها مستعملة في 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 فإنّ الحرمة التشريعيّة لازمة لعدم كون المنهيّ عنه مأمورا به ، ولو فرض عدم استعمال النهي في الإرشاد لا دليل على كونه غير مشروع بعد اقتضاء الإطلاق مشروعيّته ، فلا يعقل هناك حرمة تشريعيّة حتّى يستعمل النهي في تلك الحرمة</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418434_1280447820"/>
      <w:bookmarkStart w:id="488" w:name="_Toc154"/>
      <w:bookmarkEnd w:id="487"/>
      <w:r>
        <w:rPr>
          <w:rtl w:val="true"/>
        </w:rPr>
        <w:t>المورد الثاني في المعاملات</w:t>
      </w:r>
      <w:bookmarkEnd w:id="488"/>
    </w:p>
    <w:p>
      <w:pPr>
        <w:pStyle w:val="BookText"/>
        <w:rPr/>
      </w:pPr>
      <w:r>
        <w:rPr>
          <w:rFonts w:ascii="Amiri" w:hAnsi="Amiri" w:eastAsia="Amiri" w:cs="Amiri"/>
          <w:color w:val="111111"/>
          <w:sz w:val="28"/>
          <w:sz w:val="28"/>
          <w:szCs w:val="28"/>
          <w:rtl w:val="true"/>
          <w:lang w:bidi="ar-SA"/>
        </w:rPr>
        <w:t xml:space="preserve">وتوضيح الحال هو أنّ النواهي الواردة في المعاملات على أقسام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متعلّقا بالمعاملة من حيث إنّها أحد أفعال المكلّف ، فيكون إيجاد السبب والتلفّظ بالإيجاب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النداء مثل شرب الخمر محرّما ، من غير ملاحظة أنّ ذلك الفعل المحرّم يوجب نقلا وانتقالا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p>
    <w:p>
      <w:pPr>
        <w:pStyle w:val="BookText"/>
        <w:rPr/>
      </w:pPr>
      <w:r>
        <w:rPr>
          <w:rFonts w:ascii="Amiri" w:hAnsi="Amiri" w:eastAsia="Amiri" w:cs="Amiri"/>
          <w:color w:val="111111"/>
          <w:sz w:val="28"/>
          <w:sz w:val="28"/>
          <w:szCs w:val="28"/>
          <w:rtl w:val="true"/>
          <w:lang w:bidi="ar-SA"/>
        </w:rPr>
        <w:t>في عدم دلالة هذا النحو من النهي على الفساد ، فإنّ غاية مدلوله التحريم وهو لا ينافي الصحّة ، فإنّ المعصية تجامع ترتّب الأثر ، كما يشاهد في الأسباب العقليّة بالنسبة إلى الآثار العقليّة ، والشرعيّة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النهي هو مبغوضيّة إيجاد السبب لا من حيث إنّه فعل من الأفعال المتعلّقة للأمر والنهي باعتبار المصالح والمفاسد ، بل من حيث إنّ ذلك السبب يوجب وجود مسبّب مبغوض في نفسه ، كما في النهي عن بيع المسلم للكافر ، فإنّ إيجاد السبب حرام بواسطة إيراثه أمرا غير مطلوب مبغوض ، وهو سلطنة الكافر على المسلم بناء على القول بالصحّة ووجوب الإجبار على إخراجه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بعدم دلالة النهي فيه على الفساد ، إذ لا مانع من صحة البيع حينئذ ، غاية الأمر وجوب النقل وإجبار الناس له على عدم إبقاء ذلك المسبّب بحاله بواسطة النهي الكاشف عن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يستقيم فيما إذا قلنا بأنّ الأسباب الناقلة إنّما هي مؤثّرات عقليّة قد اطّلع عليها الشارع وبيّنها لنا من دون تصرّف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بأنّ هذه أسباب شرعيّة إنّما وضعها الشارع وجعلها مؤثّرة في الآثار المطلوبة عنها ، فلا بدّ من القول بدلالة النهي على الفساد ، فإنّ من البعيد في الغاية جعل السبب فيما إذا كان وجود المسبّب مبغوضا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ذلك ينظر ما حكي 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اللطف عدم إمضاء المعاملات التي تكون مبغوضة عنده </w:t>
      </w:r>
      <w:r>
        <w:rPr>
          <w:rStyle w:val="FootnoteAnchor"/>
          <w:rtl w:val="true"/>
        </w:rPr>
        <w:footnoteReference w:id="1467"/>
      </w:r>
      <w:r>
        <w:rPr>
          <w:rFonts w:ascii="Amiri" w:hAnsi="Amiri" w:eastAsia="Amiri" w:cs="Amiri"/>
          <w:color w:val="111111"/>
          <w:sz w:val="28"/>
          <w:sz w:val="28"/>
          <w:szCs w:val="28"/>
          <w:rtl w:val="true"/>
          <w:lang w:bidi="ar-SA"/>
        </w:rPr>
        <w:t>، فإنّ ذلك على إطلاقه ربما لا يساعده دليل ولا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النهي حرمة الآثار المترتّبة على المعاملة المطلوبة عنها ، مثل ما يدلّ على حرمة أكل الثمن فيما إذا كان عن الكلب والخنزير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القسم وسابقه ظاهر ، فإنّ المبغوض في الأوّل هو ملكيّة المسلم للكافر مثلا ، والمبغوض في هذا القسم هو حرمة التصرّف في الثمن والمبيع ونحو ذلك ممّا هو من الآثار المترتّبة على الملك على وجه لو حصل الملك لا وجه للمبغوضيّة ، فيدلّ ذلك النهي بالالتزام على عدم حصول الملك بهذه المعاملة ، وهو عين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ناظرا إلى إطلاق دليل الصحّة ، فيكون لا محالة مقيّدا لإطلاقه ، ويكون مفاده التصريح بالدلالة على الفساد ، فكأنّه بمنزلة الاستثناء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حصول الملك والنقل والانتقال بإحراز العقد وإتمام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نظير النهي المسوق لبيان المانع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عدم دلالة القسم الأوّل على الفساد ، لعدم ما يقضي به عقلا ولا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دلالة الثاني على الفساد وعدمه ، كما عرفت بناء على القولين على تأمّل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والرابع ، فلا يبقى الإشكال في الدلالة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بهذه الموارد على تقدير العلم بها وتمييزها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الاشتباه فهل يحكم بعدم الدلالة حملا للنهي على ظاهره من تعلّقه بعنوان فعل المكلّف وإن كان ذلك معاملة ، أو بالدلالة حملا له على أحد الوجوه الباقية الدالّة؟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القواعد اللغويّة من إعمال أصالة الحقيقة هو المعنى الأوّل ، </w:t>
      </w:r>
    </w:p>
    <w:p>
      <w:pPr>
        <w:pStyle w:val="BookText"/>
        <w:rPr/>
      </w:pPr>
      <w:r>
        <w:rPr>
          <w:rFonts w:ascii="Amiri" w:hAnsi="Amiri" w:eastAsia="Amiri" w:cs="Amiri"/>
          <w:color w:val="111111"/>
          <w:sz w:val="28"/>
          <w:sz w:val="28"/>
          <w:szCs w:val="28"/>
          <w:rtl w:val="true"/>
          <w:lang w:bidi="ar-SA"/>
        </w:rPr>
        <w:t>فيحكم بالحرمة دون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قامت قرينة على عدمه فالمصير إلى الثاني أقرب ، فإنّ استعمال النهي في الطلب الغيري لا يوجب تجوّزا ، وإن كان الظاهر هو النهي النفسي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الثالث أيضا في هذه المرتبة ، لاشتراكهما في استعمال النهي في معناه التحريمي ، غاية الأمر أنّ الباعث على ذلك التحريم في الأوّل حصول الملك المبغوض ، وفي الثاني الآثار المترتّبة على الملك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مع قطع النظر عمّا يقتضيه استقراء موارد النهي في المعاملات ، فإنّ الغالب في النهي المتعلّق بالمعاملة من حيث إنّها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إنّه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الثالث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الموارد حقّ التشخيص موكول إلى ملاحظة الأطراف والجوانب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تنزيل الإجماع المدّعى في كلامهم على دلالة النهي على الفساد في المعاملات على ما ذكرنا ، فإنّ دعوى عمومه حتّى في الموارد التي يتعلّق النهي بالمعاملة لا من حيث إنّها معاملة مجازفة صرفة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يكون هناك معاملة مشتملة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الحرمة الذاتيّة مثل سائر الأفعال المحرمة ، والاخرى عدم وقوع مضمونها وعدم ترتّب آثارها ، فإيجادها محرّم ، والأخذ بآثارها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بدّ من استفادة هذين النحوين من دليلين ، لا من دليل ، من غير فرق في ذلك بين أنّ الدالّ على التحريم هو صيغة النهي أو أحد الألفاظ المساوية له في إفادة المعنى المذكور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خلافا لبعض الأجلّة ، حيث خصّ الحكم بصيغة النهي ، زعما منه أنّه صريح في الدلالة على الفساد ، وإن فرض </w:t>
      </w:r>
    </w:p>
    <w:p>
      <w:pPr>
        <w:pStyle w:val="BookText"/>
        <w:rPr/>
      </w:pPr>
      <w:r>
        <w:rPr>
          <w:rFonts w:ascii="Amiri" w:hAnsi="Amiri" w:eastAsia="Amiri" w:cs="Amiri"/>
          <w:color w:val="111111"/>
          <w:sz w:val="28"/>
          <w:sz w:val="28"/>
          <w:szCs w:val="28"/>
          <w:rtl w:val="true"/>
          <w:lang w:bidi="ar-SA"/>
        </w:rPr>
        <w:t xml:space="preserve">الكلام فيما إذا استند التحريم إلى العقد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عقد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النزاع المعروف إليه غير مسلّم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بضعفه ، فلا حاجة الى تطويل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يدلّ على المطلوب في المقام أخبار لا بأس بالإشارة إليها وبيان دلالتها والتعرّض لما قد يورد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في وجه ، والصدوق في الموثّق بابن بكير ، عن زرارة ،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عن مملوك تزوّج بغير إذن سيّده؟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 إنّ حكم بن عتيبة وإبراهيم النخعي وأصحابهما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ولا يحلّ إجازة السيّد له؟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إنّما عصى سيّده ، فإذا أجاز فهو له جائز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بطريق فيه موسى بن بكير </w:t>
      </w:r>
      <w:r>
        <w:rPr>
          <w:rStyle w:val="FootnoteAnchor"/>
          <w:rtl w:val="true"/>
        </w:rPr>
        <w:footnoteReference w:id="1472"/>
      </w:r>
      <w:r>
        <w:rPr>
          <w:rFonts w:ascii="Amiri" w:hAnsi="Amiri" w:eastAsia="Amiri" w:cs="Amiri"/>
          <w:color w:val="111111"/>
          <w:sz w:val="28"/>
          <w:sz w:val="28"/>
          <w:szCs w:val="28"/>
          <w:rtl w:val="true"/>
          <w:lang w:bidi="ar-SA"/>
        </w:rPr>
        <w:t xml:space="preserve">، والصدوق عنه ،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الرجل تزوّج عبده بغير إذنه فدخل بها ، ثمّ اطّلع على ذلك مولاه؟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مولاه ، إن شاء فرّق بينهما وإن شاء أجاز ، فإن فرّق بينهما فللمرأة ما أصدقها ، إلاّ أن يكون اعتدى فأصدقها صداقا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أجاز نكاحه فهما على نكاحهما الأوّل ، 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أصل النكاح كان عاصيا؟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شيئا حلالا ، وليس بعاص لله </w:t>
      </w:r>
    </w:p>
    <w:p>
      <w:pPr>
        <w:pStyle w:val="BookText"/>
        <w:rPr/>
      </w:pPr>
      <w:r>
        <w:rPr>
          <w:rFonts w:ascii="Amiri" w:hAnsi="Amiri" w:eastAsia="Amiri" w:cs="Amiri"/>
          <w:color w:val="111111"/>
          <w:sz w:val="28"/>
          <w:sz w:val="28"/>
          <w:szCs w:val="28"/>
          <w:rtl w:val="true"/>
          <w:lang w:bidi="ar-SA"/>
        </w:rPr>
        <w:t xml:space="preserve">ورسوله صلى‌اللّه‌عليه‌وآله وإنّما عصى سيّده ولم يعص اللّه ، إنّ ذلك ليس كإتيان ما حرّم اللّه عزّ وجلّ عليه من نكاح في عدّة وأشباهه </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إنّما فرّع الصحّة والفساد على معصية اللّه وعدمها ، وهو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المعاملة معصية لله من حيث إنّه فعل من الأفعال مع قطع النظر عن كونه معاملة موجبة لما هو المطلوب من إيقاع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معصية لا من هذه الجهة ، بل من حيث إنّها منهيّ عنها شرعا على أحد الوجوه المتصوّرة في النهي عن المعاملة ، من حيث إنّها موجبة لترتّب الآثار المطلوبة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سبيل إلى الأول ، فإنّ عصيان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لله ، فلا وجه لنفي العصيان عن الفعل الواقع بدون إذن السيّد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المصير إلى الثاني ، وهو يفيد المطلوب ، فإنّه يستفاد من التفريع المذكور أنّ كلّ معاملة فيها معصية لله فاسدة ، كما هو ظاهر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من أنّ المراد هو العصيان لا من حيث كون المعاملة فعلا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الرواية الثانية من التمثيل بالنكاح في العدّة ، فإنّه ليس خارجا من الأقسام التي قلنا بأنّ النهي يدلّ فيها على الفساد</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أنّ المطلوب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بالمعاملة إذا كان نهيا عن إيجاد السبب من حيث إنّه فعل من أفعال المكلّف لا يقتضي الفساد ، سواء كان تلك المعاملة مبغوضة في نفسها أو باعتبار اجتماعها مع عنوان غير مطلوب ، كالنهي </w:t>
      </w:r>
    </w:p>
    <w:p>
      <w:pPr>
        <w:pStyle w:val="BookText"/>
        <w:rPr/>
      </w:pPr>
      <w:r>
        <w:rPr>
          <w:rFonts w:ascii="Amiri" w:hAnsi="Amiri" w:eastAsia="Amiri" w:cs="Amiri"/>
          <w:color w:val="111111"/>
          <w:sz w:val="28"/>
          <w:sz w:val="28"/>
          <w:szCs w:val="28"/>
          <w:rtl w:val="true"/>
          <w:lang w:bidi="ar-SA"/>
        </w:rPr>
        <w:t>عن البيع وقت النداء ، فإنّ تحريمه بواسطة كونه موجبا لتفويت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منهيّا عنها من حيث كونها سببا ومعاملة موجبة لترتّب الآثار المطلوبة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الوجوه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صريحتان فيما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الجزء الأوّل فيستفاد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عصى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لعصيان اللّه ، لا من حيث إنّها موجبة للآثار المطلوبة ، فإنّ عصيان اللّه من جهة عصيان السيّد لا يعقل كونه من جهة الترتّب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الجزء الثاني فيستفاد من تفريع الصحّة والبطلان على المعصية التي يجب أن تكون مخالفة للمعصية اللازمة من مخالفة السيّد ، فيكون على أحد الوجوه السابقة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الاستدلال بالرواية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المولى البهبهاني </w:t>
      </w:r>
      <w:r>
        <w:rPr>
          <w:rStyle w:val="FootnoteAnchor"/>
          <w:rtl w:val="true"/>
        </w:rPr>
        <w:footnoteReference w:id="1474"/>
      </w:r>
      <w:r>
        <w:rPr>
          <w:rFonts w:ascii="Amiri" w:hAnsi="Amiri" w:eastAsia="Amiri" w:cs="Amiri"/>
          <w:color w:val="111111"/>
          <w:sz w:val="28"/>
          <w:sz w:val="28"/>
          <w:szCs w:val="28"/>
          <w:rtl w:val="true"/>
          <w:lang w:bidi="ar-SA"/>
        </w:rPr>
        <w:t xml:space="preserve">والمحقّق القمّي </w:t>
      </w:r>
      <w:r>
        <w:rPr>
          <w:rStyle w:val="FootnoteAnchor"/>
          <w:rtl w:val="true"/>
        </w:rPr>
        <w:footnoteReference w:id="14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من المعصية هو عدم مشروعيّة نوع المعاملة في أصل الشرع ، فلا دلالة في الرواية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على ظاهره ، ضرورة أنّ عصيان السيّد يلازم عصيان اللّه ، فلا بدّ من الحمل على عدم الإذن ، فمفاد الرواية أنّ النكاح صحيح ؛ لأنّه إنّما أوقع ما هو مأذون فيه ومجعول في الشرع ، وإنّما يمنعه عن النفوذ عدم إذن المولى ، وبعد لحوق الإذن منه أيضا يتمّ المقتضي ويترتّب المعلول</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بظاهر العصيان في كلام الإمام غير صحيح ، إذ المفروض أنّ العبد لم يعص السيّد أيضا ، لأنّ العصيان لا يتحقّق بدون </w:t>
      </w:r>
    </w:p>
    <w:p>
      <w:pPr>
        <w:pStyle w:val="BookText"/>
        <w:rPr/>
      </w:pPr>
      <w:r>
        <w:rPr>
          <w:rFonts w:ascii="Amiri" w:hAnsi="Amiri" w:eastAsia="Amiri" w:cs="Amiri"/>
          <w:color w:val="111111"/>
          <w:sz w:val="28"/>
          <w:sz w:val="28"/>
          <w:szCs w:val="28"/>
          <w:rtl w:val="true"/>
          <w:lang w:bidi="ar-SA"/>
        </w:rPr>
        <w:t>النهي ، وعدم الإذن المفروض في السؤال أعمّ من النهي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ومقتضى قول السائل في الرواية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اطّلع على ذلك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خصوص عدم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 عدم الاطّلاع أيضا يكون معصية لكونه تصرّفا في ملك الغير بغير إذنه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يعدّ تصرفا ، كما قرّرنا في الفضولي من أنّ مجرّد إيقاع العقد ليس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الحمل على أنّ النكاح صحيح لأنّه مشروع أصلا ، وليس ممّا لم يأذن الشارع بإيقاعه ، وإنّما هو لم يأذن سيّده بذلك ، وبعد لحوق الإذن منه يكون صحيحا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المعاملة التي لم يأذن الشارع بإيقاعها ، وهو من الامور الواضحة التي اتّفق عليها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ينظر كلام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على خلاف المطلوب أدلّ ، فإنّ المراد بالمعصية لا بدّ أن يكون هو مجرّد عدم الإذن والرخصة من الشارع ، وإلاّ فمخالفة السيّد أيضا معصية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خلاف المطلوب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نظره إلى أنّ الأخذ بظاهر العصيان اللازم من مخالفة السيّد يوجب الحكم بالفساد ، مع أنّ الرواية صريحة في الحكم بالصحّة مع الحكم بالعصيان من هذه الجهة ، إلاّ أنّه يجب حمله على ما ذكره من الجهة المذكورة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حمل العصيان على عدم الإذن ، فإنّه خلاف معناه الحقيقي ، فلا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الصارف من أنّ عصيان المولى أيضا معصية ، لا يوجب حمله عليه بعد احتمال ما ذكرنا من الحمل على العصيان من غير جهة أنّه </w:t>
      </w:r>
    </w:p>
    <w:p>
      <w:pPr>
        <w:pStyle w:val="BookText"/>
        <w:rPr/>
      </w:pPr>
      <w:r>
        <w:rPr>
          <w:rFonts w:ascii="Amiri" w:hAnsi="Amiri" w:eastAsia="Amiri" w:cs="Amiri"/>
          <w:color w:val="111111"/>
          <w:sz w:val="28"/>
          <w:sz w:val="28"/>
          <w:szCs w:val="28"/>
          <w:rtl w:val="true"/>
          <w:lang w:bidi="ar-SA"/>
        </w:rPr>
        <w:t>فعل من الأفعال ، مع كونه أظهر قطعا ، لدوران الأمر بين تقييد العصيان بما ذكرنا وبين كونه مجازا عن عدم الإذن ، ولا شكّ أنّ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الإذن لا يوجب العصيان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الاولى ليست صريحة في عدم النهي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في مقام العصيان أيضا ، غاية الأمر عمومه لصورة عدم النهي أيضا ، 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الإمام على عدم الإذن مرجوح بالنسبة إلى حمله على صورة وجود النهي ، كما ربما يعاضده استقرار العادة على الاستيذان في مثل هذه الامور الخطيرة ، بل ربما يعدّ الإقدام على مثل النكاح بدون إذن المولى وإن لم يكن مسبوقا بالنهي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بالفضولي ، فإنّ الفرق بين إجراء الصيغة في المال المتعلّق بالغير وبين الإقدام على النكاح والدخول المستلزم لتعلّق المهر بذمّة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الرواية الثانية فلا بدّ أيضا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النهي ، كما يدلّ عليه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في أصل النكاح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السؤال في صورة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يلائم صورة النهي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الإذن يوجب التفكيك</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كلام المعترض ليس إذنا تكليفيّا ، فإنّ عدمه يكون عصيانا حقيقة ، فمراده الإذن الوضعي ، والإذن الوضعي ليس من شأن المولى ، بل إنّما هو شأن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في توجيه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أنّه ليس ممّا لم يأذنه الشارع وإنّما السيّد لم يأذنه ، يوجب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على الجعل والوضع ، وفي الثاني على التكليف ،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المراد عدم الإذن ، ولكنّه أيضا يدلّ على المطلوب ، فإنّ النهي يلازم عدم الإذن الموجب للفساد ، إلاّ أنّ ذلك ليس تعويلا على الرواية ، فإنّ الملازمة المذكورة ليست مستفادة من الرواية ، بل التعويل على ما ذكرنا من الغلبة والظهور في النواهي الواردة في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مرّ يظهر التقريب في رواية اخرى رواها الكليني ، عن منصور بن حازم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مملوك تزوّج بغير إذن مولاه أعاص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أنّه حرام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إلاّ بإذن مولاه </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بل الإنصاف أنّ هذه الرواية أظهر دلالة من غيرها ، فإنّ الظاهر أنّ الكبرى بعد إحراز العصيان عند الراوي معلومة ، لا حاجة إلى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لا إشعار لها على المطلوب ، ولعلّ ذكرها في عداد الأدلّة وقع سهوا عن القلم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به يتمّ الوجه في الاستدلال بها ، فلعلّ ذلك سهو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برواية البقباق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يتزوّج الأمة بغير علم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زنى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عليه‌السلام استند في الحكم بكون العقد على الأمة بدون علم أهلها فاسدا على انتفاء الإذن المشروط نكاحهنّ به ، ولا ريب في أنّه يدلّ على المدّعى بطريق أولى</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فإن الحكم ببطلان المعاملة بواسطة انتفاء الشرط المستفاد من مفهوم القيد ممّا لا يرتبط بالمقام ، فضلا عن دلالته على المطلوب ، فضلا عن كونه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الوحيد البهبهاني قد اختار في فوائده الجديدة تفصيلا لا بأس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كان دليل صحّة المعاملة منحصرا فيما يدلّ على الحكم التكليفي فيدلّ ، وبين ما لا يكون 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للأوّل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متى استفيدت من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تابعة له ، فلا يجامع النهي الذي يدلّ على ارتفاع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تكن مستفادة من ذلك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التقى الختانان وجب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للنهي على الفساد ، فإنّ حرمة الالتقاء حال الحيض ، لا ينافي ترتّب الأثر على الالتقاء ، فلا بدّ من الجمع بين ما دلّ على الترتّب وبين ما دلّ على الحرمة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قريب ممّا قدّمنا بحسب المفهوم ، فإنّ </w:t>
      </w:r>
      <w:r>
        <w:rPr>
          <w:rStyle w:val="FootnoteAnchor"/>
          <w:rtl w:val="true"/>
        </w:rPr>
        <w:footnoteReference w:id="1485"/>
      </w:r>
      <w:r>
        <w:rPr>
          <w:rFonts w:ascii="Amiri" w:hAnsi="Amiri" w:eastAsia="Amiri" w:cs="Amiri"/>
          <w:color w:val="111111"/>
          <w:sz w:val="28"/>
          <w:sz w:val="28"/>
          <w:szCs w:val="28"/>
          <w:rtl w:val="true"/>
          <w:lang w:bidi="ar-SA"/>
        </w:rPr>
        <w:t xml:space="preserve">الموارد التي قلنا فيها بعدم الدلالة ، كالنهي عن البيع في الجمعة بواسطة تفويت الصلاة ، وتلقّي الركبان بواسطة إيراثه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يستظهر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بدّ من التخصيص ، وفي الثاني لا بدّ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يرد عليه أمران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التفصيل قلّما يوجد لو لم يؤخذ بما هو المناط فيه كما قرّرنا ، فإنّ الأغلب أنّ دليل الصحّة في المعاملات ليس منحصرا فيما يفيد الحكم التكليفي ، </w:t>
      </w:r>
    </w:p>
    <w:p>
      <w:pPr>
        <w:pStyle w:val="BookText"/>
        <w:rPr/>
      </w:pPr>
      <w:r>
        <w:rPr>
          <w:rFonts w:ascii="Amiri" w:hAnsi="Amiri" w:eastAsia="Amiri" w:cs="Amiri"/>
          <w:color w:val="111111"/>
          <w:sz w:val="28"/>
          <w:sz w:val="28"/>
          <w:szCs w:val="28"/>
          <w:rtl w:val="true"/>
          <w:lang w:bidi="ar-SA"/>
        </w:rPr>
        <w:t xml:space="preserve">فإنّ صحّة البيع كما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في مثل النكاح ، فإنّ الصحّة فيه تستفاد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عدّه آية الوفاء بالعقد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كآيتي العهد </w:t>
      </w:r>
      <w:r>
        <w:rPr>
          <w:rStyle w:val="FootnoteAnchor"/>
          <w:rtl w:val="true"/>
        </w:rPr>
        <w:footnoteReference w:id="1489"/>
      </w:r>
      <w:r>
        <w:rPr>
          <w:rFonts w:ascii="Amiri" w:hAnsi="Amiri" w:eastAsia="Amiri" w:cs="Amiri"/>
          <w:color w:val="111111"/>
          <w:sz w:val="28"/>
          <w:sz w:val="28"/>
          <w:szCs w:val="28"/>
          <w:rtl w:val="true"/>
          <w:lang w:bidi="ar-SA"/>
        </w:rPr>
        <w:t xml:space="preserve">والتجارة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يضادّها التحريم غير وجيه ، إذ لا مانع من النهي عن المعاملة ثمّ الأمر بإمضائها بعد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يتمّ التناقض والمضادّة في ما لو كان المقصود من الأمر هو تشريع تلك المعاملات بالأمر بإمضائها ، وليس 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 فإنّ المستفاد من الآية هو وجوب الوفاء بالعقد على تقدير وجود الموضوع ، فيجوز التمسّك بعموم الآية في العقود التي ثبت حرمتها في الشرع ، إلاّ أن يستفاد من التحريم المذكور الفساد على وجه قلنا به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عدّه وجوب المهر المترتّب على الالتقاء في أمثلة الثاني لعلّه ليس في محلّه ، فإنّه نظير الضمان المترتّب على الإتلاف</w:t>
      </w:r>
      <w:r>
        <w:rPr>
          <w:rFonts w:eastAsia="Amiri" w:cs="Amiri" w:ascii="Amiri" w:hAnsi="Amiri"/>
          <w:color w:val="111111"/>
          <w:sz w:val="28"/>
          <w:szCs w:val="28"/>
          <w:rtl w:val="true"/>
          <w:lang w:bidi="ar-SA"/>
        </w:rPr>
        <w:t xml:space="preserve">. </w:t>
      </w:r>
      <w:bookmarkStart w:id="489" w:name="pg16254_219021"/>
    </w:p>
    <w:p>
      <w:pPr>
        <w:pStyle w:val="Heading3"/>
        <w:numPr>
          <w:ilvl w:val="2"/>
          <w:numId w:val="1"/>
        </w:numPr>
        <w:rPr/>
      </w:pPr>
      <w:bookmarkStart w:id="490" w:name="__RefHeading___Toc4418436_1280447820"/>
      <w:bookmarkStart w:id="491" w:name="_Toc155"/>
      <w:bookmarkEnd w:id="489"/>
      <w:bookmarkEnd w:id="490"/>
      <w:r>
        <w:rPr>
          <w:rtl w:val="true"/>
        </w:rPr>
        <w:t>هداية</w:t>
      </w:r>
      <w:bookmarkEnd w:id="491"/>
    </w:p>
    <w:p>
      <w:pPr>
        <w:pStyle w:val="Heading4"/>
        <w:numPr>
          <w:ilvl w:val="3"/>
          <w:numId w:val="1"/>
        </w:numPr>
        <w:rPr/>
      </w:pPr>
      <w:bookmarkStart w:id="492" w:name="__RefHeading___Toc4418438_1280447820"/>
      <w:bookmarkStart w:id="493" w:name="_Toc156"/>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حكي عن أبي حنيفة والشيباني </w:t>
      </w:r>
      <w:r>
        <w:rPr>
          <w:rStyle w:val="FootnoteAnchor"/>
          <w:rtl w:val="true"/>
        </w:rPr>
        <w:footnoteReference w:id="1491"/>
      </w:r>
      <w:r>
        <w:rPr>
          <w:rFonts w:ascii="Amiri" w:hAnsi="Amiri" w:eastAsia="Amiri" w:cs="Amiri"/>
          <w:color w:val="111111"/>
          <w:sz w:val="28"/>
          <w:sz w:val="28"/>
          <w:szCs w:val="28"/>
          <w:rtl w:val="true"/>
          <w:lang w:bidi="ar-SA"/>
        </w:rPr>
        <w:t>دلالة النهي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عن نهاية العلاّمة التوقّف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ووافقهما فخر المحقّقين في نهاية المأمول </w:t>
      </w:r>
      <w:r>
        <w:rPr>
          <w:rStyle w:val="FootnoteAnchor"/>
          <w:rtl w:val="true"/>
        </w:rPr>
        <w:footnoteReference w:id="1493"/>
      </w:r>
      <w:r>
        <w:rPr>
          <w:rFonts w:ascii="Amiri" w:hAnsi="Amiri" w:eastAsia="Amiri" w:cs="Amiri"/>
          <w:color w:val="111111"/>
          <w:sz w:val="28"/>
          <w:sz w:val="28"/>
          <w:szCs w:val="28"/>
          <w:rtl w:val="true"/>
          <w:lang w:bidi="ar-SA"/>
        </w:rPr>
        <w:t>، وأحال الأمر على شرح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والمنقول من احتجاجهما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لامتنع النهي عنه ،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عن صوم الحائض ويوم النحر ، إمّا أن يكون مع إمكان وجوده من المكلّف مع قطع النظر عن النهي ، أو مع امتناعه لكونه أمرا فاسدا لا يمكن تحقّقه من الحائض وفي يوم النحر ، والأوّل هو المطلوب ، والثاني هو المقصود بالتالي ، وبعد بطلانه 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دلالة النهي على الصحّة لكان المنهيّ عنه الصوم الغير الشرعي ، وهو باطل ، لعدم الفرق بين متعلّق الأمر ومتعلّق النهي ،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واستقامة هذين الوجهين موقوفة على أمرين </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ألفاظ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موارد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لمعانيها الصحيحة الجامعة للأجزاء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 الأمر والنهي العينيّين في أمر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تقدير طروّ المنع بأحدهما لا يتمّ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قيل بكون الألفاظ موضوعة للأعمّ نختار إمكان وجود المنهيّ عنه من المكلّف ، ولا يلزم محذور ، لأنّه لا يلازم الصحّة ، لصدق المعنى على الفاسدة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امتناع تعلّق الأمر والنهي بشيء يمتنع صحّة المنهيّ عنه ، لأنّ الصحّة فرع الأمر ، والمفروض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الدليل الثاني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المنهيّ عنه مأمورا به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على وجه لا مزيد عليه ، فنختار إمكان وجود المنهيّ عنه ، وهو لا يلازم الصحّة بمعنى 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المنهيّ كامل الأجزاء والشرائط مع قطع النظر عن النهي المتعلّق به ، فهو حقّ على القول بالصحيح إذا لم يكن تعلّق النهي بالعبادة أو المعاملة كاشفا عن عدم اجتماعهما الشرائط الوجودية والعدميّة ، فيكون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النهي مجازا باعتبار المشاكلة والمشابهة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أن يعلم أنّ ذلك إنّما هو بواسطة مادّة المنهيّ عنه ، وليس للنهي مدخل في ذلك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العلاّمة رحمه‌اللّه وابنه فخر المحقّقين ، إنّما ينظران إلى ما ذكرنا ، فتوقّف الأوّل ومال الثاني إليه</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لا وجه لتعجّب بعض أفاضل المعاصرين منهما في ذلك </w:t>
      </w:r>
      <w:r>
        <w:rPr>
          <w:rStyle w:val="FootnoteAnchor"/>
          <w:rtl w:val="true"/>
        </w:rPr>
        <w:footnoteReference w:id="1494"/>
      </w:r>
      <w:r>
        <w:rPr>
          <w:rFonts w:ascii="Amiri" w:hAnsi="Amiri" w:eastAsia="Amiri" w:cs="Amiri"/>
          <w:color w:val="111111"/>
          <w:sz w:val="28"/>
          <w:sz w:val="28"/>
          <w:szCs w:val="28"/>
          <w:rtl w:val="true"/>
          <w:lang w:bidi="ar-SA"/>
        </w:rPr>
        <w:t xml:space="preserve">، فإنّ المسألة ليست بتلك المكانة ، بل على القول بالصحيح لا بدّ من التزام مقالته ولا يلزم محذور ، فإنّ الصحيحي لا يقول بأنّ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مطابقة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داخلة في المسمّى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على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القول بالصحيح مقتضيا لذلك كان فاسدا ، كما هو ظاهر لمن تدبّر</w:t>
      </w:r>
      <w:r>
        <w:rPr>
          <w:rFonts w:eastAsia="Amiri" w:cs="Amiri" w:ascii="Amiri" w:hAnsi="Amiri"/>
          <w:color w:val="111111"/>
          <w:sz w:val="28"/>
          <w:szCs w:val="28"/>
          <w:rtl w:val="true"/>
          <w:lang w:bidi="ar-SA"/>
        </w:rPr>
        <w:t xml:space="preserve">. </w:t>
      </w:r>
      <w:bookmarkStart w:id="494" w:name="pg16254_219023"/>
    </w:p>
    <w:p>
      <w:pPr>
        <w:pStyle w:val="BookText"/>
        <w:rPr/>
      </w:pPr>
      <w:bookmarkEnd w:id="494"/>
      <w:r>
        <w:rPr>
          <w:rFonts w:ascii="Amiri" w:hAnsi="Amiri" w:eastAsia="Amiri" w:cs="Amiri"/>
          <w:color w:val="111111"/>
          <w:sz w:val="28"/>
          <w:sz w:val="28"/>
          <w:szCs w:val="28"/>
          <w:rtl w:val="true"/>
          <w:lang w:bidi="ar-SA"/>
        </w:rPr>
        <w:t xml:space="preserve">وتظهر الثمرة فيما لو نذر ترك الصوم على وجه الإطلاق ، فإنه على القول بأنّ المنهيّ عنه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مطابقة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النذر ؛ لأنّ جميع أفراد الصوم راجح شرعا حتّى الفرد المنهيّ عنه ، غاية الأمر حصول الامتثال والعصيان معا على القول بالصحّة بمعنى اجتماع الشرائط والأجزاء ، أو الصحّة بمعنى ترتّب الأثر اللازم لذلك المعنى ، فينعقد النذر ويحصل الحنث بالأفراد المحرّمة ، كذا قيل </w:t>
      </w:r>
      <w:r>
        <w:rPr>
          <w:rStyle w:val="FootnoteAnchor"/>
          <w:rtl w:val="true"/>
        </w:rPr>
        <w:footnoteReference w:id="1495"/>
      </w:r>
      <w:r>
        <w:rPr>
          <w:rFonts w:ascii="Amiri" w:hAnsi="Amiri" w:eastAsia="Amiri" w:cs="Amiri"/>
          <w:color w:val="111111"/>
          <w:sz w:val="28"/>
          <w:sz w:val="28"/>
          <w:szCs w:val="28"/>
          <w:rtl w:val="true"/>
          <w:lang w:bidi="ar-SA"/>
        </w:rPr>
        <w:t>، ولا يخلو من تأمّل</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418440_1280447820"/>
      <w:bookmarkStart w:id="496" w:name="_Toc157"/>
      <w:bookmarkEnd w:id="495"/>
      <w:r>
        <w:rPr>
          <w:rtl w:val="true"/>
        </w:rPr>
        <w:t xml:space="preserve">تذييل </w:t>
      </w:r>
      <w:r>
        <w:rPr>
          <w:rtl w:val="true"/>
        </w:rPr>
        <w:t xml:space="preserve">: </w:t>
      </w:r>
      <w:r>
        <w:rPr>
          <w:rtl w:val="true"/>
        </w:rPr>
        <w:t>فيه تنبيه على فائدة مهمّة</w:t>
      </w:r>
      <w:bookmarkEnd w:id="496"/>
    </w:p>
    <w:p>
      <w:pPr>
        <w:pStyle w:val="BookText"/>
        <w:rPr/>
      </w:pPr>
      <w:r>
        <w:rPr>
          <w:rFonts w:ascii="Amiri" w:hAnsi="Amiri" w:eastAsia="Amiri" w:cs="Amiri"/>
          <w:color w:val="111111"/>
          <w:sz w:val="28"/>
          <w:sz w:val="28"/>
          <w:szCs w:val="28"/>
          <w:rtl w:val="true"/>
          <w:lang w:bidi="ar-SA"/>
        </w:rPr>
        <w:t xml:space="preserve">لو كانت المعاملة متقوّمة بشخصين تعلّق النهي بما هو متعلّق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كالإيجاب أو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 لا إشكال في عدم سراية الحكم التكليفي من أحدهما إلى الآخر ، فإنّه لو كان الإيجاب من أحدهما وقت النداء مع وجوب الجمعة في حقّه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القبول ، إلاّ أن يكون القابل معاونا للموجب في إيجاد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الحرمة على الوجه المذكور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الوضعي ، فلا ينبغي الإشكال في سرايته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متقوّمة بشخصين ، وبعد فرض انتقاء الأثر من أحد الطرفين لا يعقل ترتّب الأثر من الآخر ، فإنّ الأثر مترتّب على تمام العقد الحاصل من فعلهما</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كلّ واحد من الإيجاب والقبول مؤثّرا لأثر لا يرتبط أحدهما </w:t>
      </w:r>
    </w:p>
    <w:p>
      <w:pPr>
        <w:pStyle w:val="BookText"/>
        <w:rPr/>
      </w:pPr>
      <w:r>
        <w:rPr>
          <w:rFonts w:ascii="Amiri" w:hAnsi="Amiri" w:eastAsia="Amiri" w:cs="Amiri"/>
          <w:color w:val="111111"/>
          <w:sz w:val="28"/>
          <w:sz w:val="28"/>
          <w:szCs w:val="28"/>
          <w:rtl w:val="true"/>
          <w:lang w:bidi="ar-SA"/>
        </w:rPr>
        <w:t>بالآخر كان الوجه عدم السراية ، كما هو كذلك في الآثار المترتّبة على أحدهما خاصّة ، كعدم جواز التصرّف في المبيع فيما إذا كان الموجب أصيلا والقابل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 الملك ونقل العوض وانتقال المعوّض وأمثاله ، فإنّما يترتّب على الفعلين المفروض فساد أحدهما ، فلا يعقل القول بأنّ العقد صحيح بالنسبة إلى أحدهما وفاسد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التفكيك إذا اختلف المتعاقدان في المذهب ، كأن يرى أحدهما صحّة العقود الفارسيّة فعقدا بالفارسيّة على شيء ، فإنّه يصحّ عند القائل بالصحّة ولا يصحّ عند القائل بالفساد ، وحيث إنّ اعتقاد الفساد على تقدير إرادة النقل بالسبب الفاسد لا يوجب الفساد في الواقع عند القائل بالصحّة ، فلا ضير في الحكم بالصحّة عنده في الظاهر على القول بالتخطئة ، وفي الواقع على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 الحكم بالتبعيض مطلقا ، ولا وجه له كما عرفت</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 والصلاة والسّلام على خير خلقه محمّد وآله الطاهرين ، ولعنة اللّه على أعدائهم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 والهداية</w:t>
      </w:r>
      <w:r>
        <w:rPr>
          <w:rFonts w:eastAsia="Amiri" w:cs="Amiri" w:ascii="Amiri" w:hAnsi="Amiri"/>
          <w:color w:val="111111"/>
          <w:sz w:val="28"/>
          <w:szCs w:val="28"/>
          <w:rtl w:val="true"/>
          <w:lang w:bidi="ar-SA"/>
        </w:rPr>
        <w:t xml:space="preserve">. </w:t>
      </w:r>
      <w:bookmarkStart w:id="497" w:name="pg16254_219025"/>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8" w:name="__RefHeading___Toc4418442_1280447820"/>
      <w:bookmarkStart w:id="499" w:name="_Toc158"/>
      <w:bookmarkEnd w:id="497"/>
      <w:bookmarkEnd w:id="498"/>
      <w:r>
        <w:rPr>
          <w:rtl w:val="true"/>
        </w:rPr>
        <w:t>الفهرس</w:t>
      </w:r>
      <w:bookmarkEnd w:id="499"/>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كلمة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القول في الصحيح والأعم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جريان النزاع موقوف على القول بثبوت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هل النزاع مخصوص بألفاظ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المشتملة على أجزاء 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النزاع في 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الأصل باختلاف وجوه القول بالصحيح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احتجاج القول بالصحيح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احتجاج القائلين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بالتفصيل بين الأجزاء والشرائط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الأجزاء عن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عملية بين الجزء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ألفاظ المعاملات عن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الكلام في الإجزاء</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امور تمهيدية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الاتيان بالمأمور بالأمر الواقعي الاختياري يقتضي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الإتيان بالمأمور بالأمر الواقعي الاضطراري يقتضي الإجزاء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الظاهري العقلي لا يقتضي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الظاهري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الظاهري الشرعي هل يقتضي الإجزاء في ما لو انكشف الخلاف؟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وجه القول بعدم الإجزاء وهو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وجوه التفصيل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وعدمه بالنسبة إلى فعل الغير في ما لو اعتقد فساد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باستحباب التدارك والإعادة في ما لو أحرم بغير غسل الإحرام أو صلاته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وجوب مقدّمة الواجب</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494</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المسألة فرعيّة أم اصوليّة وهل هي عقليّة أم من مباحث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تقسيمات المقدمة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العقليّة والشرعية والعاديّة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مقدّمة الوجود والوجوب والصحة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 إلى المطلق والمشروط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هل النزاع يخصّ بمقدّمة الواجب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حقيقة في المطلق ومجاز في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الواجب مشروطا أو مطلقا ، فهل الأصل الإطلاق أو أو الاشتراط؟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موارد حكم فيها بوجوب الإتيان بالمقدمة قبل اتصاف ذيها بالوجوب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تتميم تحصيلي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الإتيان بالمقدمة قبل وجوب ذيها مطلق أم مقيد بالزمان الذي بعده لا يتمكّن من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اشتراط الوجوب عقلا بفعل محرّم مقدم عليه زمانا ، وهل يصحّ أن يكون الواجب مشروطا بمقدمة محرّمة مقارنة للفعل في الوجود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واجب أنه تعبدي أو توصلي فما الذي يقتضيه ظاهر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الأدلّة الخارجة تقتضي التوصلية في موارد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قصد العنوان في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اجتماع الحرام مع الواجب 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الغيري والنفسي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صور الشك في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ترتّب الثواب والعقاب على الواجبات 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ترتب الثواب على فعل الطهارات الثلاث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تصحيح القربة في الأوامر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وجوب الواجب الغيري على إرادة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هل يعتبر في وقوع المقدمة على صفة الوجوب أن يكون الإتيان بها لأجل التوصّل بها إلى الغير؟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هل يكتفى بالمقدمة في الغاية غير المقصودة؟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وقوع الواجب الغيري على صفة الوجوب ترتّب الغير عليه؟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تصحيح العبادة التي يتوقّف فعل الضد على تركها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الأصليّ والتبعيّ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البحث عن وجوب المقدمة يشمل جميع أقسام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الكلام في نوع وجوب المقدمة ، وهل هو نفسي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المراد من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النزاع في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الأصل في المسألة والأقوال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حجج القائلين بوجوب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احتجاج المفصّل بين السبب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احتجاج المفصّل بين الشروط الشرعيّة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الموصلة إلى ترك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المقدمة الموصلة إلى فعل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حرمة العزم على المعصية والعفو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القصد المقارن لفعل بعض مقدّمات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القول في أنّ الأمر بالشيء هل يقتضي النهي عن ضدّه أو لا؟</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590</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هذه المسألة هل هي من فروع مسألة مقدّمة الواجب أو هي مسألة برأسها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مقدميّة ترك أحد الضدين لوجود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مقال آخر في بحث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هذه المسألة ومسألة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عليهما عنوان البحث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ثمرات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الكلام في قولين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عن الشيء يقتضي الأمر بضدّه؟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القول في جواز اجتماع الأمر والنهي في شيء واحد</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المسألة ملحقة بمسائل الاصول أو بمسائل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الألفاظ المأخوذة في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امور ترتبط بالمقام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متعلق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الأقوال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حجج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بين الأحكام لا يصلح للمنع عن اجتماعها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الكلام في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تحقيق المراد من الكراهة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اجتماع المستحبّ مع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اجتماع الوجوبين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إجزاء غسل واحد عن الجنابة الواجبة والجمعة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للجواز موجود والمانع 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العرف بحصول الإطاعة والعصيان في ما إذا أتى المكلّف بفرد جامع للعنوانين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احتجاج المفصّل بين العرف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المسألة بعد القول بالامتناع؟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في ما إذا كان الاجتماع بسوء اختيار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التنافي بين القول بصحة الصلاة في الدار المغصوبة حال الخروج وبطلان عمل الجاهل بحكم الغصب مع تقصيره في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القول في اقتضاء النهي للفساد في ما إذا تعلّق بشيء</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النهي المأخوذ في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المتعلق للنهي إمّا أن يكون عبادة أو غير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الصحة والفساد وصفان اعتباريّان لا أنّهما من الأحكام الوضعية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محلّ النزاع إنّما هو في ما إذا ورد النهي مع وجود ما يقضي بالصحة شرعا؟ </w:t>
      </w:r>
      <w:r>
        <w:rPr>
          <w:rFonts w:eastAsia="Amiri" w:cs="Amiri" w:ascii="Amiri" w:hAnsi="Amiri"/>
          <w:color w:val="111111"/>
          <w:sz w:val="28"/>
          <w:szCs w:val="28"/>
          <w:lang w:bidi="ar-SA"/>
        </w:rPr>
        <w:t>739</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 العبادات والمعاملات هو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متعلّق النهي قد يكون نفس العبادة أو جزءها أو وصفها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في المسألة وبيان الحق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النهي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المعاملة متقومة بشخصين وورد النهي عن ما هو متعلق بأحدهما دون الآخر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تتكوّن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كبير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معان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 المدينة ورئيس نقابة التجّار ورئيس عشيرة ورئيس مخفر 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فرهنگ معين ، ولغت نامه دهخدا ، والمعجم الفارسي الكبير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كلانتر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القصيدة مطبوعة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صدح الحمامة في أحوال الوالد العلاّمة لابن المترجم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ديوان ابنه الميرزا أبي الفضل الطهراني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ديوان ابنه الميرزا أبي الفضل الطهراني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للسيد المرعشي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للسيد المرعشي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الميرزا أبي الفضل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 والظاهر ما أثبتناه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فإنّ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وتشديد الياء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الخطبة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الخطبة 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رتّب مباحثه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بهذا الاسم ، وطبعه ولده الفاضل الحاج ميرزا أبو الفضل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فلعلّ المقدمة منه أيضا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أسامي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وأخوه الشيخ محمّد تقي ، 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الوحيد البهبهاني في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جماعة اخرى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الأقوال والقائلين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متأخّري المتأخّرين ، وفي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تقي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في إشارات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ذكره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التي منها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وستأتي الإشارة إليه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المتشرّعيّة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نسب إليه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سلطان العلماء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فالقائل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الثاني لكفاية التقييد عن استعمال المطلق في المقيّد وعلى تقدير التسليم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تقدير عدم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وارتضاه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ولعلّه مختار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أفسدهما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لا تسمّى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 كتب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كما يلي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تقي الأصفهاني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أسامي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إلزام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انظر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ومنتفيا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بالوضع للصحيح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للصحيحي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يتحقّق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يصدق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ذكرت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الفاسدة الزائدة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الهيئة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محمّد تقي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ادّعى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ذلك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ملازمة بينهما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أفعال الصلاة ،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من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صحّة السلب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واردة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وما يليه من الجواب والاعتراض من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السيّد المجاهد قدس‌سره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منع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في الصلاة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والخبر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رابطيّا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منحصرة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تقدير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المحصّل من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القول بوجه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لذلك القول وجه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تعقّل المراد منه بعد لم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يلتزم به أحد فيما نعلم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يظهر من أحد التزامه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العبارة في المصادر الحديثيّة ، وإن ورد بمعناها أحاديث كثيرة ، انظر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لا تقبل الأعمال إلاّ بالولاية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اليونانية دواء ،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بمنزلتها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لاختصاص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الشهيد الثاني في الروض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وما يليه من الإيراد عليه هو من الشيخ محمّد تقي ، انظر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فبمجرّد الدعوى لا يتمّ المطلب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فمجرّد الدعوى لا يثبت المدّعى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ملحوظا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نجد من أنفسنا الوضع لتلك الأجزاء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لفظا أو معنى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لفظه أو معناه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ركوع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الركوع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بعضهم إلى التفصيل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نقل الأقوال أنّ من جملتها القول بالتفصيل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تقيّده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المصداق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تقيّده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تقيّده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التفريح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التقريح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في أحاديث كثيرة ،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النيّة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تذنيب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فرغت من تسويد هذه النسخة الشريفة في شهر ذي الحجّة ويوم الأحد ، وأنا العبد المذنب محمّد بن حسين الخوئيني ، في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النبويّة ، عليه آلاف التحيّة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انصرافا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جزأ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به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 به الفاضل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القاضي ، وانظر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إذ المعنيّ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فهذا لا يستحيل لو قام الدليل على وجوبه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التقديرين لا يستحيل أن يقع فيه 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الواقعي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الواقع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النساء نواقص الإيمان ، نواقص الحظوظ ، نواقص العقول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تصلّي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نقصان إيمانهنّ فقعودهنّ عن الصلاة والصيام في أيّام حيضهنّ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دليل عدم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عدم دليل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بلفظه في المصادر الحديثيّة من الخاصّة والعامّة ، نعم ورد ما يقرب منه ، انظر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 الحديث الأوّل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ورد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بسبب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توجّه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أوامر اللّه ورسوله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الأوامر الإلهيّة والنبويّة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ما في الوقت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شأنيّة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الفقهيّة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عبد الرحمن بن قبة الرازي ، من متكلّمي الإماميّة ، وكان معتزليّا ، ثمّ تبصّر ،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والمصلحة نفس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وجود المصلحة في نفس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المتعلّقة بالموضوعات 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القول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القول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جهة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الأوّل ، والمستدرك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الأوّل ، والصفحة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الكائنة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وهو ممّا اتّفقت عليه كلمات أصحاب التخطئة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حسب تتبّعنا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قصد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يتراءى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مداخلة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مدخليّة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الواقع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معنى للترديد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شأنيّة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ابالي أبول أصابني أو ماء إذا لم أعلم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ابالي أبول وقع عليّ أم ماء إذا لم أدر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والمأمور هو ابنه وليس عبده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بتلك الموضوعات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الأخبار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وتذاكره ، والصفحة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 والبحار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العقل والجهل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إدراك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تدارك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ظهر 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العمل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يترتّب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يطرأ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محمد تقي في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ترتّب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في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شرحه للعضدي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 ادّعى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ترتّب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الموجّهة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يلائم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يلزم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 الحديث الأوّل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والموضوعات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سابقه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الاجتناب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الاحتياط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فينسحب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تعارض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طاعة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شخصيّا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تحقيق 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المحقّقين عليه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الاختلال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نزعها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انتزعها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والمصدر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لرجوع الضمير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يتعيّن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ينتقض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دائما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الوجه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يظهر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يظهر ممّا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التفصيل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كالخباثة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والطهارة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للطهارة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مقلّده بها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كونها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بالقسم الثاني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وإعادة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 الحديث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انعقاده لا ينافي استحبابه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العبارة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بعد سطور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كان فلا ريب في الاستحباب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الواقعي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الاصول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جعل علم الاصول في امور أربعة أوّلها في المبادئ ، وأورد البحث عن مقدّمة الواجب في الأمر الأوّل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للعقل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المعالم المطبوعة مع المعالم ، انظر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الشيرواني في حاشيته على المعالم ، انظر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كلام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افتقار الكلّ إلى أجزائه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لعدمه ، لهما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تسمية القسم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القمي ، 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الفصول ، 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يكون نشويّة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الشيرواني في حاشيته المطبوعة في هامش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كلام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يمنع مانع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 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البعض ، نعم نسب إلى السيّد نعمة اللّه وسلطان العلماء ، انظر توضيح القوانين المطبوع في هامش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القمّي في نفس الموضع من القوانين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نفى الخلاف عن الوجوب في الجزء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اعلم أنّ بعضهم ادّعى الإجماع على كون المقدمات الداخليّة واجبة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النزاع في المقدّمات الخارجيّة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المحكي في القوانين يخالف المحكيّ هنا ، وراجع 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تفصيله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انتفائها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التفتازاني والسيّد الشريف المطبوعتين ضمن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مكتبة الكلّيات الأزهرية ،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التفتازاني والسيّد الشريف المطبوعتين ضمن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مكتبة الكلّيات الأزهرية ،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المعالم للمولى صالح المازندراني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ظاهر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 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يبعد أن لا يكون واجبا مطلقا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غير مشروط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الشيرواني في حاشيته على المعالم ، انظر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مبادئ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ترجيح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فيه أيضا ولا ناقل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بالغ في الاستدلال عليه ونسبه إلى المعظم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نسبه إلى السيّد المرتضى ، نعم حكاه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السيّد الاستاذ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يجوز أن يكلّفني الصلاة بشرط أن أكون قد تكلّفت الطهارة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السببيّة واجبة وأنّ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المولى صالح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اشتراط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دار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حدوث حادث أو عارض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ينسبق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المشهور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للمادّة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الاشتراط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حكموا بوجوب التعلّم من باب المقدّمة في العاجز عن الصحيح في التكبير والقراءة ، راجع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يلاحظ الآمر الفعل مقيّدا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في محلّه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صاحب الفصول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يجهل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للإتيان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اتّصاف المقدّمة به لعدم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وجود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وجوب الوجوب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 الحديث الأوّل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الكل في الكل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يستفاد ذلك من حكم بعضهم بأنّ الجاهل المقصّر في حكم العامد ، كالمحقّق الأردبيلي في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في 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نسب الى المعروف من عدم معذوريّة الجاهل ، كما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من 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اليهم صاحب الجواهر ، انظر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ما ذكروه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في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كلامه في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كلامه في الصفحة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كلامه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سينقل كلامه في الصفحة الآتية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 وهو الصواب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الفصول كما سيجيء كلامه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الإنشائية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جوابا عن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يمكن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في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وكاشف الغطاء في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دربة 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الأوامر قاضية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الدِّينُ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 وإن ورد في سورة يوسف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الدِّينُ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الكلام في آية سورة البيّنة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المستقرّ الثابت الّذي لا يناله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والمأمور 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 المفعول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فبأنّه إن اريد من حصر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لِلَّهِ الدِّينُ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والجواب أمّا عن الوجه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عبيدة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الزيارة الجامعة ، 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تناظر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شنيع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نبّهنا عليه 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الهادي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غيره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ظاهر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بدّ في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 من أن يقع فيه التأمّل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التسبيب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التسبيب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التسبيب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ظاهر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فيما تقدّم أو قرع سمعك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بالأمر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دلّ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ظاهر في الغاية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 يصحّ الطرد أيضا في الثاني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التعبّدي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بأدنى ملاحظة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باعتوارها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به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تبعي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غيره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تعدّده على تعدّد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الإطاعة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الإطاعة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ظاهر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زيارته عليه‌السلام تعدل الحج والعمرة والجهاد والاعتكاف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ظاهرا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هذا احتمال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مطلوبا نفسيّا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تجريد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عبارته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كما تقدّم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القمي ، كما تقدّم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والصفحة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 الحديث الأوّل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يقضى بالأمر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طهارة مائيّة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ذلك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يظهر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أنّ الوضوء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الحواشي على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الدين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الفصول ، كما سيجيء كلامه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مراده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اللاحقة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المترتّب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الإيراد الأوّل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إمكان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الفصول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الفصول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الفصول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الإيجاب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أقسام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ذلك لازم في البيّن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أراد بذلك أنّ ترك واجب واحد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محمد تقي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الواردة في حقوق الإخوان ،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يستحقّ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العبارة غير خالية عن الإشكال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ظاهر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ماهيّته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لا يرجع إلى طائل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التقديرين لا وجه للاستناد إلى الأصل لارتفاع الشك على التقديرين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استقصاه بعض الأساطين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وإليك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إلى الآمدي ادّعاء الإجماع عليه ، وهو فرية ، بل ادّعى في الإحكام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أصحابه المعتزلة عليه ، ونسب الخلاف إلى بعض الاصوليّة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وإليك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عدم الوجوب مطلقا ، ولم يظهر قائل به على التعيين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سينقل المحشّي وجود القول به عن المنهاج</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حكي عنها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النحرير السيّد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 وحكاه عنه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يتحلّى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المثابة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الآمدي في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إشارات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المكلّفين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طرز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الكاظمي في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هما مسوقتان في كلامهم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لما قاله الأشاعرة وما التجأ إليه بعض الأخبارية ،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الكفاية ، نعم ذكره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الحسن الأشعري ، 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عدا الحرام من الأحكام الخمسة التكليفيّة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ونسلّم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والميل النفساني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بالتشكيك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وجبلت طبيعته على اللجاج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السبزواري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والمقدّم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السبزواري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عند 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جهة الابتداء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ذهنيّة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صدر المتألهين في رسالة التصور والتصديق المطبوع مع الجوهر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بعينه ، ولعلّه يوجد فيما نقله من الأقوال في تفسير التصديق في الرسالة المذكورة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السبزواري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أيضا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خيراتها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أجزائها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أيضا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اريد بها على نحو</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كالصلاة بالنسبة إلى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الخوانساري في 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الدواني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الخوانساري في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الخوانساري في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لم يختص بالسبب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وبخلوّ الخطب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ولا يخفى ما فيه من المبالغة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بالوجوب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السبزواري في 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تقي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وأمّا وجوب ما يتوصّل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انعدام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ويكون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الكلباسي في إشارات الاصول ، الورقة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الكلباسي في إشارات الاصول ، الورقة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الكلباسي في إشارات الاصول ، الورقة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رسالة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السابعة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الاعتقادات للصدوق المطبوع مع مصنّفات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تجريد العقائد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الكلباسي في إشارات الاصول ، الورقة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جهاد العدو ،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قتلا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طلب الرئاسة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اللّه رداءها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الأوّل ، والصفحة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أعطى اللّه عزّ وجل آدم عليه‌السلام وقت التوبة ، الحديث الأوّل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الحديث الأوّل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 وإذا همّ بحسنة كتبت له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عن الكافي ، ولم نعثر عليه في كتب الصدوق ، وانظر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يهمّ بالحسنة أو السيّئة ، الحديث الأوّل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إحسان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به شيخنا البهائي ، كما نقل عنه الكلباسي في إشارات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القلبيّة ، ظ</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الحديثيّة من العامّة والخاصّة ، نعم ورد 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أعان على قتل مسلم ولو بشطر كلمة جاء يوم القيامة مكتوبا بين عينيه آيس من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عنهم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حاشية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الطباطبائي في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المستند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في عدم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حاشيته على المعالم ، ولا توجد لدينا حاشيته على المختصر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حاشيته على المعالم ، ولا في شرحه على الزبدة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 الحديث الأوّل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 الهمّ بالمذكورة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كالحاجبي والعضدي ، 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مبحث مقدّمة الواجب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هو الشأن في المقام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كلامه في الصفحة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آخرا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التامّة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الخوانساري في الرسالة المتقدمة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السيّد 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الشيرواني في حاشيته على المعالم ، انظر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لتقدّم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الخوانساري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محمد تقي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بتمانع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بتمانعها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ينتهي إلى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لا يخفى ، 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هامشها أيضا 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جفّ قلم صاحب 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الضدّ وأمّا ما يأتي في هذه المسألة فليس من تقريراته وتحريراته ، بل إنّما هو من بعض الأساطين من المستفيدين من بحث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وجعل الجنّة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أفاد بما فوق المراد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المحقّق الكلباسي في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سلطان العلماء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كلامه في الصفحة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منع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السبزواري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على وجود 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فصحّحت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أثبتناه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يجب أن يستند على الدوام إلى وجود المانع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مسرح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والمتقدّم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لخرج المانع عن كونه مانعا وكان وجود المعلول بدون هذا العدم يعني مع وجود المانع ممكنا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ولم نتحقق معنى العبارة ، ولعلّ فيها سقطا أو تصحيفا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حجّتيه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فعل الضدّ وتركه على وجود فعل ضدّه وتركه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كلامهم في 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عنهم الآمدي في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يفرّعون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التوسعة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زاحمه أداء الدين ، فإنّ الأوّلين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الفعل لما كان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الدليلين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تركه بترك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هذا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التزام بمقالة المستريح ، لأنّه لا يريد إلاّ جعل الضدّ العام الكف عن المأمور به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في كلام المستريح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الشيخ محمد تقي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 في 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تحرّك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الثالثة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أبي عقيل والإسكافي ، كما حكى عنهما 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وغيرها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كلامه في الصفحة الآتية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كتبه هذا المقرّر في بحث مقدمة الواجب ولا يوجد لدينا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لما قرّره في مبحث المقدمة ولا يوجد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كاشف الغطاء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في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شيء حينئذ يقتضي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متلازمين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اجيب عنه تارة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المؤجّلات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معجّلا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يقضيه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للتمكّن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مشوّشة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الجزء الأصلي للبدن ، راجع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المبادئ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جعله في المبادئ</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المحقّق الشيرواني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الفاضل النراقي في المناهج</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فيجوزه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 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ذكر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 القضاء مستحب لمن يثق من نفسه بالقيام بشرائطه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المطلوب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المطلوب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تداخل الأسباب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الحواشي المتعلّقة بالمبحث ، انظر المعالم والحواشي المتعلّقة بها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الوافية للسيّد صدر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لم نعثر عليه في المعتبر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تحقّقت أنّ سبب بطلانها حينئذ هو لزوم اتّحاد المأمور به والمنهيّ عنه تحقّقت أيضا عدم بطلان عبادة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يلازم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بطبيعة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مضطرّا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النهي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فيعود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 المحقّق النراقي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الملاّ صالح في حاشية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كما تقدّم ، وراجع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الحلّ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للرشاش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لموارد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ما يأتى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لزوم اجتماع الأمر والنهي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رسالة اثنا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يبتني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الحلّ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نحن فيه مثل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نفي ترخيص وضعي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 غرابة هذا الاستعمال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المكروهة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مجتمعهما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 الحديث الأوّل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المطبوعة في هامش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يحصل القرب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 ، ذيل الحديث الأوّل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كمطلق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في الصفحة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القول باتّحاده مع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ذكره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في اصول الأحكام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اليها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في القواعد ، 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إذا كانت أسباب سجدتي السهو من جنس واحد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ما يليه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 الحديث الأوّل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لو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يناط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الكلباسي في 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يشتمل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المنظومة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اللوازم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الطبيعتين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 على الآخر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السلطان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فراجعها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عنه سابقا في الصفحة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ينسب ذلك إلى فاضل الرياض أيضا وكأنّه مسموع منه شفاها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حواشي السلطان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وجوه الأخذ بالحرمة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 والحرمة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هو صاحب الفصول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تجريد العقائد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ينقل إليه بناقل شرعي كالهبة والصلح والبيع</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حاشية المعالم في المبحث ، نعم يوجد في مبحث المقدّمة ذيل قول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القطع ببقاء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ذلك</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التخيير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السفر إلى الحج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الأعرجي في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في زمن الخروج لا يتعلّق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الأفعال التي يقع بها الامتثال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في 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تفصيله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والعبارة ناقصة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تفصيله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قيّده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الاصول لبحر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المسمّاة بالتوضيح المطبوعة في هامش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الاستناد إلى الأصل ، لكون الأصل عدم الترتّب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صحّة العبادة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الشكّ في صحّتها بمعنى موافقتها للأمر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اتّحادهما أو مع اختلافهما في الوجود الخارجي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يتوجّه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القول بأنّ البيع نفس الإيجاب والقبول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والمناسب تأنيث الضميرين ؛ لرجوعهما إلى الصلاة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والمناسب تأنيث الضميرين ؛ لرجوعهما إلى الصلاة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 الحديث الأوّل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 الحديث الأوّل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الهامش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الموارد التي التزمنا فيها بالفساد إنّما يكون النهي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زيد عن محمد بن الحسن وأبي حنيفة أنّه يدل على الصحّة ، وانظر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الكلباسي في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image" Target="media/image2.jpeg"/><Relationship Id="rId783" Type="http://schemas.openxmlformats.org/officeDocument/2006/relationships/image" Target="media/image2.jpeg"/><Relationship Id="rId784" Type="http://schemas.openxmlformats.org/officeDocument/2006/relationships/footer" Target="footer777.xml"/><Relationship Id="rId785" Type="http://schemas.openxmlformats.org/officeDocument/2006/relationships/footnotes" Target="footnotes.xml"/><Relationship Id="rId786" Type="http://schemas.openxmlformats.org/officeDocument/2006/relationships/numbering" Target="numbering.xml"/><Relationship Id="rId787" Type="http://schemas.openxmlformats.org/officeDocument/2006/relationships/fontTable" Target="fontTable.xml"/><Relationship Id="rId788" Type="http://schemas.openxmlformats.org/officeDocument/2006/relationships/settings" Target="settings.xml"/><Relationship Id="rId7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783</Pages>
  <Words>169370</Words>
  <Characters>688673</Characters>
  <CharactersWithSpaces>854990</CharactersWithSpaces>
  <Paragraphs>3775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2026-08-25T11:14:04Z</dcterms:created>
  <dc:creator>ghaemiyeh.com</dc:creator>
  <dc:description/>
  <dc:language>en-US</dc:language>
  <cp:lastModifiedBy/>
  <dcterms:modified xsi:type="dcterms:W3CDTF">2026-08-25T14:44:27Z</dcterms:modified>
  <cp:revision>1</cp:revision>
  <dc:subject/>
  <dc:title>مطارح الأنظار جلد 1</dc:title>
</cp:coreProperties>
</file>

<file path=docProps/custom.xml><?xml version="1.0" encoding="utf-8"?>
<Properties xmlns="http://schemas.openxmlformats.org/officeDocument/2006/custom-properties" xmlns:vt="http://schemas.openxmlformats.org/officeDocument/2006/docPropsVTypes"/>
</file>